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754AB">
      <w:pPr>
        <w:pStyle w:val="31"/>
        <w:jc w:val="center"/>
        <w:outlineLvl w:val="0"/>
        <w:rPr>
          <w:rFonts w:hint="eastAsia" w:ascii="Times New Roman" w:hAnsi="Times New Roman" w:eastAsia="黑体"/>
          <w:snapToGrid w:val="0"/>
          <w:sz w:val="30"/>
          <w:szCs w:val="30"/>
          <w:lang w:eastAsia="zh-CN"/>
        </w:rPr>
        <w:sectPr>
          <w:headerReference r:id="rId3" w:type="default"/>
          <w:footerReference r:id="rId4" w:type="default"/>
          <w:pgSz w:w="11906" w:h="16838"/>
          <w:pgMar w:top="1440" w:right="1080" w:bottom="1440" w:left="1080" w:header="851" w:footer="1077" w:gutter="0"/>
          <w:pgNumType w:start="1"/>
          <w:cols w:space="720" w:num="1"/>
          <w:docGrid w:linePitch="312" w:charSpace="0"/>
        </w:sectPr>
      </w:pPr>
      <w:r>
        <w:rPr>
          <w:rFonts w:hint="eastAsia" w:ascii="Times New Roman" w:hAnsi="Times New Roman" w:eastAsia="黑体"/>
          <w:snapToGrid w:val="0"/>
          <w:sz w:val="30"/>
          <w:szCs w:val="30"/>
          <w:lang w:eastAsia="zh-CN"/>
        </w:rPr>
        <w:drawing>
          <wp:inline distT="0" distB="0" distL="114300" distR="114300">
            <wp:extent cx="6182360" cy="8745855"/>
            <wp:effectExtent l="0" t="0" r="2540" b="4445"/>
            <wp:docPr id="226" name="图片 226" descr="封面+资质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封面+资质_00"/>
                    <pic:cNvPicPr>
                      <a:picLocks noChangeAspect="1"/>
                    </pic:cNvPicPr>
                  </pic:nvPicPr>
                  <pic:blipFill>
                    <a:blip r:embed="rId9"/>
                    <a:stretch>
                      <a:fillRect/>
                    </a:stretch>
                  </pic:blipFill>
                  <pic:spPr>
                    <a:xfrm>
                      <a:off x="0" y="0"/>
                      <a:ext cx="6182360" cy="8745855"/>
                    </a:xfrm>
                    <a:prstGeom prst="rect">
                      <a:avLst/>
                    </a:prstGeom>
                  </pic:spPr>
                </pic:pic>
              </a:graphicData>
            </a:graphic>
          </wp:inline>
        </w:drawing>
      </w:r>
    </w:p>
    <w:p w14:paraId="559C6C3A">
      <w:pPr>
        <w:pStyle w:val="31"/>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一、建设项目基本情况</w:t>
      </w:r>
    </w:p>
    <w:tbl>
      <w:tblPr>
        <w:tblStyle w:val="35"/>
        <w:tblW w:w="497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050"/>
        <w:gridCol w:w="3347"/>
        <w:gridCol w:w="2423"/>
        <w:gridCol w:w="2901"/>
      </w:tblGrid>
      <w:tr w14:paraId="5F3FDE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40" w:type="pct"/>
            <w:tcMar>
              <w:top w:w="16" w:type="dxa"/>
              <w:left w:w="16" w:type="dxa"/>
              <w:right w:w="16" w:type="dxa"/>
            </w:tcMar>
            <w:vAlign w:val="center"/>
          </w:tcPr>
          <w:p w14:paraId="6CF0CE2D">
            <w:pPr>
              <w:adjustRightInd w:val="0"/>
              <w:snapToGrid w:val="0"/>
              <w:jc w:val="center"/>
              <w:rPr>
                <w:sz w:val="24"/>
              </w:rPr>
            </w:pPr>
            <w:r>
              <w:rPr>
                <w:sz w:val="24"/>
              </w:rPr>
              <w:t>建设项目名称</w:t>
            </w:r>
          </w:p>
        </w:tc>
        <w:tc>
          <w:tcPr>
            <w:tcW w:w="4459" w:type="pct"/>
            <w:gridSpan w:val="3"/>
            <w:vAlign w:val="center"/>
          </w:tcPr>
          <w:p w14:paraId="6D227DC5">
            <w:pPr>
              <w:adjustRightInd w:val="0"/>
              <w:snapToGrid w:val="0"/>
              <w:jc w:val="center"/>
              <w:rPr>
                <w:sz w:val="24"/>
              </w:rPr>
            </w:pPr>
            <w:r>
              <w:rPr>
                <w:rFonts w:hint="eastAsia"/>
                <w:sz w:val="24"/>
              </w:rPr>
              <w:t>惠州市源意五金制品有限公司</w:t>
            </w:r>
            <w:r>
              <w:rPr>
                <w:sz w:val="24"/>
              </w:rPr>
              <w:t>建设项目</w:t>
            </w:r>
          </w:p>
        </w:tc>
      </w:tr>
      <w:tr w14:paraId="46074A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540" w:type="pct"/>
            <w:tcMar>
              <w:top w:w="16" w:type="dxa"/>
              <w:left w:w="16" w:type="dxa"/>
              <w:right w:w="16" w:type="dxa"/>
            </w:tcMar>
            <w:vAlign w:val="center"/>
          </w:tcPr>
          <w:p w14:paraId="303F69C4">
            <w:pPr>
              <w:adjustRightInd w:val="0"/>
              <w:snapToGrid w:val="0"/>
              <w:jc w:val="center"/>
              <w:rPr>
                <w:sz w:val="24"/>
              </w:rPr>
            </w:pPr>
            <w:r>
              <w:rPr>
                <w:sz w:val="24"/>
              </w:rPr>
              <w:t>项目代码</w:t>
            </w:r>
          </w:p>
        </w:tc>
        <w:tc>
          <w:tcPr>
            <w:tcW w:w="4459" w:type="pct"/>
            <w:gridSpan w:val="3"/>
            <w:vAlign w:val="center"/>
          </w:tcPr>
          <w:p w14:paraId="0BC9567A">
            <w:pPr>
              <w:adjustRightInd w:val="0"/>
              <w:snapToGrid w:val="0"/>
              <w:jc w:val="center"/>
              <w:rPr>
                <w:sz w:val="24"/>
              </w:rPr>
            </w:pPr>
            <w:r>
              <w:rPr>
                <w:sz w:val="24"/>
              </w:rPr>
              <w:t>2504-441322-04-01-262142</w:t>
            </w:r>
          </w:p>
        </w:tc>
      </w:tr>
      <w:tr w14:paraId="7F6D57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540" w:type="pct"/>
            <w:tcMar>
              <w:top w:w="16" w:type="dxa"/>
              <w:left w:w="16" w:type="dxa"/>
              <w:right w:w="16" w:type="dxa"/>
            </w:tcMar>
            <w:vAlign w:val="center"/>
          </w:tcPr>
          <w:p w14:paraId="20CABB8E">
            <w:pPr>
              <w:adjustRightInd w:val="0"/>
              <w:snapToGrid w:val="0"/>
              <w:jc w:val="center"/>
              <w:rPr>
                <w:sz w:val="24"/>
              </w:rPr>
            </w:pPr>
            <w:r>
              <w:rPr>
                <w:sz w:val="24"/>
              </w:rPr>
              <w:t>建设单位联系人</w:t>
            </w:r>
          </w:p>
        </w:tc>
        <w:tc>
          <w:tcPr>
            <w:tcW w:w="1721" w:type="pct"/>
            <w:vAlign w:val="center"/>
          </w:tcPr>
          <w:p w14:paraId="1C8A0557">
            <w:pPr>
              <w:adjustRightInd w:val="0"/>
              <w:snapToGrid w:val="0"/>
              <w:jc w:val="center"/>
              <w:rPr>
                <w:sz w:val="24"/>
              </w:rPr>
            </w:pPr>
            <w:r>
              <w:rPr>
                <w:rFonts w:hint="eastAsia"/>
                <w:sz w:val="24"/>
              </w:rPr>
              <w:t>刘文兵</w:t>
            </w:r>
          </w:p>
        </w:tc>
        <w:tc>
          <w:tcPr>
            <w:tcW w:w="1246" w:type="pct"/>
            <w:vAlign w:val="center"/>
          </w:tcPr>
          <w:p w14:paraId="75FB8A68">
            <w:pPr>
              <w:adjustRightInd w:val="0"/>
              <w:snapToGrid w:val="0"/>
              <w:jc w:val="center"/>
              <w:rPr>
                <w:sz w:val="24"/>
              </w:rPr>
            </w:pPr>
            <w:r>
              <w:rPr>
                <w:sz w:val="24"/>
              </w:rPr>
              <w:t>联系方式</w:t>
            </w:r>
          </w:p>
        </w:tc>
        <w:tc>
          <w:tcPr>
            <w:tcW w:w="1492" w:type="pct"/>
            <w:vAlign w:val="center"/>
          </w:tcPr>
          <w:p w14:paraId="4DF9B3A3">
            <w:pPr>
              <w:adjustRightInd w:val="0"/>
              <w:snapToGrid w:val="0"/>
              <w:jc w:val="center"/>
              <w:rPr>
                <w:sz w:val="24"/>
              </w:rPr>
            </w:pPr>
            <w:r>
              <w:rPr>
                <w:rFonts w:hint="eastAsia"/>
                <w:sz w:val="24"/>
              </w:rPr>
              <w:t>13922530270</w:t>
            </w:r>
          </w:p>
        </w:tc>
      </w:tr>
      <w:tr w14:paraId="62956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540" w:type="pct"/>
            <w:tcMar>
              <w:top w:w="16" w:type="dxa"/>
              <w:left w:w="16" w:type="dxa"/>
              <w:right w:w="16" w:type="dxa"/>
            </w:tcMar>
            <w:vAlign w:val="center"/>
          </w:tcPr>
          <w:p w14:paraId="20CDEFF3">
            <w:pPr>
              <w:adjustRightInd w:val="0"/>
              <w:snapToGrid w:val="0"/>
              <w:jc w:val="center"/>
              <w:rPr>
                <w:sz w:val="24"/>
              </w:rPr>
            </w:pPr>
            <w:r>
              <w:rPr>
                <w:sz w:val="24"/>
              </w:rPr>
              <w:t>建设地点</w:t>
            </w:r>
          </w:p>
        </w:tc>
        <w:tc>
          <w:tcPr>
            <w:tcW w:w="4459" w:type="pct"/>
            <w:gridSpan w:val="3"/>
            <w:vAlign w:val="center"/>
          </w:tcPr>
          <w:p w14:paraId="177AF1A8">
            <w:pPr>
              <w:adjustRightInd w:val="0"/>
              <w:snapToGrid w:val="0"/>
              <w:jc w:val="center"/>
              <w:rPr>
                <w:sz w:val="24"/>
              </w:rPr>
            </w:pPr>
            <w:r>
              <w:rPr>
                <w:rFonts w:hint="eastAsia"/>
                <w:sz w:val="24"/>
              </w:rPr>
              <w:t>广东省惠州市博罗县石湾镇黄西村宝居乐工业园A1栋4-7楼</w:t>
            </w:r>
          </w:p>
        </w:tc>
      </w:tr>
      <w:tr w14:paraId="22BA9B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540" w:type="pct"/>
            <w:tcMar>
              <w:top w:w="16" w:type="dxa"/>
              <w:left w:w="16" w:type="dxa"/>
              <w:right w:w="16" w:type="dxa"/>
            </w:tcMar>
            <w:vAlign w:val="center"/>
          </w:tcPr>
          <w:p w14:paraId="1966081A">
            <w:pPr>
              <w:adjustRightInd w:val="0"/>
              <w:snapToGrid w:val="0"/>
              <w:jc w:val="center"/>
              <w:rPr>
                <w:sz w:val="24"/>
              </w:rPr>
            </w:pPr>
            <w:r>
              <w:rPr>
                <w:sz w:val="24"/>
              </w:rPr>
              <w:t>地理坐标</w:t>
            </w:r>
          </w:p>
        </w:tc>
        <w:tc>
          <w:tcPr>
            <w:tcW w:w="4459" w:type="pct"/>
            <w:gridSpan w:val="3"/>
            <w:vAlign w:val="center"/>
          </w:tcPr>
          <w:p w14:paraId="7A5179CD">
            <w:pPr>
              <w:adjustRightInd w:val="0"/>
              <w:snapToGrid w:val="0"/>
              <w:jc w:val="center"/>
              <w:rPr>
                <w:sz w:val="24"/>
              </w:rPr>
            </w:pPr>
            <w:r>
              <w:rPr>
                <w:sz w:val="24"/>
              </w:rPr>
              <w:t>（</w:t>
            </w:r>
            <w:r>
              <w:rPr>
                <w:rFonts w:hint="eastAsia"/>
                <w:sz w:val="24"/>
              </w:rPr>
              <w:t>113</w:t>
            </w:r>
            <w:r>
              <w:rPr>
                <w:sz w:val="24"/>
              </w:rPr>
              <w:t>度</w:t>
            </w:r>
            <w:r>
              <w:rPr>
                <w:rFonts w:hint="eastAsia"/>
                <w:sz w:val="24"/>
              </w:rPr>
              <w:t>53</w:t>
            </w:r>
            <w:r>
              <w:rPr>
                <w:sz w:val="24"/>
              </w:rPr>
              <w:t>分</w:t>
            </w:r>
            <w:r>
              <w:rPr>
                <w:rFonts w:hint="eastAsia"/>
                <w:sz w:val="24"/>
              </w:rPr>
              <w:t>2.749</w:t>
            </w:r>
            <w:r>
              <w:rPr>
                <w:sz w:val="24"/>
              </w:rPr>
              <w:t>秒，</w:t>
            </w:r>
            <w:r>
              <w:rPr>
                <w:rFonts w:hint="eastAsia"/>
                <w:sz w:val="24"/>
              </w:rPr>
              <w:t>23</w:t>
            </w:r>
            <w:r>
              <w:rPr>
                <w:sz w:val="24"/>
              </w:rPr>
              <w:t>度</w:t>
            </w:r>
            <w:r>
              <w:rPr>
                <w:rFonts w:hint="eastAsia"/>
                <w:sz w:val="24"/>
              </w:rPr>
              <w:t>11</w:t>
            </w:r>
            <w:r>
              <w:rPr>
                <w:sz w:val="24"/>
              </w:rPr>
              <w:t>分</w:t>
            </w:r>
            <w:r>
              <w:rPr>
                <w:rFonts w:hint="eastAsia"/>
                <w:sz w:val="24"/>
              </w:rPr>
              <w:t>17.420</w:t>
            </w:r>
            <w:r>
              <w:rPr>
                <w:sz w:val="24"/>
              </w:rPr>
              <w:t>秒）</w:t>
            </w:r>
          </w:p>
        </w:tc>
      </w:tr>
      <w:tr w14:paraId="057F3E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540" w:type="pct"/>
            <w:tcMar>
              <w:top w:w="16" w:type="dxa"/>
              <w:left w:w="16" w:type="dxa"/>
              <w:right w:w="16" w:type="dxa"/>
            </w:tcMar>
            <w:vAlign w:val="center"/>
          </w:tcPr>
          <w:p w14:paraId="6BF3B6A1">
            <w:pPr>
              <w:adjustRightInd w:val="0"/>
              <w:snapToGrid w:val="0"/>
              <w:jc w:val="center"/>
              <w:rPr>
                <w:sz w:val="24"/>
              </w:rPr>
            </w:pPr>
            <w:r>
              <w:rPr>
                <w:sz w:val="24"/>
              </w:rPr>
              <w:t>国民经济</w:t>
            </w:r>
          </w:p>
          <w:p w14:paraId="7FB23CD0">
            <w:pPr>
              <w:adjustRightInd w:val="0"/>
              <w:snapToGrid w:val="0"/>
              <w:jc w:val="center"/>
              <w:rPr>
                <w:sz w:val="24"/>
              </w:rPr>
            </w:pPr>
            <w:r>
              <w:rPr>
                <w:sz w:val="24"/>
              </w:rPr>
              <w:t>行业类别</w:t>
            </w:r>
          </w:p>
        </w:tc>
        <w:tc>
          <w:tcPr>
            <w:tcW w:w="1721" w:type="pct"/>
            <w:vAlign w:val="center"/>
          </w:tcPr>
          <w:p w14:paraId="73D4015A">
            <w:pPr>
              <w:rPr>
                <w:sz w:val="24"/>
              </w:rPr>
            </w:pPr>
            <w:r>
              <w:rPr>
                <w:rFonts w:hint="eastAsia"/>
                <w:sz w:val="24"/>
              </w:rPr>
              <w:t>C3360金属表面处理及热处理加工</w:t>
            </w:r>
          </w:p>
          <w:p w14:paraId="2744DB66">
            <w:pPr>
              <w:rPr>
                <w:sz w:val="24"/>
              </w:rPr>
            </w:pPr>
            <w:r>
              <w:rPr>
                <w:rFonts w:hint="eastAsia"/>
                <w:sz w:val="24"/>
              </w:rPr>
              <w:t>C3761自行车制造</w:t>
            </w:r>
          </w:p>
          <w:p w14:paraId="17A19BB8">
            <w:pPr>
              <w:rPr>
                <w:sz w:val="24"/>
              </w:rPr>
            </w:pPr>
            <w:r>
              <w:rPr>
                <w:rFonts w:hint="eastAsia"/>
                <w:sz w:val="24"/>
              </w:rPr>
              <w:t>C3770助动车制造</w:t>
            </w:r>
          </w:p>
          <w:p w14:paraId="2DDF9625">
            <w:pPr>
              <w:rPr>
                <w:sz w:val="24"/>
              </w:rPr>
            </w:pPr>
            <w:r>
              <w:rPr>
                <w:rFonts w:hint="eastAsia"/>
                <w:sz w:val="24"/>
              </w:rPr>
              <w:t>C2130金属家具制造</w:t>
            </w:r>
          </w:p>
        </w:tc>
        <w:tc>
          <w:tcPr>
            <w:tcW w:w="1246" w:type="pct"/>
            <w:vAlign w:val="center"/>
          </w:tcPr>
          <w:p w14:paraId="758FDB09">
            <w:pPr>
              <w:adjustRightInd w:val="0"/>
              <w:snapToGrid w:val="0"/>
              <w:jc w:val="center"/>
              <w:rPr>
                <w:sz w:val="24"/>
              </w:rPr>
            </w:pPr>
            <w:bookmarkStart w:id="0" w:name="_Hlk49843745"/>
            <w:r>
              <w:rPr>
                <w:sz w:val="24"/>
              </w:rPr>
              <w:t>建设项目</w:t>
            </w:r>
          </w:p>
          <w:p w14:paraId="2AD2E10E">
            <w:pPr>
              <w:adjustRightInd w:val="0"/>
              <w:snapToGrid w:val="0"/>
              <w:jc w:val="center"/>
              <w:rPr>
                <w:sz w:val="24"/>
              </w:rPr>
            </w:pPr>
            <w:r>
              <w:rPr>
                <w:sz w:val="24"/>
              </w:rPr>
              <w:t>行业类别</w:t>
            </w:r>
            <w:bookmarkEnd w:id="0"/>
          </w:p>
        </w:tc>
        <w:tc>
          <w:tcPr>
            <w:tcW w:w="1492" w:type="pct"/>
            <w:vAlign w:val="center"/>
          </w:tcPr>
          <w:p w14:paraId="7710A86E">
            <w:pPr>
              <w:numPr>
                <w:ilvl w:val="0"/>
                <w:numId w:val="4"/>
              </w:numPr>
              <w:adjustRightInd w:val="0"/>
              <w:snapToGrid w:val="0"/>
              <w:jc w:val="left"/>
              <w:rPr>
                <w:sz w:val="24"/>
              </w:rPr>
            </w:pPr>
            <w:r>
              <w:rPr>
                <w:sz w:val="24"/>
              </w:rPr>
              <w:t>金属表面处理及热处理加工</w:t>
            </w:r>
          </w:p>
          <w:p w14:paraId="551A75B3">
            <w:pPr>
              <w:numPr>
                <w:ilvl w:val="0"/>
                <w:numId w:val="5"/>
              </w:numPr>
              <w:adjustRightInd w:val="0"/>
              <w:snapToGrid w:val="0"/>
              <w:jc w:val="left"/>
              <w:rPr>
                <w:sz w:val="24"/>
              </w:rPr>
            </w:pPr>
            <w:r>
              <w:rPr>
                <w:rFonts w:hint="eastAsia"/>
                <w:sz w:val="24"/>
              </w:rPr>
              <w:t>自行车和残疾人座车制造376；助动车制造377</w:t>
            </w:r>
          </w:p>
          <w:p w14:paraId="73224A09">
            <w:pPr>
              <w:adjustRightInd w:val="0"/>
              <w:snapToGrid w:val="0"/>
              <w:jc w:val="left"/>
              <w:rPr>
                <w:sz w:val="24"/>
              </w:rPr>
            </w:pPr>
            <w:r>
              <w:rPr>
                <w:rFonts w:hint="eastAsia"/>
                <w:sz w:val="24"/>
              </w:rPr>
              <w:t>36、金属家具制造213</w:t>
            </w:r>
          </w:p>
        </w:tc>
      </w:tr>
      <w:tr w14:paraId="55390B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40" w:type="pct"/>
            <w:tcMar>
              <w:top w:w="16" w:type="dxa"/>
              <w:left w:w="16" w:type="dxa"/>
              <w:right w:w="16" w:type="dxa"/>
            </w:tcMar>
            <w:vAlign w:val="center"/>
          </w:tcPr>
          <w:p w14:paraId="7D94FD37">
            <w:pPr>
              <w:adjustRightInd w:val="0"/>
              <w:snapToGrid w:val="0"/>
              <w:jc w:val="center"/>
              <w:rPr>
                <w:sz w:val="24"/>
              </w:rPr>
            </w:pPr>
            <w:r>
              <w:rPr>
                <w:sz w:val="24"/>
              </w:rPr>
              <w:t>建设性质</w:t>
            </w:r>
          </w:p>
        </w:tc>
        <w:tc>
          <w:tcPr>
            <w:tcW w:w="1721" w:type="pct"/>
            <w:vAlign w:val="center"/>
          </w:tcPr>
          <w:p w14:paraId="57C31CEB">
            <w:pPr>
              <w:jc w:val="left"/>
              <w:rPr>
                <w:sz w:val="24"/>
              </w:rPr>
            </w:pPr>
            <w:r>
              <w:rPr>
                <w:sz w:val="24"/>
              </w:rPr>
              <w:sym w:font="Wingdings 2" w:char="0052"/>
            </w:r>
            <w:r>
              <w:rPr>
                <w:sz w:val="24"/>
              </w:rPr>
              <w:t>新建（迁建）</w:t>
            </w:r>
          </w:p>
          <w:p w14:paraId="7339399C">
            <w:pPr>
              <w:jc w:val="left"/>
              <w:rPr>
                <w:sz w:val="24"/>
              </w:rPr>
            </w:pPr>
            <w:r>
              <w:rPr>
                <w:sz w:val="24"/>
              </w:rPr>
              <w:t>□改建</w:t>
            </w:r>
          </w:p>
          <w:p w14:paraId="7564187E">
            <w:pPr>
              <w:jc w:val="left"/>
              <w:rPr>
                <w:sz w:val="24"/>
              </w:rPr>
            </w:pPr>
            <w:r>
              <w:rPr>
                <w:sz w:val="24"/>
              </w:rPr>
              <w:t>□扩建</w:t>
            </w:r>
          </w:p>
          <w:p w14:paraId="1C0C9FAC">
            <w:pPr>
              <w:jc w:val="left"/>
              <w:rPr>
                <w:sz w:val="24"/>
              </w:rPr>
            </w:pPr>
            <w:r>
              <w:rPr>
                <w:sz w:val="24"/>
              </w:rPr>
              <w:t>□技术改造</w:t>
            </w:r>
          </w:p>
        </w:tc>
        <w:tc>
          <w:tcPr>
            <w:tcW w:w="1246" w:type="pct"/>
            <w:vAlign w:val="center"/>
          </w:tcPr>
          <w:p w14:paraId="2B5653BD">
            <w:pPr>
              <w:adjustRightInd w:val="0"/>
              <w:snapToGrid w:val="0"/>
              <w:jc w:val="center"/>
              <w:rPr>
                <w:sz w:val="24"/>
              </w:rPr>
            </w:pPr>
            <w:r>
              <w:rPr>
                <w:sz w:val="24"/>
              </w:rPr>
              <w:t>建设项目</w:t>
            </w:r>
          </w:p>
          <w:p w14:paraId="29D753BA">
            <w:pPr>
              <w:adjustRightInd w:val="0"/>
              <w:snapToGrid w:val="0"/>
              <w:jc w:val="center"/>
              <w:rPr>
                <w:sz w:val="24"/>
              </w:rPr>
            </w:pPr>
            <w:r>
              <w:rPr>
                <w:sz w:val="24"/>
              </w:rPr>
              <w:t>申报情形</w:t>
            </w:r>
          </w:p>
        </w:tc>
        <w:tc>
          <w:tcPr>
            <w:tcW w:w="1492" w:type="pct"/>
            <w:vAlign w:val="center"/>
          </w:tcPr>
          <w:p w14:paraId="44B3C6C9">
            <w:pPr>
              <w:jc w:val="left"/>
              <w:rPr>
                <w:sz w:val="24"/>
              </w:rPr>
            </w:pPr>
            <w:r>
              <w:rPr>
                <w:sz w:val="24"/>
              </w:rPr>
              <w:sym w:font="Wingdings 2" w:char="0052"/>
            </w:r>
            <w:r>
              <w:rPr>
                <w:sz w:val="24"/>
              </w:rPr>
              <w:t>首次申报项目</w:t>
            </w:r>
          </w:p>
          <w:p w14:paraId="3FDDDA0C">
            <w:pPr>
              <w:jc w:val="left"/>
              <w:rPr>
                <w:sz w:val="24"/>
              </w:rPr>
            </w:pPr>
            <w:r>
              <w:rPr>
                <w:sz w:val="24"/>
              </w:rPr>
              <w:t>□不予批准后再次申报项目</w:t>
            </w:r>
          </w:p>
          <w:p w14:paraId="3D02CDB5">
            <w:pPr>
              <w:jc w:val="left"/>
              <w:rPr>
                <w:sz w:val="24"/>
              </w:rPr>
            </w:pPr>
            <w:r>
              <w:rPr>
                <w:sz w:val="24"/>
              </w:rPr>
              <w:t>□超五年重新审核项目</w:t>
            </w:r>
          </w:p>
          <w:p w14:paraId="2F9A804E">
            <w:pPr>
              <w:jc w:val="left"/>
              <w:rPr>
                <w:sz w:val="24"/>
              </w:rPr>
            </w:pPr>
            <w:r>
              <w:rPr>
                <w:sz w:val="24"/>
              </w:rPr>
              <w:t>□重大变动重新报批项目</w:t>
            </w:r>
          </w:p>
        </w:tc>
      </w:tr>
      <w:tr w14:paraId="581D5B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540" w:type="pct"/>
            <w:tcMar>
              <w:top w:w="16" w:type="dxa"/>
              <w:left w:w="16" w:type="dxa"/>
              <w:right w:w="16" w:type="dxa"/>
            </w:tcMar>
            <w:vAlign w:val="center"/>
          </w:tcPr>
          <w:p w14:paraId="08707036">
            <w:pPr>
              <w:adjustRightInd w:val="0"/>
              <w:snapToGrid w:val="0"/>
              <w:jc w:val="center"/>
              <w:rPr>
                <w:sz w:val="24"/>
              </w:rPr>
            </w:pPr>
            <w:r>
              <w:rPr>
                <w:sz w:val="24"/>
              </w:rPr>
              <w:t>项目审批（核准/</w:t>
            </w:r>
          </w:p>
          <w:p w14:paraId="5C8D8DAC">
            <w:pPr>
              <w:adjustRightInd w:val="0"/>
              <w:snapToGrid w:val="0"/>
              <w:jc w:val="center"/>
              <w:rPr>
                <w:sz w:val="24"/>
              </w:rPr>
            </w:pPr>
            <w:r>
              <w:rPr>
                <w:sz w:val="24"/>
              </w:rPr>
              <w:t>备案）部门（选填）</w:t>
            </w:r>
          </w:p>
        </w:tc>
        <w:tc>
          <w:tcPr>
            <w:tcW w:w="1721" w:type="pct"/>
            <w:vAlign w:val="center"/>
          </w:tcPr>
          <w:p w14:paraId="3D80F951">
            <w:pPr>
              <w:adjustRightInd w:val="0"/>
              <w:snapToGrid w:val="0"/>
              <w:jc w:val="center"/>
              <w:rPr>
                <w:sz w:val="24"/>
              </w:rPr>
            </w:pPr>
            <w:r>
              <w:rPr>
                <w:sz w:val="24"/>
              </w:rPr>
              <w:t>/</w:t>
            </w:r>
          </w:p>
        </w:tc>
        <w:tc>
          <w:tcPr>
            <w:tcW w:w="1246" w:type="pct"/>
            <w:vAlign w:val="center"/>
          </w:tcPr>
          <w:p w14:paraId="17E97F9B">
            <w:pPr>
              <w:adjustRightInd w:val="0"/>
              <w:snapToGrid w:val="0"/>
              <w:jc w:val="center"/>
              <w:rPr>
                <w:sz w:val="24"/>
              </w:rPr>
            </w:pPr>
            <w:r>
              <w:rPr>
                <w:sz w:val="24"/>
              </w:rPr>
              <w:t>项目审批（核准/</w:t>
            </w:r>
          </w:p>
          <w:p w14:paraId="73D1155A">
            <w:pPr>
              <w:adjustRightInd w:val="0"/>
              <w:snapToGrid w:val="0"/>
              <w:jc w:val="center"/>
              <w:rPr>
                <w:sz w:val="24"/>
              </w:rPr>
            </w:pPr>
            <w:r>
              <w:rPr>
                <w:sz w:val="24"/>
              </w:rPr>
              <w:t>备案）文号（选填）</w:t>
            </w:r>
          </w:p>
        </w:tc>
        <w:tc>
          <w:tcPr>
            <w:tcW w:w="1492" w:type="pct"/>
            <w:vAlign w:val="center"/>
          </w:tcPr>
          <w:p w14:paraId="372D18CE">
            <w:pPr>
              <w:adjustRightInd w:val="0"/>
              <w:snapToGrid w:val="0"/>
              <w:jc w:val="center"/>
              <w:rPr>
                <w:sz w:val="24"/>
              </w:rPr>
            </w:pPr>
            <w:r>
              <w:rPr>
                <w:sz w:val="24"/>
              </w:rPr>
              <w:t>/</w:t>
            </w:r>
          </w:p>
        </w:tc>
      </w:tr>
      <w:tr w14:paraId="0D2D76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540" w:type="pct"/>
            <w:tcMar>
              <w:top w:w="16" w:type="dxa"/>
              <w:left w:w="16" w:type="dxa"/>
              <w:right w:w="16" w:type="dxa"/>
            </w:tcMar>
            <w:vAlign w:val="center"/>
          </w:tcPr>
          <w:p w14:paraId="793C93C3">
            <w:pPr>
              <w:adjustRightInd w:val="0"/>
              <w:snapToGrid w:val="0"/>
              <w:jc w:val="center"/>
              <w:rPr>
                <w:sz w:val="24"/>
              </w:rPr>
            </w:pPr>
            <w:r>
              <w:rPr>
                <w:sz w:val="24"/>
              </w:rPr>
              <w:t>总投资（万元）</w:t>
            </w:r>
          </w:p>
        </w:tc>
        <w:tc>
          <w:tcPr>
            <w:tcW w:w="1721" w:type="pct"/>
            <w:vAlign w:val="center"/>
          </w:tcPr>
          <w:p w14:paraId="23FD9D32">
            <w:pPr>
              <w:adjustRightInd w:val="0"/>
              <w:snapToGrid w:val="0"/>
              <w:jc w:val="center"/>
              <w:rPr>
                <w:sz w:val="24"/>
              </w:rPr>
            </w:pPr>
            <w:r>
              <w:rPr>
                <w:rFonts w:hint="eastAsia"/>
                <w:sz w:val="24"/>
              </w:rPr>
              <w:t>3500</w:t>
            </w:r>
          </w:p>
        </w:tc>
        <w:tc>
          <w:tcPr>
            <w:tcW w:w="1246" w:type="pct"/>
            <w:tcMar>
              <w:top w:w="16" w:type="dxa"/>
              <w:left w:w="16" w:type="dxa"/>
              <w:right w:w="16" w:type="dxa"/>
            </w:tcMar>
            <w:vAlign w:val="center"/>
          </w:tcPr>
          <w:p w14:paraId="53845CA8">
            <w:pPr>
              <w:adjustRightInd w:val="0"/>
              <w:snapToGrid w:val="0"/>
              <w:jc w:val="center"/>
              <w:rPr>
                <w:sz w:val="24"/>
              </w:rPr>
            </w:pPr>
            <w:r>
              <w:rPr>
                <w:sz w:val="24"/>
              </w:rPr>
              <w:t>环保投资（万元）</w:t>
            </w:r>
          </w:p>
        </w:tc>
        <w:tc>
          <w:tcPr>
            <w:tcW w:w="1492" w:type="pct"/>
            <w:vAlign w:val="center"/>
          </w:tcPr>
          <w:p w14:paraId="17E37C8A">
            <w:pPr>
              <w:adjustRightInd w:val="0"/>
              <w:snapToGrid w:val="0"/>
              <w:jc w:val="center"/>
              <w:rPr>
                <w:sz w:val="24"/>
              </w:rPr>
            </w:pPr>
            <w:r>
              <w:rPr>
                <w:rFonts w:hint="eastAsia"/>
                <w:sz w:val="24"/>
              </w:rPr>
              <w:t>200</w:t>
            </w:r>
          </w:p>
        </w:tc>
      </w:tr>
      <w:tr w14:paraId="35AE43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540" w:type="pct"/>
            <w:tcMar>
              <w:top w:w="16" w:type="dxa"/>
              <w:left w:w="16" w:type="dxa"/>
              <w:right w:w="16" w:type="dxa"/>
            </w:tcMar>
            <w:vAlign w:val="center"/>
          </w:tcPr>
          <w:p w14:paraId="2414BCDC">
            <w:pPr>
              <w:adjustRightInd w:val="0"/>
              <w:snapToGrid w:val="0"/>
              <w:jc w:val="center"/>
              <w:rPr>
                <w:sz w:val="24"/>
              </w:rPr>
            </w:pPr>
            <w:r>
              <w:rPr>
                <w:sz w:val="24"/>
              </w:rPr>
              <w:t>环保投资占比（%）</w:t>
            </w:r>
          </w:p>
        </w:tc>
        <w:tc>
          <w:tcPr>
            <w:tcW w:w="1721" w:type="pct"/>
            <w:vAlign w:val="center"/>
          </w:tcPr>
          <w:p w14:paraId="4A9E1C1D">
            <w:pPr>
              <w:adjustRightInd w:val="0"/>
              <w:snapToGrid w:val="0"/>
              <w:jc w:val="center"/>
              <w:rPr>
                <w:sz w:val="24"/>
              </w:rPr>
            </w:pPr>
            <w:r>
              <w:rPr>
                <w:rFonts w:hint="eastAsia"/>
                <w:sz w:val="24"/>
              </w:rPr>
              <w:t>5.71</w:t>
            </w:r>
          </w:p>
        </w:tc>
        <w:tc>
          <w:tcPr>
            <w:tcW w:w="1246" w:type="pct"/>
            <w:tcMar>
              <w:top w:w="16" w:type="dxa"/>
              <w:left w:w="16" w:type="dxa"/>
              <w:right w:w="16" w:type="dxa"/>
            </w:tcMar>
            <w:vAlign w:val="center"/>
          </w:tcPr>
          <w:p w14:paraId="2EA9565C">
            <w:pPr>
              <w:adjustRightInd w:val="0"/>
              <w:snapToGrid w:val="0"/>
              <w:jc w:val="center"/>
              <w:rPr>
                <w:sz w:val="24"/>
              </w:rPr>
            </w:pPr>
            <w:r>
              <w:rPr>
                <w:sz w:val="24"/>
              </w:rPr>
              <w:t>施工工期</w:t>
            </w:r>
          </w:p>
        </w:tc>
        <w:tc>
          <w:tcPr>
            <w:tcW w:w="1492" w:type="pct"/>
            <w:vAlign w:val="center"/>
          </w:tcPr>
          <w:p w14:paraId="3162C863">
            <w:pPr>
              <w:adjustRightInd w:val="0"/>
              <w:snapToGrid w:val="0"/>
              <w:jc w:val="center"/>
              <w:rPr>
                <w:sz w:val="24"/>
              </w:rPr>
            </w:pPr>
            <w:r>
              <w:rPr>
                <w:sz w:val="24"/>
              </w:rPr>
              <w:t>0</w:t>
            </w:r>
          </w:p>
        </w:tc>
      </w:tr>
      <w:tr w14:paraId="401ED2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540" w:type="pct"/>
            <w:tcMar>
              <w:top w:w="16" w:type="dxa"/>
              <w:left w:w="16" w:type="dxa"/>
              <w:right w:w="16" w:type="dxa"/>
            </w:tcMar>
            <w:vAlign w:val="center"/>
          </w:tcPr>
          <w:p w14:paraId="79718DC7">
            <w:pPr>
              <w:adjustRightInd w:val="0"/>
              <w:snapToGrid w:val="0"/>
              <w:jc w:val="center"/>
              <w:rPr>
                <w:sz w:val="24"/>
              </w:rPr>
            </w:pPr>
            <w:r>
              <w:rPr>
                <w:sz w:val="24"/>
              </w:rPr>
              <w:t>是否开工建设</w:t>
            </w:r>
          </w:p>
        </w:tc>
        <w:tc>
          <w:tcPr>
            <w:tcW w:w="1721" w:type="pct"/>
            <w:vAlign w:val="center"/>
          </w:tcPr>
          <w:p w14:paraId="1458F698">
            <w:pPr>
              <w:adjustRightInd w:val="0"/>
              <w:snapToGrid w:val="0"/>
              <w:rPr>
                <w:sz w:val="24"/>
              </w:rPr>
            </w:pPr>
            <w:r>
              <w:rPr>
                <w:sz w:val="24"/>
              </w:rPr>
              <w:sym w:font="Wingdings 2" w:char="0052"/>
            </w:r>
            <w:r>
              <w:rPr>
                <w:sz w:val="24"/>
              </w:rPr>
              <w:t>否</w:t>
            </w:r>
          </w:p>
          <w:p w14:paraId="33F8DCE4">
            <w:pPr>
              <w:adjustRightInd w:val="0"/>
              <w:snapToGrid w:val="0"/>
              <w:rPr>
                <w:sz w:val="24"/>
              </w:rPr>
            </w:pPr>
            <w:r>
              <w:rPr>
                <w:sz w:val="24"/>
              </w:rPr>
              <w:sym w:font="Wingdings 2" w:char="00A3"/>
            </w:r>
            <w:r>
              <w:rPr>
                <w:sz w:val="24"/>
              </w:rPr>
              <w:t>是：</w:t>
            </w:r>
          </w:p>
        </w:tc>
        <w:tc>
          <w:tcPr>
            <w:tcW w:w="1246" w:type="pct"/>
            <w:tcMar>
              <w:top w:w="16" w:type="dxa"/>
              <w:left w:w="16" w:type="dxa"/>
              <w:right w:w="16" w:type="dxa"/>
            </w:tcMar>
            <w:vAlign w:val="center"/>
          </w:tcPr>
          <w:p w14:paraId="6D3EEF17">
            <w:pPr>
              <w:adjustRightInd w:val="0"/>
              <w:snapToGrid w:val="0"/>
              <w:jc w:val="center"/>
              <w:rPr>
                <w:spacing w:val="-6"/>
                <w:sz w:val="24"/>
              </w:rPr>
            </w:pPr>
            <w:r>
              <w:rPr>
                <w:spacing w:val="-6"/>
                <w:sz w:val="24"/>
              </w:rPr>
              <w:t>用地（用海）</w:t>
            </w:r>
          </w:p>
          <w:p w14:paraId="22674483">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1492" w:type="pct"/>
            <w:vAlign w:val="center"/>
          </w:tcPr>
          <w:p w14:paraId="6EBC1281">
            <w:pPr>
              <w:adjustRightInd w:val="0"/>
              <w:snapToGrid w:val="0"/>
              <w:jc w:val="center"/>
              <w:rPr>
                <w:sz w:val="24"/>
              </w:rPr>
            </w:pPr>
            <w:r>
              <w:rPr>
                <w:rFonts w:hint="eastAsia"/>
                <w:sz w:val="24"/>
              </w:rPr>
              <w:t>3900</w:t>
            </w:r>
          </w:p>
        </w:tc>
      </w:tr>
      <w:tr w14:paraId="62969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40" w:type="pct"/>
            <w:vAlign w:val="center"/>
          </w:tcPr>
          <w:p w14:paraId="79805671">
            <w:pPr>
              <w:autoSpaceDE w:val="0"/>
              <w:autoSpaceDN w:val="0"/>
              <w:adjustRightInd w:val="0"/>
              <w:snapToGrid w:val="0"/>
              <w:jc w:val="center"/>
              <w:rPr>
                <w:kern w:val="0"/>
                <w:sz w:val="24"/>
              </w:rPr>
            </w:pPr>
            <w:r>
              <w:rPr>
                <w:kern w:val="0"/>
                <w:sz w:val="24"/>
              </w:rPr>
              <w:t>专项评价设置情况</w:t>
            </w:r>
          </w:p>
        </w:tc>
        <w:tc>
          <w:tcPr>
            <w:tcW w:w="4459" w:type="pct"/>
            <w:gridSpan w:val="3"/>
            <w:vAlign w:val="center"/>
          </w:tcPr>
          <w:p w14:paraId="4B812A7B">
            <w:pPr>
              <w:autoSpaceDE w:val="0"/>
              <w:autoSpaceDN w:val="0"/>
              <w:adjustRightInd w:val="0"/>
              <w:snapToGrid w:val="0"/>
              <w:jc w:val="left"/>
              <w:rPr>
                <w:kern w:val="0"/>
                <w:sz w:val="24"/>
              </w:rPr>
            </w:pPr>
            <w:r>
              <w:rPr>
                <w:kern w:val="0"/>
                <w:sz w:val="24"/>
              </w:rPr>
              <w:t>项目无需设置专项评价，具体见表1-1。</w:t>
            </w:r>
          </w:p>
          <w:p w14:paraId="35478D39">
            <w:pPr>
              <w:autoSpaceDE w:val="0"/>
              <w:autoSpaceDN w:val="0"/>
              <w:adjustRightInd w:val="0"/>
              <w:snapToGrid w:val="0"/>
              <w:jc w:val="center"/>
              <w:rPr>
                <w:b/>
                <w:kern w:val="0"/>
                <w:szCs w:val="21"/>
              </w:rPr>
            </w:pPr>
            <w:r>
              <w:rPr>
                <w:b/>
                <w:kern w:val="0"/>
                <w:szCs w:val="21"/>
              </w:rPr>
              <w:t>表1-1  专项评价设置情况</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2753"/>
              <w:gridCol w:w="3036"/>
              <w:gridCol w:w="1542"/>
            </w:tblGrid>
            <w:tr w14:paraId="15C70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vAlign w:val="center"/>
                </w:tcPr>
                <w:p w14:paraId="150183B3">
                  <w:pPr>
                    <w:autoSpaceDE w:val="0"/>
                    <w:autoSpaceDN w:val="0"/>
                    <w:adjustRightInd w:val="0"/>
                    <w:snapToGrid w:val="0"/>
                    <w:jc w:val="center"/>
                    <w:rPr>
                      <w:b/>
                      <w:bCs/>
                      <w:kern w:val="0"/>
                      <w:szCs w:val="21"/>
                    </w:rPr>
                  </w:pPr>
                  <w:r>
                    <w:rPr>
                      <w:b/>
                      <w:bCs/>
                      <w:kern w:val="0"/>
                      <w:szCs w:val="21"/>
                    </w:rPr>
                    <w:t>专项评价类别</w:t>
                  </w:r>
                </w:p>
              </w:tc>
              <w:tc>
                <w:tcPr>
                  <w:tcW w:w="1630" w:type="pct"/>
                  <w:vAlign w:val="center"/>
                </w:tcPr>
                <w:p w14:paraId="76262225">
                  <w:pPr>
                    <w:autoSpaceDE w:val="0"/>
                    <w:autoSpaceDN w:val="0"/>
                    <w:adjustRightInd w:val="0"/>
                    <w:snapToGrid w:val="0"/>
                    <w:jc w:val="center"/>
                    <w:rPr>
                      <w:b/>
                      <w:bCs/>
                      <w:kern w:val="0"/>
                      <w:szCs w:val="21"/>
                    </w:rPr>
                  </w:pPr>
                  <w:r>
                    <w:rPr>
                      <w:b/>
                      <w:bCs/>
                      <w:kern w:val="0"/>
                      <w:szCs w:val="21"/>
                    </w:rPr>
                    <w:t>设置原则</w:t>
                  </w:r>
                </w:p>
              </w:tc>
              <w:tc>
                <w:tcPr>
                  <w:tcW w:w="1798" w:type="pct"/>
                  <w:vAlign w:val="center"/>
                </w:tcPr>
                <w:p w14:paraId="2FF8E785">
                  <w:pPr>
                    <w:autoSpaceDE w:val="0"/>
                    <w:autoSpaceDN w:val="0"/>
                    <w:adjustRightInd w:val="0"/>
                    <w:snapToGrid w:val="0"/>
                    <w:jc w:val="center"/>
                    <w:rPr>
                      <w:b/>
                      <w:bCs/>
                      <w:kern w:val="0"/>
                      <w:szCs w:val="21"/>
                    </w:rPr>
                  </w:pPr>
                  <w:r>
                    <w:rPr>
                      <w:b/>
                      <w:bCs/>
                      <w:kern w:val="0"/>
                      <w:szCs w:val="21"/>
                    </w:rPr>
                    <w:t>项目情况</w:t>
                  </w:r>
                </w:p>
              </w:tc>
              <w:tc>
                <w:tcPr>
                  <w:tcW w:w="913" w:type="pct"/>
                  <w:vAlign w:val="center"/>
                </w:tcPr>
                <w:p w14:paraId="7AD69960">
                  <w:pPr>
                    <w:autoSpaceDE w:val="0"/>
                    <w:autoSpaceDN w:val="0"/>
                    <w:adjustRightInd w:val="0"/>
                    <w:snapToGrid w:val="0"/>
                    <w:jc w:val="center"/>
                    <w:rPr>
                      <w:b/>
                      <w:bCs/>
                      <w:kern w:val="0"/>
                      <w:szCs w:val="21"/>
                    </w:rPr>
                  </w:pPr>
                  <w:r>
                    <w:rPr>
                      <w:b/>
                      <w:bCs/>
                      <w:kern w:val="0"/>
                      <w:szCs w:val="21"/>
                    </w:rPr>
                    <w:t>是否设置专项</w:t>
                  </w:r>
                </w:p>
              </w:tc>
            </w:tr>
            <w:tr w14:paraId="39828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vAlign w:val="center"/>
                </w:tcPr>
                <w:p w14:paraId="0EE5750C">
                  <w:pPr>
                    <w:autoSpaceDE w:val="0"/>
                    <w:autoSpaceDN w:val="0"/>
                    <w:adjustRightInd w:val="0"/>
                    <w:snapToGrid w:val="0"/>
                    <w:jc w:val="center"/>
                    <w:rPr>
                      <w:kern w:val="0"/>
                      <w:szCs w:val="21"/>
                    </w:rPr>
                  </w:pPr>
                  <w:r>
                    <w:rPr>
                      <w:kern w:val="0"/>
                      <w:szCs w:val="21"/>
                    </w:rPr>
                    <w:t>大气</w:t>
                  </w:r>
                </w:p>
              </w:tc>
              <w:tc>
                <w:tcPr>
                  <w:tcW w:w="1630" w:type="pct"/>
                  <w:vAlign w:val="center"/>
                </w:tcPr>
                <w:p w14:paraId="13C7F560">
                  <w:pPr>
                    <w:autoSpaceDE w:val="0"/>
                    <w:autoSpaceDN w:val="0"/>
                    <w:adjustRightInd w:val="0"/>
                    <w:snapToGrid w:val="0"/>
                    <w:jc w:val="center"/>
                    <w:rPr>
                      <w:kern w:val="0"/>
                      <w:szCs w:val="21"/>
                    </w:rPr>
                  </w:pPr>
                  <w:r>
                    <w:rPr>
                      <w:kern w:val="0"/>
                      <w:szCs w:val="21"/>
                    </w:rPr>
                    <w:t>排放废气含有毒有害污染物、二噁英、苯并芘、氰化物、氯气且厂界外500米范围内有环境空气保护目标的建设项目</w:t>
                  </w:r>
                </w:p>
              </w:tc>
              <w:tc>
                <w:tcPr>
                  <w:tcW w:w="1798" w:type="pct"/>
                  <w:vAlign w:val="center"/>
                </w:tcPr>
                <w:p w14:paraId="791D1733">
                  <w:pPr>
                    <w:autoSpaceDE w:val="0"/>
                    <w:autoSpaceDN w:val="0"/>
                    <w:adjustRightInd w:val="0"/>
                    <w:snapToGrid w:val="0"/>
                    <w:jc w:val="left"/>
                    <w:rPr>
                      <w:kern w:val="0"/>
                      <w:szCs w:val="21"/>
                    </w:rPr>
                  </w:pPr>
                  <w:r>
                    <w:rPr>
                      <w:kern w:val="0"/>
                      <w:szCs w:val="21"/>
                    </w:rPr>
                    <w:t>项目废气污染物主要为颗粒物、</w:t>
                  </w:r>
                  <w:r>
                    <w:rPr>
                      <w:rFonts w:hint="eastAsia"/>
                      <w:kern w:val="0"/>
                      <w:szCs w:val="21"/>
                    </w:rPr>
                    <w:t>TVOC</w:t>
                  </w:r>
                  <w:r>
                    <w:rPr>
                      <w:kern w:val="0"/>
                      <w:szCs w:val="21"/>
                    </w:rPr>
                    <w:t>、二氧化硫、氮氧化物、硫酸雾，不含有毒有害污染物、二噁英、苯并芘、氰化物、氯气等物质。</w:t>
                  </w:r>
                </w:p>
              </w:tc>
              <w:tc>
                <w:tcPr>
                  <w:tcW w:w="913" w:type="pct"/>
                  <w:vAlign w:val="center"/>
                </w:tcPr>
                <w:p w14:paraId="6C0FE9A0">
                  <w:pPr>
                    <w:autoSpaceDE w:val="0"/>
                    <w:autoSpaceDN w:val="0"/>
                    <w:adjustRightInd w:val="0"/>
                    <w:snapToGrid w:val="0"/>
                    <w:jc w:val="center"/>
                    <w:rPr>
                      <w:kern w:val="0"/>
                      <w:szCs w:val="21"/>
                    </w:rPr>
                  </w:pPr>
                  <w:r>
                    <w:rPr>
                      <w:kern w:val="0"/>
                      <w:szCs w:val="21"/>
                    </w:rPr>
                    <w:t>不设置</w:t>
                  </w:r>
                </w:p>
              </w:tc>
            </w:tr>
            <w:tr w14:paraId="4B095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vAlign w:val="center"/>
                </w:tcPr>
                <w:p w14:paraId="5E926007">
                  <w:pPr>
                    <w:autoSpaceDE w:val="0"/>
                    <w:autoSpaceDN w:val="0"/>
                    <w:adjustRightInd w:val="0"/>
                    <w:snapToGrid w:val="0"/>
                    <w:jc w:val="center"/>
                    <w:rPr>
                      <w:kern w:val="0"/>
                      <w:szCs w:val="21"/>
                    </w:rPr>
                  </w:pPr>
                  <w:r>
                    <w:rPr>
                      <w:kern w:val="0"/>
                      <w:szCs w:val="21"/>
                    </w:rPr>
                    <w:t>地表水</w:t>
                  </w:r>
                </w:p>
              </w:tc>
              <w:tc>
                <w:tcPr>
                  <w:tcW w:w="1630" w:type="pct"/>
                  <w:vAlign w:val="center"/>
                </w:tcPr>
                <w:p w14:paraId="307AC64F">
                  <w:pPr>
                    <w:autoSpaceDE w:val="0"/>
                    <w:autoSpaceDN w:val="0"/>
                    <w:adjustRightInd w:val="0"/>
                    <w:snapToGrid w:val="0"/>
                    <w:jc w:val="center"/>
                    <w:rPr>
                      <w:kern w:val="0"/>
                      <w:szCs w:val="21"/>
                    </w:rPr>
                  </w:pPr>
                  <w:r>
                    <w:rPr>
                      <w:kern w:val="0"/>
                      <w:szCs w:val="21"/>
                    </w:rPr>
                    <w:t>新增工业废水直接排放建设项目（槽罐车外送至污水处理厂的除外）；新增废水直排的污水集中处理厂</w:t>
                  </w:r>
                </w:p>
              </w:tc>
              <w:tc>
                <w:tcPr>
                  <w:tcW w:w="1798" w:type="pct"/>
                  <w:vAlign w:val="center"/>
                </w:tcPr>
                <w:p w14:paraId="71168F66">
                  <w:pPr>
                    <w:autoSpaceDE w:val="0"/>
                    <w:autoSpaceDN w:val="0"/>
                    <w:adjustRightInd w:val="0"/>
                    <w:snapToGrid w:val="0"/>
                    <w:jc w:val="left"/>
                    <w:rPr>
                      <w:kern w:val="0"/>
                      <w:szCs w:val="21"/>
                    </w:rPr>
                  </w:pPr>
                  <w:r>
                    <w:rPr>
                      <w:kern w:val="0"/>
                      <w:szCs w:val="21"/>
                    </w:rPr>
                    <w:t>项目工业废水为</w:t>
                  </w:r>
                  <w:r>
                    <w:rPr>
                      <w:rFonts w:hint="eastAsia"/>
                      <w:kern w:val="0"/>
                      <w:szCs w:val="21"/>
                    </w:rPr>
                    <w:t>废槽液、清洗</w:t>
                  </w:r>
                  <w:r>
                    <w:rPr>
                      <w:kern w:val="0"/>
                      <w:szCs w:val="21"/>
                    </w:rPr>
                    <w:t>废水、喷淋</w:t>
                  </w:r>
                  <w:r>
                    <w:rPr>
                      <w:rFonts w:hint="eastAsia"/>
                      <w:kern w:val="0"/>
                      <w:szCs w:val="21"/>
                    </w:rPr>
                    <w:t>塔</w:t>
                  </w:r>
                  <w:r>
                    <w:rPr>
                      <w:kern w:val="0"/>
                      <w:szCs w:val="21"/>
                    </w:rPr>
                    <w:t>废水</w:t>
                  </w:r>
                  <w:r>
                    <w:rPr>
                      <w:rFonts w:hint="eastAsia"/>
                      <w:kern w:val="0"/>
                      <w:szCs w:val="21"/>
                    </w:rPr>
                    <w:t>、喷淋柜废水、反冲洗废水</w:t>
                  </w:r>
                  <w:r>
                    <w:rPr>
                      <w:kern w:val="0"/>
                      <w:szCs w:val="21"/>
                    </w:rPr>
                    <w:t>等，分类收集经自建废水处理设施处理后回用，不外排；生活污水经三级化粪池预处理后通过</w:t>
                  </w:r>
                  <w:r>
                    <w:rPr>
                      <w:rFonts w:hint="eastAsia"/>
                      <w:kern w:val="0"/>
                      <w:szCs w:val="21"/>
                    </w:rPr>
                    <w:t>石湾镇西基生活污水厂</w:t>
                  </w:r>
                  <w:r>
                    <w:rPr>
                      <w:kern w:val="0"/>
                      <w:szCs w:val="21"/>
                    </w:rPr>
                    <w:t>处理。</w:t>
                  </w:r>
                </w:p>
              </w:tc>
              <w:tc>
                <w:tcPr>
                  <w:tcW w:w="913" w:type="pct"/>
                  <w:vAlign w:val="center"/>
                </w:tcPr>
                <w:p w14:paraId="09883FEF">
                  <w:pPr>
                    <w:autoSpaceDE w:val="0"/>
                    <w:autoSpaceDN w:val="0"/>
                    <w:adjustRightInd w:val="0"/>
                    <w:snapToGrid w:val="0"/>
                    <w:jc w:val="center"/>
                    <w:rPr>
                      <w:kern w:val="0"/>
                      <w:szCs w:val="21"/>
                    </w:rPr>
                  </w:pPr>
                  <w:r>
                    <w:rPr>
                      <w:kern w:val="0"/>
                      <w:szCs w:val="21"/>
                    </w:rPr>
                    <w:t>不设置</w:t>
                  </w:r>
                </w:p>
              </w:tc>
            </w:tr>
            <w:tr w14:paraId="4059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vAlign w:val="center"/>
                </w:tcPr>
                <w:p w14:paraId="4100DB56">
                  <w:pPr>
                    <w:autoSpaceDE w:val="0"/>
                    <w:autoSpaceDN w:val="0"/>
                    <w:adjustRightInd w:val="0"/>
                    <w:snapToGrid w:val="0"/>
                    <w:jc w:val="center"/>
                    <w:rPr>
                      <w:kern w:val="0"/>
                      <w:szCs w:val="21"/>
                    </w:rPr>
                  </w:pPr>
                  <w:r>
                    <w:rPr>
                      <w:kern w:val="0"/>
                      <w:szCs w:val="21"/>
                    </w:rPr>
                    <w:t>环境风险</w:t>
                  </w:r>
                </w:p>
              </w:tc>
              <w:tc>
                <w:tcPr>
                  <w:tcW w:w="1630" w:type="pct"/>
                  <w:vAlign w:val="center"/>
                </w:tcPr>
                <w:p w14:paraId="58EB52D3">
                  <w:pPr>
                    <w:autoSpaceDE w:val="0"/>
                    <w:autoSpaceDN w:val="0"/>
                    <w:adjustRightInd w:val="0"/>
                    <w:snapToGrid w:val="0"/>
                    <w:jc w:val="center"/>
                    <w:rPr>
                      <w:kern w:val="0"/>
                      <w:szCs w:val="21"/>
                    </w:rPr>
                  </w:pPr>
                  <w:r>
                    <w:rPr>
                      <w:kern w:val="0"/>
                      <w:szCs w:val="21"/>
                    </w:rPr>
                    <w:t>有毒有害和易燃易爆危险物质储存量超过临界量的建设项目</w:t>
                  </w:r>
                </w:p>
              </w:tc>
              <w:tc>
                <w:tcPr>
                  <w:tcW w:w="1798" w:type="pct"/>
                  <w:vAlign w:val="center"/>
                </w:tcPr>
                <w:p w14:paraId="56D547A9">
                  <w:pPr>
                    <w:autoSpaceDE w:val="0"/>
                    <w:autoSpaceDN w:val="0"/>
                    <w:adjustRightInd w:val="0"/>
                    <w:snapToGrid w:val="0"/>
                    <w:jc w:val="left"/>
                    <w:rPr>
                      <w:kern w:val="0"/>
                      <w:szCs w:val="21"/>
                    </w:rPr>
                  </w:pPr>
                  <w:r>
                    <w:rPr>
                      <w:kern w:val="0"/>
                      <w:szCs w:val="21"/>
                    </w:rPr>
                    <w:t>项目危险物质数量与临界量比值Q=</w:t>
                  </w:r>
                  <w:r>
                    <w:rPr>
                      <w:rFonts w:hint="eastAsia"/>
                      <w:kern w:val="0"/>
                      <w:szCs w:val="21"/>
                    </w:rPr>
                    <w:t>0.227</w:t>
                  </w:r>
                  <w:r>
                    <w:rPr>
                      <w:sz w:val="24"/>
                    </w:rPr>
                    <w:t>＜1，即</w:t>
                  </w:r>
                  <w:r>
                    <w:rPr>
                      <w:kern w:val="0"/>
                      <w:szCs w:val="21"/>
                    </w:rPr>
                    <w:t>危险物质存储量未超过临界量。</w:t>
                  </w:r>
                </w:p>
              </w:tc>
              <w:tc>
                <w:tcPr>
                  <w:tcW w:w="913" w:type="pct"/>
                  <w:vAlign w:val="center"/>
                </w:tcPr>
                <w:p w14:paraId="4F2B0485">
                  <w:pPr>
                    <w:autoSpaceDE w:val="0"/>
                    <w:autoSpaceDN w:val="0"/>
                    <w:adjustRightInd w:val="0"/>
                    <w:snapToGrid w:val="0"/>
                    <w:jc w:val="center"/>
                    <w:rPr>
                      <w:kern w:val="0"/>
                      <w:szCs w:val="21"/>
                    </w:rPr>
                  </w:pPr>
                  <w:r>
                    <w:rPr>
                      <w:kern w:val="0"/>
                      <w:szCs w:val="21"/>
                    </w:rPr>
                    <w:t>不设置</w:t>
                  </w:r>
                </w:p>
              </w:tc>
            </w:tr>
            <w:tr w14:paraId="712F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vAlign w:val="center"/>
                </w:tcPr>
                <w:p w14:paraId="3DB5960D">
                  <w:pPr>
                    <w:autoSpaceDE w:val="0"/>
                    <w:autoSpaceDN w:val="0"/>
                    <w:adjustRightInd w:val="0"/>
                    <w:snapToGrid w:val="0"/>
                    <w:jc w:val="center"/>
                    <w:rPr>
                      <w:kern w:val="0"/>
                      <w:szCs w:val="21"/>
                    </w:rPr>
                  </w:pPr>
                  <w:r>
                    <w:rPr>
                      <w:kern w:val="0"/>
                      <w:szCs w:val="21"/>
                    </w:rPr>
                    <w:t>生态</w:t>
                  </w:r>
                </w:p>
              </w:tc>
              <w:tc>
                <w:tcPr>
                  <w:tcW w:w="1630" w:type="pct"/>
                  <w:vAlign w:val="center"/>
                </w:tcPr>
                <w:p w14:paraId="7A4A5606">
                  <w:pPr>
                    <w:autoSpaceDE w:val="0"/>
                    <w:autoSpaceDN w:val="0"/>
                    <w:adjustRightInd w:val="0"/>
                    <w:snapToGrid w:val="0"/>
                    <w:jc w:val="center"/>
                    <w:rPr>
                      <w:kern w:val="0"/>
                      <w:szCs w:val="21"/>
                    </w:rPr>
                  </w:pPr>
                  <w:r>
                    <w:rPr>
                      <w:kern w:val="0"/>
                      <w:szCs w:val="21"/>
                    </w:rPr>
                    <w:t>取水口下游500m范围内有重要水生生物的自然产卵场、索饵场、越冬场和洄游通道的新增河道取水的污染类建设项目</w:t>
                  </w:r>
                </w:p>
              </w:tc>
              <w:tc>
                <w:tcPr>
                  <w:tcW w:w="1798" w:type="pct"/>
                  <w:vAlign w:val="center"/>
                </w:tcPr>
                <w:p w14:paraId="10D31433">
                  <w:pPr>
                    <w:autoSpaceDE w:val="0"/>
                    <w:autoSpaceDN w:val="0"/>
                    <w:adjustRightInd w:val="0"/>
                    <w:snapToGrid w:val="0"/>
                    <w:jc w:val="left"/>
                    <w:rPr>
                      <w:kern w:val="0"/>
                      <w:szCs w:val="21"/>
                    </w:rPr>
                  </w:pPr>
                  <w:r>
                    <w:rPr>
                      <w:kern w:val="0"/>
                      <w:szCs w:val="21"/>
                    </w:rPr>
                    <w:t>项目</w:t>
                  </w:r>
                  <w:r>
                    <w:rPr>
                      <w:rFonts w:hint="eastAsia"/>
                      <w:kern w:val="0"/>
                      <w:szCs w:val="21"/>
                    </w:rPr>
                    <w:t>营运期间用水</w:t>
                  </w:r>
                  <w:r>
                    <w:rPr>
                      <w:kern w:val="0"/>
                      <w:szCs w:val="21"/>
                    </w:rPr>
                    <w:t>由市政供水，不涉及取水口。</w:t>
                  </w:r>
                </w:p>
              </w:tc>
              <w:tc>
                <w:tcPr>
                  <w:tcW w:w="913" w:type="pct"/>
                  <w:vAlign w:val="center"/>
                </w:tcPr>
                <w:p w14:paraId="0CBAB149">
                  <w:pPr>
                    <w:autoSpaceDE w:val="0"/>
                    <w:autoSpaceDN w:val="0"/>
                    <w:adjustRightInd w:val="0"/>
                    <w:snapToGrid w:val="0"/>
                    <w:jc w:val="center"/>
                    <w:rPr>
                      <w:kern w:val="0"/>
                      <w:szCs w:val="21"/>
                    </w:rPr>
                  </w:pPr>
                  <w:r>
                    <w:rPr>
                      <w:kern w:val="0"/>
                      <w:szCs w:val="21"/>
                    </w:rPr>
                    <w:t>不设置</w:t>
                  </w:r>
                </w:p>
              </w:tc>
            </w:tr>
            <w:tr w14:paraId="6FA3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vAlign w:val="center"/>
                </w:tcPr>
                <w:p w14:paraId="59623F9B">
                  <w:pPr>
                    <w:autoSpaceDE w:val="0"/>
                    <w:autoSpaceDN w:val="0"/>
                    <w:adjustRightInd w:val="0"/>
                    <w:snapToGrid w:val="0"/>
                    <w:jc w:val="center"/>
                    <w:rPr>
                      <w:kern w:val="0"/>
                      <w:szCs w:val="21"/>
                    </w:rPr>
                  </w:pPr>
                  <w:r>
                    <w:rPr>
                      <w:kern w:val="0"/>
                      <w:szCs w:val="21"/>
                    </w:rPr>
                    <w:t>海洋</w:t>
                  </w:r>
                </w:p>
              </w:tc>
              <w:tc>
                <w:tcPr>
                  <w:tcW w:w="1630" w:type="pct"/>
                  <w:vAlign w:val="center"/>
                </w:tcPr>
                <w:p w14:paraId="292F0948">
                  <w:pPr>
                    <w:autoSpaceDE w:val="0"/>
                    <w:autoSpaceDN w:val="0"/>
                    <w:adjustRightInd w:val="0"/>
                    <w:snapToGrid w:val="0"/>
                    <w:jc w:val="center"/>
                    <w:rPr>
                      <w:kern w:val="0"/>
                      <w:szCs w:val="21"/>
                    </w:rPr>
                  </w:pPr>
                  <w:r>
                    <w:rPr>
                      <w:kern w:val="0"/>
                      <w:szCs w:val="21"/>
                    </w:rPr>
                    <w:t>直接向海排放污染物的海洋工程建设项目</w:t>
                  </w:r>
                </w:p>
              </w:tc>
              <w:tc>
                <w:tcPr>
                  <w:tcW w:w="1798" w:type="pct"/>
                  <w:vAlign w:val="center"/>
                </w:tcPr>
                <w:p w14:paraId="0C83DF2F">
                  <w:pPr>
                    <w:autoSpaceDE w:val="0"/>
                    <w:autoSpaceDN w:val="0"/>
                    <w:adjustRightInd w:val="0"/>
                    <w:snapToGrid w:val="0"/>
                    <w:jc w:val="left"/>
                    <w:rPr>
                      <w:kern w:val="0"/>
                      <w:szCs w:val="21"/>
                    </w:rPr>
                  </w:pPr>
                  <w:r>
                    <w:rPr>
                      <w:kern w:val="0"/>
                      <w:szCs w:val="21"/>
                    </w:rPr>
                    <w:t>项目工业废水为</w:t>
                  </w:r>
                  <w:r>
                    <w:rPr>
                      <w:rFonts w:hint="eastAsia"/>
                      <w:kern w:val="0"/>
                      <w:szCs w:val="21"/>
                    </w:rPr>
                    <w:t>废槽液、清洗</w:t>
                  </w:r>
                  <w:r>
                    <w:rPr>
                      <w:kern w:val="0"/>
                      <w:szCs w:val="21"/>
                    </w:rPr>
                    <w:t>废水、喷淋</w:t>
                  </w:r>
                  <w:r>
                    <w:rPr>
                      <w:rFonts w:hint="eastAsia"/>
                      <w:kern w:val="0"/>
                      <w:szCs w:val="21"/>
                    </w:rPr>
                    <w:t>塔</w:t>
                  </w:r>
                  <w:r>
                    <w:rPr>
                      <w:kern w:val="0"/>
                      <w:szCs w:val="21"/>
                    </w:rPr>
                    <w:t>废水</w:t>
                  </w:r>
                  <w:r>
                    <w:rPr>
                      <w:rFonts w:hint="eastAsia"/>
                      <w:kern w:val="0"/>
                      <w:szCs w:val="21"/>
                    </w:rPr>
                    <w:t>、喷淋柜废水、反冲洗废水</w:t>
                  </w:r>
                  <w:r>
                    <w:rPr>
                      <w:kern w:val="0"/>
                      <w:szCs w:val="21"/>
                    </w:rPr>
                    <w:t>等，分类收集经自建废水处理设施处理后回用，不外排；生活污水经三级化粪池预处理后通过</w:t>
                  </w:r>
                  <w:r>
                    <w:rPr>
                      <w:rFonts w:hint="eastAsia"/>
                      <w:kern w:val="0"/>
                      <w:szCs w:val="21"/>
                    </w:rPr>
                    <w:t>石湾镇西基生活污水厂</w:t>
                  </w:r>
                  <w:r>
                    <w:rPr>
                      <w:kern w:val="0"/>
                      <w:szCs w:val="21"/>
                    </w:rPr>
                    <w:t>处理后排入</w:t>
                  </w:r>
                  <w:r>
                    <w:rPr>
                      <w:rFonts w:hint="eastAsia"/>
                      <w:kern w:val="0"/>
                      <w:szCs w:val="21"/>
                    </w:rPr>
                    <w:t>联和排渠（里波水）</w:t>
                  </w:r>
                  <w:r>
                    <w:rPr>
                      <w:kern w:val="0"/>
                      <w:szCs w:val="21"/>
                    </w:rPr>
                    <w:t>，不涉及向海洋排放污染物。</w:t>
                  </w:r>
                </w:p>
              </w:tc>
              <w:tc>
                <w:tcPr>
                  <w:tcW w:w="913" w:type="pct"/>
                  <w:vAlign w:val="center"/>
                </w:tcPr>
                <w:p w14:paraId="3A15C140">
                  <w:pPr>
                    <w:autoSpaceDE w:val="0"/>
                    <w:autoSpaceDN w:val="0"/>
                    <w:adjustRightInd w:val="0"/>
                    <w:snapToGrid w:val="0"/>
                    <w:jc w:val="center"/>
                    <w:rPr>
                      <w:kern w:val="0"/>
                      <w:szCs w:val="21"/>
                    </w:rPr>
                  </w:pPr>
                  <w:r>
                    <w:rPr>
                      <w:kern w:val="0"/>
                      <w:szCs w:val="21"/>
                    </w:rPr>
                    <w:t>不设置</w:t>
                  </w:r>
                </w:p>
              </w:tc>
            </w:tr>
          </w:tbl>
          <w:p w14:paraId="70E7F604">
            <w:pPr>
              <w:autoSpaceDE w:val="0"/>
              <w:autoSpaceDN w:val="0"/>
              <w:adjustRightInd w:val="0"/>
              <w:snapToGrid w:val="0"/>
              <w:jc w:val="center"/>
              <w:rPr>
                <w:kern w:val="0"/>
                <w:sz w:val="24"/>
              </w:rPr>
            </w:pPr>
          </w:p>
          <w:p w14:paraId="0DD5EA9F">
            <w:pPr>
              <w:autoSpaceDE w:val="0"/>
              <w:autoSpaceDN w:val="0"/>
              <w:adjustRightInd w:val="0"/>
              <w:snapToGrid w:val="0"/>
              <w:jc w:val="left"/>
              <w:rPr>
                <w:kern w:val="0"/>
                <w:sz w:val="24"/>
              </w:rPr>
            </w:pPr>
          </w:p>
        </w:tc>
      </w:tr>
      <w:tr w14:paraId="0DA204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540" w:type="pct"/>
            <w:vAlign w:val="center"/>
          </w:tcPr>
          <w:p w14:paraId="4529EEAD">
            <w:pPr>
              <w:autoSpaceDE w:val="0"/>
              <w:autoSpaceDN w:val="0"/>
              <w:adjustRightInd w:val="0"/>
              <w:snapToGrid w:val="0"/>
              <w:jc w:val="center"/>
              <w:rPr>
                <w:kern w:val="0"/>
                <w:sz w:val="24"/>
              </w:rPr>
            </w:pPr>
            <w:r>
              <w:rPr>
                <w:sz w:val="24"/>
              </w:rPr>
              <w:t>规划情况</w:t>
            </w:r>
          </w:p>
        </w:tc>
        <w:tc>
          <w:tcPr>
            <w:tcW w:w="4459" w:type="pct"/>
            <w:gridSpan w:val="3"/>
            <w:vAlign w:val="center"/>
          </w:tcPr>
          <w:p w14:paraId="74B6387D">
            <w:pPr>
              <w:autoSpaceDE w:val="0"/>
              <w:autoSpaceDN w:val="0"/>
              <w:adjustRightInd w:val="0"/>
              <w:snapToGrid w:val="0"/>
              <w:spacing w:line="360" w:lineRule="auto"/>
              <w:rPr>
                <w:kern w:val="0"/>
                <w:sz w:val="24"/>
              </w:rPr>
            </w:pPr>
            <w:r>
              <w:rPr>
                <w:kern w:val="0"/>
                <w:sz w:val="24"/>
              </w:rPr>
              <w:t>无</w:t>
            </w:r>
          </w:p>
        </w:tc>
      </w:tr>
      <w:tr w14:paraId="5E7D61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40" w:type="pct"/>
            <w:vAlign w:val="center"/>
          </w:tcPr>
          <w:p w14:paraId="1BA0F956">
            <w:pPr>
              <w:adjustRightInd w:val="0"/>
              <w:snapToGrid w:val="0"/>
              <w:jc w:val="center"/>
              <w:rPr>
                <w:sz w:val="24"/>
              </w:rPr>
            </w:pPr>
            <w:r>
              <w:rPr>
                <w:sz w:val="24"/>
              </w:rPr>
              <w:t>规划环境影响</w:t>
            </w:r>
          </w:p>
          <w:p w14:paraId="098A1F6D">
            <w:pPr>
              <w:adjustRightInd w:val="0"/>
              <w:snapToGrid w:val="0"/>
              <w:jc w:val="center"/>
              <w:rPr>
                <w:kern w:val="0"/>
                <w:sz w:val="24"/>
              </w:rPr>
            </w:pPr>
            <w:r>
              <w:rPr>
                <w:sz w:val="24"/>
              </w:rPr>
              <w:t>评价情况</w:t>
            </w:r>
          </w:p>
        </w:tc>
        <w:tc>
          <w:tcPr>
            <w:tcW w:w="4459" w:type="pct"/>
            <w:gridSpan w:val="3"/>
            <w:vAlign w:val="center"/>
          </w:tcPr>
          <w:p w14:paraId="12E46182">
            <w:pPr>
              <w:autoSpaceDE w:val="0"/>
              <w:autoSpaceDN w:val="0"/>
              <w:adjustRightInd w:val="0"/>
              <w:snapToGrid w:val="0"/>
              <w:spacing w:line="360" w:lineRule="auto"/>
              <w:rPr>
                <w:kern w:val="0"/>
                <w:sz w:val="24"/>
              </w:rPr>
            </w:pPr>
            <w:r>
              <w:rPr>
                <w:bCs/>
                <w:kern w:val="0"/>
                <w:sz w:val="24"/>
              </w:rPr>
              <w:t>无</w:t>
            </w:r>
          </w:p>
        </w:tc>
      </w:tr>
      <w:tr w14:paraId="22E2AA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78" w:hRule="atLeast"/>
          <w:jc w:val="center"/>
        </w:trPr>
        <w:tc>
          <w:tcPr>
            <w:tcW w:w="540" w:type="pct"/>
            <w:vAlign w:val="center"/>
          </w:tcPr>
          <w:p w14:paraId="0B159B86">
            <w:pPr>
              <w:autoSpaceDE w:val="0"/>
              <w:autoSpaceDN w:val="0"/>
              <w:adjustRightInd w:val="0"/>
              <w:snapToGrid w:val="0"/>
              <w:jc w:val="center"/>
              <w:rPr>
                <w:kern w:val="0"/>
                <w:sz w:val="24"/>
              </w:rPr>
            </w:pPr>
            <w:r>
              <w:rPr>
                <w:kern w:val="0"/>
                <w:sz w:val="24"/>
              </w:rPr>
              <w:t>规划及规划环境影响评价符合性分析</w:t>
            </w:r>
          </w:p>
        </w:tc>
        <w:tc>
          <w:tcPr>
            <w:tcW w:w="4459" w:type="pct"/>
            <w:gridSpan w:val="3"/>
            <w:vAlign w:val="center"/>
          </w:tcPr>
          <w:p w14:paraId="56FC29F6">
            <w:pPr>
              <w:tabs>
                <w:tab w:val="left" w:pos="2880"/>
              </w:tabs>
              <w:adjustRightInd w:val="0"/>
              <w:snapToGrid w:val="0"/>
              <w:spacing w:line="360" w:lineRule="auto"/>
              <w:rPr>
                <w:kern w:val="0"/>
                <w:sz w:val="24"/>
              </w:rPr>
            </w:pPr>
            <w:r>
              <w:rPr>
                <w:kern w:val="0"/>
                <w:sz w:val="24"/>
              </w:rPr>
              <w:t>无</w:t>
            </w:r>
          </w:p>
        </w:tc>
      </w:tr>
      <w:tr w14:paraId="24BD8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40" w:type="pct"/>
            <w:vAlign w:val="center"/>
          </w:tcPr>
          <w:p w14:paraId="6CBD15D6">
            <w:pPr>
              <w:autoSpaceDE w:val="0"/>
              <w:autoSpaceDN w:val="0"/>
              <w:adjustRightInd w:val="0"/>
              <w:snapToGrid w:val="0"/>
              <w:jc w:val="center"/>
              <w:rPr>
                <w:color w:val="auto"/>
                <w:kern w:val="0"/>
                <w:sz w:val="24"/>
              </w:rPr>
            </w:pPr>
            <w:r>
              <w:rPr>
                <w:color w:val="auto"/>
                <w:kern w:val="0"/>
                <w:sz w:val="24"/>
              </w:rPr>
              <w:t>其他符合性分析</w:t>
            </w:r>
          </w:p>
        </w:tc>
        <w:tc>
          <w:tcPr>
            <w:tcW w:w="4459" w:type="pct"/>
            <w:gridSpan w:val="3"/>
            <w:vAlign w:val="center"/>
          </w:tcPr>
          <w:p w14:paraId="2CFB9247">
            <w:pPr>
              <w:autoSpaceDE w:val="0"/>
              <w:autoSpaceDN w:val="0"/>
              <w:adjustRightInd w:val="0"/>
              <w:snapToGrid w:val="0"/>
              <w:spacing w:line="360" w:lineRule="auto"/>
              <w:ind w:left="420" w:leftChars="200"/>
              <w:jc w:val="left"/>
              <w:rPr>
                <w:b/>
                <w:bCs/>
                <w:color w:val="auto"/>
                <w:kern w:val="0"/>
                <w:sz w:val="24"/>
              </w:rPr>
            </w:pPr>
            <w:r>
              <w:rPr>
                <w:rFonts w:hint="eastAsia"/>
                <w:b/>
                <w:bCs/>
                <w:color w:val="auto"/>
                <w:kern w:val="0"/>
                <w:sz w:val="24"/>
              </w:rPr>
              <w:t>1、产业政策合理性分析</w:t>
            </w:r>
          </w:p>
          <w:p w14:paraId="4A27780C">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项目属于《国民经济行业分类》（GB/T 4754-2017）及修改单中</w:t>
            </w:r>
            <w:r>
              <w:rPr>
                <w:rFonts w:hint="eastAsia"/>
                <w:color w:val="auto"/>
                <w:sz w:val="24"/>
              </w:rPr>
              <w:t>C3360金属表面处理及热处理加工</w:t>
            </w:r>
            <w:r>
              <w:rPr>
                <w:rFonts w:hint="eastAsia"/>
                <w:color w:val="auto"/>
                <w:kern w:val="0"/>
                <w:sz w:val="24"/>
              </w:rPr>
              <w:t>，不属于《产业结构调整指导目录（2024年本）》中限制类、淘汰类项目，属于允许类项目。</w:t>
            </w:r>
          </w:p>
          <w:p w14:paraId="67353E6C">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根据国家《市场准入负面清单（2025年版）》（发改体改规〔2025〕466号），项目不属于禁止准入行业和许可准入行业，对市场准入负面清单以外的行业、领域、业务等，各类市场主体皆可依法平等进入。因此项目符合《市场准入负面清单（2025年版）》（发改体改规〔2025〕466号）的要求。</w:t>
            </w:r>
          </w:p>
          <w:p w14:paraId="00A89BD1">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因此，项目符合国家和地方的有关产业政策规定。</w:t>
            </w:r>
          </w:p>
          <w:p w14:paraId="5F6E4796">
            <w:pPr>
              <w:autoSpaceDE w:val="0"/>
              <w:autoSpaceDN w:val="0"/>
              <w:adjustRightInd w:val="0"/>
              <w:snapToGrid w:val="0"/>
              <w:spacing w:line="360" w:lineRule="auto"/>
              <w:ind w:left="420" w:leftChars="200"/>
              <w:jc w:val="left"/>
              <w:rPr>
                <w:b/>
                <w:bCs/>
                <w:color w:val="auto"/>
                <w:kern w:val="0"/>
                <w:sz w:val="24"/>
              </w:rPr>
            </w:pPr>
            <w:r>
              <w:rPr>
                <w:rFonts w:hint="eastAsia"/>
                <w:b/>
                <w:bCs/>
                <w:color w:val="auto"/>
                <w:kern w:val="0"/>
                <w:sz w:val="24"/>
              </w:rPr>
              <w:t>2</w:t>
            </w:r>
            <w:r>
              <w:rPr>
                <w:b/>
                <w:bCs/>
                <w:color w:val="auto"/>
                <w:kern w:val="0"/>
                <w:sz w:val="24"/>
              </w:rPr>
              <w:t>、选址合理合法性分析</w:t>
            </w:r>
          </w:p>
          <w:p w14:paraId="02E91173">
            <w:pPr>
              <w:tabs>
                <w:tab w:val="left" w:pos="2880"/>
              </w:tabs>
              <w:adjustRightInd w:val="0"/>
              <w:snapToGrid w:val="0"/>
              <w:spacing w:line="360" w:lineRule="auto"/>
              <w:ind w:firstLine="480" w:firstLineChars="200"/>
              <w:rPr>
                <w:rFonts w:hint="default" w:eastAsia="宋体"/>
                <w:color w:val="auto"/>
                <w:kern w:val="0"/>
                <w:sz w:val="24"/>
                <w:lang w:val="en-US" w:eastAsia="zh-CN"/>
              </w:rPr>
            </w:pPr>
            <w:r>
              <w:rPr>
                <w:rFonts w:hint="eastAsia"/>
                <w:color w:val="auto"/>
                <w:kern w:val="0"/>
                <w:sz w:val="24"/>
                <w:lang w:val="en-US" w:eastAsia="zh-CN"/>
              </w:rPr>
              <w:t>项目租赁</w:t>
            </w:r>
            <w:r>
              <w:rPr>
                <w:rFonts w:hint="eastAsia"/>
                <w:color w:val="auto"/>
                <w:sz w:val="24"/>
              </w:rPr>
              <w:t>广东宝居乐家居股份有限公司位于广东省惠州市博罗县石湾镇黄西村宝居乐工业园A1栋4-7楼</w:t>
            </w:r>
            <w:r>
              <w:rPr>
                <w:rFonts w:hint="eastAsia"/>
                <w:color w:val="auto"/>
                <w:sz w:val="24"/>
                <w:lang w:eastAsia="zh-CN"/>
              </w:rPr>
              <w:t>，</w:t>
            </w:r>
            <w:r>
              <w:rPr>
                <w:rFonts w:hint="eastAsia"/>
                <w:color w:val="auto"/>
                <w:sz w:val="24"/>
                <w:lang w:val="en-US" w:eastAsia="zh-CN"/>
              </w:rPr>
              <w:t>厂房原用途为4楼作为裁剪区、车工区、扪工区、造棉区的加工场所，5楼作为油性喷漆房、水性喷漆房、晾干房、漆后打磨房、半成品暂存区、维修区的加工场所，6楼作为漆后打磨房、箔金房、油漆喷漆房、晾干房、水性喷漆房、半成品暂存区的加工场所，7楼作为漆后打磨房、箔金房、油性喷漆房、晾干房、水性喷漆房、半成品暂存区的加工场所。</w:t>
            </w:r>
            <w:r>
              <w:rPr>
                <w:rFonts w:hint="eastAsia"/>
                <w:color w:val="auto"/>
                <w:sz w:val="24"/>
              </w:rPr>
              <w:t>广东宝居乐家居股份有限公司</w:t>
            </w:r>
            <w:r>
              <w:rPr>
                <w:rFonts w:hint="eastAsia"/>
                <w:color w:val="auto"/>
                <w:sz w:val="24"/>
                <w:lang w:val="en-US" w:eastAsia="zh-CN"/>
              </w:rPr>
              <w:t>拟对厂房A2栋4-7楼的生产布局做出调整，腾出区域从事原厂房A1栋4-7楼的设备建设及生产，此部分建设内容暂未投产。</w:t>
            </w:r>
          </w:p>
          <w:p w14:paraId="24BD3B35">
            <w:pPr>
              <w:tabs>
                <w:tab w:val="left" w:pos="2880"/>
              </w:tabs>
              <w:adjustRightInd w:val="0"/>
              <w:snapToGrid w:val="0"/>
              <w:spacing w:line="360" w:lineRule="auto"/>
              <w:ind w:firstLine="480" w:firstLineChars="200"/>
              <w:rPr>
                <w:color w:val="auto"/>
                <w:kern w:val="0"/>
                <w:sz w:val="24"/>
              </w:rPr>
            </w:pPr>
            <w:r>
              <w:rPr>
                <w:color w:val="auto"/>
                <w:kern w:val="0"/>
                <w:sz w:val="24"/>
              </w:rPr>
              <w:t>根据</w:t>
            </w:r>
            <w:r>
              <w:rPr>
                <w:rFonts w:hint="eastAsia"/>
                <w:color w:val="auto"/>
                <w:kern w:val="0"/>
                <w:sz w:val="24"/>
              </w:rPr>
              <w:t>建设单位</w:t>
            </w:r>
            <w:r>
              <w:rPr>
                <w:color w:val="auto"/>
                <w:kern w:val="0"/>
                <w:sz w:val="24"/>
              </w:rPr>
              <w:t>提供的</w:t>
            </w:r>
            <w:r>
              <w:rPr>
                <w:rFonts w:hint="eastAsia"/>
                <w:color w:val="auto"/>
                <w:kern w:val="0"/>
                <w:sz w:val="24"/>
              </w:rPr>
              <w:t>不动产权证</w:t>
            </w:r>
            <w:r>
              <w:rPr>
                <w:color w:val="auto"/>
                <w:kern w:val="0"/>
                <w:sz w:val="24"/>
              </w:rPr>
              <w:t>（详见</w:t>
            </w:r>
            <w:r>
              <w:rPr>
                <w:b/>
                <w:bCs/>
                <w:color w:val="auto"/>
                <w:kern w:val="0"/>
                <w:sz w:val="24"/>
              </w:rPr>
              <w:t>附件</w:t>
            </w:r>
            <w:r>
              <w:rPr>
                <w:rFonts w:hint="eastAsia"/>
                <w:b/>
                <w:bCs/>
                <w:color w:val="auto"/>
                <w:kern w:val="0"/>
                <w:sz w:val="24"/>
              </w:rPr>
              <w:t>3</w:t>
            </w:r>
            <w:r>
              <w:rPr>
                <w:color w:val="auto"/>
                <w:kern w:val="0"/>
                <w:sz w:val="24"/>
              </w:rPr>
              <w:t>），用途为</w:t>
            </w:r>
            <w:r>
              <w:rPr>
                <w:rFonts w:hint="eastAsia"/>
                <w:color w:val="auto"/>
                <w:kern w:val="0"/>
                <w:sz w:val="24"/>
              </w:rPr>
              <w:t>工业用地</w:t>
            </w:r>
            <w:r>
              <w:rPr>
                <w:color w:val="auto"/>
                <w:kern w:val="0"/>
                <w:sz w:val="24"/>
              </w:rPr>
              <w:t>，根据</w:t>
            </w:r>
            <w:r>
              <w:rPr>
                <w:rFonts w:hint="eastAsia"/>
                <w:color w:val="auto"/>
                <w:sz w:val="24"/>
              </w:rPr>
              <w:t>《博罗县石湾镇总体规划方案调整》（2011-2025）</w:t>
            </w:r>
            <w:r>
              <w:rPr>
                <w:color w:val="auto"/>
                <w:kern w:val="0"/>
                <w:sz w:val="24"/>
              </w:rPr>
              <w:t>，项目所在地规划用地性质为</w:t>
            </w:r>
            <w:r>
              <w:rPr>
                <w:rFonts w:hint="eastAsia"/>
                <w:color w:val="auto"/>
                <w:sz w:val="24"/>
              </w:rPr>
              <w:t>二类工业用地</w:t>
            </w:r>
            <w:r>
              <w:rPr>
                <w:color w:val="auto"/>
                <w:kern w:val="0"/>
                <w:sz w:val="24"/>
              </w:rPr>
              <w:t>。项目用地不涉及国家重点保护的文物、古迹，无名胜风景区、自然保护区等。项目各项染物排放能够得到有效的处理，综上所述，项目选址合理。</w:t>
            </w:r>
          </w:p>
          <w:p w14:paraId="0A952CE9">
            <w:pPr>
              <w:autoSpaceDE w:val="0"/>
              <w:autoSpaceDN w:val="0"/>
              <w:adjustRightInd w:val="0"/>
              <w:snapToGrid w:val="0"/>
              <w:spacing w:line="360" w:lineRule="auto"/>
              <w:ind w:left="420" w:leftChars="200"/>
              <w:jc w:val="left"/>
              <w:rPr>
                <w:b/>
                <w:bCs/>
                <w:color w:val="auto"/>
                <w:kern w:val="0"/>
                <w:sz w:val="24"/>
              </w:rPr>
            </w:pPr>
            <w:r>
              <w:rPr>
                <w:rFonts w:hint="eastAsia"/>
                <w:b/>
                <w:bCs/>
                <w:color w:val="auto"/>
                <w:kern w:val="0"/>
                <w:sz w:val="24"/>
              </w:rPr>
              <w:t>3</w:t>
            </w:r>
            <w:r>
              <w:rPr>
                <w:b/>
                <w:bCs/>
                <w:color w:val="auto"/>
                <w:kern w:val="0"/>
                <w:sz w:val="24"/>
              </w:rPr>
              <w:t>、环境功能区区划符合性分析</w:t>
            </w:r>
          </w:p>
          <w:p w14:paraId="17E89328">
            <w:pPr>
              <w:tabs>
                <w:tab w:val="left" w:pos="2880"/>
              </w:tabs>
              <w:adjustRightInd w:val="0"/>
              <w:snapToGrid w:val="0"/>
              <w:spacing w:line="360" w:lineRule="auto"/>
              <w:ind w:firstLine="482" w:firstLineChars="200"/>
              <w:rPr>
                <w:color w:val="auto"/>
                <w:kern w:val="0"/>
                <w:sz w:val="24"/>
              </w:rPr>
            </w:pPr>
            <w:r>
              <w:rPr>
                <w:rFonts w:hint="eastAsia"/>
                <w:b/>
                <w:bCs/>
                <w:color w:val="auto"/>
                <w:kern w:val="0"/>
                <w:sz w:val="24"/>
              </w:rPr>
              <w:t>地表水：</w:t>
            </w:r>
            <w:r>
              <w:rPr>
                <w:rFonts w:hint="eastAsia"/>
                <w:color w:val="auto"/>
                <w:kern w:val="0"/>
                <w:sz w:val="24"/>
              </w:rPr>
              <w:t>根据《博罗县石湾镇污水专项建设规划》（2018年9月），项目所在地属于石湾镇西基生活污水厂的纳污范围，</w:t>
            </w:r>
            <w:r>
              <w:rPr>
                <w:color w:val="auto"/>
                <w:kern w:val="0"/>
                <w:sz w:val="24"/>
              </w:rPr>
              <w:t>项目</w:t>
            </w:r>
            <w:r>
              <w:rPr>
                <w:rFonts w:hint="eastAsia"/>
                <w:color w:val="auto"/>
                <w:kern w:val="0"/>
                <w:sz w:val="24"/>
              </w:rPr>
              <w:t>营运期间不对外排放生产废水，生活污水经三级化粪池预处理后排放至石湾镇西基生活污水厂处理，尾水排放至联和排渠（里波水）。</w:t>
            </w:r>
          </w:p>
          <w:p w14:paraId="506214F6">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根据《广东省地表水环境功能区划》（粤环〔2011〕14号），东江水质目</w:t>
            </w:r>
            <w:r>
              <w:rPr>
                <w:color w:val="auto"/>
                <w:kern w:val="0"/>
                <w:sz w:val="24"/>
              </w:rPr>
              <w:t>标为Ⅱ类，</w:t>
            </w:r>
            <w:r>
              <w:rPr>
                <w:rFonts w:hint="eastAsia"/>
                <w:color w:val="auto"/>
                <w:kern w:val="0"/>
                <w:sz w:val="24"/>
              </w:rPr>
              <w:t>执行《地表水环境质量标准》（GB3838-2002）中</w:t>
            </w:r>
            <w:r>
              <w:rPr>
                <w:color w:val="auto"/>
                <w:kern w:val="0"/>
                <w:sz w:val="24"/>
              </w:rPr>
              <w:t>Ⅱ</w:t>
            </w:r>
            <w:r>
              <w:rPr>
                <w:rFonts w:hint="eastAsia"/>
                <w:color w:val="auto"/>
                <w:kern w:val="0"/>
                <w:sz w:val="24"/>
              </w:rPr>
              <w:t>类标准；根据《博罗县2024年水污染防治攻坚战工作方案》（博环攻坚办〔2024〕68号），联和排渠水质目标为</w:t>
            </w:r>
            <w:r>
              <w:rPr>
                <w:color w:val="auto"/>
                <w:kern w:val="0"/>
                <w:sz w:val="24"/>
              </w:rPr>
              <w:t>Ⅴ</w:t>
            </w:r>
            <w:r>
              <w:rPr>
                <w:rFonts w:hint="eastAsia"/>
                <w:color w:val="auto"/>
                <w:kern w:val="0"/>
                <w:sz w:val="24"/>
              </w:rPr>
              <w:t>类，执行《地表水环境质量标准》（GB3838-2002）中</w:t>
            </w:r>
            <w:r>
              <w:rPr>
                <w:color w:val="auto"/>
                <w:kern w:val="0"/>
                <w:sz w:val="24"/>
              </w:rPr>
              <w:t>Ⅴ</w:t>
            </w:r>
            <w:r>
              <w:rPr>
                <w:rFonts w:hint="eastAsia"/>
                <w:color w:val="auto"/>
                <w:kern w:val="0"/>
                <w:sz w:val="24"/>
              </w:rPr>
              <w:t>类标准。项目所在区域地表水环境功能区划详见附图8。</w:t>
            </w:r>
          </w:p>
          <w:p w14:paraId="5DCAFA61">
            <w:pPr>
              <w:tabs>
                <w:tab w:val="left" w:pos="2880"/>
              </w:tabs>
              <w:adjustRightInd w:val="0"/>
              <w:snapToGrid w:val="0"/>
              <w:spacing w:line="360" w:lineRule="auto"/>
              <w:ind w:firstLine="482" w:firstLineChars="200"/>
              <w:rPr>
                <w:color w:val="auto"/>
                <w:kern w:val="0"/>
                <w:sz w:val="24"/>
              </w:rPr>
            </w:pPr>
            <w:r>
              <w:rPr>
                <w:rFonts w:hint="eastAsia"/>
                <w:b/>
                <w:bCs/>
                <w:color w:val="auto"/>
                <w:kern w:val="0"/>
                <w:sz w:val="24"/>
              </w:rPr>
              <w:t>环境空气：</w:t>
            </w:r>
            <w:r>
              <w:rPr>
                <w:color w:val="auto"/>
                <w:kern w:val="0"/>
                <w:sz w:val="24"/>
              </w:rPr>
              <w:t>根据《关于印发&lt;惠州市环境空气质量功能区划（2024年修订）&gt;的通知》（惠市环〔2024〕16号），</w:t>
            </w:r>
            <w:r>
              <w:rPr>
                <w:rFonts w:hint="eastAsia"/>
                <w:color w:val="auto"/>
                <w:kern w:val="0"/>
                <w:sz w:val="24"/>
              </w:rPr>
              <w:t>项目</w:t>
            </w:r>
            <w:r>
              <w:rPr>
                <w:color w:val="auto"/>
                <w:kern w:val="0"/>
                <w:sz w:val="24"/>
              </w:rPr>
              <w:t>所在区属于环境空气质量二类区，执行《环境空气质量标准》（GB3095-2012）及2018年修改单中的二级标准。</w:t>
            </w:r>
            <w:r>
              <w:rPr>
                <w:rFonts w:hint="eastAsia"/>
                <w:color w:val="auto"/>
                <w:kern w:val="0"/>
                <w:sz w:val="24"/>
              </w:rPr>
              <w:t>项目所在区域大气环境功能区划见附图9。</w:t>
            </w:r>
          </w:p>
          <w:p w14:paraId="4EF45359">
            <w:pPr>
              <w:tabs>
                <w:tab w:val="left" w:pos="2880"/>
              </w:tabs>
              <w:adjustRightInd w:val="0"/>
              <w:snapToGrid w:val="0"/>
              <w:spacing w:line="360" w:lineRule="auto"/>
              <w:ind w:firstLine="482" w:firstLineChars="200"/>
              <w:rPr>
                <w:color w:val="auto"/>
                <w:kern w:val="0"/>
                <w:sz w:val="24"/>
              </w:rPr>
            </w:pPr>
            <w:r>
              <w:rPr>
                <w:b/>
                <w:bCs/>
                <w:color w:val="auto"/>
                <w:kern w:val="0"/>
                <w:sz w:val="24"/>
              </w:rPr>
              <w:t>声环境：</w:t>
            </w:r>
            <w:r>
              <w:rPr>
                <w:rFonts w:hint="eastAsia"/>
                <w:color w:val="auto"/>
                <w:kern w:val="0"/>
                <w:sz w:val="24"/>
              </w:rPr>
              <w:t>根据《惠州市生态环境局关于印发&lt;惠州市声环境功能区划分方案（2022年）&gt;的通知》（惠市环[2022]33号），项目所在位置不属于1、3、4类区，为2类区声环境功能区，</w:t>
            </w:r>
            <w:r>
              <w:rPr>
                <w:color w:val="auto"/>
                <w:kern w:val="0"/>
                <w:sz w:val="24"/>
              </w:rPr>
              <w:t>执行《声环境质量标准》（GB3096－2008）的</w:t>
            </w:r>
            <w:r>
              <w:rPr>
                <w:rFonts w:hint="eastAsia"/>
                <w:color w:val="auto"/>
                <w:kern w:val="0"/>
                <w:sz w:val="24"/>
              </w:rPr>
              <w:t>2</w:t>
            </w:r>
            <w:r>
              <w:rPr>
                <w:color w:val="auto"/>
                <w:kern w:val="0"/>
                <w:sz w:val="24"/>
              </w:rPr>
              <w:t>类标准。</w:t>
            </w:r>
          </w:p>
          <w:p w14:paraId="0E2E5DB1">
            <w:pPr>
              <w:tabs>
                <w:tab w:val="left" w:pos="2880"/>
              </w:tabs>
              <w:adjustRightInd w:val="0"/>
              <w:snapToGrid w:val="0"/>
              <w:spacing w:line="360" w:lineRule="auto"/>
              <w:ind w:firstLine="482" w:firstLineChars="200"/>
              <w:rPr>
                <w:color w:val="auto"/>
                <w:kern w:val="0"/>
                <w:sz w:val="24"/>
              </w:rPr>
            </w:pPr>
            <w:r>
              <w:rPr>
                <w:rFonts w:hint="eastAsia"/>
                <w:b/>
                <w:bCs/>
                <w:color w:val="auto"/>
                <w:kern w:val="0"/>
                <w:sz w:val="24"/>
              </w:rPr>
              <w:t>饮用水源保护区：</w:t>
            </w:r>
            <w:r>
              <w:rPr>
                <w:rFonts w:hint="eastAsia"/>
                <w:color w:val="auto"/>
                <w:kern w:val="0"/>
                <w:sz w:val="24"/>
              </w:rPr>
              <w:t>根据《惠州市饮用水源保护区划调整方案》（经广东省人民政府批准，粤府函〔2014〕188号）以及《广东省人民政府关于调整惠州市部分饮用水水源保护区的批复》（粤府函〔2019〕270号）、《惠州市人民政府关于&lt;惠州市乡镇级及以下集中式饮用水水源保护区规定（调整）方案&gt;的批复》（惠府函〔2020〕317号）及《惠州市乡镇级及以下集中式饮用水水源保护区划定（调整）方案》，项目所在位置均不属于以上饮用水水源保护区的范围，因为项目的选址建设是合理的。</w:t>
            </w:r>
          </w:p>
          <w:p w14:paraId="23CD1968">
            <w:pPr>
              <w:tabs>
                <w:tab w:val="left" w:pos="2880"/>
              </w:tabs>
              <w:adjustRightInd w:val="0"/>
              <w:snapToGrid w:val="0"/>
              <w:spacing w:line="360" w:lineRule="auto"/>
              <w:ind w:firstLine="480" w:firstLineChars="200"/>
              <w:rPr>
                <w:b/>
                <w:bCs/>
                <w:color w:val="auto"/>
                <w:sz w:val="24"/>
              </w:rPr>
            </w:pPr>
            <w:r>
              <w:rPr>
                <w:rFonts w:hint="eastAsia"/>
                <w:color w:val="auto"/>
                <w:kern w:val="0"/>
                <w:sz w:val="24"/>
              </w:rPr>
              <w:t>综上，</w:t>
            </w:r>
            <w:r>
              <w:rPr>
                <w:color w:val="auto"/>
                <w:kern w:val="0"/>
                <w:sz w:val="24"/>
              </w:rPr>
              <w:t>项目在运营服务期内有噪声、废水、废气等污染排放，在确保噪声、废气、废水等污染物达标排放及符合功能区划条件下，本项目选址不与环境功能区相关要求相冲突。</w:t>
            </w:r>
          </w:p>
          <w:p w14:paraId="0E5476E9">
            <w:pPr>
              <w:autoSpaceDE w:val="0"/>
              <w:autoSpaceDN w:val="0"/>
              <w:adjustRightInd w:val="0"/>
              <w:snapToGrid w:val="0"/>
              <w:spacing w:line="360" w:lineRule="auto"/>
              <w:ind w:left="420" w:leftChars="200"/>
              <w:jc w:val="left"/>
              <w:rPr>
                <w:b/>
                <w:bCs/>
                <w:color w:val="auto"/>
                <w:kern w:val="0"/>
                <w:sz w:val="24"/>
              </w:rPr>
            </w:pPr>
            <w:r>
              <w:rPr>
                <w:rFonts w:hint="eastAsia"/>
                <w:b/>
                <w:bCs/>
                <w:color w:val="auto"/>
                <w:kern w:val="0"/>
                <w:sz w:val="24"/>
              </w:rPr>
              <w:t>4、与《博罗县“三线一单”生态环境分区管控方案》相符性分析</w:t>
            </w:r>
          </w:p>
          <w:p w14:paraId="59629119">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根据《博罗县“三线一单”生态环境分区管控方案》的要求进行对照分析，如下表所示：</w:t>
            </w:r>
          </w:p>
          <w:p w14:paraId="35655EB9">
            <w:pPr>
              <w:pStyle w:val="139"/>
              <w:rPr>
                <w:color w:val="auto"/>
                <w:kern w:val="2"/>
                <w:szCs w:val="24"/>
              </w:rPr>
            </w:pPr>
            <w:r>
              <w:rPr>
                <w:rFonts w:hint="eastAsia"/>
                <w:color w:val="auto"/>
                <w:kern w:val="2"/>
                <w:szCs w:val="24"/>
              </w:rPr>
              <w:t xml:space="preserve">表1-2 </w:t>
            </w:r>
            <w:r>
              <w:rPr>
                <w:color w:val="auto"/>
                <w:kern w:val="2"/>
                <w:szCs w:val="24"/>
              </w:rPr>
              <w:t>“三线一单”对照分析情况</w:t>
            </w:r>
            <w:r>
              <w:rPr>
                <w:rFonts w:hint="eastAsia"/>
                <w:color w:val="auto"/>
                <w:kern w:val="2"/>
                <w:szCs w:val="24"/>
              </w:rPr>
              <w:t>一览表</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98"/>
              <w:gridCol w:w="958"/>
              <w:gridCol w:w="339"/>
              <w:gridCol w:w="2412"/>
              <w:gridCol w:w="3189"/>
              <w:gridCol w:w="1046"/>
            </w:tblGrid>
            <w:tr w14:paraId="32FCC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trPr>
              <w:tc>
                <w:tcPr>
                  <w:tcW w:w="862" w:type="pct"/>
                  <w:gridSpan w:val="2"/>
                  <w:vAlign w:val="center"/>
                </w:tcPr>
                <w:p w14:paraId="0CEFB59A">
                  <w:pPr>
                    <w:pStyle w:val="127"/>
                    <w:rPr>
                      <w:b/>
                      <w:bCs/>
                      <w:color w:val="auto"/>
                      <w:szCs w:val="21"/>
                    </w:rPr>
                  </w:pPr>
                  <w:r>
                    <w:rPr>
                      <w:b/>
                      <w:bCs/>
                      <w:color w:val="auto"/>
                      <w:szCs w:val="21"/>
                    </w:rPr>
                    <w:t>“三线一单</w:t>
                  </w:r>
                </w:p>
                <w:p w14:paraId="631698FA">
                  <w:pPr>
                    <w:pStyle w:val="127"/>
                    <w:rPr>
                      <w:b/>
                      <w:bCs/>
                      <w:color w:val="auto"/>
                      <w:szCs w:val="21"/>
                    </w:rPr>
                  </w:pPr>
                  <w:r>
                    <w:rPr>
                      <w:b/>
                      <w:bCs/>
                      <w:color w:val="auto"/>
                      <w:szCs w:val="21"/>
                    </w:rPr>
                    <w:t>内容”</w:t>
                  </w:r>
                </w:p>
              </w:tc>
              <w:tc>
                <w:tcPr>
                  <w:tcW w:w="1629" w:type="pct"/>
                  <w:gridSpan w:val="2"/>
                  <w:vAlign w:val="center"/>
                </w:tcPr>
                <w:p w14:paraId="74F7AC53">
                  <w:pPr>
                    <w:pStyle w:val="127"/>
                    <w:rPr>
                      <w:b/>
                      <w:bCs/>
                      <w:color w:val="auto"/>
                      <w:szCs w:val="21"/>
                    </w:rPr>
                  </w:pPr>
                  <w:r>
                    <w:rPr>
                      <w:rFonts w:hint="eastAsia"/>
                      <w:b/>
                      <w:bCs/>
                      <w:color w:val="auto"/>
                      <w:szCs w:val="21"/>
                    </w:rPr>
                    <w:t>管控要求</w:t>
                  </w:r>
                </w:p>
              </w:tc>
              <w:tc>
                <w:tcPr>
                  <w:tcW w:w="1888" w:type="pct"/>
                  <w:vAlign w:val="center"/>
                </w:tcPr>
                <w:p w14:paraId="5C9ACF81">
                  <w:pPr>
                    <w:pStyle w:val="127"/>
                    <w:rPr>
                      <w:b/>
                      <w:bCs/>
                      <w:color w:val="auto"/>
                      <w:szCs w:val="21"/>
                    </w:rPr>
                  </w:pPr>
                  <w:r>
                    <w:rPr>
                      <w:b/>
                      <w:bCs/>
                      <w:color w:val="auto"/>
                      <w:szCs w:val="21"/>
                    </w:rPr>
                    <w:t>本项目对照分析情况</w:t>
                  </w:r>
                </w:p>
              </w:tc>
              <w:tc>
                <w:tcPr>
                  <w:tcW w:w="619" w:type="pct"/>
                  <w:vAlign w:val="center"/>
                </w:tcPr>
                <w:p w14:paraId="3A1782AC">
                  <w:pPr>
                    <w:pStyle w:val="127"/>
                    <w:rPr>
                      <w:b/>
                      <w:bCs/>
                      <w:color w:val="auto"/>
                      <w:szCs w:val="21"/>
                    </w:rPr>
                  </w:pPr>
                  <w:r>
                    <w:rPr>
                      <w:b/>
                      <w:bCs/>
                      <w:color w:val="auto"/>
                      <w:szCs w:val="21"/>
                    </w:rPr>
                    <w:t>相符性</w:t>
                  </w:r>
                </w:p>
              </w:tc>
            </w:tr>
            <w:tr w14:paraId="2755C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 w:hRule="atLeast"/>
              </w:trPr>
              <w:tc>
                <w:tcPr>
                  <w:tcW w:w="295" w:type="pct"/>
                  <w:vMerge w:val="restart"/>
                  <w:vAlign w:val="center"/>
                </w:tcPr>
                <w:p w14:paraId="27A42718">
                  <w:pPr>
                    <w:pStyle w:val="127"/>
                    <w:rPr>
                      <w:color w:val="auto"/>
                      <w:szCs w:val="21"/>
                    </w:rPr>
                  </w:pPr>
                  <w:r>
                    <w:rPr>
                      <w:color w:val="auto"/>
                      <w:szCs w:val="21"/>
                    </w:rPr>
                    <w:t>三</w:t>
                  </w:r>
                </w:p>
                <w:p w14:paraId="5F7C9D55">
                  <w:pPr>
                    <w:pStyle w:val="127"/>
                    <w:rPr>
                      <w:color w:val="auto"/>
                      <w:szCs w:val="21"/>
                    </w:rPr>
                  </w:pPr>
                  <w:r>
                    <w:rPr>
                      <w:color w:val="auto"/>
                      <w:szCs w:val="21"/>
                    </w:rPr>
                    <w:t>线</w:t>
                  </w:r>
                </w:p>
                <w:p w14:paraId="4AACA902">
                  <w:pPr>
                    <w:pStyle w:val="127"/>
                    <w:rPr>
                      <w:color w:val="auto"/>
                      <w:szCs w:val="21"/>
                    </w:rPr>
                  </w:pPr>
                  <w:r>
                    <w:rPr>
                      <w:color w:val="auto"/>
                      <w:szCs w:val="21"/>
                    </w:rPr>
                    <w:t>一</w:t>
                  </w:r>
                </w:p>
                <w:p w14:paraId="5CDC977A">
                  <w:pPr>
                    <w:pStyle w:val="127"/>
                    <w:rPr>
                      <w:color w:val="auto"/>
                      <w:szCs w:val="21"/>
                    </w:rPr>
                  </w:pPr>
                  <w:r>
                    <w:rPr>
                      <w:color w:val="auto"/>
                      <w:szCs w:val="21"/>
                    </w:rPr>
                    <w:t>单</w:t>
                  </w:r>
                </w:p>
                <w:p w14:paraId="15AC16CA">
                  <w:pPr>
                    <w:pStyle w:val="127"/>
                    <w:rPr>
                      <w:color w:val="auto"/>
                      <w:szCs w:val="21"/>
                    </w:rPr>
                  </w:pPr>
                  <w:r>
                    <w:rPr>
                      <w:color w:val="auto"/>
                      <w:szCs w:val="21"/>
                    </w:rPr>
                    <w:t>要</w:t>
                  </w:r>
                </w:p>
                <w:p w14:paraId="05F2F357">
                  <w:pPr>
                    <w:pStyle w:val="127"/>
                    <w:rPr>
                      <w:color w:val="auto"/>
                      <w:szCs w:val="21"/>
                    </w:rPr>
                  </w:pPr>
                  <w:r>
                    <w:rPr>
                      <w:color w:val="auto"/>
                      <w:szCs w:val="21"/>
                    </w:rPr>
                    <w:t>求</w:t>
                  </w:r>
                </w:p>
              </w:tc>
              <w:tc>
                <w:tcPr>
                  <w:tcW w:w="566" w:type="pct"/>
                  <w:vAlign w:val="center"/>
                </w:tcPr>
                <w:p w14:paraId="546E0DAC">
                  <w:pPr>
                    <w:pStyle w:val="127"/>
                    <w:rPr>
                      <w:color w:val="auto"/>
                      <w:szCs w:val="21"/>
                    </w:rPr>
                  </w:pPr>
                  <w:r>
                    <w:rPr>
                      <w:color w:val="auto"/>
                      <w:szCs w:val="21"/>
                    </w:rPr>
                    <w:t>生态保护红线</w:t>
                  </w:r>
                </w:p>
              </w:tc>
              <w:tc>
                <w:tcPr>
                  <w:tcW w:w="1629" w:type="pct"/>
                  <w:gridSpan w:val="2"/>
                  <w:vAlign w:val="center"/>
                </w:tcPr>
                <w:p w14:paraId="1D0F5AC0">
                  <w:pPr>
                    <w:pStyle w:val="127"/>
                    <w:jc w:val="left"/>
                    <w:rPr>
                      <w:color w:val="auto"/>
                      <w:szCs w:val="21"/>
                    </w:rPr>
                  </w:pPr>
                  <w:r>
                    <w:rPr>
                      <w:color w:val="auto"/>
                      <w:szCs w:val="21"/>
                    </w:rPr>
                    <w:t>全县生态保护红线面408.014 平方公里，占全县国土面积的 14.29%；一般生态空间面积344.5平方公里，占全县国土面积的12.07%。石湾镇生态保护红线面积为0平方公里，一般生态空间</w:t>
                  </w:r>
                  <w:r>
                    <w:rPr>
                      <w:rFonts w:hint="eastAsia"/>
                      <w:color w:val="auto"/>
                      <w:szCs w:val="21"/>
                    </w:rPr>
                    <w:t>0</w:t>
                  </w:r>
                  <w:r>
                    <w:rPr>
                      <w:color w:val="auto"/>
                      <w:szCs w:val="21"/>
                    </w:rPr>
                    <w:t>平方公里，生态空间一般管控区面积81.290平方公里。</w:t>
                  </w:r>
                </w:p>
              </w:tc>
              <w:tc>
                <w:tcPr>
                  <w:tcW w:w="1888" w:type="pct"/>
                  <w:vAlign w:val="center"/>
                </w:tcPr>
                <w:p w14:paraId="7119345D">
                  <w:pPr>
                    <w:pStyle w:val="127"/>
                    <w:jc w:val="left"/>
                    <w:rPr>
                      <w:color w:val="auto"/>
                      <w:kern w:val="2"/>
                    </w:rPr>
                  </w:pPr>
                  <w:r>
                    <w:rPr>
                      <w:color w:val="auto"/>
                      <w:kern w:val="2"/>
                    </w:rPr>
                    <w:t>项目</w:t>
                  </w:r>
                  <w:r>
                    <w:rPr>
                      <w:color w:val="auto"/>
                      <w:szCs w:val="21"/>
                    </w:rPr>
                    <w:t>位于</w:t>
                  </w:r>
                  <w:r>
                    <w:rPr>
                      <w:rFonts w:hint="eastAsia"/>
                      <w:color w:val="auto"/>
                      <w:szCs w:val="21"/>
                    </w:rPr>
                    <w:t>广东省惠州市博罗县石湾镇黄西村宝居乐工业园A1栋4-7楼</w:t>
                  </w:r>
                  <w:r>
                    <w:rPr>
                      <w:color w:val="auto"/>
                      <w:szCs w:val="21"/>
                    </w:rPr>
                    <w:t>，根据</w:t>
                  </w:r>
                  <w:r>
                    <w:rPr>
                      <w:color w:val="auto"/>
                    </w:rPr>
                    <w:t>《博罗县“三线一单”生态环境分区管控图集》-图</w:t>
                  </w:r>
                  <w:r>
                    <w:rPr>
                      <w:rFonts w:hint="eastAsia"/>
                      <w:color w:val="auto"/>
                    </w:rPr>
                    <w:t>7博罗县生态空间最终划定情况，结合</w:t>
                  </w:r>
                  <w:r>
                    <w:rPr>
                      <w:rFonts w:hint="eastAsia"/>
                      <w:color w:val="auto"/>
                      <w:szCs w:val="21"/>
                    </w:rPr>
                    <w:t>《博罗县“三线一单”生态环境分区管控研究报告》</w:t>
                  </w:r>
                  <w:r>
                    <w:rPr>
                      <w:color w:val="auto"/>
                      <w:szCs w:val="21"/>
                    </w:rPr>
                    <w:t>，</w:t>
                  </w:r>
                  <w:r>
                    <w:rPr>
                      <w:rFonts w:hint="eastAsia"/>
                      <w:color w:val="auto"/>
                      <w:szCs w:val="21"/>
                    </w:rPr>
                    <w:t>项目所处位置属于</w:t>
                  </w:r>
                  <w:r>
                    <w:rPr>
                      <w:rFonts w:hint="eastAsia"/>
                      <w:color w:val="auto"/>
                    </w:rPr>
                    <w:t>生态空间一般管控区</w:t>
                  </w:r>
                  <w:r>
                    <w:rPr>
                      <w:color w:val="auto"/>
                      <w:szCs w:val="21"/>
                    </w:rPr>
                    <w:t>范围，符合生态保护红线的要求。</w:t>
                  </w:r>
                </w:p>
              </w:tc>
              <w:tc>
                <w:tcPr>
                  <w:tcW w:w="619" w:type="pct"/>
                  <w:vMerge w:val="restart"/>
                  <w:vAlign w:val="center"/>
                </w:tcPr>
                <w:p w14:paraId="6EFAD1F6">
                  <w:pPr>
                    <w:pStyle w:val="127"/>
                    <w:rPr>
                      <w:color w:val="auto"/>
                      <w:szCs w:val="21"/>
                    </w:rPr>
                  </w:pPr>
                  <w:r>
                    <w:rPr>
                      <w:color w:val="auto"/>
                      <w:szCs w:val="21"/>
                    </w:rPr>
                    <w:t>符合“三线一单”要求</w:t>
                  </w:r>
                </w:p>
              </w:tc>
            </w:tr>
            <w:tr w14:paraId="1BE52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3" w:hRule="atLeast"/>
              </w:trPr>
              <w:tc>
                <w:tcPr>
                  <w:tcW w:w="295" w:type="pct"/>
                  <w:vMerge w:val="continue"/>
                  <w:vAlign w:val="center"/>
                </w:tcPr>
                <w:p w14:paraId="209C9C8C">
                  <w:pPr>
                    <w:pStyle w:val="127"/>
                    <w:rPr>
                      <w:color w:val="auto"/>
                      <w:szCs w:val="21"/>
                    </w:rPr>
                  </w:pPr>
                </w:p>
              </w:tc>
              <w:tc>
                <w:tcPr>
                  <w:tcW w:w="566" w:type="pct"/>
                  <w:vMerge w:val="restart"/>
                  <w:vAlign w:val="center"/>
                </w:tcPr>
                <w:p w14:paraId="332E71F0">
                  <w:pPr>
                    <w:pStyle w:val="127"/>
                    <w:rPr>
                      <w:color w:val="auto"/>
                      <w:szCs w:val="21"/>
                    </w:rPr>
                  </w:pPr>
                  <w:r>
                    <w:rPr>
                      <w:color w:val="auto"/>
                      <w:szCs w:val="21"/>
                    </w:rPr>
                    <w:t>环境质量底线</w:t>
                  </w:r>
                </w:p>
              </w:tc>
              <w:tc>
                <w:tcPr>
                  <w:tcW w:w="201" w:type="pct"/>
                  <w:vAlign w:val="center"/>
                </w:tcPr>
                <w:p w14:paraId="17D5DE2E">
                  <w:pPr>
                    <w:pStyle w:val="127"/>
                    <w:rPr>
                      <w:color w:val="auto"/>
                      <w:szCs w:val="21"/>
                    </w:rPr>
                  </w:pPr>
                  <w:r>
                    <w:rPr>
                      <w:rFonts w:hint="eastAsia"/>
                      <w:color w:val="auto"/>
                      <w:szCs w:val="21"/>
                    </w:rPr>
                    <w:t>水</w:t>
                  </w:r>
                </w:p>
              </w:tc>
              <w:tc>
                <w:tcPr>
                  <w:tcW w:w="1428" w:type="pct"/>
                  <w:vAlign w:val="center"/>
                </w:tcPr>
                <w:p w14:paraId="02B943F6">
                  <w:pPr>
                    <w:pStyle w:val="127"/>
                    <w:jc w:val="left"/>
                    <w:rPr>
                      <w:color w:val="auto"/>
                      <w:szCs w:val="21"/>
                    </w:rPr>
                  </w:pPr>
                  <w:r>
                    <w:rPr>
                      <w:rFonts w:hint="eastAsia"/>
                      <w:color w:val="auto"/>
                      <w:szCs w:val="21"/>
                    </w:rPr>
                    <w:t>全县水环境优先保护区面积330.971</w:t>
                  </w:r>
                  <w:r>
                    <w:rPr>
                      <w:color w:val="auto"/>
                      <w:szCs w:val="21"/>
                    </w:rPr>
                    <w:t>平方公里，</w:t>
                  </w:r>
                  <w:r>
                    <w:rPr>
                      <w:rFonts w:hint="eastAsia"/>
                      <w:color w:val="auto"/>
                      <w:szCs w:val="21"/>
                    </w:rPr>
                    <w:t>水环境重点管控区面积536.976</w:t>
                  </w:r>
                  <w:r>
                    <w:rPr>
                      <w:color w:val="auto"/>
                      <w:szCs w:val="21"/>
                    </w:rPr>
                    <w:t>平方公里，</w:t>
                  </w:r>
                  <w:r>
                    <w:rPr>
                      <w:rFonts w:hint="eastAsia"/>
                      <w:color w:val="auto"/>
                      <w:szCs w:val="21"/>
                    </w:rPr>
                    <w:t>水环境一般管控区面积1987.258</w:t>
                  </w:r>
                  <w:r>
                    <w:rPr>
                      <w:color w:val="auto"/>
                      <w:szCs w:val="21"/>
                    </w:rPr>
                    <w:t>平方公里</w:t>
                  </w:r>
                  <w:r>
                    <w:rPr>
                      <w:rFonts w:hint="eastAsia"/>
                      <w:color w:val="auto"/>
                      <w:szCs w:val="21"/>
                    </w:rPr>
                    <w:t>。石湾镇水环境优先保护区面积0</w:t>
                  </w:r>
                  <w:r>
                    <w:rPr>
                      <w:color w:val="auto"/>
                      <w:szCs w:val="21"/>
                    </w:rPr>
                    <w:t>平方公里，</w:t>
                  </w:r>
                  <w:r>
                    <w:rPr>
                      <w:rFonts w:hint="eastAsia"/>
                      <w:color w:val="auto"/>
                      <w:szCs w:val="21"/>
                    </w:rPr>
                    <w:t>水环境生活污染重点管控区面积42.956</w:t>
                  </w:r>
                  <w:r>
                    <w:rPr>
                      <w:color w:val="auto"/>
                      <w:szCs w:val="21"/>
                    </w:rPr>
                    <w:t>平方公里，</w:t>
                  </w:r>
                  <w:r>
                    <w:rPr>
                      <w:rFonts w:hint="eastAsia"/>
                      <w:color w:val="auto"/>
                      <w:szCs w:val="21"/>
                    </w:rPr>
                    <w:t>水环境工业污染重点管控区面积30.901</w:t>
                  </w:r>
                  <w:r>
                    <w:rPr>
                      <w:color w:val="auto"/>
                      <w:szCs w:val="21"/>
                    </w:rPr>
                    <w:t>平方公里，</w:t>
                  </w:r>
                  <w:r>
                    <w:rPr>
                      <w:rFonts w:hint="eastAsia"/>
                      <w:color w:val="auto"/>
                      <w:szCs w:val="21"/>
                    </w:rPr>
                    <w:t>水环境一般管控区面积7.433</w:t>
                  </w:r>
                  <w:r>
                    <w:rPr>
                      <w:color w:val="auto"/>
                      <w:szCs w:val="21"/>
                    </w:rPr>
                    <w:t>平方公里</w:t>
                  </w:r>
                  <w:r>
                    <w:rPr>
                      <w:rFonts w:hint="eastAsia"/>
                      <w:color w:val="auto"/>
                      <w:szCs w:val="21"/>
                    </w:rPr>
                    <w:t>。</w:t>
                  </w:r>
                </w:p>
              </w:tc>
              <w:tc>
                <w:tcPr>
                  <w:tcW w:w="1888" w:type="pct"/>
                  <w:vAlign w:val="center"/>
                </w:tcPr>
                <w:p w14:paraId="1870DF27">
                  <w:pPr>
                    <w:pStyle w:val="127"/>
                    <w:jc w:val="left"/>
                    <w:rPr>
                      <w:color w:val="auto"/>
                      <w:szCs w:val="21"/>
                    </w:rPr>
                  </w:pPr>
                  <w:r>
                    <w:rPr>
                      <w:color w:val="auto"/>
                      <w:szCs w:val="21"/>
                    </w:rPr>
                    <w:t>根据</w:t>
                  </w:r>
                  <w:r>
                    <w:rPr>
                      <w:color w:val="auto"/>
                    </w:rPr>
                    <w:t>《博罗县“三线一单”生态环境分区管控图集》-图</w:t>
                  </w:r>
                  <w:r>
                    <w:rPr>
                      <w:rFonts w:hint="eastAsia"/>
                      <w:color w:val="auto"/>
                    </w:rPr>
                    <w:t>10博罗县水环境质量底线管控分区划定情况，结合</w:t>
                  </w:r>
                  <w:r>
                    <w:rPr>
                      <w:rFonts w:hint="eastAsia"/>
                      <w:color w:val="auto"/>
                      <w:szCs w:val="21"/>
                    </w:rPr>
                    <w:t>《博罗县“三线一单”生态环境分区管控研究报告》</w:t>
                  </w:r>
                  <w:r>
                    <w:rPr>
                      <w:color w:val="auto"/>
                      <w:szCs w:val="21"/>
                    </w:rPr>
                    <w:t>，</w:t>
                  </w:r>
                  <w:r>
                    <w:rPr>
                      <w:rFonts w:hint="eastAsia"/>
                      <w:color w:val="auto"/>
                      <w:szCs w:val="21"/>
                    </w:rPr>
                    <w:t>项目所处位置属于</w:t>
                  </w:r>
                  <w:r>
                    <w:rPr>
                      <w:rFonts w:hint="eastAsia"/>
                      <w:color w:val="auto"/>
                    </w:rPr>
                    <w:t>水环境工业污染重点管控区</w:t>
                  </w:r>
                  <w:r>
                    <w:rPr>
                      <w:color w:val="auto"/>
                      <w:szCs w:val="21"/>
                    </w:rPr>
                    <w:t>范围，</w:t>
                  </w:r>
                  <w:r>
                    <w:rPr>
                      <w:rFonts w:hint="eastAsia"/>
                      <w:color w:val="auto"/>
                      <w:szCs w:val="21"/>
                    </w:rPr>
                    <w:t>营运期间产生的生产废水经处理后回用于前处理线清洗用水、喷淋塔用水，浓缩废液和水帘柜废水定期由有危险废物处理资质单位清运处理，</w:t>
                  </w:r>
                  <w:r>
                    <w:rPr>
                      <w:rFonts w:hint="eastAsia"/>
                      <w:color w:val="auto"/>
                      <w:kern w:val="2"/>
                    </w:rPr>
                    <w:t>不对外排放生产废水</w:t>
                  </w:r>
                  <w:r>
                    <w:rPr>
                      <w:rFonts w:hint="eastAsia"/>
                      <w:color w:val="auto"/>
                      <w:szCs w:val="21"/>
                    </w:rPr>
                    <w:t>，外排废水主要为生活污水，生活污水经市政管网进入石湾镇西基生活污水厂处理，故项目的建成对周边地表水环境基本没影响。</w:t>
                  </w:r>
                </w:p>
              </w:tc>
              <w:tc>
                <w:tcPr>
                  <w:tcW w:w="619" w:type="pct"/>
                  <w:vMerge w:val="continue"/>
                  <w:vAlign w:val="center"/>
                </w:tcPr>
                <w:p w14:paraId="3D2DAA25">
                  <w:pPr>
                    <w:pStyle w:val="127"/>
                    <w:rPr>
                      <w:color w:val="auto"/>
                      <w:szCs w:val="21"/>
                    </w:rPr>
                  </w:pPr>
                </w:p>
              </w:tc>
            </w:tr>
            <w:tr w14:paraId="1367A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trPr>
              <w:tc>
                <w:tcPr>
                  <w:tcW w:w="295" w:type="pct"/>
                  <w:vMerge w:val="continue"/>
                  <w:vAlign w:val="center"/>
                </w:tcPr>
                <w:p w14:paraId="4168A398">
                  <w:pPr>
                    <w:pStyle w:val="127"/>
                    <w:rPr>
                      <w:color w:val="auto"/>
                      <w:szCs w:val="21"/>
                    </w:rPr>
                  </w:pPr>
                </w:p>
              </w:tc>
              <w:tc>
                <w:tcPr>
                  <w:tcW w:w="566" w:type="pct"/>
                  <w:vMerge w:val="continue"/>
                  <w:vAlign w:val="center"/>
                </w:tcPr>
                <w:p w14:paraId="6658E3AB">
                  <w:pPr>
                    <w:pStyle w:val="127"/>
                    <w:rPr>
                      <w:color w:val="auto"/>
                      <w:szCs w:val="21"/>
                    </w:rPr>
                  </w:pPr>
                </w:p>
              </w:tc>
              <w:tc>
                <w:tcPr>
                  <w:tcW w:w="201" w:type="pct"/>
                  <w:vAlign w:val="center"/>
                </w:tcPr>
                <w:p w14:paraId="7B231512">
                  <w:pPr>
                    <w:pStyle w:val="127"/>
                    <w:rPr>
                      <w:color w:val="auto"/>
                      <w:szCs w:val="21"/>
                    </w:rPr>
                  </w:pPr>
                  <w:r>
                    <w:rPr>
                      <w:color w:val="auto"/>
                      <w:szCs w:val="21"/>
                    </w:rPr>
                    <w:t>气</w:t>
                  </w:r>
                </w:p>
              </w:tc>
              <w:tc>
                <w:tcPr>
                  <w:tcW w:w="1428" w:type="pct"/>
                  <w:vAlign w:val="center"/>
                </w:tcPr>
                <w:p w14:paraId="0BEC60B5">
                  <w:pPr>
                    <w:pStyle w:val="127"/>
                    <w:jc w:val="left"/>
                    <w:rPr>
                      <w:color w:val="auto"/>
                      <w:szCs w:val="21"/>
                    </w:rPr>
                  </w:pPr>
                  <w:r>
                    <w:rPr>
                      <w:rFonts w:hint="eastAsia"/>
                      <w:color w:val="auto"/>
                      <w:szCs w:val="21"/>
                    </w:rPr>
                    <w:t>全县</w:t>
                  </w:r>
                  <w:r>
                    <w:rPr>
                      <w:color w:val="auto"/>
                      <w:szCs w:val="21"/>
                    </w:rPr>
                    <w:t>大气环境优先保护区面积673.794平方公里，占博罗县面积的23.60%；4 类重点管控区叠加去重叠后的面积为1226.730平方公里，占博罗县国土面积的42.96%；大气环境一般管控区面积954.681平方公里，占博罗县国土面积的33.44%。</w:t>
                  </w:r>
                  <w:r>
                    <w:rPr>
                      <w:rFonts w:hint="eastAsia"/>
                      <w:color w:val="auto"/>
                      <w:szCs w:val="21"/>
                    </w:rPr>
                    <w:t>石湾镇大气环境优先保护区面积0</w:t>
                  </w:r>
                  <w:r>
                    <w:rPr>
                      <w:color w:val="auto"/>
                      <w:szCs w:val="21"/>
                    </w:rPr>
                    <w:t>平方公里，</w:t>
                  </w:r>
                  <w:r>
                    <w:rPr>
                      <w:rFonts w:hint="eastAsia"/>
                      <w:color w:val="auto"/>
                      <w:szCs w:val="21"/>
                    </w:rPr>
                    <w:t>大气环境布局敏感重点管控区面积0</w:t>
                  </w:r>
                  <w:r>
                    <w:rPr>
                      <w:color w:val="auto"/>
                      <w:szCs w:val="21"/>
                    </w:rPr>
                    <w:t>平方公里，</w:t>
                  </w:r>
                  <w:r>
                    <w:rPr>
                      <w:rFonts w:hint="eastAsia"/>
                      <w:color w:val="auto"/>
                      <w:szCs w:val="21"/>
                    </w:rPr>
                    <w:t>大气环境高排放重点管控区面积81.290</w:t>
                  </w:r>
                  <w:r>
                    <w:rPr>
                      <w:color w:val="auto"/>
                      <w:szCs w:val="21"/>
                    </w:rPr>
                    <w:t>平方公里，</w:t>
                  </w:r>
                  <w:r>
                    <w:rPr>
                      <w:rFonts w:hint="eastAsia"/>
                      <w:color w:val="auto"/>
                      <w:szCs w:val="21"/>
                    </w:rPr>
                    <w:t>大气环境弱扩散重点管控区面积0</w:t>
                  </w:r>
                  <w:r>
                    <w:rPr>
                      <w:color w:val="auto"/>
                      <w:szCs w:val="21"/>
                    </w:rPr>
                    <w:t>平方公里，</w:t>
                  </w:r>
                  <w:r>
                    <w:rPr>
                      <w:rFonts w:hint="eastAsia"/>
                      <w:color w:val="auto"/>
                      <w:szCs w:val="21"/>
                    </w:rPr>
                    <w:t>大气环境一般管控区面积0</w:t>
                  </w:r>
                  <w:r>
                    <w:rPr>
                      <w:color w:val="auto"/>
                      <w:szCs w:val="21"/>
                    </w:rPr>
                    <w:t>平方公里</w:t>
                  </w:r>
                  <w:r>
                    <w:rPr>
                      <w:rFonts w:hint="eastAsia"/>
                      <w:color w:val="auto"/>
                      <w:szCs w:val="21"/>
                    </w:rPr>
                    <w:t>。</w:t>
                  </w:r>
                </w:p>
                <w:p w14:paraId="0646BB53">
                  <w:pPr>
                    <w:pStyle w:val="127"/>
                    <w:jc w:val="left"/>
                    <w:rPr>
                      <w:color w:val="auto"/>
                      <w:szCs w:val="21"/>
                    </w:rPr>
                  </w:pPr>
                  <w:r>
                    <w:rPr>
                      <w:color w:val="auto"/>
                      <w:szCs w:val="21"/>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1888" w:type="pct"/>
                  <w:vAlign w:val="center"/>
                </w:tcPr>
                <w:p w14:paraId="628D2223">
                  <w:pPr>
                    <w:pStyle w:val="127"/>
                    <w:jc w:val="left"/>
                    <w:rPr>
                      <w:color w:val="auto"/>
                      <w:szCs w:val="21"/>
                    </w:rPr>
                  </w:pPr>
                  <w:r>
                    <w:rPr>
                      <w:color w:val="auto"/>
                      <w:szCs w:val="21"/>
                    </w:rPr>
                    <w:t>根据</w:t>
                  </w:r>
                  <w:r>
                    <w:rPr>
                      <w:color w:val="auto"/>
                    </w:rPr>
                    <w:t>《博罗县“三线一单”生态环境分区管控图集》-</w:t>
                  </w:r>
                  <w:r>
                    <w:rPr>
                      <w:rFonts w:hint="eastAsia"/>
                      <w:color w:val="auto"/>
                    </w:rPr>
                    <w:t>图14博罗县大气环境质量底线管控分区划定情况，结合</w:t>
                  </w:r>
                  <w:r>
                    <w:rPr>
                      <w:rFonts w:hint="eastAsia"/>
                      <w:color w:val="auto"/>
                      <w:szCs w:val="21"/>
                    </w:rPr>
                    <w:t>《博罗县“三线一单”生态环境分区管控研究报告》</w:t>
                  </w:r>
                  <w:r>
                    <w:rPr>
                      <w:color w:val="auto"/>
                      <w:szCs w:val="21"/>
                    </w:rPr>
                    <w:t>，</w:t>
                  </w:r>
                  <w:r>
                    <w:rPr>
                      <w:rFonts w:hint="eastAsia"/>
                      <w:color w:val="auto"/>
                      <w:szCs w:val="21"/>
                    </w:rPr>
                    <w:t>项目所处位置属于</w:t>
                  </w:r>
                  <w:r>
                    <w:rPr>
                      <w:rFonts w:hint="eastAsia"/>
                      <w:color w:val="auto"/>
                    </w:rPr>
                    <w:t>大气环境高排放重点管控区</w:t>
                  </w:r>
                  <w:r>
                    <w:rPr>
                      <w:color w:val="auto"/>
                      <w:szCs w:val="21"/>
                    </w:rPr>
                    <w:t>，</w:t>
                  </w:r>
                  <w:r>
                    <w:rPr>
                      <w:color w:val="auto"/>
                      <w:kern w:val="2"/>
                    </w:rPr>
                    <w:t>项目</w:t>
                  </w:r>
                  <w:r>
                    <w:rPr>
                      <w:rFonts w:hint="eastAsia"/>
                      <w:color w:val="auto"/>
                      <w:szCs w:val="21"/>
                    </w:rPr>
                    <w:t>营运</w:t>
                  </w:r>
                  <w:r>
                    <w:rPr>
                      <w:color w:val="auto"/>
                      <w:szCs w:val="21"/>
                    </w:rPr>
                    <w:t>期间</w:t>
                  </w:r>
                  <w:r>
                    <w:rPr>
                      <w:rFonts w:hint="eastAsia"/>
                      <w:color w:val="auto"/>
                      <w:szCs w:val="21"/>
                    </w:rPr>
                    <w:t>所使用的水性底漆、水性面漆、水性清漆和粉末涂料均不属于高挥发性有机物原辅材料，酸洗过程产生的硫酸雾采取“碱性喷淋塔”处理；喷粉过程产生的粉尘废气</w:t>
                  </w:r>
                  <w:r>
                    <w:rPr>
                      <w:color w:val="auto"/>
                      <w:szCs w:val="21"/>
                    </w:rPr>
                    <w:t>采取</w:t>
                  </w:r>
                  <w:r>
                    <w:rPr>
                      <w:rFonts w:hint="eastAsia"/>
                      <w:color w:val="auto"/>
                      <w:szCs w:val="21"/>
                    </w:rPr>
                    <w:t>“布袋除尘器”废气处理设施处理；喷漆过程产生的喷漆废气和烘烤固化过程产生的烘烤废气采取“水帘柜+喷淋塔+除湿装置+二级活性炭吸附装置”处理</w:t>
                  </w:r>
                  <w:r>
                    <w:rPr>
                      <w:color w:val="auto"/>
                      <w:szCs w:val="21"/>
                    </w:rPr>
                    <w:t>，</w:t>
                  </w:r>
                  <w:r>
                    <w:rPr>
                      <w:rFonts w:hint="eastAsia"/>
                      <w:color w:val="auto"/>
                      <w:szCs w:val="21"/>
                    </w:rPr>
                    <w:t>天然气燃烧采取低氮燃烧器，则项目废气经处理达标后</w:t>
                  </w:r>
                  <w:r>
                    <w:rPr>
                      <w:color w:val="auto"/>
                      <w:szCs w:val="21"/>
                    </w:rPr>
                    <w:t>排放</w:t>
                  </w:r>
                  <w:r>
                    <w:rPr>
                      <w:rFonts w:hint="eastAsia"/>
                      <w:color w:val="auto"/>
                      <w:szCs w:val="21"/>
                    </w:rPr>
                    <w:t>，对周边大气环境造成影响较小</w:t>
                  </w:r>
                  <w:r>
                    <w:rPr>
                      <w:color w:val="auto"/>
                      <w:szCs w:val="21"/>
                    </w:rPr>
                    <w:t>，不会改变区域环境功能区质量要求。</w:t>
                  </w:r>
                </w:p>
              </w:tc>
              <w:tc>
                <w:tcPr>
                  <w:tcW w:w="619" w:type="pct"/>
                  <w:vMerge w:val="continue"/>
                  <w:vAlign w:val="center"/>
                </w:tcPr>
                <w:p w14:paraId="5B638163">
                  <w:pPr>
                    <w:pStyle w:val="127"/>
                    <w:rPr>
                      <w:color w:val="auto"/>
                      <w:szCs w:val="21"/>
                    </w:rPr>
                  </w:pPr>
                </w:p>
              </w:tc>
            </w:tr>
            <w:tr w14:paraId="10EC9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295" w:type="pct"/>
                  <w:vMerge w:val="continue"/>
                  <w:vAlign w:val="center"/>
                </w:tcPr>
                <w:p w14:paraId="0AE43AB9">
                  <w:pPr>
                    <w:pStyle w:val="127"/>
                    <w:rPr>
                      <w:color w:val="auto"/>
                      <w:szCs w:val="21"/>
                    </w:rPr>
                  </w:pPr>
                </w:p>
              </w:tc>
              <w:tc>
                <w:tcPr>
                  <w:tcW w:w="566" w:type="pct"/>
                  <w:vMerge w:val="continue"/>
                  <w:vAlign w:val="center"/>
                </w:tcPr>
                <w:p w14:paraId="70AD7085">
                  <w:pPr>
                    <w:pStyle w:val="127"/>
                    <w:rPr>
                      <w:color w:val="auto"/>
                      <w:szCs w:val="21"/>
                    </w:rPr>
                  </w:pPr>
                </w:p>
              </w:tc>
              <w:tc>
                <w:tcPr>
                  <w:tcW w:w="201" w:type="pct"/>
                  <w:vAlign w:val="center"/>
                </w:tcPr>
                <w:p w14:paraId="48C289B0">
                  <w:pPr>
                    <w:pStyle w:val="127"/>
                    <w:rPr>
                      <w:color w:val="auto"/>
                      <w:szCs w:val="21"/>
                    </w:rPr>
                  </w:pPr>
                  <w:r>
                    <w:rPr>
                      <w:color w:val="auto"/>
                      <w:szCs w:val="21"/>
                    </w:rPr>
                    <w:t>土壤</w:t>
                  </w:r>
                </w:p>
              </w:tc>
              <w:tc>
                <w:tcPr>
                  <w:tcW w:w="1428" w:type="pct"/>
                  <w:vAlign w:val="center"/>
                </w:tcPr>
                <w:p w14:paraId="6A290A03">
                  <w:pPr>
                    <w:pStyle w:val="127"/>
                    <w:jc w:val="both"/>
                    <w:rPr>
                      <w:color w:val="auto"/>
                      <w:szCs w:val="21"/>
                    </w:rPr>
                  </w:pPr>
                  <w:r>
                    <w:rPr>
                      <w:rFonts w:hint="eastAsia"/>
                      <w:color w:val="auto"/>
                      <w:szCs w:val="21"/>
                    </w:rPr>
                    <w:t>全县建设用地土壤环境一般管控区面积</w:t>
                  </w:r>
                  <w:r>
                    <w:rPr>
                      <w:color w:val="auto"/>
                      <w:szCs w:val="21"/>
                    </w:rPr>
                    <w:t>373.767平方公里</w:t>
                  </w:r>
                  <w:r>
                    <w:rPr>
                      <w:rFonts w:hint="eastAsia"/>
                      <w:color w:val="auto"/>
                      <w:szCs w:val="21"/>
                    </w:rPr>
                    <w:t xml:space="preserve">，石湾镇建设用 </w:t>
                  </w:r>
                </w:p>
                <w:p w14:paraId="43721691">
                  <w:pPr>
                    <w:pStyle w:val="127"/>
                    <w:jc w:val="both"/>
                    <w:rPr>
                      <w:color w:val="auto"/>
                      <w:szCs w:val="21"/>
                    </w:rPr>
                  </w:pPr>
                  <w:r>
                    <w:rPr>
                      <w:rFonts w:hint="eastAsia"/>
                      <w:color w:val="auto"/>
                      <w:szCs w:val="21"/>
                    </w:rPr>
                    <w:t>地一般管控区面积</w:t>
                  </w:r>
                  <w:r>
                    <w:rPr>
                      <w:color w:val="auto"/>
                      <w:szCs w:val="21"/>
                    </w:rPr>
                    <w:t>26.089平方公里</w:t>
                  </w:r>
                  <w:r>
                    <w:rPr>
                      <w:rFonts w:hint="eastAsia"/>
                      <w:color w:val="auto"/>
                      <w:szCs w:val="21"/>
                    </w:rPr>
                    <w:t>，石湾镇未利用地一般管控区面积</w:t>
                  </w:r>
                  <w:r>
                    <w:rPr>
                      <w:color w:val="auto"/>
                      <w:szCs w:val="21"/>
                    </w:rPr>
                    <w:t>6.939平方公里</w:t>
                  </w:r>
                  <w:r>
                    <w:rPr>
                      <w:rFonts w:hint="eastAsia"/>
                      <w:color w:val="auto"/>
                      <w:szCs w:val="21"/>
                    </w:rPr>
                    <w:t>。</w:t>
                  </w:r>
                </w:p>
              </w:tc>
              <w:tc>
                <w:tcPr>
                  <w:tcW w:w="1888" w:type="pct"/>
                  <w:vAlign w:val="center"/>
                </w:tcPr>
                <w:p w14:paraId="0AD88DB9">
                  <w:pPr>
                    <w:pStyle w:val="127"/>
                    <w:jc w:val="left"/>
                    <w:rPr>
                      <w:color w:val="auto"/>
                      <w:szCs w:val="21"/>
                    </w:rPr>
                  </w:pPr>
                  <w:r>
                    <w:rPr>
                      <w:color w:val="auto"/>
                      <w:szCs w:val="21"/>
                    </w:rPr>
                    <w:t>根据</w:t>
                  </w:r>
                  <w:r>
                    <w:rPr>
                      <w:color w:val="auto"/>
                    </w:rPr>
                    <w:t>《博罗县“三线一单”生态环境分区管控图集》-</w:t>
                  </w:r>
                  <w:r>
                    <w:rPr>
                      <w:rFonts w:hint="eastAsia"/>
                      <w:color w:val="auto"/>
                    </w:rPr>
                    <w:t>图15博罗县建设用地土壤管控分区划定情况，结合</w:t>
                  </w:r>
                  <w:r>
                    <w:rPr>
                      <w:rFonts w:hint="eastAsia"/>
                      <w:color w:val="auto"/>
                      <w:szCs w:val="21"/>
                    </w:rPr>
                    <w:t>《博罗县“三线一单”生态环境分区管控研究报告》</w:t>
                  </w:r>
                  <w:r>
                    <w:rPr>
                      <w:color w:val="auto"/>
                      <w:szCs w:val="21"/>
                    </w:rPr>
                    <w:t>，</w:t>
                  </w:r>
                  <w:r>
                    <w:rPr>
                      <w:rFonts w:hint="eastAsia"/>
                      <w:color w:val="auto"/>
                      <w:szCs w:val="21"/>
                    </w:rPr>
                    <w:t>项目所处位置属于</w:t>
                  </w:r>
                  <w:r>
                    <w:rPr>
                      <w:rFonts w:hint="eastAsia"/>
                      <w:color w:val="auto"/>
                    </w:rPr>
                    <w:t>土壤环境一般管控区-不含农用地</w:t>
                  </w:r>
                  <w:r>
                    <w:rPr>
                      <w:color w:val="auto"/>
                      <w:szCs w:val="21"/>
                    </w:rPr>
                    <w:t>范围，</w:t>
                  </w:r>
                  <w:r>
                    <w:rPr>
                      <w:color w:val="auto"/>
                      <w:kern w:val="2"/>
                    </w:rPr>
                    <w:t>项目</w:t>
                  </w:r>
                  <w:r>
                    <w:rPr>
                      <w:color w:val="auto"/>
                      <w:szCs w:val="21"/>
                    </w:rPr>
                    <w:t>生产过程中不使用有毒有害物质，无生产废水排放，项目占地范围内已进行地面硬化处理，分区防渗，已做好雨污分流工作，生活污水经预处理后排入市政管网，不存在土壤环境污染途径，不会对周边土壤环境造成不利影响。</w:t>
                  </w:r>
                </w:p>
              </w:tc>
              <w:tc>
                <w:tcPr>
                  <w:tcW w:w="619" w:type="pct"/>
                  <w:vMerge w:val="continue"/>
                  <w:vAlign w:val="center"/>
                </w:tcPr>
                <w:p w14:paraId="30C1ABE7">
                  <w:pPr>
                    <w:pStyle w:val="127"/>
                    <w:rPr>
                      <w:color w:val="auto"/>
                      <w:szCs w:val="21"/>
                    </w:rPr>
                  </w:pPr>
                </w:p>
              </w:tc>
            </w:tr>
            <w:tr w14:paraId="508BB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9" w:hRule="atLeast"/>
              </w:trPr>
              <w:tc>
                <w:tcPr>
                  <w:tcW w:w="295" w:type="pct"/>
                  <w:vMerge w:val="continue"/>
                  <w:vAlign w:val="center"/>
                </w:tcPr>
                <w:p w14:paraId="5E972B33">
                  <w:pPr>
                    <w:pStyle w:val="127"/>
                    <w:rPr>
                      <w:color w:val="auto"/>
                      <w:szCs w:val="21"/>
                    </w:rPr>
                  </w:pPr>
                </w:p>
              </w:tc>
              <w:tc>
                <w:tcPr>
                  <w:tcW w:w="566" w:type="pct"/>
                  <w:vMerge w:val="restart"/>
                  <w:vAlign w:val="center"/>
                </w:tcPr>
                <w:p w14:paraId="686130D8">
                  <w:pPr>
                    <w:pStyle w:val="127"/>
                    <w:rPr>
                      <w:color w:val="auto"/>
                      <w:szCs w:val="21"/>
                    </w:rPr>
                  </w:pPr>
                  <w:r>
                    <w:rPr>
                      <w:color w:val="auto"/>
                      <w:szCs w:val="21"/>
                    </w:rPr>
                    <w:t>资源利用上线</w:t>
                  </w:r>
                </w:p>
              </w:tc>
              <w:tc>
                <w:tcPr>
                  <w:tcW w:w="1629" w:type="pct"/>
                  <w:gridSpan w:val="2"/>
                  <w:vAlign w:val="center"/>
                </w:tcPr>
                <w:p w14:paraId="739BCF31">
                  <w:pPr>
                    <w:pStyle w:val="127"/>
                    <w:jc w:val="both"/>
                    <w:rPr>
                      <w:color w:val="auto"/>
                      <w:szCs w:val="21"/>
                    </w:rPr>
                  </w:pPr>
                  <w:r>
                    <w:rPr>
                      <w:color w:val="auto"/>
                      <w:szCs w:val="21"/>
                    </w:rPr>
                    <w:t>土地资源管控分区：对于土地资源分区，将土地资源划分为优先保护区、重点管控区和一般管控区</w:t>
                  </w:r>
                  <w:r>
                    <w:rPr>
                      <w:rFonts w:hint="eastAsia"/>
                      <w:color w:val="auto"/>
                      <w:szCs w:val="21"/>
                    </w:rPr>
                    <w:t>3</w:t>
                  </w:r>
                  <w:r>
                    <w:rPr>
                      <w:color w:val="auto"/>
                      <w:szCs w:val="21"/>
                    </w:rPr>
                    <w:t>类。其中，将生态保护红线和永久基本农田的图层叠加取并集形成优先保护区；将受污染建设用地作为重点管控区；其他区域为一般管控区。博罗县共划定土地资源优先保护区 834.505平方公里。</w:t>
                  </w:r>
                </w:p>
              </w:tc>
              <w:tc>
                <w:tcPr>
                  <w:tcW w:w="1888" w:type="pct"/>
                  <w:vAlign w:val="center"/>
                </w:tcPr>
                <w:p w14:paraId="3B688D40">
                  <w:pPr>
                    <w:pStyle w:val="127"/>
                    <w:jc w:val="left"/>
                    <w:rPr>
                      <w:color w:val="auto"/>
                      <w:szCs w:val="21"/>
                    </w:rPr>
                  </w:pPr>
                  <w:r>
                    <w:rPr>
                      <w:color w:val="auto"/>
                      <w:szCs w:val="21"/>
                    </w:rPr>
                    <w:t>根据</w:t>
                  </w:r>
                  <w:r>
                    <w:rPr>
                      <w:color w:val="auto"/>
                    </w:rPr>
                    <w:t>《博罗县“三线一单”生态环境分区管控图集》-</w:t>
                  </w:r>
                  <w:r>
                    <w:rPr>
                      <w:rFonts w:hint="eastAsia"/>
                      <w:color w:val="auto"/>
                    </w:rPr>
                    <w:t>图16博罗县资源利用上线——土地资源优先保护区划定情况，结合</w:t>
                  </w:r>
                  <w:r>
                    <w:rPr>
                      <w:rFonts w:hint="eastAsia"/>
                      <w:color w:val="auto"/>
                      <w:szCs w:val="21"/>
                    </w:rPr>
                    <w:t>《博罗县“三线一单”生态环境分区管控研究报告》，项目所在位置不属于</w:t>
                  </w:r>
                  <w:r>
                    <w:rPr>
                      <w:rFonts w:hint="eastAsia"/>
                      <w:color w:val="auto"/>
                    </w:rPr>
                    <w:t>土地资源优先保护区。</w:t>
                  </w:r>
                </w:p>
              </w:tc>
              <w:tc>
                <w:tcPr>
                  <w:tcW w:w="619" w:type="pct"/>
                  <w:vMerge w:val="continue"/>
                  <w:vAlign w:val="center"/>
                </w:tcPr>
                <w:p w14:paraId="34FFB33B">
                  <w:pPr>
                    <w:pStyle w:val="127"/>
                    <w:rPr>
                      <w:color w:val="auto"/>
                      <w:szCs w:val="21"/>
                    </w:rPr>
                  </w:pPr>
                </w:p>
              </w:tc>
            </w:tr>
            <w:tr w14:paraId="06A50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9" w:hRule="atLeast"/>
              </w:trPr>
              <w:tc>
                <w:tcPr>
                  <w:tcW w:w="295" w:type="pct"/>
                  <w:vMerge w:val="continue"/>
                  <w:vAlign w:val="center"/>
                </w:tcPr>
                <w:p w14:paraId="1ADB8A99">
                  <w:pPr>
                    <w:pStyle w:val="127"/>
                    <w:rPr>
                      <w:color w:val="auto"/>
                    </w:rPr>
                  </w:pPr>
                </w:p>
              </w:tc>
              <w:tc>
                <w:tcPr>
                  <w:tcW w:w="566" w:type="pct"/>
                  <w:vMerge w:val="continue"/>
                  <w:vAlign w:val="center"/>
                </w:tcPr>
                <w:p w14:paraId="7360BEC9">
                  <w:pPr>
                    <w:pStyle w:val="127"/>
                    <w:rPr>
                      <w:color w:val="auto"/>
                    </w:rPr>
                  </w:pPr>
                </w:p>
              </w:tc>
              <w:tc>
                <w:tcPr>
                  <w:tcW w:w="1629" w:type="pct"/>
                  <w:gridSpan w:val="2"/>
                  <w:vAlign w:val="center"/>
                </w:tcPr>
                <w:p w14:paraId="61840F7E">
                  <w:pPr>
                    <w:pStyle w:val="127"/>
                    <w:jc w:val="both"/>
                    <w:rPr>
                      <w:color w:val="auto"/>
                      <w:szCs w:val="21"/>
                    </w:rPr>
                  </w:pPr>
                  <w:r>
                    <w:rPr>
                      <w:color w:val="auto"/>
                      <w:szCs w:val="21"/>
                    </w:rPr>
                    <w:t>能源（煤炭）管控分区：将《惠州市人民政府关于重新划定惠州市高污染燃料禁燃区的通告》（惠府〔2018〕2 号）文件中Ⅲ类管控燃料控制区划入高污染燃料禁燃区，作为能源（煤炭）利用的重点管控区，总面积 394.927平方公里。</w:t>
                  </w:r>
                </w:p>
              </w:tc>
              <w:tc>
                <w:tcPr>
                  <w:tcW w:w="1888" w:type="pct"/>
                  <w:vAlign w:val="center"/>
                </w:tcPr>
                <w:p w14:paraId="225332F6">
                  <w:pPr>
                    <w:pStyle w:val="127"/>
                    <w:jc w:val="both"/>
                    <w:rPr>
                      <w:color w:val="auto"/>
                      <w:szCs w:val="21"/>
                    </w:rPr>
                  </w:pPr>
                  <w:r>
                    <w:rPr>
                      <w:color w:val="auto"/>
                      <w:szCs w:val="21"/>
                    </w:rPr>
                    <w:t>根据</w:t>
                  </w:r>
                  <w:r>
                    <w:rPr>
                      <w:color w:val="auto"/>
                    </w:rPr>
                    <w:t>《博罗县“三线一单”生态环境分区管控图集》-</w:t>
                  </w:r>
                  <w:r>
                    <w:rPr>
                      <w:rFonts w:hint="eastAsia"/>
                      <w:color w:val="auto"/>
                    </w:rPr>
                    <w:t>图18博罗县资源利用上线——高污染燃料禁燃区划定情况 ，结合</w:t>
                  </w:r>
                  <w:r>
                    <w:rPr>
                      <w:rFonts w:hint="eastAsia"/>
                      <w:color w:val="auto"/>
                      <w:szCs w:val="21"/>
                    </w:rPr>
                    <w:t>《博罗县“三线一单”生态环境分区管控研究报告》，项目所在位置不属于</w:t>
                  </w:r>
                  <w:r>
                    <w:rPr>
                      <w:rFonts w:hint="eastAsia"/>
                      <w:color w:val="auto"/>
                    </w:rPr>
                    <w:t>高污染燃料禁燃区，且项目不使用高污染燃料。</w:t>
                  </w:r>
                </w:p>
              </w:tc>
              <w:tc>
                <w:tcPr>
                  <w:tcW w:w="619" w:type="pct"/>
                  <w:vMerge w:val="continue"/>
                  <w:vAlign w:val="center"/>
                </w:tcPr>
                <w:p w14:paraId="6CD6C734">
                  <w:pPr>
                    <w:pStyle w:val="127"/>
                    <w:rPr>
                      <w:color w:val="auto"/>
                      <w:szCs w:val="21"/>
                    </w:rPr>
                  </w:pPr>
                </w:p>
              </w:tc>
            </w:tr>
            <w:tr w14:paraId="26FD4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9" w:hRule="atLeast"/>
              </w:trPr>
              <w:tc>
                <w:tcPr>
                  <w:tcW w:w="295" w:type="pct"/>
                  <w:vMerge w:val="continue"/>
                  <w:vAlign w:val="center"/>
                </w:tcPr>
                <w:p w14:paraId="04E8F881">
                  <w:pPr>
                    <w:pStyle w:val="127"/>
                    <w:rPr>
                      <w:color w:val="auto"/>
                      <w:szCs w:val="21"/>
                    </w:rPr>
                  </w:pPr>
                </w:p>
              </w:tc>
              <w:tc>
                <w:tcPr>
                  <w:tcW w:w="566" w:type="pct"/>
                  <w:vMerge w:val="continue"/>
                  <w:vAlign w:val="center"/>
                </w:tcPr>
                <w:p w14:paraId="78923325">
                  <w:pPr>
                    <w:pStyle w:val="127"/>
                    <w:rPr>
                      <w:color w:val="auto"/>
                      <w:szCs w:val="21"/>
                    </w:rPr>
                  </w:pPr>
                </w:p>
              </w:tc>
              <w:tc>
                <w:tcPr>
                  <w:tcW w:w="1629" w:type="pct"/>
                  <w:gridSpan w:val="2"/>
                  <w:vAlign w:val="center"/>
                </w:tcPr>
                <w:p w14:paraId="1BC0FAD2">
                  <w:pPr>
                    <w:pStyle w:val="127"/>
                    <w:jc w:val="both"/>
                    <w:rPr>
                      <w:color w:val="auto"/>
                      <w:szCs w:val="21"/>
                    </w:rPr>
                  </w:pPr>
                  <w:r>
                    <w:rPr>
                      <w:color w:val="auto"/>
                      <w:szCs w:val="21"/>
                    </w:rPr>
                    <w:t>矿产资源管控分区：对于矿产资源管控分区，衔接省市矿产资源总体规划中勘查及开采规划分区，划分优先保护区、重点管控区和一般管控区 3 类分区。其中，将生态保护红线和县级以上禁止开发区域叠加形成矿产资源开采敏感区，作为优先保护区；将重点勘查区中的连片山区（结合地类斑块进行边界落地）和重点矿区作为重点管控区；其他区域为一般管控区。博罗县划定为优先保护区和一般管控区 2 类，其中优先保护区面积为 633.776平方公里。</w:t>
                  </w:r>
                </w:p>
              </w:tc>
              <w:tc>
                <w:tcPr>
                  <w:tcW w:w="1888" w:type="pct"/>
                  <w:vAlign w:val="center"/>
                </w:tcPr>
                <w:p w14:paraId="5562FED0">
                  <w:pPr>
                    <w:pStyle w:val="127"/>
                    <w:jc w:val="both"/>
                    <w:rPr>
                      <w:color w:val="auto"/>
                      <w:szCs w:val="21"/>
                    </w:rPr>
                  </w:pPr>
                  <w:r>
                    <w:rPr>
                      <w:color w:val="auto"/>
                      <w:szCs w:val="21"/>
                    </w:rPr>
                    <w:t>根据</w:t>
                  </w:r>
                  <w:r>
                    <w:rPr>
                      <w:color w:val="auto"/>
                    </w:rPr>
                    <w:t>《博罗县“三线一单”生态环境分区管控图集》-</w:t>
                  </w:r>
                  <w:r>
                    <w:rPr>
                      <w:rFonts w:hint="eastAsia"/>
                      <w:color w:val="auto"/>
                    </w:rPr>
                    <w:t>图17博罗县资源利用上线——矿产资源开发敏感区划定情况，结合</w:t>
                  </w:r>
                  <w:r>
                    <w:rPr>
                      <w:rFonts w:hint="eastAsia"/>
                      <w:color w:val="auto"/>
                      <w:szCs w:val="21"/>
                    </w:rPr>
                    <w:t>《博罗县“三线一单”生态环境分区管控研究报告》，项目所在位置不属于</w:t>
                  </w:r>
                  <w:r>
                    <w:rPr>
                      <w:rFonts w:hint="eastAsia"/>
                      <w:color w:val="auto"/>
                    </w:rPr>
                    <w:t>矿产资源开发敏感区，属于一般管控区。</w:t>
                  </w:r>
                </w:p>
              </w:tc>
              <w:tc>
                <w:tcPr>
                  <w:tcW w:w="619" w:type="pct"/>
                  <w:vMerge w:val="continue"/>
                  <w:vAlign w:val="center"/>
                </w:tcPr>
                <w:p w14:paraId="51D65810">
                  <w:pPr>
                    <w:pStyle w:val="127"/>
                    <w:rPr>
                      <w:color w:val="auto"/>
                      <w:szCs w:val="21"/>
                    </w:rPr>
                  </w:pPr>
                </w:p>
              </w:tc>
            </w:tr>
            <w:tr w14:paraId="4839F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295" w:type="pct"/>
                  <w:vMerge w:val="continue"/>
                  <w:vAlign w:val="center"/>
                </w:tcPr>
                <w:p w14:paraId="5E15B344">
                  <w:pPr>
                    <w:pStyle w:val="127"/>
                    <w:rPr>
                      <w:color w:val="auto"/>
                      <w:szCs w:val="21"/>
                    </w:rPr>
                  </w:pPr>
                </w:p>
              </w:tc>
              <w:tc>
                <w:tcPr>
                  <w:tcW w:w="2196" w:type="pct"/>
                  <w:gridSpan w:val="3"/>
                  <w:vAlign w:val="center"/>
                </w:tcPr>
                <w:p w14:paraId="018B1EE2">
                  <w:pPr>
                    <w:pStyle w:val="127"/>
                    <w:rPr>
                      <w:color w:val="auto"/>
                      <w:szCs w:val="21"/>
                    </w:rPr>
                  </w:pPr>
                  <w:r>
                    <w:rPr>
                      <w:color w:val="auto"/>
                      <w:szCs w:val="21"/>
                    </w:rPr>
                    <w:t>生态环境准入清单</w:t>
                  </w:r>
                </w:p>
              </w:tc>
              <w:tc>
                <w:tcPr>
                  <w:tcW w:w="1888" w:type="pct"/>
                  <w:vAlign w:val="center"/>
                </w:tcPr>
                <w:p w14:paraId="512C7C26">
                  <w:pPr>
                    <w:pStyle w:val="127"/>
                    <w:jc w:val="left"/>
                    <w:rPr>
                      <w:color w:val="auto"/>
                      <w:szCs w:val="21"/>
                    </w:rPr>
                  </w:pPr>
                  <w:r>
                    <w:rPr>
                      <w:color w:val="auto"/>
                      <w:szCs w:val="21"/>
                    </w:rPr>
                    <w:t>根据</w:t>
                  </w:r>
                  <w:r>
                    <w:rPr>
                      <w:color w:val="auto"/>
                    </w:rPr>
                    <w:t>《博罗县分类环境管控单元及环境准入负面清单》，本项目位于</w:t>
                  </w:r>
                  <w:r>
                    <w:rPr>
                      <w:rFonts w:hint="eastAsia"/>
                      <w:color w:val="auto"/>
                    </w:rPr>
                    <w:t>博罗沙河流域重点单元</w:t>
                  </w:r>
                  <w:r>
                    <w:rPr>
                      <w:color w:val="auto"/>
                    </w:rPr>
                    <w:t>，属于</w:t>
                  </w:r>
                  <w:r>
                    <w:rPr>
                      <w:rFonts w:hint="eastAsia"/>
                      <w:color w:val="auto"/>
                    </w:rPr>
                    <w:t>重点</w:t>
                  </w:r>
                  <w:r>
                    <w:rPr>
                      <w:color w:val="auto"/>
                    </w:rPr>
                    <w:t>管控单元，环境管控单元编码ZH441322</w:t>
                  </w:r>
                  <w:r>
                    <w:rPr>
                      <w:rFonts w:hint="eastAsia"/>
                      <w:color w:val="auto"/>
                    </w:rPr>
                    <w:t>2</w:t>
                  </w:r>
                  <w:r>
                    <w:rPr>
                      <w:color w:val="auto"/>
                    </w:rPr>
                    <w:t>0001</w:t>
                  </w:r>
                  <w:r>
                    <w:rPr>
                      <w:color w:val="auto"/>
                      <w:szCs w:val="21"/>
                    </w:rPr>
                    <w:t>，根据以下具体分析，符合要求。</w:t>
                  </w:r>
                </w:p>
              </w:tc>
              <w:tc>
                <w:tcPr>
                  <w:tcW w:w="619" w:type="pct"/>
                  <w:vMerge w:val="continue"/>
                  <w:vAlign w:val="center"/>
                </w:tcPr>
                <w:p w14:paraId="32A3928D">
                  <w:pPr>
                    <w:pStyle w:val="127"/>
                    <w:rPr>
                      <w:color w:val="auto"/>
                      <w:szCs w:val="21"/>
                    </w:rPr>
                  </w:pPr>
                </w:p>
              </w:tc>
            </w:tr>
          </w:tbl>
          <w:p w14:paraId="735A1A12">
            <w:pPr>
              <w:autoSpaceDE w:val="0"/>
              <w:autoSpaceDN w:val="0"/>
              <w:adjustRightInd w:val="0"/>
              <w:snapToGrid w:val="0"/>
              <w:jc w:val="center"/>
              <w:rPr>
                <w:color w:val="auto"/>
                <w:kern w:val="0"/>
                <w:sz w:val="24"/>
              </w:rPr>
            </w:pPr>
          </w:p>
          <w:p w14:paraId="62A7154E">
            <w:pPr>
              <w:tabs>
                <w:tab w:val="left" w:pos="2880"/>
              </w:tabs>
              <w:adjustRightInd w:val="0"/>
              <w:snapToGrid w:val="0"/>
              <w:spacing w:line="360" w:lineRule="auto"/>
              <w:ind w:firstLine="480" w:firstLineChars="200"/>
              <w:rPr>
                <w:color w:val="auto"/>
                <w:kern w:val="0"/>
                <w:sz w:val="24"/>
              </w:rPr>
            </w:pPr>
          </w:p>
          <w:p w14:paraId="3EE93969">
            <w:pPr>
              <w:pStyle w:val="43"/>
              <w:rPr>
                <w:color w:val="auto"/>
                <w:kern w:val="0"/>
              </w:rPr>
            </w:pPr>
          </w:p>
          <w:p w14:paraId="144C5673">
            <w:pPr>
              <w:rPr>
                <w:color w:val="auto"/>
                <w:kern w:val="0"/>
                <w:sz w:val="24"/>
              </w:rPr>
            </w:pPr>
          </w:p>
          <w:p w14:paraId="4F9D436E">
            <w:pPr>
              <w:pStyle w:val="43"/>
              <w:rPr>
                <w:color w:val="auto"/>
                <w:kern w:val="0"/>
              </w:rPr>
            </w:pPr>
          </w:p>
          <w:p w14:paraId="5F30C201">
            <w:pPr>
              <w:rPr>
                <w:color w:val="auto"/>
                <w:kern w:val="0"/>
                <w:sz w:val="24"/>
              </w:rPr>
            </w:pPr>
          </w:p>
          <w:p w14:paraId="6C8F818B">
            <w:pPr>
              <w:pStyle w:val="43"/>
              <w:rPr>
                <w:color w:val="auto"/>
                <w:kern w:val="0"/>
              </w:rPr>
            </w:pPr>
          </w:p>
          <w:p w14:paraId="5869A1E3">
            <w:pPr>
              <w:rPr>
                <w:color w:val="auto"/>
                <w:kern w:val="0"/>
                <w:sz w:val="24"/>
              </w:rPr>
            </w:pPr>
          </w:p>
          <w:p w14:paraId="67746CFC">
            <w:pPr>
              <w:pStyle w:val="43"/>
              <w:rPr>
                <w:color w:val="auto"/>
                <w:kern w:val="0"/>
              </w:rPr>
            </w:pPr>
          </w:p>
          <w:p w14:paraId="196A1BAD">
            <w:pPr>
              <w:pStyle w:val="43"/>
              <w:ind w:left="0" w:leftChars="0" w:firstLine="0" w:firstLineChars="0"/>
              <w:rPr>
                <w:color w:val="auto"/>
                <w:kern w:val="0"/>
              </w:rPr>
            </w:pPr>
          </w:p>
          <w:p w14:paraId="16B47A1E">
            <w:pPr>
              <w:pStyle w:val="43"/>
              <w:ind w:firstLine="0" w:firstLineChars="0"/>
              <w:rPr>
                <w:color w:val="auto"/>
              </w:rPr>
            </w:pPr>
          </w:p>
        </w:tc>
      </w:tr>
    </w:tbl>
    <w:p w14:paraId="1538CC4D">
      <w:pPr>
        <w:spacing w:line="360" w:lineRule="auto"/>
        <w:outlineLvl w:val="0"/>
        <w:rPr>
          <w:rFonts w:eastAsia="黑体"/>
          <w:sz w:val="30"/>
        </w:rPr>
        <w:sectPr>
          <w:footerReference r:id="rId5" w:type="default"/>
          <w:pgSz w:w="11906" w:h="16838"/>
          <w:pgMar w:top="1440" w:right="1080" w:bottom="1440" w:left="1080" w:header="851" w:footer="1077" w:gutter="0"/>
          <w:pgNumType w:start="1"/>
          <w:cols w:space="720" w:num="1"/>
          <w:docGrid w:linePitch="312" w:charSpace="0"/>
        </w:sectPr>
      </w:pP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14427"/>
      </w:tblGrid>
      <w:tr w14:paraId="45345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 w:type="pct"/>
            <w:vAlign w:val="center"/>
          </w:tcPr>
          <w:p w14:paraId="3F025D6C">
            <w:pPr>
              <w:pStyle w:val="31"/>
              <w:jc w:val="center"/>
              <w:outlineLvl w:val="0"/>
              <w:rPr>
                <w:rFonts w:ascii="Times New Roman" w:hAnsi="Times New Roman"/>
                <w:snapToGrid w:val="0"/>
                <w:color w:val="auto"/>
                <w:szCs w:val="24"/>
              </w:rPr>
            </w:pPr>
            <w:r>
              <w:rPr>
                <w:rFonts w:ascii="Times New Roman" w:hAnsi="Times New Roman"/>
                <w:color w:val="auto"/>
                <w:szCs w:val="21"/>
              </w:rPr>
              <w:t>其他符合性分析</w:t>
            </w:r>
          </w:p>
        </w:tc>
        <w:tc>
          <w:tcPr>
            <w:tcW w:w="4845" w:type="pct"/>
          </w:tcPr>
          <w:p w14:paraId="58C6BB98">
            <w:pPr>
              <w:pStyle w:val="31"/>
              <w:spacing w:before="0" w:beforeAutospacing="0" w:after="0" w:afterAutospacing="0"/>
              <w:jc w:val="center"/>
              <w:outlineLvl w:val="0"/>
              <w:rPr>
                <w:rFonts w:ascii="Times New Roman" w:hAnsi="Times New Roman"/>
                <w:b/>
                <w:bCs/>
                <w:snapToGrid w:val="0"/>
                <w:color w:val="auto"/>
                <w:sz w:val="21"/>
                <w:szCs w:val="21"/>
              </w:rPr>
            </w:pPr>
            <w:r>
              <w:rPr>
                <w:rFonts w:ascii="Times New Roman" w:hAnsi="Times New Roman"/>
                <w:b/>
                <w:bCs/>
                <w:snapToGrid w:val="0"/>
                <w:color w:val="auto"/>
                <w:sz w:val="21"/>
                <w:szCs w:val="21"/>
              </w:rPr>
              <w:t>表1-3  与</w:t>
            </w:r>
            <w:r>
              <w:rPr>
                <w:rFonts w:hint="eastAsia" w:ascii="Times New Roman" w:hAnsi="Times New Roman"/>
                <w:b/>
                <w:bCs/>
                <w:snapToGrid w:val="0"/>
                <w:color w:val="auto"/>
                <w:sz w:val="21"/>
                <w:szCs w:val="21"/>
              </w:rPr>
              <w:t>《博罗县分类环境管控单元及环境准入负面清单》</w:t>
            </w:r>
            <w:r>
              <w:rPr>
                <w:rFonts w:ascii="Times New Roman" w:hAnsi="Times New Roman"/>
                <w:b/>
                <w:bCs/>
                <w:snapToGrid w:val="0"/>
                <w:color w:val="auto"/>
                <w:sz w:val="21"/>
                <w:szCs w:val="21"/>
              </w:rPr>
              <w:t>相符性分析一览表</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
              <w:gridCol w:w="1479"/>
              <w:gridCol w:w="5279"/>
              <w:gridCol w:w="5265"/>
              <w:gridCol w:w="1771"/>
            </w:tblGrid>
            <w:tr w14:paraId="53C5F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 w:type="pct"/>
                  <w:vAlign w:val="center"/>
                </w:tcPr>
                <w:p w14:paraId="5B179B5F">
                  <w:pPr>
                    <w:pStyle w:val="31"/>
                    <w:jc w:val="center"/>
                    <w:outlineLvl w:val="0"/>
                    <w:rPr>
                      <w:rFonts w:ascii="Times New Roman" w:hAnsi="Times New Roman"/>
                      <w:b/>
                      <w:bCs/>
                      <w:snapToGrid w:val="0"/>
                      <w:color w:val="auto"/>
                      <w:sz w:val="21"/>
                      <w:szCs w:val="21"/>
                    </w:rPr>
                  </w:pPr>
                  <w:r>
                    <w:rPr>
                      <w:rFonts w:ascii="Times New Roman" w:hAnsi="Times New Roman"/>
                      <w:b/>
                      <w:bCs/>
                      <w:snapToGrid w:val="0"/>
                      <w:color w:val="auto"/>
                      <w:sz w:val="21"/>
                      <w:szCs w:val="21"/>
                    </w:rPr>
                    <w:t>序号</w:t>
                  </w:r>
                </w:p>
              </w:tc>
              <w:tc>
                <w:tcPr>
                  <w:tcW w:w="2380" w:type="pct"/>
                  <w:gridSpan w:val="2"/>
                  <w:vAlign w:val="center"/>
                </w:tcPr>
                <w:p w14:paraId="33B06D98">
                  <w:pPr>
                    <w:pStyle w:val="31"/>
                    <w:jc w:val="center"/>
                    <w:outlineLvl w:val="0"/>
                    <w:rPr>
                      <w:rFonts w:ascii="Times New Roman" w:hAnsi="Times New Roman"/>
                      <w:b/>
                      <w:bCs/>
                      <w:snapToGrid w:val="0"/>
                      <w:color w:val="auto"/>
                      <w:sz w:val="21"/>
                      <w:szCs w:val="21"/>
                    </w:rPr>
                  </w:pPr>
                  <w:r>
                    <w:rPr>
                      <w:rFonts w:ascii="Times New Roman" w:hAnsi="Times New Roman"/>
                      <w:b/>
                      <w:bCs/>
                      <w:snapToGrid w:val="0"/>
                      <w:color w:val="auto"/>
                      <w:sz w:val="21"/>
                      <w:szCs w:val="21"/>
                    </w:rPr>
                    <w:t>管控要求</w:t>
                  </w:r>
                </w:p>
              </w:tc>
              <w:tc>
                <w:tcPr>
                  <w:tcW w:w="1854" w:type="pct"/>
                  <w:vAlign w:val="center"/>
                </w:tcPr>
                <w:p w14:paraId="12693125">
                  <w:pPr>
                    <w:pStyle w:val="31"/>
                    <w:jc w:val="center"/>
                    <w:outlineLvl w:val="0"/>
                    <w:rPr>
                      <w:rFonts w:ascii="Times New Roman" w:hAnsi="Times New Roman"/>
                      <w:b/>
                      <w:bCs/>
                      <w:snapToGrid w:val="0"/>
                      <w:color w:val="auto"/>
                      <w:sz w:val="21"/>
                      <w:szCs w:val="21"/>
                    </w:rPr>
                  </w:pPr>
                  <w:r>
                    <w:rPr>
                      <w:rFonts w:ascii="Times New Roman" w:hAnsi="Times New Roman"/>
                      <w:b/>
                      <w:bCs/>
                      <w:snapToGrid w:val="0"/>
                      <w:color w:val="auto"/>
                      <w:sz w:val="21"/>
                      <w:szCs w:val="21"/>
                    </w:rPr>
                    <w:t>本项目情况</w:t>
                  </w:r>
                </w:p>
              </w:tc>
              <w:tc>
                <w:tcPr>
                  <w:tcW w:w="624" w:type="pct"/>
                  <w:vAlign w:val="center"/>
                </w:tcPr>
                <w:p w14:paraId="688F1282">
                  <w:pPr>
                    <w:pStyle w:val="31"/>
                    <w:jc w:val="center"/>
                    <w:outlineLvl w:val="0"/>
                    <w:rPr>
                      <w:rFonts w:ascii="Times New Roman" w:hAnsi="Times New Roman"/>
                      <w:b/>
                      <w:bCs/>
                      <w:snapToGrid w:val="0"/>
                      <w:color w:val="auto"/>
                      <w:sz w:val="21"/>
                      <w:szCs w:val="21"/>
                    </w:rPr>
                  </w:pPr>
                  <w:r>
                    <w:rPr>
                      <w:rFonts w:ascii="Times New Roman" w:hAnsi="Times New Roman"/>
                      <w:b/>
                      <w:bCs/>
                      <w:snapToGrid w:val="0"/>
                      <w:color w:val="auto"/>
                      <w:sz w:val="21"/>
                      <w:szCs w:val="21"/>
                    </w:rPr>
                    <w:t>符合性结论</w:t>
                  </w:r>
                </w:p>
              </w:tc>
            </w:tr>
            <w:tr w14:paraId="206FF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 w:type="pct"/>
                  <w:vAlign w:val="center"/>
                </w:tcPr>
                <w:p w14:paraId="6D7ACDC3">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1</w:t>
                  </w:r>
                </w:p>
              </w:tc>
              <w:tc>
                <w:tcPr>
                  <w:tcW w:w="521" w:type="pct"/>
                  <w:vAlign w:val="center"/>
                </w:tcPr>
                <w:p w14:paraId="1B34A109">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区域布局管控</w:t>
                  </w:r>
                </w:p>
              </w:tc>
              <w:tc>
                <w:tcPr>
                  <w:tcW w:w="1858" w:type="pct"/>
                  <w:vAlign w:val="center"/>
                </w:tcPr>
                <w:p w14:paraId="4D129F06">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1-1. 【产业/</w:t>
                  </w:r>
                  <w:r>
                    <w:rPr>
                      <w:rFonts w:hint="eastAsia" w:ascii="Times New Roman" w:hAnsi="Times New Roman"/>
                      <w:snapToGrid w:val="0"/>
                      <w:color w:val="auto"/>
                      <w:sz w:val="21"/>
                      <w:szCs w:val="21"/>
                    </w:rPr>
                    <w:t xml:space="preserve">鼓励引导类】饮用水水源保护区外的区域，重点发展电子信息、智能家电、先进材料等产业。 </w:t>
                  </w:r>
                </w:p>
                <w:p w14:paraId="5E6B9154">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1-2. </w:t>
                  </w:r>
                  <w:r>
                    <w:rPr>
                      <w:rFonts w:hint="eastAsia" w:ascii="Times New Roman" w:hAnsi="Times New Roman"/>
                      <w:snapToGrid w:val="0"/>
                      <w:color w:val="auto"/>
                      <w:sz w:val="21"/>
                      <w:szCs w:val="21"/>
                    </w:rPr>
                    <w:t>【产业</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 </w:t>
                  </w:r>
                </w:p>
                <w:p w14:paraId="5FB32FC9">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1-3. </w:t>
                  </w:r>
                  <w:r>
                    <w:rPr>
                      <w:rFonts w:hint="eastAsia" w:ascii="Times New Roman" w:hAnsi="Times New Roman"/>
                      <w:snapToGrid w:val="0"/>
                      <w:color w:val="auto"/>
                      <w:sz w:val="21"/>
                      <w:szCs w:val="21"/>
                    </w:rPr>
                    <w:t>【产业</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限制类】严格限制化工、包装印刷、工业涂装等高 </w:t>
                  </w:r>
                  <w:r>
                    <w:rPr>
                      <w:rFonts w:ascii="Times New Roman" w:hAnsi="Times New Roman"/>
                      <w:snapToGrid w:val="0"/>
                      <w:color w:val="auto"/>
                      <w:sz w:val="21"/>
                      <w:szCs w:val="21"/>
                    </w:rPr>
                    <w:t xml:space="preserve">VOCs </w:t>
                  </w:r>
                  <w:r>
                    <w:rPr>
                      <w:rFonts w:hint="eastAsia" w:ascii="Times New Roman" w:hAnsi="Times New Roman"/>
                      <w:snapToGrid w:val="0"/>
                      <w:color w:val="auto"/>
                      <w:sz w:val="21"/>
                      <w:szCs w:val="21"/>
                    </w:rPr>
                    <w:t xml:space="preserve">排放建设项目。 </w:t>
                  </w:r>
                </w:p>
                <w:p w14:paraId="783D1DEA">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1-4. </w:t>
                  </w:r>
                  <w:r>
                    <w:rPr>
                      <w:rFonts w:hint="eastAsia" w:ascii="Times New Roman" w:hAnsi="Times New Roman"/>
                      <w:snapToGrid w:val="0"/>
                      <w:color w:val="auto"/>
                      <w:sz w:val="21"/>
                      <w:szCs w:val="21"/>
                    </w:rPr>
                    <w:t>【生态</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限制类】一般生态空间内可开展生态保护红线内允许的活动，在不影响主导生态功能的前提下，还可开展国家和省规定不纳入环评管理的项目建设，以及生态旅游、基础设施建设、村庄建设等人为活动。 </w:t>
                  </w:r>
                </w:p>
                <w:p w14:paraId="5BB1896D">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1-5.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禁止类】饮用水水源保护区涉及园洲镇东江饮用水水源保护区，饮用水水源保护区按照《广东省水污染防治条例》</w:t>
                  </w:r>
                  <w:r>
                    <w:rPr>
                      <w:rFonts w:ascii="Times New Roman" w:hAnsi="Times New Roman"/>
                      <w:snapToGrid w:val="0"/>
                      <w:color w:val="auto"/>
                      <w:sz w:val="21"/>
                      <w:szCs w:val="21"/>
                    </w:rPr>
                    <w:t>“</w:t>
                  </w:r>
                  <w:r>
                    <w:rPr>
                      <w:rFonts w:hint="eastAsia" w:ascii="Times New Roman" w:hAnsi="Times New Roman"/>
                      <w:snapToGrid w:val="0"/>
                      <w:color w:val="auto"/>
                      <w:sz w:val="21"/>
                      <w:szCs w:val="21"/>
                    </w:rPr>
                    <w:t>第五章 饮用水水源保护和流域特别规定</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 </w:t>
                  </w:r>
                </w:p>
                <w:p w14:paraId="44F1F855">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1-6.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禁止类】禁止在东江干流和沙河干流两岸最高水位线外延五百米范围内新建废弃物堆放场和处理场。已有的堆放场和处理场需采取有效的防治污染措施，危及水体水质安全的，由县级以上人民政府责令限期搬迁。 </w:t>
                  </w:r>
                </w:p>
                <w:p w14:paraId="11D0B7A3">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1-7.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禁止类】畜禽禁养区内不得从事畜禽养殖业。 </w:t>
                  </w:r>
                </w:p>
                <w:p w14:paraId="0F21AB21">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1-8.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综合类】积极引导</w:t>
                  </w:r>
                  <w:r>
                    <w:rPr>
                      <w:rFonts w:ascii="Times New Roman" w:hAnsi="Times New Roman"/>
                      <w:snapToGrid w:val="0"/>
                      <w:color w:val="auto"/>
                      <w:sz w:val="21"/>
                      <w:szCs w:val="21"/>
                    </w:rPr>
                    <w:t>“</w:t>
                  </w:r>
                  <w:r>
                    <w:rPr>
                      <w:rFonts w:hint="eastAsia" w:ascii="Times New Roman" w:hAnsi="Times New Roman"/>
                      <w:snapToGrid w:val="0"/>
                      <w:color w:val="auto"/>
                      <w:sz w:val="21"/>
                      <w:szCs w:val="21"/>
                    </w:rPr>
                    <w:t>散养户</w:t>
                  </w:r>
                  <w:r>
                    <w:rPr>
                      <w:rFonts w:ascii="Times New Roman" w:hAnsi="Times New Roman"/>
                      <w:snapToGrid w:val="0"/>
                      <w:color w:val="auto"/>
                      <w:sz w:val="21"/>
                      <w:szCs w:val="21"/>
                    </w:rPr>
                    <w:t>”</w:t>
                  </w:r>
                  <w:r>
                    <w:rPr>
                      <w:rFonts w:hint="eastAsia" w:ascii="Times New Roman" w:hAnsi="Times New Roman"/>
                      <w:snapToGrid w:val="0"/>
                      <w:color w:val="auto"/>
                      <w:sz w:val="21"/>
                      <w:szCs w:val="21"/>
                    </w:rPr>
                    <w:t>自觉维护生态环境，规范养殖或主动退出畜禽养殖。</w:t>
                  </w:r>
                  <w:r>
                    <w:rPr>
                      <w:rFonts w:ascii="Times New Roman" w:hAnsi="Times New Roman"/>
                      <w:snapToGrid w:val="0"/>
                      <w:color w:val="auto"/>
                      <w:sz w:val="21"/>
                      <w:szCs w:val="21"/>
                    </w:rPr>
                    <w:t>“</w:t>
                  </w:r>
                  <w:r>
                    <w:rPr>
                      <w:rFonts w:hint="eastAsia" w:ascii="Times New Roman" w:hAnsi="Times New Roman"/>
                      <w:snapToGrid w:val="0"/>
                      <w:color w:val="auto"/>
                      <w:sz w:val="21"/>
                      <w:szCs w:val="21"/>
                    </w:rPr>
                    <w:t>散户养殖</w:t>
                  </w:r>
                  <w:r>
                    <w:rPr>
                      <w:rFonts w:ascii="Times New Roman" w:hAnsi="Times New Roman"/>
                      <w:snapToGrid w:val="0"/>
                      <w:color w:val="auto"/>
                      <w:sz w:val="21"/>
                      <w:szCs w:val="21"/>
                    </w:rPr>
                    <w:t>”</w:t>
                  </w:r>
                  <w:r>
                    <w:rPr>
                      <w:rFonts w:hint="eastAsia" w:ascii="Times New Roman" w:hAnsi="Times New Roman"/>
                      <w:snapToGrid w:val="0"/>
                      <w:color w:val="auto"/>
                      <w:sz w:val="21"/>
                      <w:szCs w:val="21"/>
                    </w:rPr>
                    <w:t>按照</w:t>
                  </w:r>
                  <w:r>
                    <w:rPr>
                      <w:rFonts w:ascii="Times New Roman" w:hAnsi="Times New Roman"/>
                      <w:snapToGrid w:val="0"/>
                      <w:color w:val="auto"/>
                      <w:sz w:val="21"/>
                      <w:szCs w:val="21"/>
                    </w:rPr>
                    <w:t>“</w:t>
                  </w:r>
                  <w:r>
                    <w:rPr>
                      <w:rFonts w:hint="eastAsia" w:ascii="Times New Roman" w:hAnsi="Times New Roman"/>
                      <w:snapToGrid w:val="0"/>
                      <w:color w:val="auto"/>
                      <w:sz w:val="21"/>
                      <w:szCs w:val="21"/>
                    </w:rPr>
                    <w:t>小组统一监管、从严控制数量、配套相应设施、防渗收集粪便、科学处理还田</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的原则，加强全程监管。加快推进流域内粪污塘的处理处置，降低养殖业对水环境的影响。 </w:t>
                  </w:r>
                </w:p>
                <w:p w14:paraId="19AECC56">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1-9. </w:t>
                  </w:r>
                  <w:r>
                    <w:rPr>
                      <w:rFonts w:hint="eastAsia" w:ascii="Times New Roman" w:hAnsi="Times New Roman"/>
                      <w:snapToGrid w:val="0"/>
                      <w:color w:val="auto"/>
                      <w:sz w:val="21"/>
                      <w:szCs w:val="21"/>
                    </w:rPr>
                    <w:t>【大气</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限制类】大气环境受体敏感重点管控区内严格限制新建储油库项目、产生和排放有毒有害大气污染物的建设项目以及使用溶剂型油墨、涂料、清洗剂、胶黏剂等高挥发性有机物原辅材料项目，鼓励现有该类项目搬迁退出。 </w:t>
                  </w:r>
                </w:p>
                <w:p w14:paraId="61E1AD52">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1-10. </w:t>
                  </w:r>
                  <w:r>
                    <w:rPr>
                      <w:rFonts w:hint="eastAsia" w:ascii="Times New Roman" w:hAnsi="Times New Roman"/>
                      <w:snapToGrid w:val="0"/>
                      <w:color w:val="auto"/>
                      <w:sz w:val="21"/>
                      <w:szCs w:val="21"/>
                    </w:rPr>
                    <w:t>【大气</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鼓励引导类】大气环境高排放重点管控区内，强化达标监管，引导工业项目落地集聚发展，有序推进区域内行业企业提标改造。 </w:t>
                  </w:r>
                </w:p>
                <w:p w14:paraId="29C317D4">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1-11. </w:t>
                  </w:r>
                  <w:r>
                    <w:rPr>
                      <w:rFonts w:hint="eastAsia" w:ascii="Times New Roman" w:hAnsi="Times New Roman"/>
                      <w:snapToGrid w:val="0"/>
                      <w:color w:val="auto"/>
                      <w:sz w:val="21"/>
                      <w:szCs w:val="21"/>
                    </w:rPr>
                    <w:t>【土壤</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禁止类】禁止在重金属重点防控区域内新建、改建、扩建增加重金属污染物排放总量的建设项目。 </w:t>
                  </w:r>
                </w:p>
                <w:p w14:paraId="3C75EF37">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1-12. </w:t>
                  </w:r>
                  <w:r>
                    <w:rPr>
                      <w:rFonts w:hint="eastAsia" w:ascii="Times New Roman" w:hAnsi="Times New Roman"/>
                      <w:snapToGrid w:val="0"/>
                      <w:color w:val="auto"/>
                      <w:sz w:val="21"/>
                      <w:szCs w:val="21"/>
                    </w:rPr>
                    <w:t>【土壤</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限制类】重金属污染防控非重点区新建、改扩建重金属排放项目，应严格落实重金属总量替代与削减要求，严格控制重点行业发展规模。强化涉重金属污染行业建设项目环评审批管理，严格执行环保 </w:t>
                  </w:r>
                  <w:r>
                    <w:rPr>
                      <w:rFonts w:ascii="Times New Roman" w:hAnsi="Times New Roman"/>
                      <w:snapToGrid w:val="0"/>
                      <w:color w:val="auto"/>
                      <w:sz w:val="21"/>
                      <w:szCs w:val="21"/>
                    </w:rPr>
                    <w:t>“</w:t>
                  </w:r>
                  <w:r>
                    <w:rPr>
                      <w:rFonts w:hint="eastAsia" w:ascii="Times New Roman" w:hAnsi="Times New Roman"/>
                      <w:snapToGrid w:val="0"/>
                      <w:color w:val="auto"/>
                      <w:sz w:val="21"/>
                      <w:szCs w:val="21"/>
                    </w:rPr>
                    <w:t>三同时</w:t>
                  </w:r>
                  <w:r>
                    <w:rPr>
                      <w:rFonts w:ascii="Times New Roman" w:hAnsi="Times New Roman"/>
                      <w:snapToGrid w:val="0"/>
                      <w:color w:val="auto"/>
                      <w:sz w:val="21"/>
                      <w:szCs w:val="21"/>
                    </w:rPr>
                    <w:t>”</w:t>
                  </w:r>
                  <w:r>
                    <w:rPr>
                      <w:rFonts w:hint="eastAsia" w:ascii="Times New Roman" w:hAnsi="Times New Roman"/>
                      <w:snapToGrid w:val="0"/>
                      <w:color w:val="auto"/>
                      <w:sz w:val="21"/>
                      <w:szCs w:val="21"/>
                    </w:rPr>
                    <w:t>制度。</w:t>
                  </w:r>
                </w:p>
              </w:tc>
              <w:tc>
                <w:tcPr>
                  <w:tcW w:w="1854" w:type="pct"/>
                  <w:vAlign w:val="center"/>
                </w:tcPr>
                <w:p w14:paraId="1366EA99">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1-1</w:t>
                  </w:r>
                  <w:r>
                    <w:rPr>
                      <w:rFonts w:hint="eastAsia" w:ascii="Times New Roman" w:hAnsi="Times New Roman"/>
                      <w:color w:val="auto"/>
                      <w:sz w:val="21"/>
                      <w:szCs w:val="21"/>
                    </w:rPr>
                    <w:t xml:space="preserve"> </w:t>
                  </w:r>
                  <w:r>
                    <w:rPr>
                      <w:rFonts w:ascii="Times New Roman" w:hAnsi="Times New Roman"/>
                      <w:color w:val="auto"/>
                      <w:sz w:val="21"/>
                      <w:szCs w:val="21"/>
                    </w:rPr>
                    <w:t>本项目</w:t>
                  </w:r>
                  <w:r>
                    <w:rPr>
                      <w:rFonts w:hint="eastAsia" w:ascii="Times New Roman" w:hAnsi="Times New Roman"/>
                      <w:color w:val="auto"/>
                      <w:sz w:val="21"/>
                      <w:szCs w:val="21"/>
                    </w:rPr>
                    <w:t>主要从事金属半成品（车架、家具）等表面处理加工，</w:t>
                  </w:r>
                  <w:r>
                    <w:rPr>
                      <w:rFonts w:ascii="Times New Roman" w:hAnsi="Times New Roman"/>
                      <w:color w:val="auto"/>
                      <w:sz w:val="21"/>
                      <w:szCs w:val="21"/>
                    </w:rPr>
                    <w:t>不属于</w:t>
                  </w:r>
                  <w:r>
                    <w:rPr>
                      <w:rFonts w:hint="eastAsia" w:ascii="Times New Roman" w:hAnsi="Times New Roman"/>
                      <w:color w:val="auto"/>
                      <w:sz w:val="21"/>
                      <w:szCs w:val="21"/>
                    </w:rPr>
                    <w:t>鼓励引导</w:t>
                  </w:r>
                  <w:r>
                    <w:rPr>
                      <w:rFonts w:ascii="Times New Roman" w:hAnsi="Times New Roman"/>
                      <w:color w:val="auto"/>
                      <w:sz w:val="21"/>
                      <w:szCs w:val="21"/>
                    </w:rPr>
                    <w:t>类</w:t>
                  </w:r>
                  <w:r>
                    <w:rPr>
                      <w:rFonts w:hint="eastAsia" w:ascii="Times New Roman" w:hAnsi="Times New Roman"/>
                      <w:color w:val="auto"/>
                      <w:sz w:val="21"/>
                      <w:szCs w:val="21"/>
                    </w:rPr>
                    <w:t>产业</w:t>
                  </w:r>
                  <w:r>
                    <w:rPr>
                      <w:rFonts w:ascii="Times New Roman" w:hAnsi="Times New Roman"/>
                      <w:color w:val="auto"/>
                      <w:sz w:val="21"/>
                      <w:szCs w:val="21"/>
                    </w:rPr>
                    <w:t xml:space="preserve">； </w:t>
                  </w:r>
                </w:p>
                <w:p w14:paraId="6E42AC59">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1-2 本项目</w:t>
                  </w:r>
                  <w:r>
                    <w:rPr>
                      <w:rFonts w:hint="eastAsia" w:ascii="Times New Roman" w:hAnsi="Times New Roman"/>
                      <w:color w:val="auto"/>
                      <w:sz w:val="21"/>
                      <w:szCs w:val="21"/>
                    </w:rPr>
                    <w:t>主要从事金属半成品（车架、家具）等表面处理加工，既不属于《产业结构调整指导目录（2024年本）》中限制类、淘汰类项目，也不属于列明的禁止建设项目</w:t>
                  </w:r>
                  <w:r>
                    <w:rPr>
                      <w:rFonts w:ascii="Times New Roman" w:hAnsi="Times New Roman"/>
                      <w:color w:val="auto"/>
                      <w:sz w:val="21"/>
                      <w:szCs w:val="21"/>
                    </w:rPr>
                    <w:t xml:space="preserve">； </w:t>
                  </w:r>
                </w:p>
                <w:p w14:paraId="0EDAB817">
                  <w:pPr>
                    <w:pStyle w:val="31"/>
                    <w:spacing w:before="0" w:beforeAutospacing="0" w:after="0" w:afterAutospacing="0"/>
                    <w:ind w:firstLine="420" w:firstLineChars="200"/>
                    <w:jc w:val="both"/>
                    <w:rPr>
                      <w:rFonts w:ascii="Times New Roman" w:hAnsi="Times New Roman"/>
                      <w:color w:val="auto"/>
                      <w:sz w:val="21"/>
                      <w:szCs w:val="21"/>
                      <w:highlight w:val="yellow"/>
                    </w:rPr>
                  </w:pPr>
                  <w:r>
                    <w:rPr>
                      <w:rFonts w:ascii="Times New Roman" w:hAnsi="Times New Roman"/>
                      <w:color w:val="auto"/>
                      <w:sz w:val="21"/>
                      <w:szCs w:val="21"/>
                    </w:rPr>
                    <w:t>1-3 本项目</w:t>
                  </w:r>
                  <w:r>
                    <w:rPr>
                      <w:rFonts w:hint="eastAsia" w:ascii="Times New Roman" w:hAnsi="Times New Roman"/>
                      <w:color w:val="auto"/>
                      <w:sz w:val="21"/>
                      <w:szCs w:val="21"/>
                    </w:rPr>
                    <w:t>生产过程中涉VOCs物料包括粉末涂料、水性底漆、水性面漆和水性清漆，均不属于高挥发性有机物原辅材料，不涉及高VOCs排放建设项目</w:t>
                  </w:r>
                  <w:r>
                    <w:rPr>
                      <w:rFonts w:ascii="Times New Roman" w:hAnsi="Times New Roman"/>
                      <w:color w:val="auto"/>
                      <w:sz w:val="21"/>
                      <w:szCs w:val="21"/>
                    </w:rPr>
                    <w:t>。</w:t>
                  </w:r>
                </w:p>
                <w:p w14:paraId="77D4F13D">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 xml:space="preserve">1-4 本项目不在生态保护红线内； </w:t>
                  </w:r>
                </w:p>
                <w:p w14:paraId="3F37BBC7">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1-5 本项目</w:t>
                  </w:r>
                  <w:r>
                    <w:rPr>
                      <w:rFonts w:hint="eastAsia" w:ascii="Times New Roman" w:hAnsi="Times New Roman"/>
                      <w:color w:val="auto"/>
                      <w:sz w:val="21"/>
                      <w:szCs w:val="21"/>
                    </w:rPr>
                    <w:t>所在地</w:t>
                  </w:r>
                  <w:r>
                    <w:rPr>
                      <w:rFonts w:ascii="Times New Roman" w:hAnsi="Times New Roman"/>
                      <w:color w:val="auto"/>
                      <w:sz w:val="21"/>
                      <w:szCs w:val="21"/>
                    </w:rPr>
                    <w:t>不属于</w:t>
                  </w:r>
                  <w:r>
                    <w:rPr>
                      <w:rFonts w:hint="eastAsia" w:ascii="Times New Roman" w:hAnsi="Times New Roman"/>
                      <w:color w:val="auto"/>
                      <w:sz w:val="21"/>
                      <w:szCs w:val="21"/>
                    </w:rPr>
                    <w:t>饮用水源保护区</w:t>
                  </w:r>
                  <w:r>
                    <w:rPr>
                      <w:rFonts w:ascii="Times New Roman" w:hAnsi="Times New Roman"/>
                      <w:color w:val="auto"/>
                      <w:sz w:val="21"/>
                      <w:szCs w:val="21"/>
                    </w:rPr>
                    <w:t>；</w:t>
                  </w:r>
                </w:p>
                <w:p w14:paraId="582B9CA1">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1-6 本项目</w:t>
                  </w:r>
                  <w:r>
                    <w:rPr>
                      <w:rFonts w:hint="eastAsia" w:ascii="Times New Roman" w:hAnsi="Times New Roman"/>
                      <w:color w:val="auto"/>
                      <w:sz w:val="21"/>
                      <w:szCs w:val="21"/>
                    </w:rPr>
                    <w:t>所在位置与东江干流和沙河干流两岸最近直线距离为5.83km，且项目不属于新建废弃物堆放场和处理场</w:t>
                  </w:r>
                  <w:r>
                    <w:rPr>
                      <w:rFonts w:ascii="Times New Roman" w:hAnsi="Times New Roman"/>
                      <w:color w:val="auto"/>
                      <w:sz w:val="21"/>
                      <w:szCs w:val="21"/>
                    </w:rPr>
                    <w:t xml:space="preserve">； </w:t>
                  </w:r>
                </w:p>
                <w:p w14:paraId="1C24B670">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1-7 本项目</w:t>
                  </w:r>
                  <w:r>
                    <w:rPr>
                      <w:rFonts w:hint="eastAsia" w:ascii="Times New Roman" w:hAnsi="Times New Roman"/>
                      <w:color w:val="auto"/>
                      <w:sz w:val="21"/>
                      <w:szCs w:val="21"/>
                    </w:rPr>
                    <w:t>不涉及畜禽养殖业；</w:t>
                  </w:r>
                </w:p>
                <w:p w14:paraId="4777BA62">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1-8 本项目</w:t>
                  </w:r>
                  <w:r>
                    <w:rPr>
                      <w:rFonts w:hint="eastAsia" w:ascii="Times New Roman" w:hAnsi="Times New Roman"/>
                      <w:color w:val="auto"/>
                      <w:sz w:val="21"/>
                      <w:szCs w:val="21"/>
                    </w:rPr>
                    <w:t>不涉及畜禽养殖；</w:t>
                  </w:r>
                </w:p>
                <w:p w14:paraId="57361752">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1-9 本项目</w:t>
                  </w:r>
                  <w:r>
                    <w:rPr>
                      <w:rFonts w:hint="eastAsia" w:ascii="Times New Roman" w:hAnsi="Times New Roman"/>
                      <w:color w:val="auto"/>
                      <w:sz w:val="21"/>
                      <w:szCs w:val="21"/>
                    </w:rPr>
                    <w:t>所在位置位于大气环境高排放重点管控区，不涉及储油库建设，不产生和排放有毒有害大气污染物，生产过程中使用的粉末涂料、水性底漆、水性面漆和水性清漆均不属于高挥发性有机物原辅材料</w:t>
                  </w:r>
                  <w:r>
                    <w:rPr>
                      <w:rFonts w:ascii="Times New Roman" w:hAnsi="Times New Roman"/>
                      <w:color w:val="auto"/>
                      <w:sz w:val="21"/>
                      <w:szCs w:val="21"/>
                    </w:rPr>
                    <w:t xml:space="preserve">； </w:t>
                  </w:r>
                </w:p>
                <w:p w14:paraId="512976D6">
                  <w:pPr>
                    <w:pStyle w:val="31"/>
                    <w:spacing w:before="0" w:beforeAutospacing="0" w:after="0" w:afterAutospacing="0"/>
                    <w:ind w:firstLine="420" w:firstLineChars="200"/>
                    <w:jc w:val="both"/>
                    <w:rPr>
                      <w:rFonts w:ascii="Times New Roman" w:hAnsi="Times New Roman"/>
                      <w:color w:val="auto"/>
                      <w:sz w:val="21"/>
                      <w:szCs w:val="21"/>
                    </w:rPr>
                  </w:pPr>
                  <w:r>
                    <w:rPr>
                      <w:rFonts w:hint="eastAsia" w:ascii="Times New Roman" w:hAnsi="Times New Roman"/>
                      <w:color w:val="auto"/>
                      <w:sz w:val="21"/>
                      <w:szCs w:val="21"/>
                    </w:rPr>
                    <w:t>1-10 本项目建成后，建设单位应强化达标监管，确保外排废气达标排放；</w:t>
                  </w:r>
                </w:p>
                <w:p w14:paraId="3EC0C59C">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1-1</w:t>
                  </w:r>
                  <w:r>
                    <w:rPr>
                      <w:rFonts w:hint="eastAsia" w:ascii="Times New Roman" w:hAnsi="Times New Roman"/>
                      <w:color w:val="auto"/>
                      <w:sz w:val="21"/>
                      <w:szCs w:val="21"/>
                    </w:rPr>
                    <w:t>1、1-12</w:t>
                  </w:r>
                  <w:r>
                    <w:rPr>
                      <w:rFonts w:ascii="Times New Roman" w:hAnsi="Times New Roman"/>
                      <w:color w:val="auto"/>
                      <w:sz w:val="21"/>
                      <w:szCs w:val="21"/>
                    </w:rPr>
                    <w:t xml:space="preserve"> 本项目</w:t>
                  </w:r>
                  <w:r>
                    <w:rPr>
                      <w:rFonts w:hint="eastAsia" w:ascii="Times New Roman" w:hAnsi="Times New Roman"/>
                      <w:color w:val="auto"/>
                      <w:sz w:val="21"/>
                      <w:szCs w:val="21"/>
                    </w:rPr>
                    <w:t>不涉及重金属污染物的产生和排放</w:t>
                  </w:r>
                  <w:r>
                    <w:rPr>
                      <w:rFonts w:ascii="Times New Roman" w:hAnsi="Times New Roman"/>
                      <w:color w:val="auto"/>
                      <w:sz w:val="21"/>
                      <w:szCs w:val="21"/>
                    </w:rPr>
                    <w:t xml:space="preserve">。  </w:t>
                  </w:r>
                </w:p>
                <w:p w14:paraId="0469D1A9">
                  <w:pPr>
                    <w:pStyle w:val="31"/>
                    <w:spacing w:before="0" w:beforeAutospacing="0" w:after="0" w:afterAutospacing="0"/>
                    <w:ind w:firstLine="420" w:firstLineChars="200"/>
                    <w:jc w:val="both"/>
                    <w:rPr>
                      <w:rFonts w:ascii="Times New Roman" w:hAnsi="Times New Roman"/>
                      <w:snapToGrid w:val="0"/>
                      <w:color w:val="auto"/>
                      <w:sz w:val="21"/>
                      <w:szCs w:val="21"/>
                    </w:rPr>
                  </w:pPr>
                </w:p>
              </w:tc>
              <w:tc>
                <w:tcPr>
                  <w:tcW w:w="624" w:type="pct"/>
                  <w:vAlign w:val="center"/>
                </w:tcPr>
                <w:p w14:paraId="6A9CE7A8">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符合</w:t>
                  </w:r>
                </w:p>
              </w:tc>
            </w:tr>
            <w:tr w14:paraId="1AEA8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140" w:type="pct"/>
                  <w:vAlign w:val="center"/>
                </w:tcPr>
                <w:p w14:paraId="02A73DCA">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2</w:t>
                  </w:r>
                </w:p>
              </w:tc>
              <w:tc>
                <w:tcPr>
                  <w:tcW w:w="521" w:type="pct"/>
                  <w:vAlign w:val="center"/>
                </w:tcPr>
                <w:p w14:paraId="64FA25E7">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能源资源利用</w:t>
                  </w:r>
                </w:p>
              </w:tc>
              <w:tc>
                <w:tcPr>
                  <w:tcW w:w="1858" w:type="pct"/>
                  <w:vAlign w:val="center"/>
                </w:tcPr>
                <w:p w14:paraId="6B8CFF9C">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2-1. 【能源/鼓励引导类】鼓励降低煤炭消耗、能源消耗，引导光伏等多种形式的新能源利用。</w:t>
                  </w:r>
                </w:p>
                <w:p w14:paraId="1B36FBB6">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2-2. 【能源/综合类】根据本地区大气环境质量改善要求逐步扩大高污染燃料禁燃区范围。</w:t>
                  </w:r>
                </w:p>
              </w:tc>
              <w:tc>
                <w:tcPr>
                  <w:tcW w:w="1854" w:type="pct"/>
                  <w:vAlign w:val="center"/>
                </w:tcPr>
                <w:p w14:paraId="2763284C">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2-1.本项目所用资源主要为电能和天然气等清洁能源，无煤炭消耗。</w:t>
                  </w:r>
                </w:p>
                <w:p w14:paraId="220DA169">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2-2.本项目所用资源主要为电能和天然气等清洁能源，不属于高污染燃料。</w:t>
                  </w:r>
                </w:p>
              </w:tc>
              <w:tc>
                <w:tcPr>
                  <w:tcW w:w="624" w:type="pct"/>
                  <w:vAlign w:val="center"/>
                </w:tcPr>
                <w:p w14:paraId="7FF5FCA7">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符合</w:t>
                  </w:r>
                </w:p>
              </w:tc>
            </w:tr>
            <w:tr w14:paraId="69C57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 w:type="pct"/>
                  <w:vAlign w:val="center"/>
                </w:tcPr>
                <w:p w14:paraId="321A3D51">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3</w:t>
                  </w:r>
                </w:p>
              </w:tc>
              <w:tc>
                <w:tcPr>
                  <w:tcW w:w="521" w:type="pct"/>
                  <w:vAlign w:val="center"/>
                </w:tcPr>
                <w:p w14:paraId="33AF1E19">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污染物排放管控</w:t>
                  </w:r>
                </w:p>
              </w:tc>
              <w:tc>
                <w:tcPr>
                  <w:tcW w:w="1858" w:type="pct"/>
                  <w:vAlign w:val="center"/>
                </w:tcPr>
                <w:p w14:paraId="60227E78">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3-1. 【水/</w:t>
                  </w:r>
                  <w:r>
                    <w:rPr>
                      <w:rFonts w:hint="eastAsia" w:ascii="Times New Roman" w:hAnsi="Times New Roman"/>
                      <w:snapToGrid w:val="0"/>
                      <w:color w:val="auto"/>
                      <w:sz w:val="21"/>
                      <w:szCs w:val="21"/>
                    </w:rPr>
                    <w:t>限制类】单元内城镇生活污水处理厂出水水质</w:t>
                  </w:r>
                  <w:r>
                    <w:rPr>
                      <w:rFonts w:ascii="Times New Roman" w:hAnsi="Times New Roman"/>
                      <w:snapToGrid w:val="0"/>
                      <w:color w:val="auto"/>
                      <w:sz w:val="21"/>
                      <w:szCs w:val="21"/>
                    </w:rPr>
                    <w:t>COD</w:t>
                  </w:r>
                  <w:r>
                    <w:rPr>
                      <w:rFonts w:hint="eastAsia" w:ascii="Times New Roman" w:hAnsi="Times New Roman"/>
                      <w:snapToGrid w:val="0"/>
                      <w:color w:val="auto"/>
                      <w:sz w:val="21"/>
                      <w:szCs w:val="21"/>
                    </w:rPr>
                    <w:t>、氨氮、总磷排放执行国家《地表水环境质量》（</w:t>
                  </w:r>
                  <w:r>
                    <w:rPr>
                      <w:rFonts w:ascii="Times New Roman" w:hAnsi="Times New Roman"/>
                      <w:snapToGrid w:val="0"/>
                      <w:color w:val="auto"/>
                      <w:sz w:val="21"/>
                      <w:szCs w:val="21"/>
                    </w:rPr>
                    <w:t>GB3838-2002</w:t>
                  </w:r>
                  <w:r>
                    <w:rPr>
                      <w:rFonts w:hint="eastAsia" w:ascii="Times New Roman" w:hAnsi="Times New Roman"/>
                      <w:snapToGrid w:val="0"/>
                      <w:color w:val="auto"/>
                      <w:sz w:val="21"/>
                      <w:szCs w:val="21"/>
                    </w:rPr>
                    <w:t>）</w:t>
                  </w:r>
                  <w:r>
                    <w:rPr>
                      <w:rFonts w:ascii="Times New Roman" w:hAnsi="Times New Roman"/>
                      <w:snapToGrid w:val="0"/>
                      <w:color w:val="auto"/>
                      <w:sz w:val="21"/>
                      <w:szCs w:val="21"/>
                    </w:rPr>
                    <w:t>Ⅴ</w:t>
                  </w:r>
                  <w:r>
                    <w:rPr>
                      <w:rFonts w:hint="eastAsia" w:ascii="Times New Roman" w:hAnsi="Times New Roman"/>
                      <w:snapToGrid w:val="0"/>
                      <w:color w:val="auto"/>
                      <w:sz w:val="21"/>
                      <w:szCs w:val="21"/>
                    </w:rPr>
                    <w:t>类标准，其余指标执行国家《城镇污水处理厂污染物排放标》（</w:t>
                  </w:r>
                  <w:r>
                    <w:rPr>
                      <w:rFonts w:ascii="Times New Roman" w:hAnsi="Times New Roman"/>
                      <w:snapToGrid w:val="0"/>
                      <w:color w:val="auto"/>
                      <w:sz w:val="21"/>
                      <w:szCs w:val="21"/>
                    </w:rPr>
                    <w:t>GB18918-2002</w:t>
                  </w:r>
                  <w:r>
                    <w:rPr>
                      <w:rFonts w:hint="eastAsia" w:ascii="Times New Roman" w:hAnsi="Times New Roman"/>
                      <w:snapToGrid w:val="0"/>
                      <w:color w:val="auto"/>
                      <w:sz w:val="21"/>
                      <w:szCs w:val="21"/>
                    </w:rPr>
                    <w:t xml:space="preserve">）一级 </w:t>
                  </w:r>
                  <w:r>
                    <w:rPr>
                      <w:rFonts w:ascii="Times New Roman" w:hAnsi="Times New Roman"/>
                      <w:snapToGrid w:val="0"/>
                      <w:color w:val="auto"/>
                      <w:sz w:val="21"/>
                      <w:szCs w:val="21"/>
                    </w:rPr>
                    <w:t xml:space="preserve">A </w:t>
                  </w:r>
                  <w:r>
                    <w:rPr>
                      <w:rFonts w:hint="eastAsia" w:ascii="Times New Roman" w:hAnsi="Times New Roman"/>
                      <w:snapToGrid w:val="0"/>
                      <w:color w:val="auto"/>
                      <w:sz w:val="21"/>
                      <w:szCs w:val="21"/>
                    </w:rPr>
                    <w:t xml:space="preserve">标准与广东省《水污染物排放限值》较严值的标准。 </w:t>
                  </w:r>
                </w:p>
                <w:p w14:paraId="265AB62F">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3-2.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限制类】严格控制流域内增加水污染物排放或对东江水质、水环境安全构成影响的项目。 </w:t>
                  </w:r>
                </w:p>
                <w:p w14:paraId="010BF4D5">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3-3.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 </w:t>
                  </w:r>
                </w:p>
                <w:p w14:paraId="42BC34FE">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3-4.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综合类】强化农业面源污染治理，控制农药化肥使用量。 </w:t>
                  </w:r>
                </w:p>
                <w:p w14:paraId="4949D528">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3-5. </w:t>
                  </w:r>
                  <w:r>
                    <w:rPr>
                      <w:rFonts w:hint="eastAsia" w:ascii="Times New Roman" w:hAnsi="Times New Roman"/>
                      <w:snapToGrid w:val="0"/>
                      <w:color w:val="auto"/>
                      <w:sz w:val="21"/>
                      <w:szCs w:val="21"/>
                    </w:rPr>
                    <w:t>【大气</w:t>
                  </w:r>
                  <w:r>
                    <w:rPr>
                      <w:rFonts w:ascii="Times New Roman" w:hAnsi="Times New Roman"/>
                      <w:snapToGrid w:val="0"/>
                      <w:color w:val="auto"/>
                      <w:sz w:val="21"/>
                      <w:szCs w:val="21"/>
                    </w:rPr>
                    <w:t>/</w:t>
                  </w:r>
                  <w:r>
                    <w:rPr>
                      <w:rFonts w:hint="eastAsia" w:ascii="Times New Roman" w:hAnsi="Times New Roman"/>
                      <w:snapToGrid w:val="0"/>
                      <w:color w:val="auto"/>
                      <w:sz w:val="21"/>
                      <w:szCs w:val="21"/>
                    </w:rPr>
                    <w:t>限制类】重点行业新建涉</w:t>
                  </w:r>
                  <w:r>
                    <w:rPr>
                      <w:rFonts w:ascii="Times New Roman" w:hAnsi="Times New Roman"/>
                      <w:snapToGrid w:val="0"/>
                      <w:color w:val="auto"/>
                      <w:sz w:val="21"/>
                      <w:szCs w:val="21"/>
                    </w:rPr>
                    <w:t>VOCs</w:t>
                  </w:r>
                  <w:r>
                    <w:rPr>
                      <w:rFonts w:hint="eastAsia" w:ascii="Times New Roman" w:hAnsi="Times New Roman"/>
                      <w:snapToGrid w:val="0"/>
                      <w:color w:val="auto"/>
                      <w:sz w:val="21"/>
                      <w:szCs w:val="21"/>
                    </w:rPr>
                    <w:t xml:space="preserve">排放的工业企业原则上应入园进区。新建项目 </w:t>
                  </w:r>
                  <w:r>
                    <w:rPr>
                      <w:rFonts w:ascii="Times New Roman" w:hAnsi="Times New Roman"/>
                      <w:snapToGrid w:val="0"/>
                      <w:color w:val="auto"/>
                      <w:sz w:val="21"/>
                      <w:szCs w:val="21"/>
                    </w:rPr>
                    <w:t xml:space="preserve">VOCs </w:t>
                  </w:r>
                  <w:r>
                    <w:rPr>
                      <w:rFonts w:hint="eastAsia" w:ascii="Times New Roman" w:hAnsi="Times New Roman"/>
                      <w:snapToGrid w:val="0"/>
                      <w:color w:val="auto"/>
                      <w:sz w:val="21"/>
                      <w:szCs w:val="21"/>
                    </w:rPr>
                    <w:t xml:space="preserve">实施倍量替代。 </w:t>
                  </w:r>
                </w:p>
                <w:p w14:paraId="30833F84">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3-6. </w:t>
                  </w:r>
                  <w:r>
                    <w:rPr>
                      <w:rFonts w:hint="eastAsia" w:ascii="Times New Roman" w:hAnsi="Times New Roman"/>
                      <w:snapToGrid w:val="0"/>
                      <w:color w:val="auto"/>
                      <w:sz w:val="21"/>
                      <w:szCs w:val="21"/>
                    </w:rPr>
                    <w:t>【土壤</w:t>
                  </w:r>
                  <w:r>
                    <w:rPr>
                      <w:rFonts w:ascii="Times New Roman" w:hAnsi="Times New Roman"/>
                      <w:snapToGrid w:val="0"/>
                      <w:color w:val="auto"/>
                      <w:sz w:val="21"/>
                      <w:szCs w:val="21"/>
                    </w:rPr>
                    <w:t>/</w:t>
                  </w:r>
                  <w:r>
                    <w:rPr>
                      <w:rFonts w:hint="eastAsia" w:ascii="Times New Roman" w:hAnsi="Times New Roman"/>
                      <w:snapToGrid w:val="0"/>
                      <w:color w:val="auto"/>
                      <w:sz w:val="21"/>
                      <w:szCs w:val="21"/>
                    </w:rPr>
                    <w:t>禁止类】禁止向农用地排放重金属或者其他有毒有害物质含量超标的污水、污泥，以及可能造成土壤污染的清淤底泥、尾矿、矿渣等。</w:t>
                  </w:r>
                </w:p>
              </w:tc>
              <w:tc>
                <w:tcPr>
                  <w:tcW w:w="1854" w:type="pct"/>
                  <w:vAlign w:val="center"/>
                </w:tcPr>
                <w:p w14:paraId="36287894">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3-1</w:t>
                  </w:r>
                  <w:r>
                    <w:rPr>
                      <w:rFonts w:hint="eastAsia" w:ascii="Times New Roman" w:hAnsi="Times New Roman"/>
                      <w:color w:val="auto"/>
                      <w:sz w:val="21"/>
                      <w:szCs w:val="21"/>
                    </w:rPr>
                    <w:t xml:space="preserve"> 项目所在区域属于石湾镇西基生活污水厂的纳污范围，石湾镇西基生活污水厂的出水水质要求：</w:t>
                  </w:r>
                  <w:r>
                    <w:rPr>
                      <w:rFonts w:hint="eastAsia" w:ascii="Times New Roman" w:hAnsi="Times New Roman"/>
                      <w:snapToGrid w:val="0"/>
                      <w:color w:val="auto"/>
                      <w:sz w:val="21"/>
                      <w:szCs w:val="21"/>
                    </w:rPr>
                    <w:t>氨氮、总磷排放执行国家《地表水环境质量》（</w:t>
                  </w:r>
                  <w:r>
                    <w:rPr>
                      <w:rFonts w:ascii="Times New Roman" w:hAnsi="Times New Roman"/>
                      <w:snapToGrid w:val="0"/>
                      <w:color w:val="auto"/>
                      <w:sz w:val="21"/>
                      <w:szCs w:val="21"/>
                    </w:rPr>
                    <w:t>GB3838-2002</w:t>
                  </w:r>
                  <w:r>
                    <w:rPr>
                      <w:rFonts w:hint="eastAsia" w:ascii="Times New Roman" w:hAnsi="Times New Roman"/>
                      <w:snapToGrid w:val="0"/>
                      <w:color w:val="auto"/>
                      <w:sz w:val="21"/>
                      <w:szCs w:val="21"/>
                    </w:rPr>
                    <w:t>）</w:t>
                  </w:r>
                  <w:r>
                    <w:rPr>
                      <w:rFonts w:ascii="Times New Roman" w:hAnsi="Times New Roman"/>
                      <w:snapToGrid w:val="0"/>
                      <w:color w:val="auto"/>
                      <w:sz w:val="21"/>
                      <w:szCs w:val="21"/>
                    </w:rPr>
                    <w:t>Ⅴ</w:t>
                  </w:r>
                  <w:r>
                    <w:rPr>
                      <w:rFonts w:hint="eastAsia" w:ascii="Times New Roman" w:hAnsi="Times New Roman"/>
                      <w:snapToGrid w:val="0"/>
                      <w:color w:val="auto"/>
                      <w:sz w:val="21"/>
                      <w:szCs w:val="21"/>
                    </w:rPr>
                    <w:t>类标准，其余指标执行国家《城镇污水处理厂污染物排放标》（</w:t>
                  </w:r>
                  <w:r>
                    <w:rPr>
                      <w:rFonts w:ascii="Times New Roman" w:hAnsi="Times New Roman"/>
                      <w:snapToGrid w:val="0"/>
                      <w:color w:val="auto"/>
                      <w:sz w:val="21"/>
                      <w:szCs w:val="21"/>
                    </w:rPr>
                    <w:t>GB18918-2002</w:t>
                  </w:r>
                  <w:r>
                    <w:rPr>
                      <w:rFonts w:hint="eastAsia" w:ascii="Times New Roman" w:hAnsi="Times New Roman"/>
                      <w:snapToGrid w:val="0"/>
                      <w:color w:val="auto"/>
                      <w:sz w:val="21"/>
                      <w:szCs w:val="21"/>
                    </w:rPr>
                    <w:t>）一级A标准与广东省《水污染物排放限值》较严值的标准，符合限制类要求。</w:t>
                  </w:r>
                </w:p>
                <w:p w14:paraId="49A6A67F">
                  <w:pPr>
                    <w:pStyle w:val="31"/>
                    <w:spacing w:before="0" w:beforeAutospacing="0" w:after="0" w:afterAutospacing="0"/>
                    <w:ind w:firstLine="420" w:firstLineChars="200"/>
                    <w:jc w:val="both"/>
                    <w:rPr>
                      <w:rFonts w:ascii="Times New Roman" w:hAnsi="Times New Roman"/>
                      <w:color w:val="auto"/>
                      <w:sz w:val="21"/>
                      <w:szCs w:val="21"/>
                    </w:rPr>
                  </w:pPr>
                  <w:r>
                    <w:rPr>
                      <w:rFonts w:hint="eastAsia" w:ascii="Times New Roman" w:hAnsi="Times New Roman"/>
                      <w:color w:val="auto"/>
                      <w:sz w:val="21"/>
                      <w:szCs w:val="21"/>
                    </w:rPr>
                    <w:t>3-2 项目营运期间产生的前处理线清洗用水、喷淋塔用水，浓缩废液和水帘柜废水定期由有危险废物处理资质单位清运处理，不对外排放生产废水，外排废水主要为生活污水，生活污水经三级化粪池预处理后由市政管网纳入石湾镇西基生活污水厂处理，不新增水污染物排放，也不会对东江水质、水环境安全构成影响</w:t>
                  </w:r>
                  <w:r>
                    <w:rPr>
                      <w:rFonts w:ascii="Times New Roman" w:hAnsi="Times New Roman"/>
                      <w:color w:val="auto"/>
                      <w:sz w:val="21"/>
                      <w:szCs w:val="21"/>
                    </w:rPr>
                    <w:t xml:space="preserve">。 </w:t>
                  </w:r>
                </w:p>
                <w:p w14:paraId="194E4316">
                  <w:pPr>
                    <w:pStyle w:val="31"/>
                    <w:spacing w:before="0" w:beforeAutospacing="0" w:after="0" w:afterAutospacing="0"/>
                    <w:ind w:firstLine="420" w:firstLineChars="200"/>
                    <w:jc w:val="both"/>
                    <w:rPr>
                      <w:rFonts w:ascii="Times New Roman" w:hAnsi="Times New Roman"/>
                      <w:color w:val="auto"/>
                      <w:sz w:val="21"/>
                      <w:szCs w:val="21"/>
                    </w:rPr>
                  </w:pPr>
                  <w:r>
                    <w:rPr>
                      <w:rFonts w:hint="eastAsia" w:ascii="Times New Roman" w:hAnsi="Times New Roman"/>
                      <w:color w:val="auto"/>
                      <w:sz w:val="21"/>
                      <w:szCs w:val="21"/>
                    </w:rPr>
                    <w:t>3-3 项目所在园区已实施雨污分流，生活污水经三级化粪池预处理后，通过市政管网排入石湾镇西基生活污水厂进行深度处理，生活垃圾交由环卫部门清运。</w:t>
                  </w:r>
                </w:p>
                <w:p w14:paraId="6A705A83">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3-4 本项目不</w:t>
                  </w:r>
                  <w:r>
                    <w:rPr>
                      <w:rFonts w:hint="eastAsia" w:ascii="Times New Roman" w:hAnsi="Times New Roman"/>
                      <w:color w:val="auto"/>
                      <w:sz w:val="21"/>
                      <w:szCs w:val="21"/>
                    </w:rPr>
                    <w:t>涉及农业面源污染</w:t>
                  </w:r>
                  <w:r>
                    <w:rPr>
                      <w:rFonts w:ascii="Times New Roman" w:hAnsi="Times New Roman"/>
                      <w:color w:val="auto"/>
                      <w:sz w:val="21"/>
                      <w:szCs w:val="21"/>
                    </w:rPr>
                    <w:t>。</w:t>
                  </w:r>
                </w:p>
                <w:p w14:paraId="734D4447">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 xml:space="preserve">3-5 </w:t>
                  </w:r>
                  <w:r>
                    <w:rPr>
                      <w:rFonts w:hint="eastAsia" w:ascii="Times New Roman" w:hAnsi="Times New Roman"/>
                      <w:color w:val="auto"/>
                      <w:sz w:val="21"/>
                      <w:szCs w:val="21"/>
                    </w:rPr>
                    <w:t>本项目不属于重点行业新建涉VOCs排放的工业企业；“新建项目VOCs实施倍量替代”由惠州市生态环境局博罗分局统一调配</w:t>
                  </w:r>
                  <w:r>
                    <w:rPr>
                      <w:rFonts w:ascii="Times New Roman" w:hAnsi="Times New Roman"/>
                      <w:color w:val="auto"/>
                      <w:sz w:val="21"/>
                      <w:szCs w:val="21"/>
                    </w:rPr>
                    <w:t>。</w:t>
                  </w:r>
                </w:p>
                <w:p w14:paraId="76415F2F">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3-6 本项目</w:t>
                  </w:r>
                  <w:r>
                    <w:rPr>
                      <w:rFonts w:hint="eastAsia" w:ascii="Times New Roman" w:hAnsi="Times New Roman"/>
                      <w:color w:val="auto"/>
                      <w:sz w:val="21"/>
                      <w:szCs w:val="21"/>
                    </w:rPr>
                    <w:t>不涉及</w:t>
                  </w:r>
                  <w:r>
                    <w:rPr>
                      <w:rFonts w:ascii="Times New Roman" w:hAnsi="Times New Roman"/>
                      <w:color w:val="auto"/>
                      <w:sz w:val="21"/>
                      <w:szCs w:val="21"/>
                    </w:rPr>
                    <w:t>重金属</w:t>
                  </w:r>
                  <w:r>
                    <w:rPr>
                      <w:rFonts w:hint="eastAsia" w:ascii="Times New Roman" w:hAnsi="Times New Roman"/>
                      <w:color w:val="auto"/>
                      <w:sz w:val="21"/>
                      <w:szCs w:val="21"/>
                    </w:rPr>
                    <w:t>或其他</w:t>
                  </w:r>
                  <w:r>
                    <w:rPr>
                      <w:rFonts w:ascii="Times New Roman" w:hAnsi="Times New Roman"/>
                      <w:color w:val="auto"/>
                      <w:sz w:val="21"/>
                      <w:szCs w:val="21"/>
                    </w:rPr>
                    <w:t>有毒有害</w:t>
                  </w:r>
                  <w:r>
                    <w:rPr>
                      <w:rFonts w:hint="eastAsia" w:ascii="Times New Roman" w:hAnsi="Times New Roman"/>
                      <w:color w:val="auto"/>
                      <w:sz w:val="21"/>
                      <w:szCs w:val="21"/>
                    </w:rPr>
                    <w:t>物资的污水、污泥</w:t>
                  </w:r>
                  <w:r>
                    <w:rPr>
                      <w:rFonts w:ascii="Times New Roman" w:hAnsi="Times New Roman"/>
                      <w:color w:val="auto"/>
                      <w:sz w:val="21"/>
                      <w:szCs w:val="21"/>
                    </w:rPr>
                    <w:t>排放，不属土壤/禁止类项目</w:t>
                  </w:r>
                  <w:r>
                    <w:rPr>
                      <w:rFonts w:hint="eastAsia" w:ascii="Times New Roman" w:hAnsi="Times New Roman"/>
                      <w:color w:val="auto"/>
                      <w:sz w:val="21"/>
                      <w:szCs w:val="21"/>
                    </w:rPr>
                    <w:t>。</w:t>
                  </w:r>
                </w:p>
              </w:tc>
              <w:tc>
                <w:tcPr>
                  <w:tcW w:w="624" w:type="pct"/>
                  <w:vAlign w:val="center"/>
                </w:tcPr>
                <w:p w14:paraId="44ED96F8">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符合</w:t>
                  </w:r>
                </w:p>
              </w:tc>
            </w:tr>
            <w:tr w14:paraId="140A6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 w:type="pct"/>
                  <w:vAlign w:val="center"/>
                </w:tcPr>
                <w:p w14:paraId="584788CE">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4</w:t>
                  </w:r>
                </w:p>
              </w:tc>
              <w:tc>
                <w:tcPr>
                  <w:tcW w:w="521" w:type="pct"/>
                  <w:vAlign w:val="center"/>
                </w:tcPr>
                <w:p w14:paraId="4B583C66">
                  <w:pPr>
                    <w:pStyle w:val="31"/>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环境风险管控</w:t>
                  </w:r>
                </w:p>
              </w:tc>
              <w:tc>
                <w:tcPr>
                  <w:tcW w:w="1858" w:type="pct"/>
                  <w:vAlign w:val="center"/>
                </w:tcPr>
                <w:p w14:paraId="1311EEAC">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4-1. 【水/</w:t>
                  </w:r>
                  <w:r>
                    <w:rPr>
                      <w:rFonts w:hint="eastAsia" w:ascii="Times New Roman" w:hAnsi="Times New Roman"/>
                      <w:snapToGrid w:val="0"/>
                      <w:color w:val="auto"/>
                      <w:sz w:val="21"/>
                      <w:szCs w:val="21"/>
                    </w:rPr>
                    <w:t xml:space="preserve">综合类】城镇污水处理厂、涉水企业应采取有效措施，防止事故废水直接排入水体。 </w:t>
                  </w:r>
                </w:p>
                <w:p w14:paraId="31FDF941">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4-2. </w:t>
                  </w:r>
                  <w:r>
                    <w:rPr>
                      <w:rFonts w:hint="eastAsia" w:ascii="Times New Roman" w:hAnsi="Times New Roman"/>
                      <w:snapToGrid w:val="0"/>
                      <w:color w:val="auto"/>
                      <w:sz w:val="21"/>
                      <w:szCs w:val="21"/>
                    </w:rPr>
                    <w:t>【水</w:t>
                  </w:r>
                  <w:r>
                    <w:rPr>
                      <w:rFonts w:ascii="Times New Roman" w:hAnsi="Times New Roman"/>
                      <w:snapToGrid w:val="0"/>
                      <w:color w:val="auto"/>
                      <w:sz w:val="21"/>
                      <w:szCs w:val="21"/>
                    </w:rPr>
                    <w:t>/</w:t>
                  </w:r>
                  <w:r>
                    <w:rPr>
                      <w:rFonts w:hint="eastAsia" w:ascii="Times New Roman" w:hAnsi="Times New Roman"/>
                      <w:snapToGrid w:val="0"/>
                      <w:color w:val="auto"/>
                      <w:sz w:val="21"/>
                      <w:szCs w:val="21"/>
                    </w:rPr>
                    <w:t xml:space="preserve">综合类】加强饮用水水源保护区内环境风险排查，开展风险评估及水环境预警监测。 </w:t>
                  </w:r>
                </w:p>
                <w:p w14:paraId="774FF200">
                  <w:pPr>
                    <w:pStyle w:val="31"/>
                    <w:spacing w:before="0" w:beforeAutospacing="0" w:after="0" w:afterAutospacing="0"/>
                    <w:ind w:firstLine="420" w:firstLineChars="200"/>
                    <w:jc w:val="both"/>
                    <w:rPr>
                      <w:rFonts w:ascii="Times New Roman" w:hAnsi="Times New Roman"/>
                      <w:snapToGrid w:val="0"/>
                      <w:color w:val="auto"/>
                      <w:sz w:val="21"/>
                      <w:szCs w:val="21"/>
                    </w:rPr>
                  </w:pPr>
                  <w:r>
                    <w:rPr>
                      <w:rFonts w:ascii="Times New Roman" w:hAnsi="Times New Roman"/>
                      <w:snapToGrid w:val="0"/>
                      <w:color w:val="auto"/>
                      <w:sz w:val="21"/>
                      <w:szCs w:val="21"/>
                    </w:rPr>
                    <w:t xml:space="preserve">4-3. </w:t>
                  </w:r>
                  <w:r>
                    <w:rPr>
                      <w:rFonts w:hint="eastAsia" w:ascii="Times New Roman" w:hAnsi="Times New Roman"/>
                      <w:snapToGrid w:val="0"/>
                      <w:color w:val="auto"/>
                      <w:sz w:val="21"/>
                      <w:szCs w:val="21"/>
                    </w:rPr>
                    <w:t>【大气</w:t>
                  </w:r>
                  <w:r>
                    <w:rPr>
                      <w:rFonts w:ascii="Times New Roman" w:hAnsi="Times New Roman"/>
                      <w:snapToGrid w:val="0"/>
                      <w:color w:val="auto"/>
                      <w:sz w:val="21"/>
                      <w:szCs w:val="21"/>
                    </w:rPr>
                    <w:t>/</w:t>
                  </w:r>
                  <w:r>
                    <w:rPr>
                      <w:rFonts w:hint="eastAsia" w:ascii="Times New Roman" w:hAnsi="Times New Roman"/>
                      <w:snapToGrid w:val="0"/>
                      <w:color w:val="auto"/>
                      <w:sz w:val="21"/>
                      <w:szCs w:val="21"/>
                    </w:rPr>
                    <w:t>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p w14:paraId="5103DD77">
                  <w:pPr>
                    <w:pStyle w:val="31"/>
                    <w:spacing w:before="0" w:beforeAutospacing="0" w:after="0" w:afterAutospacing="0"/>
                    <w:jc w:val="both"/>
                    <w:rPr>
                      <w:rFonts w:ascii="Times New Roman" w:hAnsi="Times New Roman"/>
                      <w:snapToGrid w:val="0"/>
                      <w:color w:val="auto"/>
                      <w:sz w:val="21"/>
                      <w:szCs w:val="21"/>
                    </w:rPr>
                  </w:pPr>
                </w:p>
              </w:tc>
              <w:tc>
                <w:tcPr>
                  <w:tcW w:w="1854" w:type="pct"/>
                  <w:vAlign w:val="center"/>
                </w:tcPr>
                <w:p w14:paraId="1C53F4A0">
                  <w:pPr>
                    <w:ind w:firstLine="420" w:firstLineChars="200"/>
                    <w:rPr>
                      <w:color w:val="auto"/>
                      <w:kern w:val="0"/>
                      <w:szCs w:val="21"/>
                    </w:rPr>
                  </w:pPr>
                  <w:r>
                    <w:rPr>
                      <w:color w:val="auto"/>
                      <w:kern w:val="0"/>
                      <w:szCs w:val="21"/>
                    </w:rPr>
                    <w:t>4-1</w:t>
                  </w:r>
                  <w:r>
                    <w:rPr>
                      <w:rFonts w:hint="eastAsia"/>
                      <w:color w:val="auto"/>
                      <w:kern w:val="0"/>
                      <w:szCs w:val="21"/>
                    </w:rPr>
                    <w:t xml:space="preserve"> 项目所在园区已建设有一座850m</w:t>
                  </w:r>
                  <w:r>
                    <w:rPr>
                      <w:rFonts w:hint="eastAsia"/>
                      <w:color w:val="auto"/>
                      <w:kern w:val="0"/>
                      <w:szCs w:val="21"/>
                      <w:vertAlign w:val="superscript"/>
                    </w:rPr>
                    <w:t>3</w:t>
                  </w:r>
                  <w:r>
                    <w:rPr>
                      <w:rFonts w:hint="eastAsia"/>
                      <w:color w:val="auto"/>
                      <w:kern w:val="0"/>
                      <w:szCs w:val="21"/>
                    </w:rPr>
                    <w:t>的事故应急池，并配套有园区事故废水管网</w:t>
                  </w:r>
                  <w:r>
                    <w:rPr>
                      <w:color w:val="auto"/>
                      <w:kern w:val="0"/>
                      <w:szCs w:val="21"/>
                    </w:rPr>
                    <w:t>。</w:t>
                  </w:r>
                </w:p>
                <w:p w14:paraId="5BDC6229">
                  <w:pPr>
                    <w:ind w:firstLine="420" w:firstLineChars="200"/>
                    <w:rPr>
                      <w:color w:val="auto"/>
                      <w:kern w:val="0"/>
                      <w:szCs w:val="21"/>
                    </w:rPr>
                  </w:pPr>
                  <w:r>
                    <w:rPr>
                      <w:color w:val="auto"/>
                      <w:kern w:val="0"/>
                      <w:szCs w:val="21"/>
                    </w:rPr>
                    <w:t>4-2</w:t>
                  </w:r>
                  <w:r>
                    <w:rPr>
                      <w:rFonts w:hint="eastAsia"/>
                      <w:color w:val="auto"/>
                      <w:kern w:val="0"/>
                      <w:szCs w:val="21"/>
                    </w:rPr>
                    <w:t xml:space="preserve"> 项目所在位置不属于饮用水源保护区内</w:t>
                  </w:r>
                  <w:r>
                    <w:rPr>
                      <w:color w:val="auto"/>
                      <w:kern w:val="0"/>
                      <w:szCs w:val="21"/>
                    </w:rPr>
                    <w:t>。</w:t>
                  </w:r>
                </w:p>
                <w:p w14:paraId="30AE960A">
                  <w:pPr>
                    <w:ind w:firstLine="420" w:firstLineChars="200"/>
                    <w:rPr>
                      <w:color w:val="auto"/>
                      <w:szCs w:val="21"/>
                    </w:rPr>
                  </w:pPr>
                  <w:r>
                    <w:rPr>
                      <w:color w:val="auto"/>
                      <w:kern w:val="0"/>
                      <w:szCs w:val="21"/>
                    </w:rPr>
                    <w:t>4-3</w:t>
                  </w:r>
                  <w:r>
                    <w:rPr>
                      <w:rFonts w:hint="eastAsia"/>
                      <w:color w:val="auto"/>
                      <w:kern w:val="0"/>
                      <w:szCs w:val="21"/>
                    </w:rPr>
                    <w:t xml:space="preserve"> </w:t>
                  </w:r>
                  <w:r>
                    <w:rPr>
                      <w:color w:val="auto"/>
                      <w:kern w:val="0"/>
                      <w:szCs w:val="21"/>
                    </w:rPr>
                    <w:t>项目不涉及有毒有害气体</w:t>
                  </w:r>
                  <w:r>
                    <w:rPr>
                      <w:rFonts w:hint="eastAsia"/>
                      <w:color w:val="auto"/>
                      <w:kern w:val="0"/>
                      <w:szCs w:val="21"/>
                    </w:rPr>
                    <w:t>的生产、储存和使用</w:t>
                  </w:r>
                  <w:r>
                    <w:rPr>
                      <w:color w:val="auto"/>
                      <w:kern w:val="0"/>
                      <w:szCs w:val="21"/>
                    </w:rPr>
                    <w:t>，将按照要求建立环境监测预警制度。</w:t>
                  </w:r>
                </w:p>
              </w:tc>
              <w:tc>
                <w:tcPr>
                  <w:tcW w:w="624" w:type="pct"/>
                  <w:vAlign w:val="center"/>
                </w:tcPr>
                <w:p w14:paraId="34BEBAA0">
                  <w:pPr>
                    <w:pStyle w:val="31"/>
                    <w:spacing w:before="0" w:beforeAutospacing="0" w:after="0" w:afterAutospacing="0"/>
                    <w:ind w:firstLine="420" w:firstLineChars="200"/>
                    <w:jc w:val="both"/>
                    <w:rPr>
                      <w:rFonts w:ascii="Times New Roman" w:hAnsi="Times New Roman"/>
                      <w:color w:val="auto"/>
                      <w:sz w:val="21"/>
                      <w:szCs w:val="21"/>
                    </w:rPr>
                  </w:pPr>
                  <w:r>
                    <w:rPr>
                      <w:rFonts w:ascii="Times New Roman" w:hAnsi="Times New Roman"/>
                      <w:color w:val="auto"/>
                      <w:sz w:val="21"/>
                      <w:szCs w:val="21"/>
                    </w:rPr>
                    <w:t>符合</w:t>
                  </w:r>
                </w:p>
              </w:tc>
            </w:tr>
          </w:tbl>
          <w:p w14:paraId="6D21CFF8">
            <w:pPr>
              <w:pStyle w:val="31"/>
              <w:spacing w:before="0" w:beforeAutospacing="0" w:after="0" w:afterAutospacing="0" w:line="360" w:lineRule="auto"/>
              <w:ind w:firstLine="480" w:firstLineChars="200"/>
              <w:jc w:val="both"/>
              <w:outlineLvl w:val="0"/>
              <w:rPr>
                <w:rFonts w:ascii="Times New Roman" w:hAnsi="Times New Roman"/>
                <w:snapToGrid w:val="0"/>
                <w:color w:val="auto"/>
                <w:szCs w:val="24"/>
              </w:rPr>
            </w:pPr>
            <w:r>
              <w:rPr>
                <w:rFonts w:ascii="Times New Roman" w:hAnsi="Times New Roman"/>
                <w:color w:val="auto"/>
              </w:rPr>
              <w:t>因此，本项目建设与</w:t>
            </w:r>
            <w:r>
              <w:rPr>
                <w:rFonts w:hint="eastAsia" w:ascii="Times New Roman" w:hAnsi="Times New Roman"/>
                <w:color w:val="auto"/>
              </w:rPr>
              <w:t>《博罗县“三线一单”生态环境分区管控方案》</w:t>
            </w:r>
            <w:r>
              <w:rPr>
                <w:rFonts w:ascii="Times New Roman" w:hAnsi="Times New Roman"/>
                <w:color w:val="auto"/>
              </w:rPr>
              <w:t>相符。</w:t>
            </w:r>
          </w:p>
        </w:tc>
      </w:tr>
    </w:tbl>
    <w:p w14:paraId="04900280">
      <w:pPr>
        <w:spacing w:line="360" w:lineRule="auto"/>
        <w:outlineLvl w:val="0"/>
        <w:rPr>
          <w:rFonts w:eastAsia="黑体"/>
          <w:color w:val="auto"/>
          <w:sz w:val="30"/>
        </w:rPr>
        <w:sectPr>
          <w:pgSz w:w="16838" w:h="11906" w:orient="landscape"/>
          <w:pgMar w:top="1440" w:right="1080" w:bottom="1440" w:left="1080" w:header="851" w:footer="1077" w:gutter="0"/>
          <w:cols w:space="720" w:num="1"/>
          <w:docGrid w:linePitch="312" w:charSpace="0"/>
        </w:sectPr>
      </w:pPr>
    </w:p>
    <w:tbl>
      <w:tblPr>
        <w:tblStyle w:val="35"/>
        <w:tblW w:w="501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10066"/>
      </w:tblGrid>
      <w:tr w14:paraId="64334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9" w:type="pct"/>
            <w:vAlign w:val="center"/>
          </w:tcPr>
          <w:p w14:paraId="23BC8CEB">
            <w:pPr>
              <w:pStyle w:val="31"/>
              <w:jc w:val="center"/>
              <w:outlineLvl w:val="0"/>
              <w:rPr>
                <w:rFonts w:ascii="Times New Roman" w:hAnsi="Times New Roman" w:eastAsia="黑体"/>
                <w:snapToGrid w:val="0"/>
                <w:color w:val="auto"/>
                <w:szCs w:val="24"/>
              </w:rPr>
            </w:pPr>
            <w:r>
              <w:rPr>
                <w:rFonts w:ascii="Times New Roman" w:hAnsi="Times New Roman" w:eastAsia="黑体"/>
                <w:snapToGrid w:val="0"/>
                <w:color w:val="auto"/>
                <w:szCs w:val="24"/>
              </w:rPr>
              <w:t>其他符合性分析</w:t>
            </w:r>
          </w:p>
        </w:tc>
        <w:tc>
          <w:tcPr>
            <w:tcW w:w="4700" w:type="pct"/>
          </w:tcPr>
          <w:p w14:paraId="1376D17D">
            <w:pPr>
              <w:tabs>
                <w:tab w:val="left" w:pos="2880"/>
              </w:tabs>
              <w:adjustRightInd w:val="0"/>
              <w:snapToGrid w:val="0"/>
              <w:spacing w:line="360" w:lineRule="auto"/>
              <w:ind w:firstLine="482" w:firstLineChars="200"/>
              <w:rPr>
                <w:b/>
                <w:bCs/>
                <w:color w:val="auto"/>
                <w:sz w:val="24"/>
              </w:rPr>
            </w:pPr>
            <w:r>
              <w:rPr>
                <w:rFonts w:hint="eastAsia"/>
                <w:b/>
                <w:bCs/>
                <w:color w:val="auto"/>
                <w:sz w:val="24"/>
              </w:rPr>
              <w:t>5</w:t>
            </w:r>
            <w:r>
              <w:rPr>
                <w:b/>
                <w:bCs/>
                <w:color w:val="auto"/>
                <w:sz w:val="24"/>
              </w:rPr>
              <w:t>、与《关于严格限制东江流域水污染项目建设进一步做好东江水质保护工作的通知》（粤府函〔2011〕339号）及</w:t>
            </w:r>
            <w:r>
              <w:rPr>
                <w:rFonts w:hint="eastAsia"/>
                <w:b/>
                <w:bCs/>
                <w:color w:val="auto"/>
                <w:sz w:val="24"/>
              </w:rPr>
              <w:t>《广东省人民政府关于严格限制东江流域水污染项目建设进一步做好东江水质保护工作的补充通知》</w:t>
            </w:r>
            <w:r>
              <w:rPr>
                <w:b/>
                <w:bCs/>
                <w:color w:val="auto"/>
                <w:sz w:val="24"/>
              </w:rPr>
              <w:t>（粤府函〔2013〕231号）相符性分析</w:t>
            </w:r>
          </w:p>
          <w:p w14:paraId="504F7224">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根据《关于严格限制东江流域水污染项目建设进一步做好东江水质保护工作的通知》（粤府函〔2011〕339号），为更好地保护东江水质，确保东江供水安全，现就严格限制东江流域水污染项目建设问题通知如下（摘节）：</w:t>
            </w:r>
          </w:p>
          <w:p w14:paraId="12DA9EBB">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二、严格控制支流污染增量</w:t>
            </w:r>
          </w:p>
          <w:p w14:paraId="680822A1">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在淡水河（含龙岗河、坪山河等支流）、石马河（含观澜河、潼湖水等支流）、紧水河、稿树下水、马嘶河（龙溪水）等支流和东江惠州博罗段江东、榕溪沥（罗阳）、廖洞、合竹洲、永平等5个直接排往东江的铁场排渠流域内，禁止建设制浆造纸、电镀（含配套电镀和线路板）、印染、制革、发酵酿造、规模化养殖和危险废物综合利用或处置等重污染项目，暂停审批电氧化、化工和含酸洗、磷化、表面处理工序以及其他新增超标或超总量污染物的项目。上述流域内，在污水未纳入污水处理厂收集管网的城镇中心区域，不得审批洗车、餐饮、沐足桑拿等耗水性项目。</w:t>
            </w:r>
          </w:p>
          <w:p w14:paraId="1B256B42">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w:t>
            </w:r>
          </w:p>
          <w:p w14:paraId="0590849E">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根据《广东省人民政府关于严格限制东江流域水污染项目建设进一步做好东江水质保护工作的补充通知》（粤府函[2013]231号）规定：</w:t>
            </w:r>
          </w:p>
          <w:p w14:paraId="143C595F">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一、增加东江一级支流沙河为流域严格控制污染项目建设的支流。</w:t>
            </w:r>
          </w:p>
          <w:p w14:paraId="6A3D5F49">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二、符合下列条件之一的建设项目，不列入禁止建设和暂停审批范围：</w:t>
            </w:r>
          </w:p>
          <w:p w14:paraId="4F7D6230">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（一）建设地点位于东江流域，但不排放废水或废水不排入东江及其支流，不会对东江水质和水环境安全构成影响的项目；</w:t>
            </w:r>
          </w:p>
          <w:p w14:paraId="182CB025">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（二）通过提高清洁生产和污染防治水平，能够做到增产不增污、增产减污、技改减污的改（扩）建项目及同流域内迁建减污项目；</w:t>
            </w:r>
          </w:p>
          <w:p w14:paraId="056E33B7">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（三）流域内拟迁入重污染行业统一规划、统一定点基地且符合基地规划环评审查意见的建设项目不列入粤府函[2011]339号档禁止建设和暂停审批范围。</w:t>
            </w:r>
          </w:p>
          <w:p w14:paraId="6FC2B6C3">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三、对《通知》附件“东江流域包含的主要行政区域”作适当调整：</w:t>
            </w:r>
          </w:p>
          <w:p w14:paraId="1BEA5B64">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w:t>
            </w:r>
          </w:p>
          <w:p w14:paraId="08C0CB3F">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四、惠州市的适用区域调整为除大亚湾经济技术开发区和惠阳区沿海地区、惠东县沿海地区（稔山镇、吉隆镇、铁涌镇、平海镇、巽寮办事处）之外废水排入东江及其支流的全部范围。</w:t>
            </w:r>
          </w:p>
          <w:p w14:paraId="6741E10A">
            <w:pPr>
              <w:tabs>
                <w:tab w:val="left" w:pos="2880"/>
              </w:tabs>
              <w:adjustRightInd w:val="0"/>
              <w:snapToGrid w:val="0"/>
              <w:spacing w:line="360" w:lineRule="auto"/>
              <w:ind w:firstLine="480" w:firstLineChars="200"/>
              <w:rPr>
                <w:color w:val="auto"/>
                <w:kern w:val="0"/>
                <w:sz w:val="24"/>
              </w:rPr>
            </w:pPr>
            <w:r>
              <w:rPr>
                <w:rFonts w:hint="eastAsia"/>
                <w:color w:val="auto"/>
                <w:kern w:val="0"/>
                <w:sz w:val="24"/>
              </w:rPr>
              <w:t>“***”</w:t>
            </w:r>
          </w:p>
          <w:p w14:paraId="65631C77">
            <w:pPr>
              <w:tabs>
                <w:tab w:val="left" w:pos="2880"/>
              </w:tabs>
              <w:adjustRightInd w:val="0"/>
              <w:snapToGrid w:val="0"/>
              <w:spacing w:line="360" w:lineRule="auto"/>
              <w:ind w:firstLine="482" w:firstLineChars="200"/>
              <w:rPr>
                <w:color w:val="auto"/>
                <w:kern w:val="0"/>
                <w:sz w:val="24"/>
              </w:rPr>
            </w:pPr>
            <w:r>
              <w:rPr>
                <w:b/>
                <w:bCs/>
                <w:color w:val="auto"/>
                <w:kern w:val="0"/>
                <w:sz w:val="24"/>
              </w:rPr>
              <w:t>相符性分析：</w:t>
            </w:r>
            <w:r>
              <w:rPr>
                <w:color w:val="auto"/>
                <w:kern w:val="0"/>
                <w:sz w:val="24"/>
              </w:rPr>
              <w:t>项目</w:t>
            </w:r>
            <w:r>
              <w:rPr>
                <w:rFonts w:hint="eastAsia"/>
                <w:color w:val="auto"/>
                <w:kern w:val="0"/>
                <w:sz w:val="24"/>
              </w:rPr>
              <w:t>涉及酸洗、磷化等表面处理工艺，营运期间产生的前处理废水经处理后回用于前处理线清洗用水、喷淋塔用水，浓缩废液和水帘柜废水定期由有危险废物处理资质单位清运处理，不对外排放生产废水，外排废水主要为生活污水，生活污水经三级化粪池预处理后由市政管网纳入石湾镇西基生活污水厂处理</w:t>
            </w:r>
            <w:r>
              <w:rPr>
                <w:color w:val="auto"/>
                <w:kern w:val="0"/>
                <w:sz w:val="24"/>
              </w:rPr>
              <w:t>，尾水排入</w:t>
            </w:r>
            <w:r>
              <w:rPr>
                <w:rFonts w:hint="eastAsia"/>
                <w:color w:val="auto"/>
                <w:kern w:val="0"/>
                <w:sz w:val="24"/>
              </w:rPr>
              <w:t>联和排渠</w:t>
            </w:r>
            <w:r>
              <w:rPr>
                <w:color w:val="auto"/>
                <w:kern w:val="0"/>
                <w:sz w:val="24"/>
              </w:rPr>
              <w:t>。</w:t>
            </w:r>
            <w:r>
              <w:rPr>
                <w:rFonts w:hint="eastAsia"/>
                <w:color w:val="auto"/>
                <w:kern w:val="0"/>
                <w:sz w:val="24"/>
              </w:rPr>
              <w:t>因此</w:t>
            </w:r>
            <w:r>
              <w:rPr>
                <w:color w:val="auto"/>
                <w:kern w:val="0"/>
                <w:sz w:val="24"/>
              </w:rPr>
              <w:t>项目不属于禁止建设和暂停审批范围的项目，故项目基本符合该文件的要求。</w:t>
            </w:r>
          </w:p>
          <w:p w14:paraId="2647E749">
            <w:pPr>
              <w:tabs>
                <w:tab w:val="left" w:pos="2880"/>
              </w:tabs>
              <w:adjustRightInd w:val="0"/>
              <w:snapToGrid w:val="0"/>
              <w:spacing w:line="360" w:lineRule="auto"/>
              <w:ind w:firstLine="482" w:firstLineChars="200"/>
              <w:rPr>
                <w:b/>
                <w:bCs/>
                <w:color w:val="auto"/>
                <w:sz w:val="24"/>
              </w:rPr>
            </w:pPr>
            <w:r>
              <w:rPr>
                <w:rFonts w:hint="eastAsia"/>
                <w:b/>
                <w:bCs/>
                <w:color w:val="auto"/>
                <w:sz w:val="24"/>
              </w:rPr>
              <w:t>6、与《广东省水污染防治条例》（2021年1月1日起实施）的相符性分析</w:t>
            </w:r>
          </w:p>
          <w:p w14:paraId="2F809E22">
            <w:pPr>
              <w:pStyle w:val="88"/>
              <w:rPr>
                <w:bCs/>
                <w:color w:val="auto"/>
                <w:kern w:val="11"/>
                <w:szCs w:val="21"/>
              </w:rPr>
            </w:pPr>
            <w:r>
              <w:rPr>
                <w:bCs/>
                <w:color w:val="auto"/>
                <w:kern w:val="11"/>
                <w:szCs w:val="21"/>
              </w:rPr>
              <w:t>表</w:t>
            </w:r>
            <w:r>
              <w:rPr>
                <w:rFonts w:hint="eastAsia"/>
                <w:bCs/>
                <w:color w:val="auto"/>
                <w:kern w:val="11"/>
                <w:szCs w:val="21"/>
              </w:rPr>
              <w:t>1-4</w:t>
            </w:r>
            <w:r>
              <w:rPr>
                <w:bCs/>
                <w:color w:val="auto"/>
                <w:kern w:val="11"/>
                <w:szCs w:val="21"/>
              </w:rPr>
              <w:t xml:space="preserve">  </w:t>
            </w:r>
            <w:r>
              <w:rPr>
                <w:rFonts w:hint="eastAsia"/>
                <w:bCs/>
                <w:color w:val="auto"/>
                <w:kern w:val="11"/>
                <w:szCs w:val="21"/>
              </w:rPr>
              <w:t>与</w:t>
            </w:r>
            <w:r>
              <w:rPr>
                <w:rFonts w:hint="eastAsia"/>
                <w:bCs/>
                <w:color w:val="auto"/>
                <w:szCs w:val="21"/>
              </w:rPr>
              <w:t>《广东省水污染防治条例》（2021年1月1日起实施）</w:t>
            </w:r>
            <w:r>
              <w:rPr>
                <w:rFonts w:hint="eastAsia"/>
                <w:bCs/>
                <w:color w:val="auto"/>
                <w:kern w:val="11"/>
                <w:szCs w:val="21"/>
              </w:rPr>
              <w:t>相符性分析一览表</w:t>
            </w:r>
          </w:p>
          <w:tbl>
            <w:tblPr>
              <w:tblStyle w:val="3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15"/>
              <w:gridCol w:w="2531"/>
              <w:gridCol w:w="992"/>
            </w:tblGrid>
            <w:tr w14:paraId="241E7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9" w:type="pct"/>
                </w:tcPr>
                <w:p w14:paraId="743F442F">
                  <w:pPr>
                    <w:pStyle w:val="140"/>
                    <w:rPr>
                      <w:b/>
                      <w:bCs/>
                      <w:color w:val="auto"/>
                    </w:rPr>
                  </w:pPr>
                  <w:r>
                    <w:rPr>
                      <w:rFonts w:hint="eastAsia"/>
                      <w:b/>
                      <w:bCs/>
                      <w:color w:val="auto"/>
                    </w:rPr>
                    <w:t>条例要求</w:t>
                  </w:r>
                </w:p>
              </w:tc>
              <w:tc>
                <w:tcPr>
                  <w:tcW w:w="1286" w:type="pct"/>
                  <w:vAlign w:val="center"/>
                </w:tcPr>
                <w:p w14:paraId="3A27A401">
                  <w:pPr>
                    <w:pStyle w:val="140"/>
                    <w:rPr>
                      <w:b/>
                      <w:bCs/>
                      <w:color w:val="auto"/>
                    </w:rPr>
                  </w:pPr>
                  <w:r>
                    <w:rPr>
                      <w:rFonts w:hint="eastAsia"/>
                      <w:b/>
                      <w:bCs/>
                      <w:color w:val="auto"/>
                    </w:rPr>
                    <w:t>企业拟建情况</w:t>
                  </w:r>
                </w:p>
              </w:tc>
              <w:tc>
                <w:tcPr>
                  <w:tcW w:w="504" w:type="pct"/>
                  <w:vAlign w:val="center"/>
                </w:tcPr>
                <w:p w14:paraId="1DCB879E">
                  <w:pPr>
                    <w:pStyle w:val="140"/>
                    <w:rPr>
                      <w:b/>
                      <w:bCs/>
                      <w:color w:val="auto"/>
                    </w:rPr>
                  </w:pPr>
                  <w:r>
                    <w:rPr>
                      <w:rFonts w:hint="eastAsia"/>
                      <w:b/>
                      <w:bCs/>
                      <w:color w:val="auto"/>
                    </w:rPr>
                    <w:t>相符性</w:t>
                  </w:r>
                </w:p>
              </w:tc>
            </w:tr>
            <w:tr w14:paraId="5FE67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3209" w:type="pct"/>
                </w:tcPr>
                <w:p w14:paraId="3FACD012">
                  <w:pPr>
                    <w:pStyle w:val="140"/>
                    <w:jc w:val="left"/>
                    <w:rPr>
                      <w:color w:val="auto"/>
                    </w:rPr>
                  </w:pPr>
                  <w:r>
                    <w:rPr>
                      <w:color w:val="auto"/>
                    </w:rPr>
                    <w:t>第二十七条  县级以上人民政府应当根据国土空间规划和本行政区域的资源环境承载能力与水环境质量目标等要求，合理规划工业布局，规范工业集聚区及其污水集中处理设施建设，引导工业企业入驻工业集聚区。严格控制高污染项目的建设，鼓励和支持无污染或者轻污染产业的发展。</w:t>
                  </w:r>
                </w:p>
              </w:tc>
              <w:tc>
                <w:tcPr>
                  <w:tcW w:w="1286" w:type="pct"/>
                  <w:vAlign w:val="center"/>
                </w:tcPr>
                <w:p w14:paraId="63B71E8D">
                  <w:pPr>
                    <w:pStyle w:val="140"/>
                    <w:jc w:val="both"/>
                    <w:rPr>
                      <w:color w:val="auto"/>
                    </w:rPr>
                  </w:pPr>
                  <w:r>
                    <w:rPr>
                      <w:rFonts w:hint="eastAsia"/>
                      <w:color w:val="auto"/>
                      <w:szCs w:val="21"/>
                    </w:rPr>
                    <w:t>项目</w:t>
                  </w:r>
                  <w:r>
                    <w:rPr>
                      <w:rFonts w:hint="eastAsia"/>
                      <w:color w:val="auto"/>
                      <w:kern w:val="2"/>
                    </w:rPr>
                    <w:t>拟建于宝居乐工业区，属于工业集聚区，生产过程</w:t>
                  </w:r>
                  <w:r>
                    <w:rPr>
                      <w:rFonts w:hint="eastAsia"/>
                      <w:color w:val="auto"/>
                      <w:szCs w:val="21"/>
                    </w:rPr>
                    <w:t>不对外排放生产废水</w:t>
                  </w:r>
                  <w:r>
                    <w:rPr>
                      <w:rFonts w:hint="eastAsia"/>
                      <w:color w:val="auto"/>
                      <w:kern w:val="2"/>
                    </w:rPr>
                    <w:t>，不属于高污染项目</w:t>
                  </w:r>
                </w:p>
              </w:tc>
              <w:tc>
                <w:tcPr>
                  <w:tcW w:w="504" w:type="pct"/>
                  <w:vAlign w:val="center"/>
                </w:tcPr>
                <w:p w14:paraId="031BE32A">
                  <w:pPr>
                    <w:pStyle w:val="140"/>
                    <w:rPr>
                      <w:color w:val="auto"/>
                    </w:rPr>
                  </w:pPr>
                  <w:r>
                    <w:rPr>
                      <w:rFonts w:hint="eastAsia"/>
                      <w:color w:val="auto"/>
                    </w:rPr>
                    <w:t>相符</w:t>
                  </w:r>
                </w:p>
              </w:tc>
            </w:tr>
            <w:tr w14:paraId="69F35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9" w:type="pct"/>
                  <w:vAlign w:val="center"/>
                </w:tcPr>
                <w:p w14:paraId="2684A761">
                  <w:pPr>
                    <w:pStyle w:val="140"/>
                    <w:jc w:val="both"/>
                    <w:rPr>
                      <w:color w:val="auto"/>
                    </w:rPr>
                  </w:pPr>
                  <w:r>
                    <w:rPr>
                      <w:color w:val="auto"/>
                      <w:kern w:val="2"/>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tc>
              <w:tc>
                <w:tcPr>
                  <w:tcW w:w="1286" w:type="pct"/>
                  <w:vAlign w:val="center"/>
                </w:tcPr>
                <w:p w14:paraId="4A15FD98">
                  <w:pPr>
                    <w:pStyle w:val="140"/>
                    <w:jc w:val="both"/>
                    <w:rPr>
                      <w:color w:val="auto"/>
                    </w:rPr>
                  </w:pPr>
                  <w:r>
                    <w:rPr>
                      <w:rFonts w:hint="eastAsia"/>
                      <w:color w:val="auto"/>
                      <w:szCs w:val="21"/>
                    </w:rPr>
                    <w:t>项目</w:t>
                  </w:r>
                  <w:r>
                    <w:rPr>
                      <w:rFonts w:hint="eastAsia"/>
                      <w:color w:val="auto"/>
                    </w:rPr>
                    <w:t>营运期间</w:t>
                  </w:r>
                  <w:r>
                    <w:rPr>
                      <w:rFonts w:hint="eastAsia"/>
                      <w:color w:val="auto"/>
                      <w:szCs w:val="21"/>
                    </w:rPr>
                    <w:t>不对外排放生产废水</w:t>
                  </w:r>
                  <w:r>
                    <w:rPr>
                      <w:rFonts w:hint="eastAsia"/>
                      <w:color w:val="auto"/>
                    </w:rPr>
                    <w:t>，所在属于石湾镇西基生活污水厂的纳污范围</w:t>
                  </w:r>
                  <w:r>
                    <w:rPr>
                      <w:rFonts w:hint="eastAsia"/>
                      <w:color w:val="auto"/>
                      <w:kern w:val="2"/>
                    </w:rPr>
                    <w:t>，生活污水排入</w:t>
                  </w:r>
                  <w:r>
                    <w:rPr>
                      <w:rFonts w:hint="eastAsia"/>
                      <w:color w:val="auto"/>
                    </w:rPr>
                    <w:t>石湾镇西基生活污水厂</w:t>
                  </w:r>
                  <w:r>
                    <w:rPr>
                      <w:rFonts w:hint="eastAsia"/>
                      <w:color w:val="auto"/>
                      <w:szCs w:val="21"/>
                    </w:rPr>
                    <w:t>处理</w:t>
                  </w:r>
                </w:p>
              </w:tc>
              <w:tc>
                <w:tcPr>
                  <w:tcW w:w="504" w:type="pct"/>
                  <w:vAlign w:val="center"/>
                </w:tcPr>
                <w:p w14:paraId="48AE8364">
                  <w:pPr>
                    <w:pStyle w:val="140"/>
                    <w:rPr>
                      <w:color w:val="auto"/>
                    </w:rPr>
                  </w:pPr>
                  <w:r>
                    <w:rPr>
                      <w:rFonts w:hint="eastAsia"/>
                      <w:color w:val="auto"/>
                    </w:rPr>
                    <w:t>相符</w:t>
                  </w:r>
                </w:p>
              </w:tc>
            </w:tr>
            <w:tr w14:paraId="4DF98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9" w:type="pct"/>
                </w:tcPr>
                <w:p w14:paraId="38823562">
                  <w:pPr>
                    <w:pStyle w:val="140"/>
                    <w:jc w:val="left"/>
                    <w:rPr>
                      <w:color w:val="auto"/>
                    </w:rPr>
                  </w:pPr>
                  <w:r>
                    <w:rPr>
                      <w:color w:val="auto"/>
                      <w:kern w:val="2"/>
                    </w:rPr>
                    <w:t>第二十九条  企业应当采用原材料利用效率高、污染物排放量少的清洁工艺，并加强管理，按照规定实施清洁生产审核，从源头上减少水污染物的产生。</w:t>
                  </w:r>
                </w:p>
              </w:tc>
              <w:tc>
                <w:tcPr>
                  <w:tcW w:w="1286" w:type="pct"/>
                  <w:vAlign w:val="center"/>
                </w:tcPr>
                <w:p w14:paraId="7646C3D8">
                  <w:pPr>
                    <w:pStyle w:val="140"/>
                    <w:jc w:val="both"/>
                    <w:rPr>
                      <w:color w:val="auto"/>
                    </w:rPr>
                  </w:pPr>
                  <w:r>
                    <w:rPr>
                      <w:rFonts w:hint="eastAsia"/>
                      <w:color w:val="auto"/>
                      <w:szCs w:val="21"/>
                    </w:rPr>
                    <w:t>项目</w:t>
                  </w:r>
                  <w:r>
                    <w:rPr>
                      <w:rFonts w:hint="eastAsia"/>
                      <w:color w:val="auto"/>
                    </w:rPr>
                    <w:t>营运期间</w:t>
                  </w:r>
                  <w:r>
                    <w:rPr>
                      <w:rFonts w:hint="eastAsia"/>
                      <w:color w:val="auto"/>
                      <w:szCs w:val="21"/>
                    </w:rPr>
                    <w:t>不对外排放生产废水</w:t>
                  </w:r>
                  <w:r>
                    <w:rPr>
                      <w:rFonts w:hint="eastAsia"/>
                      <w:color w:val="auto"/>
                    </w:rPr>
                    <w:t>，对外排放废水主要为生活污水</w:t>
                  </w:r>
                </w:p>
              </w:tc>
              <w:tc>
                <w:tcPr>
                  <w:tcW w:w="504" w:type="pct"/>
                  <w:vAlign w:val="center"/>
                </w:tcPr>
                <w:p w14:paraId="13D42E1B">
                  <w:pPr>
                    <w:pStyle w:val="140"/>
                    <w:rPr>
                      <w:color w:val="auto"/>
                    </w:rPr>
                  </w:pPr>
                  <w:r>
                    <w:rPr>
                      <w:rFonts w:hint="eastAsia"/>
                      <w:color w:val="auto"/>
                    </w:rPr>
                    <w:t>相符</w:t>
                  </w:r>
                </w:p>
              </w:tc>
            </w:tr>
            <w:tr w14:paraId="69672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9" w:type="pct"/>
                </w:tcPr>
                <w:p w14:paraId="78A4A5B4">
                  <w:pPr>
                    <w:pStyle w:val="140"/>
                    <w:jc w:val="left"/>
                    <w:rPr>
                      <w:color w:val="auto"/>
                      <w:kern w:val="2"/>
                    </w:rPr>
                  </w:pPr>
                  <w:r>
                    <w:rPr>
                      <w:rFonts w:hint="eastAsia"/>
                      <w:color w:val="auto"/>
                      <w:kern w:val="2"/>
                    </w:rPr>
                    <w:t>第三十一条  新区建设和旧城区改造，应当同步规划建设污水、雨水收集管网，实行雨污分流。在有条件的地区，应当逐步推进初期雨水调蓄处理和利用，减少水污染。</w:t>
                  </w:r>
                </w:p>
                <w:p w14:paraId="5F75D743">
                  <w:pPr>
                    <w:pStyle w:val="140"/>
                    <w:jc w:val="left"/>
                    <w:rPr>
                      <w:color w:val="auto"/>
                      <w:kern w:val="2"/>
                    </w:rPr>
                  </w:pPr>
                  <w:r>
                    <w:rPr>
                      <w:rFonts w:hint="eastAsia"/>
                      <w:color w:val="auto"/>
                      <w:kern w:val="2"/>
                    </w:rPr>
                    <w:t>已实行雨污分流的区域，不得向雨水收集口、雨水管道排放污水。尚未实行雨污分流的区域，应当按照要求逐步进行雨污分流改造；难以改造的，应当采取沿河截污、调蓄和治理等措施，防止污染水环境。</w:t>
                  </w:r>
                </w:p>
              </w:tc>
              <w:tc>
                <w:tcPr>
                  <w:tcW w:w="1286" w:type="pct"/>
                  <w:vAlign w:val="center"/>
                </w:tcPr>
                <w:p w14:paraId="46CFFC55">
                  <w:pPr>
                    <w:pStyle w:val="140"/>
                    <w:jc w:val="both"/>
                    <w:rPr>
                      <w:color w:val="auto"/>
                    </w:rPr>
                  </w:pPr>
                  <w:r>
                    <w:rPr>
                      <w:rFonts w:hint="eastAsia"/>
                      <w:color w:val="auto"/>
                      <w:szCs w:val="21"/>
                    </w:rPr>
                    <w:t>项目</w:t>
                  </w:r>
                  <w:r>
                    <w:rPr>
                      <w:rFonts w:hint="eastAsia"/>
                      <w:color w:val="auto"/>
                    </w:rPr>
                    <w:t>所在园区已实行雨污分流，营运期间生活污水经市政管网</w:t>
                  </w:r>
                  <w:r>
                    <w:rPr>
                      <w:rFonts w:hint="eastAsia"/>
                      <w:color w:val="auto"/>
                      <w:kern w:val="2"/>
                    </w:rPr>
                    <w:t>排放至</w:t>
                  </w:r>
                  <w:r>
                    <w:rPr>
                      <w:rFonts w:hint="eastAsia"/>
                      <w:color w:val="auto"/>
                    </w:rPr>
                    <w:t>石湾镇西基生活污水厂</w:t>
                  </w:r>
                  <w:r>
                    <w:rPr>
                      <w:rFonts w:hint="eastAsia"/>
                      <w:color w:val="auto"/>
                      <w:szCs w:val="21"/>
                    </w:rPr>
                    <w:t>处理，雨水通过雨水管排出</w:t>
                  </w:r>
                </w:p>
              </w:tc>
              <w:tc>
                <w:tcPr>
                  <w:tcW w:w="504" w:type="pct"/>
                  <w:vAlign w:val="center"/>
                </w:tcPr>
                <w:p w14:paraId="34101E4C">
                  <w:pPr>
                    <w:pStyle w:val="140"/>
                    <w:rPr>
                      <w:color w:val="auto"/>
                    </w:rPr>
                  </w:pPr>
                  <w:r>
                    <w:rPr>
                      <w:rFonts w:hint="eastAsia"/>
                      <w:color w:val="auto"/>
                    </w:rPr>
                    <w:t>相符</w:t>
                  </w:r>
                </w:p>
              </w:tc>
            </w:tr>
            <w:tr w14:paraId="060AE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9" w:type="pct"/>
                </w:tcPr>
                <w:p w14:paraId="352F3FCB">
                  <w:pPr>
                    <w:pStyle w:val="140"/>
                    <w:jc w:val="left"/>
                    <w:rPr>
                      <w:color w:val="auto"/>
                      <w:kern w:val="2"/>
                    </w:rPr>
                  </w:pPr>
                  <w:r>
                    <w:rPr>
                      <w:rFonts w:hint="eastAsia"/>
                      <w:color w:val="auto"/>
                      <w:kern w:val="2"/>
                    </w:rPr>
                    <w:t>第三十二条  向城镇污水集中处理设施排放水污染物，应当符合国家或者地方规定的水污染物排放标准。县级以上人民政府城镇排水主管部门应当加强对排水户的排放口设置、连接管网、预处理设施和水质、水量监测设施建设和运行的指导和监督。城镇排水主管部门委托的排水监测机构应当对排水户排放污水的水质和水量进行监测，并建立排水监测档案。</w:t>
                  </w:r>
                </w:p>
                <w:p w14:paraId="70AF2D3A">
                  <w:pPr>
                    <w:pStyle w:val="140"/>
                    <w:jc w:val="left"/>
                    <w:rPr>
                      <w:color w:val="auto"/>
                      <w:kern w:val="2"/>
                    </w:rPr>
                  </w:pPr>
                  <w:r>
                    <w:rPr>
                      <w:rFonts w:hint="eastAsia"/>
                      <w:color w:val="auto"/>
                      <w:kern w:val="2"/>
                    </w:rPr>
                    <w:t>城镇污水集中处理设施运营单位应当保证污水处理设施的正常运行，并对出水水质负责。城镇污水集中处理设施运营单位应当为进出水自动监测系统的安全运行提供保障条件。县级以上人民政府城镇排水主管部门应当对城镇污水集中处理设施运营情况进行监督和考核，生态环境主管部门应当依法对城镇污水集中处理设施的出水水质和水量进行监督检查。</w:t>
                  </w:r>
                </w:p>
                <w:p w14:paraId="0B670C26">
                  <w:pPr>
                    <w:pStyle w:val="140"/>
                    <w:jc w:val="left"/>
                    <w:rPr>
                      <w:color w:val="auto"/>
                      <w:kern w:val="2"/>
                    </w:rPr>
                  </w:pPr>
                  <w:r>
                    <w:rPr>
                      <w:rFonts w:hint="eastAsia"/>
                      <w:color w:val="auto"/>
                      <w:kern w:val="2"/>
                    </w:rPr>
                    <w:t>医疗机构、学校、科研院所、企业等单位的实验室、检验室、化验室等产生的有毒有害废水，应当按照有关规定收集处置，不得违法倾倒、排放。</w:t>
                  </w:r>
                </w:p>
                <w:p w14:paraId="0B49CDDF">
                  <w:pPr>
                    <w:pStyle w:val="140"/>
                    <w:jc w:val="left"/>
                    <w:rPr>
                      <w:color w:val="auto"/>
                      <w:kern w:val="2"/>
                    </w:rPr>
                  </w:pPr>
                  <w:r>
                    <w:rPr>
                      <w:rFonts w:hint="eastAsia"/>
                      <w:color w:val="auto"/>
                      <w:kern w:val="2"/>
                    </w:rPr>
                    <w:t>鼓励、支持污水处理厂进行尾水深度处理，提高再生水回用率，减少水污染。</w:t>
                  </w:r>
                </w:p>
              </w:tc>
              <w:tc>
                <w:tcPr>
                  <w:tcW w:w="1286" w:type="pct"/>
                  <w:vAlign w:val="center"/>
                </w:tcPr>
                <w:p w14:paraId="296BA31A">
                  <w:pPr>
                    <w:pStyle w:val="140"/>
                    <w:jc w:val="both"/>
                    <w:rPr>
                      <w:color w:val="auto"/>
                    </w:rPr>
                  </w:pPr>
                  <w:r>
                    <w:rPr>
                      <w:rFonts w:hint="eastAsia"/>
                      <w:color w:val="auto"/>
                      <w:szCs w:val="21"/>
                    </w:rPr>
                    <w:t>项目</w:t>
                  </w:r>
                  <w:r>
                    <w:rPr>
                      <w:rFonts w:hint="eastAsia"/>
                      <w:color w:val="auto"/>
                    </w:rPr>
                    <w:t>营运期间产生的生产废水经处理后回用于前处理线清洗用水、喷淋塔用水，浓缩废液和水帘柜废水定期由有危险废物处理资质单位清运处理，不对外排放生产废水，外排废水主要为生活污水，生活污水经三级化粪池预处理后，通过</w:t>
                  </w:r>
                  <w:r>
                    <w:rPr>
                      <w:rFonts w:hint="eastAsia"/>
                      <w:color w:val="auto"/>
                      <w:kern w:val="2"/>
                    </w:rPr>
                    <w:t>市政管网排放至</w:t>
                  </w:r>
                  <w:r>
                    <w:rPr>
                      <w:rFonts w:hint="eastAsia"/>
                      <w:color w:val="auto"/>
                    </w:rPr>
                    <w:t>石湾镇西基生活污水厂</w:t>
                  </w:r>
                  <w:r>
                    <w:rPr>
                      <w:rFonts w:hint="eastAsia"/>
                      <w:color w:val="auto"/>
                      <w:szCs w:val="21"/>
                    </w:rPr>
                    <w:t>处理</w:t>
                  </w:r>
                </w:p>
              </w:tc>
              <w:tc>
                <w:tcPr>
                  <w:tcW w:w="504" w:type="pct"/>
                  <w:vAlign w:val="center"/>
                </w:tcPr>
                <w:p w14:paraId="215CF40A">
                  <w:pPr>
                    <w:pStyle w:val="140"/>
                    <w:rPr>
                      <w:color w:val="auto"/>
                    </w:rPr>
                  </w:pPr>
                  <w:r>
                    <w:rPr>
                      <w:rFonts w:hint="eastAsia"/>
                      <w:color w:val="auto"/>
                    </w:rPr>
                    <w:t>相符</w:t>
                  </w:r>
                </w:p>
              </w:tc>
            </w:tr>
            <w:tr w14:paraId="56D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9" w:type="pct"/>
                </w:tcPr>
                <w:p w14:paraId="6ADC6878">
                  <w:pPr>
                    <w:pStyle w:val="140"/>
                    <w:jc w:val="left"/>
                    <w:rPr>
                      <w:color w:val="auto"/>
                      <w:kern w:val="2"/>
                    </w:rPr>
                  </w:pPr>
                  <w:r>
                    <w:rPr>
                      <w:rFonts w:hint="eastAsia"/>
                      <w:color w:val="auto"/>
                      <w:kern w:val="2"/>
                    </w:rPr>
                    <w:t>第五十条  新建、改建、扩建的项目应当符合国家产业政策规定。</w:t>
                  </w:r>
                </w:p>
                <w:p w14:paraId="24A0ACF2">
                  <w:pPr>
                    <w:pStyle w:val="140"/>
                    <w:jc w:val="left"/>
                    <w:rPr>
                      <w:color w:val="auto"/>
                      <w:kern w:val="2"/>
                    </w:rPr>
                  </w:pPr>
                  <w:r>
                    <w:rPr>
                      <w:rFonts w:hint="eastAsia"/>
                      <w:color w:val="auto"/>
                      <w:kern w:val="2"/>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43178260">
                  <w:pPr>
                    <w:pStyle w:val="140"/>
                    <w:jc w:val="left"/>
                    <w:rPr>
                      <w:color w:val="auto"/>
                      <w:kern w:val="2"/>
                    </w:rPr>
                  </w:pPr>
                  <w:r>
                    <w:rPr>
                      <w:rFonts w:hint="eastAsia"/>
                      <w:color w:val="auto"/>
                      <w:kern w:val="2"/>
                    </w:rPr>
                    <w:t>北江流域实行重金属污染物排放总量控制，严格控制新建涉重金属排放的项目，新建、改建、扩建的项目严格实行重金属等特征污染物排放减量置换。</w:t>
                  </w:r>
                </w:p>
              </w:tc>
              <w:tc>
                <w:tcPr>
                  <w:tcW w:w="1286" w:type="pct"/>
                  <w:vAlign w:val="center"/>
                </w:tcPr>
                <w:p w14:paraId="77F17B22">
                  <w:pPr>
                    <w:pStyle w:val="140"/>
                    <w:jc w:val="both"/>
                    <w:rPr>
                      <w:color w:val="auto"/>
                    </w:rPr>
                  </w:pPr>
                  <w:r>
                    <w:rPr>
                      <w:rFonts w:hint="eastAsia"/>
                      <w:color w:val="auto"/>
                      <w:szCs w:val="21"/>
                    </w:rPr>
                    <w:t>项目</w:t>
                  </w:r>
                  <w:r>
                    <w:rPr>
                      <w:rFonts w:hint="eastAsia"/>
                      <w:color w:val="auto"/>
                    </w:rPr>
                    <w:t>主要从事</w:t>
                  </w:r>
                  <w:r>
                    <w:rPr>
                      <w:rFonts w:hint="eastAsia"/>
                      <w:color w:val="auto"/>
                      <w:szCs w:val="21"/>
                    </w:rPr>
                    <w:t>金属半成品（车架、家具）等表面处理加工</w:t>
                  </w:r>
                  <w:r>
                    <w:rPr>
                      <w:rFonts w:hint="eastAsia"/>
                      <w:color w:val="auto"/>
                    </w:rPr>
                    <w:t>，既不属于国家产业政策规定的禁止项目，也不属于东江流域区域明文禁止的行业类别</w:t>
                  </w:r>
                </w:p>
              </w:tc>
              <w:tc>
                <w:tcPr>
                  <w:tcW w:w="504" w:type="pct"/>
                  <w:vAlign w:val="center"/>
                </w:tcPr>
                <w:p w14:paraId="060DB487">
                  <w:pPr>
                    <w:pStyle w:val="140"/>
                    <w:rPr>
                      <w:color w:val="auto"/>
                    </w:rPr>
                  </w:pPr>
                  <w:r>
                    <w:rPr>
                      <w:rFonts w:hint="eastAsia"/>
                      <w:color w:val="auto"/>
                    </w:rPr>
                    <w:t>符合</w:t>
                  </w:r>
                </w:p>
              </w:tc>
            </w:tr>
          </w:tbl>
          <w:p w14:paraId="0211E103">
            <w:pPr>
              <w:pStyle w:val="15"/>
              <w:ind w:firstLine="480"/>
              <w:rPr>
                <w:color w:val="auto"/>
              </w:rPr>
            </w:pPr>
          </w:p>
          <w:p w14:paraId="02F1E7C4">
            <w:pPr>
              <w:pStyle w:val="76"/>
              <w:snapToGrid w:val="0"/>
              <w:ind w:firstLine="480" w:firstLineChars="200"/>
              <w:rPr>
                <w:rFonts w:ascii="Times New Roman" w:hAnsi="Times New Roman"/>
                <w:color w:val="auto"/>
                <w:szCs w:val="24"/>
              </w:rPr>
            </w:pPr>
            <w:r>
              <w:rPr>
                <w:rFonts w:hint="eastAsia" w:ascii="Times New Roman" w:hAnsi="Times New Roman"/>
                <w:color w:val="auto"/>
                <w:szCs w:val="24"/>
              </w:rPr>
              <w:t>综上，项目的建设符合《广东省水污染防治条例》的要求。</w:t>
            </w:r>
          </w:p>
          <w:p w14:paraId="1554FC1C">
            <w:pPr>
              <w:tabs>
                <w:tab w:val="left" w:pos="2880"/>
              </w:tabs>
              <w:adjustRightInd w:val="0"/>
              <w:snapToGrid w:val="0"/>
              <w:spacing w:line="360" w:lineRule="auto"/>
              <w:ind w:firstLine="482" w:firstLineChars="200"/>
              <w:rPr>
                <w:bCs/>
                <w:color w:val="auto"/>
                <w:sz w:val="24"/>
              </w:rPr>
            </w:pPr>
            <w:r>
              <w:rPr>
                <w:rFonts w:hint="eastAsia"/>
                <w:b/>
                <w:bCs/>
                <w:color w:val="auto"/>
                <w:kern w:val="0"/>
                <w:sz w:val="24"/>
              </w:rPr>
              <w:t>7</w:t>
            </w:r>
            <w:r>
              <w:rPr>
                <w:b/>
                <w:bCs/>
                <w:color w:val="auto"/>
                <w:kern w:val="0"/>
                <w:sz w:val="24"/>
              </w:rPr>
              <w:t>、</w:t>
            </w:r>
            <w:r>
              <w:rPr>
                <w:b/>
                <w:bCs/>
                <w:color w:val="auto"/>
                <w:sz w:val="24"/>
              </w:rPr>
              <w:t>与关于印发《惠州市2024年水污染防治攻坚工作方案》（惠市环〔2024〕9号）的通知的相符性分析</w:t>
            </w:r>
          </w:p>
          <w:p w14:paraId="78588798">
            <w:pPr>
              <w:pStyle w:val="136"/>
              <w:spacing w:line="360" w:lineRule="auto"/>
              <w:ind w:firstLine="480" w:firstLineChars="200"/>
              <w:rPr>
                <w:rFonts w:ascii="Times New Roman" w:hAnsi="Times New Roman" w:eastAsia="宋体"/>
                <w:bCs/>
                <w:color w:val="auto"/>
                <w:sz w:val="24"/>
                <w:szCs w:val="24"/>
              </w:rPr>
            </w:pPr>
            <w:r>
              <w:rPr>
                <w:rFonts w:ascii="Times New Roman" w:hAnsi="Times New Roman" w:eastAsia="宋体"/>
                <w:bCs/>
                <w:color w:val="auto"/>
                <w:sz w:val="24"/>
                <w:szCs w:val="24"/>
              </w:rPr>
              <w:t>通知规定：“（六）强力推进工业污染治理</w:t>
            </w:r>
          </w:p>
          <w:p w14:paraId="7756CB18">
            <w:pPr>
              <w:pStyle w:val="136"/>
              <w:spacing w:line="360" w:lineRule="auto"/>
              <w:ind w:firstLine="480" w:firstLineChars="200"/>
              <w:rPr>
                <w:rFonts w:ascii="Times New Roman" w:hAnsi="Times New Roman" w:eastAsia="宋体"/>
                <w:bCs/>
                <w:color w:val="auto"/>
                <w:sz w:val="24"/>
                <w:szCs w:val="24"/>
              </w:rPr>
            </w:pPr>
            <w:r>
              <w:rPr>
                <w:rFonts w:ascii="Times New Roman" w:hAnsi="Times New Roman" w:eastAsia="宋体"/>
                <w:bCs/>
                <w:color w:val="auto"/>
                <w:sz w:val="24"/>
                <w:szCs w:val="24"/>
              </w:rPr>
              <w:t>严格执行产业结构调整指导目录，落实生态环境分区管控要求，依法通过建设项目环评限批、污染物减量置换等方式严格建设项目管理，促进工业转型升级。组织开展汛期城镇污水处理厂纳污范围内工业污染专项整治，按照“双随机、一公开”原则对城镇污水处理厂纳污范围内的工矿企业、工业企业开展联合监督检查，严厉查处偷排、漏排、超标排放废水等违法行为，建立健全上下游、左右岸跨地市或跨区域联合执法机制。</w:t>
            </w:r>
          </w:p>
          <w:p w14:paraId="57BA4FAE">
            <w:pPr>
              <w:pStyle w:val="76"/>
              <w:snapToGrid w:val="0"/>
              <w:ind w:firstLine="482" w:firstLineChars="200"/>
              <w:rPr>
                <w:rFonts w:ascii="Times New Roman" w:hAnsi="Times New Roman"/>
                <w:b/>
                <w:bCs/>
                <w:color w:val="auto"/>
                <w:szCs w:val="24"/>
              </w:rPr>
            </w:pPr>
            <w:r>
              <w:rPr>
                <w:rFonts w:ascii="Times New Roman" w:hAnsi="Times New Roman"/>
                <w:b/>
                <w:color w:val="auto"/>
                <w:szCs w:val="24"/>
              </w:rPr>
              <w:t>相符性分析：</w:t>
            </w:r>
            <w:r>
              <w:rPr>
                <w:rFonts w:ascii="Times New Roman" w:hAnsi="Times New Roman"/>
                <w:color w:val="auto"/>
                <w:szCs w:val="24"/>
              </w:rPr>
              <w:t>项目</w:t>
            </w:r>
            <w:r>
              <w:rPr>
                <w:rFonts w:hint="eastAsia"/>
                <w:color w:val="auto"/>
              </w:rPr>
              <w:t>生产废水经处理后回用于前处理线清洗用水、喷淋塔用水，浓缩废液和水帘柜废水定期由有危险废物处理资质单位清运处理，不对外排放生产废水</w:t>
            </w:r>
            <w:r>
              <w:rPr>
                <w:rFonts w:ascii="Times New Roman" w:hAnsi="Times New Roman"/>
                <w:color w:val="auto"/>
                <w:szCs w:val="24"/>
              </w:rPr>
              <w:t>。</w:t>
            </w:r>
            <w:r>
              <w:rPr>
                <w:rFonts w:ascii="Times New Roman" w:hAnsi="Times New Roman"/>
                <w:color w:val="auto"/>
              </w:rPr>
              <w:t>项目生活污水经</w:t>
            </w:r>
            <w:r>
              <w:rPr>
                <w:rFonts w:hint="eastAsia" w:ascii="Times New Roman" w:hAnsi="Times New Roman"/>
                <w:color w:val="auto"/>
              </w:rPr>
              <w:t>三级</w:t>
            </w:r>
            <w:r>
              <w:rPr>
                <w:rFonts w:ascii="Times New Roman" w:hAnsi="Times New Roman"/>
                <w:color w:val="auto"/>
              </w:rPr>
              <w:t>化粪池预处理后，排入市政集污管网，纳入到</w:t>
            </w:r>
            <w:r>
              <w:rPr>
                <w:rFonts w:hint="eastAsia" w:ascii="Times New Roman" w:hAnsi="Times New Roman"/>
                <w:color w:val="auto"/>
              </w:rPr>
              <w:t>石湾镇西基生活污水厂</w:t>
            </w:r>
            <w:r>
              <w:rPr>
                <w:rFonts w:ascii="Times New Roman" w:hAnsi="Times New Roman"/>
                <w:color w:val="auto"/>
              </w:rPr>
              <w:t>处理，尾水排入</w:t>
            </w:r>
            <w:r>
              <w:rPr>
                <w:rFonts w:hint="eastAsia" w:ascii="Times New Roman" w:hAnsi="Times New Roman"/>
                <w:color w:val="auto"/>
              </w:rPr>
              <w:t>联和排渠</w:t>
            </w:r>
            <w:r>
              <w:rPr>
                <w:rFonts w:ascii="Times New Roman" w:hAnsi="Times New Roman"/>
                <w:color w:val="auto"/>
              </w:rPr>
              <w:t>。</w:t>
            </w:r>
            <w:r>
              <w:rPr>
                <w:rFonts w:hint="eastAsia" w:ascii="Times New Roman" w:hAnsi="Times New Roman"/>
                <w:color w:val="auto"/>
              </w:rPr>
              <w:t>石湾镇西基生活污水厂</w:t>
            </w:r>
            <w:r>
              <w:rPr>
                <w:rFonts w:ascii="Times New Roman" w:hAnsi="Times New Roman"/>
                <w:color w:val="auto"/>
              </w:rPr>
              <w:t>尾水排放执行</w:t>
            </w:r>
            <w:r>
              <w:rPr>
                <w:rFonts w:hint="eastAsia" w:ascii="Times New Roman" w:hAnsi="Times New Roman"/>
                <w:color w:val="auto"/>
              </w:rPr>
              <w:t>氨氮、总磷排放执行国家《地表水环境质量》（</w:t>
            </w:r>
            <w:r>
              <w:rPr>
                <w:rFonts w:ascii="Times New Roman" w:hAnsi="Times New Roman"/>
                <w:color w:val="auto"/>
              </w:rPr>
              <w:t>GB3838-2002</w:t>
            </w:r>
            <w:r>
              <w:rPr>
                <w:rFonts w:hint="eastAsia" w:ascii="Times New Roman" w:hAnsi="Times New Roman"/>
                <w:color w:val="auto"/>
              </w:rPr>
              <w:t>）</w:t>
            </w:r>
            <w:r>
              <w:rPr>
                <w:rFonts w:ascii="Times New Roman" w:hAnsi="Times New Roman"/>
                <w:color w:val="auto"/>
              </w:rPr>
              <w:t>Ⅴ</w:t>
            </w:r>
            <w:r>
              <w:rPr>
                <w:rFonts w:hint="eastAsia" w:ascii="Times New Roman" w:hAnsi="Times New Roman"/>
                <w:color w:val="auto"/>
              </w:rPr>
              <w:t>类标准，其余指标执行国家《城镇污水处理厂污染物排放标》（</w:t>
            </w:r>
            <w:r>
              <w:rPr>
                <w:rFonts w:ascii="Times New Roman" w:hAnsi="Times New Roman"/>
                <w:color w:val="auto"/>
              </w:rPr>
              <w:t>GB18918-2002</w:t>
            </w:r>
            <w:r>
              <w:rPr>
                <w:rFonts w:hint="eastAsia" w:ascii="Times New Roman" w:hAnsi="Times New Roman"/>
                <w:color w:val="auto"/>
              </w:rPr>
              <w:t>）一级A标准与广东省《水污染物排放限值》较严值的标准。因此</w:t>
            </w:r>
            <w:r>
              <w:rPr>
                <w:rFonts w:ascii="Times New Roman" w:hAnsi="Times New Roman"/>
                <w:color w:val="auto"/>
                <w:szCs w:val="24"/>
              </w:rPr>
              <w:t>，本项目与</w:t>
            </w:r>
            <w:r>
              <w:rPr>
                <w:rFonts w:ascii="Times New Roman" w:hAnsi="Times New Roman"/>
                <w:color w:val="auto"/>
              </w:rPr>
              <w:t>《惠州市2024年水污染防治攻坚工作方案》</w:t>
            </w:r>
            <w:r>
              <w:rPr>
                <w:rFonts w:ascii="Times New Roman" w:hAnsi="Times New Roman"/>
                <w:color w:val="auto"/>
                <w:szCs w:val="24"/>
              </w:rPr>
              <w:t>的相关要求不冲突。</w:t>
            </w:r>
          </w:p>
          <w:p w14:paraId="218F98B6">
            <w:pPr>
              <w:pStyle w:val="76"/>
              <w:snapToGrid w:val="0"/>
              <w:ind w:firstLine="482" w:firstLineChars="200"/>
              <w:rPr>
                <w:rFonts w:ascii="Times New Roman" w:hAnsi="Times New Roman"/>
                <w:b/>
                <w:bCs/>
                <w:snapToGrid w:val="0"/>
                <w:color w:val="auto"/>
                <w:szCs w:val="24"/>
              </w:rPr>
            </w:pPr>
            <w:r>
              <w:rPr>
                <w:rFonts w:hint="eastAsia" w:ascii="Times New Roman" w:hAnsi="Times New Roman"/>
                <w:b/>
                <w:bCs/>
                <w:color w:val="auto"/>
              </w:rPr>
              <w:t>8、</w:t>
            </w:r>
            <w:r>
              <w:rPr>
                <w:rFonts w:ascii="Times New Roman" w:hAnsi="Times New Roman"/>
                <w:b/>
                <w:bCs/>
                <w:snapToGrid w:val="0"/>
                <w:color w:val="auto"/>
                <w:szCs w:val="24"/>
              </w:rPr>
              <w:t>与《惠州市2024年土壤与地下水污染防治工作方案》（惠市环〔2024〕9号）的相符性分析</w:t>
            </w:r>
          </w:p>
          <w:p w14:paraId="1CE23112">
            <w:pPr>
              <w:widowControl/>
              <w:spacing w:line="360" w:lineRule="auto"/>
              <w:ind w:firstLine="480" w:firstLineChars="200"/>
              <w:jc w:val="left"/>
              <w:rPr>
                <w:color w:val="auto"/>
                <w:sz w:val="24"/>
              </w:rPr>
            </w:pPr>
            <w:r>
              <w:rPr>
                <w:color w:val="auto"/>
                <w:kern w:val="0"/>
                <w:sz w:val="24"/>
                <w:lang w:bidi="ar"/>
              </w:rPr>
              <w:t xml:space="preserve">二、系统推进土壤污染源头防控 </w:t>
            </w:r>
          </w:p>
          <w:p w14:paraId="2C8146CC">
            <w:pPr>
              <w:widowControl/>
              <w:spacing w:line="360" w:lineRule="auto"/>
              <w:ind w:firstLine="480" w:firstLineChars="200"/>
              <w:jc w:val="left"/>
              <w:rPr>
                <w:color w:val="auto"/>
                <w:sz w:val="24"/>
              </w:rPr>
            </w:pPr>
            <w:r>
              <w:rPr>
                <w:color w:val="auto"/>
                <w:kern w:val="0"/>
                <w:sz w:val="24"/>
                <w:lang w:bidi="ar"/>
              </w:rPr>
              <w:t>（一）加强涉重金属行业污染防控。进一步开展涉镉等重点行业企业污染源排查，根据排查情况，将需要整治的企业列入整治清单，督促企业制定整改方案，落实整改措施。持续督促纳入大气环境重点排污单位名录的涉镉等重金属排放企业按排污许可证规定实现大气污染物中的颗粒物自动监测、监控设备联网。</w:t>
            </w:r>
          </w:p>
          <w:p w14:paraId="7685CFFB">
            <w:pPr>
              <w:widowControl/>
              <w:spacing w:line="360" w:lineRule="auto"/>
              <w:ind w:firstLine="480" w:firstLineChars="200"/>
              <w:jc w:val="left"/>
              <w:rPr>
                <w:color w:val="auto"/>
                <w:kern w:val="0"/>
                <w:sz w:val="24"/>
                <w:lang w:bidi="ar"/>
              </w:rPr>
            </w:pPr>
            <w:r>
              <w:rPr>
                <w:color w:val="auto"/>
                <w:kern w:val="0"/>
                <w:sz w:val="24"/>
                <w:lang w:bidi="ar"/>
              </w:rPr>
              <w:t>（二）严格监管土壤污染重点监管单位。依规公布我市土壤污染重点监管单位名录</w:t>
            </w:r>
            <w:r>
              <w:rPr>
                <w:rFonts w:hint="eastAsia"/>
                <w:color w:val="auto"/>
                <w:kern w:val="0"/>
                <w:sz w:val="24"/>
                <w:lang w:bidi="ar"/>
              </w:rPr>
              <w:t>，</w:t>
            </w:r>
            <w:r>
              <w:rPr>
                <w:color w:val="auto"/>
                <w:kern w:val="0"/>
                <w:sz w:val="24"/>
                <w:lang w:bidi="ar"/>
              </w:rPr>
              <w:t>督促重点监管单位落实法定义务。2024年年底前，新纳入的重点监管单位应完成隐患排查，所有重点监管单位完成年度土壤和地下水自行监测。对排查或监测发现数据异常、存在污染隐患的，指导督促企业因地制宜采取有效管控措施，防止污染扩散。按要求组织开展惠州忠信化工有限公司绿色化改造工程专项评估，总结项目技术方案、组织模式、监督管理等方面的典型经验,于2024年底前将项目实施成效报省生态环境厅。</w:t>
            </w:r>
          </w:p>
          <w:p w14:paraId="0688C227">
            <w:pPr>
              <w:widowControl/>
              <w:spacing w:line="360" w:lineRule="auto"/>
              <w:ind w:firstLine="480" w:firstLineChars="200"/>
              <w:jc w:val="left"/>
              <w:rPr>
                <w:color w:val="auto"/>
                <w:kern w:val="0"/>
                <w:sz w:val="24"/>
                <w:lang w:bidi="ar"/>
              </w:rPr>
            </w:pPr>
            <w:r>
              <w:rPr>
                <w:color w:val="auto"/>
                <w:kern w:val="0"/>
                <w:sz w:val="24"/>
                <w:lang w:bidi="ar"/>
              </w:rPr>
              <w:t>五、有序推进地下水污染防治</w:t>
            </w:r>
          </w:p>
          <w:p w14:paraId="478D1049">
            <w:pPr>
              <w:widowControl/>
              <w:spacing w:line="360" w:lineRule="auto"/>
              <w:ind w:firstLine="480" w:firstLineChars="200"/>
              <w:jc w:val="left"/>
              <w:rPr>
                <w:color w:val="auto"/>
                <w:kern w:val="0"/>
                <w:sz w:val="24"/>
                <w:lang w:bidi="ar"/>
              </w:rPr>
            </w:pPr>
            <w:r>
              <w:rPr>
                <w:color w:val="auto"/>
                <w:kern w:val="0"/>
                <w:sz w:val="24"/>
                <w:lang w:bidi="ar"/>
              </w:rPr>
              <w:t>......</w:t>
            </w:r>
          </w:p>
          <w:p w14:paraId="09B68A41">
            <w:pPr>
              <w:widowControl/>
              <w:spacing w:line="360" w:lineRule="auto"/>
              <w:ind w:firstLine="480" w:firstLineChars="200"/>
              <w:jc w:val="left"/>
              <w:rPr>
                <w:color w:val="auto"/>
                <w:kern w:val="0"/>
                <w:sz w:val="24"/>
                <w:lang w:bidi="ar"/>
              </w:rPr>
            </w:pPr>
            <w:r>
              <w:rPr>
                <w:color w:val="auto"/>
                <w:kern w:val="0"/>
                <w:sz w:val="24"/>
                <w:lang w:bidi="ar"/>
              </w:rPr>
              <w:t>（三）加强地下水污染源头防控和风险管控。持续推进重点污染源地下水环境状况调查,完成9个“双源”地块和11个危险废物处置场地下水环境状况初步调查，加强调查类项目成果集成与应用，督促相关责任主体落实地下水污染防治法定义务。组织生活垃圾填埋场运营管理单位开展防渗衬层完整性检测、地下水自行监测，并对发现的问题进行核实整改。当防渗衬层系统发生渗漏时，应及时采取补救措施。加强生活垃圾填埋场地下水水质的监督性监测。</w:t>
            </w:r>
          </w:p>
          <w:p w14:paraId="3AE288E6">
            <w:pPr>
              <w:widowControl/>
              <w:spacing w:line="360" w:lineRule="auto"/>
              <w:ind w:firstLine="480" w:firstLineChars="200"/>
              <w:jc w:val="left"/>
              <w:rPr>
                <w:color w:val="auto"/>
                <w:kern w:val="0"/>
                <w:sz w:val="24"/>
                <w:lang w:bidi="ar"/>
              </w:rPr>
            </w:pPr>
            <w:r>
              <w:rPr>
                <w:color w:val="auto"/>
                <w:kern w:val="0"/>
                <w:sz w:val="24"/>
                <w:lang w:bidi="ar"/>
              </w:rPr>
              <w:t>（四）加强地下水污染防治重点排污单位管理。公布地下水污染防治重点排污单位名录，督促责任主体落实地下水污染防治法定义务。督促指导已公布的地下水污染防治重点排污单位参照《重点监管单位土壤污染隐患排查指南（试行）》《地下水污染源防渗技术指南（试行）》等要求，于12月底前完成地下水污染渗漏排查，对存在问题设施，采取污染防渗改造措施。组织开展重点排污单位周边地下水环境监测。</w:t>
            </w:r>
          </w:p>
          <w:p w14:paraId="1FAABC9E">
            <w:pPr>
              <w:adjustRightInd w:val="0"/>
              <w:spacing w:line="360" w:lineRule="auto"/>
              <w:ind w:firstLine="482" w:firstLineChars="200"/>
              <w:jc w:val="left"/>
              <w:rPr>
                <w:color w:val="auto"/>
                <w:kern w:val="0"/>
                <w:sz w:val="24"/>
                <w:lang w:bidi="ar"/>
              </w:rPr>
            </w:pPr>
            <w:r>
              <w:rPr>
                <w:b/>
                <w:bCs/>
                <w:color w:val="auto"/>
                <w:sz w:val="24"/>
              </w:rPr>
              <w:t>相符性分析：</w:t>
            </w:r>
            <w:r>
              <w:rPr>
                <w:color w:val="auto"/>
                <w:sz w:val="24"/>
              </w:rPr>
              <w:t>本项目不涉及重金属污染物排放，</w:t>
            </w:r>
            <w:r>
              <w:rPr>
                <w:rFonts w:hint="eastAsia"/>
                <w:color w:val="auto"/>
                <w:sz w:val="24"/>
              </w:rPr>
              <w:t>也不属于地下水污染防治重点排污单位。营运期间</w:t>
            </w:r>
            <w:r>
              <w:rPr>
                <w:color w:val="auto"/>
                <w:sz w:val="24"/>
              </w:rPr>
              <w:t>废水处理</w:t>
            </w:r>
            <w:r>
              <w:rPr>
                <w:rFonts w:hint="eastAsia"/>
                <w:color w:val="auto"/>
                <w:sz w:val="24"/>
              </w:rPr>
              <w:t>设施设于5楼，并</w:t>
            </w:r>
            <w:r>
              <w:rPr>
                <w:color w:val="auto"/>
                <w:sz w:val="24"/>
              </w:rPr>
              <w:t>采用重点防渗措施，定期检查防渗层；生产过程产生的固体废物均分类收集及暂存，固废贮存设施的建设满足《广东省固体废物污染环境防治条例》和《危险废物贮存污染控制标准》（GB18597-2023）的相关要求，与《惠州市2024年土壤与地下水污染防治工作方案》相符。</w:t>
            </w:r>
          </w:p>
          <w:p w14:paraId="7412C3CD">
            <w:pPr>
              <w:pStyle w:val="76"/>
              <w:snapToGrid w:val="0"/>
              <w:ind w:firstLine="482" w:firstLineChars="200"/>
              <w:rPr>
                <w:rFonts w:ascii="Times New Roman" w:hAnsi="Times New Roman"/>
                <w:b/>
                <w:bCs/>
                <w:color w:val="auto"/>
                <w:szCs w:val="24"/>
              </w:rPr>
            </w:pPr>
            <w:r>
              <w:rPr>
                <w:rFonts w:hint="eastAsia" w:ascii="Times New Roman" w:hAnsi="Times New Roman"/>
                <w:b/>
                <w:bCs/>
                <w:color w:val="auto"/>
              </w:rPr>
              <w:t>9</w:t>
            </w:r>
            <w:r>
              <w:rPr>
                <w:rFonts w:ascii="Times New Roman" w:hAnsi="Times New Roman"/>
                <w:b/>
                <w:bCs/>
                <w:color w:val="auto"/>
              </w:rPr>
              <w:t>、</w:t>
            </w:r>
            <w:r>
              <w:rPr>
                <w:rFonts w:ascii="Times New Roman" w:hAnsi="Times New Roman"/>
                <w:b/>
                <w:bCs/>
                <w:color w:val="auto"/>
                <w:szCs w:val="24"/>
              </w:rPr>
              <w:t>与《广东省生态环境保护“十四五”规划》的相符性分析</w:t>
            </w:r>
          </w:p>
          <w:p w14:paraId="0EEE777A">
            <w:pPr>
              <w:pStyle w:val="76"/>
              <w:snapToGrid w:val="0"/>
              <w:ind w:firstLine="480" w:firstLineChars="200"/>
              <w:rPr>
                <w:rFonts w:ascii="Times New Roman" w:hAnsi="Times New Roman"/>
                <w:color w:val="auto"/>
                <w:szCs w:val="24"/>
              </w:rPr>
            </w:pPr>
            <w:r>
              <w:rPr>
                <w:rFonts w:ascii="Times New Roman" w:hAnsi="Times New Roman"/>
                <w:color w:val="auto"/>
                <w:szCs w:val="24"/>
              </w:rPr>
              <w:t>根据《广东省生态环境保护“十四五”规划》：</w:t>
            </w:r>
          </w:p>
          <w:p w14:paraId="6D6A3B4A">
            <w:pPr>
              <w:pStyle w:val="76"/>
              <w:snapToGrid w:val="0"/>
              <w:ind w:firstLine="480" w:firstLineChars="200"/>
              <w:rPr>
                <w:rFonts w:ascii="Times New Roman" w:hAnsi="Times New Roman"/>
                <w:color w:val="auto"/>
                <w:szCs w:val="24"/>
              </w:rPr>
            </w:pPr>
            <w:r>
              <w:rPr>
                <w:rFonts w:hint="eastAsia" w:ascii="Times New Roman" w:hAnsi="Times New Roman"/>
                <w:color w:val="auto"/>
                <w:szCs w:val="24"/>
              </w:rPr>
              <w:t>第四章 第一节 珠三角地区禁止新建、扩建水泥、平板玻璃、化学制浆、生皮制革以及国家规划外的钢铁、原油加工等项目。珠三角禁止新建、扩建燃煤燃油火电机组和企业燃煤燃油自备电站，推进沙角电厂等列入淘汰计划的老旧燃煤机组和企业自备电站有序退出，原则上不再新建燃煤锅炉，逐步淘汰生物质锅炉、集中供热管网覆盖区域内的分散供热锅炉；粤东西北地区县级及以上城市建成区禁止新建35蒸吨/小时及以下燃煤锅炉。</w:t>
            </w:r>
          </w:p>
          <w:p w14:paraId="1F717A06">
            <w:pPr>
              <w:pStyle w:val="76"/>
              <w:snapToGrid w:val="0"/>
              <w:ind w:firstLine="480" w:firstLineChars="200"/>
              <w:rPr>
                <w:rFonts w:ascii="Times New Roman" w:hAnsi="Times New Roman"/>
                <w:color w:val="auto"/>
                <w:szCs w:val="24"/>
              </w:rPr>
            </w:pPr>
            <w:r>
              <w:rPr>
                <w:rFonts w:ascii="Times New Roman" w:hAnsi="Times New Roman"/>
                <w:color w:val="auto"/>
                <w:szCs w:val="24"/>
              </w:rPr>
              <w:t>第五章</w:t>
            </w:r>
            <w:r>
              <w:rPr>
                <w:color w:val="auto"/>
                <w:szCs w:val="24"/>
              </w:rPr>
              <w:t xml:space="preserve"> 第三节 </w:t>
            </w:r>
            <w:r>
              <w:rPr>
                <w:rFonts w:ascii="Times New Roman" w:hAnsi="Times New Roman"/>
                <w:color w:val="auto"/>
                <w:szCs w:val="24"/>
              </w:rPr>
              <w:t>大力推进挥发性有机物（VOCs）源头控制和重点行业深度治理。开展原油、成品油、有机化学品等涉VOCs物质储罐排查，深化重点行业VOCs排放基数调查，系统掌握工业源VOCs产生、处理、排放及分布情况，分类建立台账，实施VOCs精细化管理。在石化、化工、包装印刷、工业涂装等重点行业建立完善源头、过程和末端的VOCs全过程控制体系。大力推进低VOCs含量原辅材料源头替代，严格落实国家和地方产品VOCs含量限值质量标准，禁止建设生产和使用高VOCs含量的溶剂型涂料、油墨、胶粘剂等项目。严格实施VOCs排放企业分级管控，全面推进涉VOCs排放企业深度治理。开展中小型企业废气收集和治理设施建设、运行情况的评估，强化对企业涉VOCs生产车间/工序废气的收集管理，推动企业开展治理设施升级改造。推进工业园区、企业集群因地制宜统筹规划建设一批集中喷涂中心（共性工厂）、活性炭集中再生中心，实现VOCs集中高效处理。开展无组织排放源排查，加强含VOCs物料全方位、全链条、全环节密闭管理，深入推进泄漏检测与修复（LDAR）工作。</w:t>
            </w:r>
          </w:p>
          <w:p w14:paraId="5F6300A2">
            <w:pPr>
              <w:pStyle w:val="76"/>
              <w:snapToGrid w:val="0"/>
              <w:ind w:firstLine="480" w:firstLineChars="200"/>
              <w:rPr>
                <w:rFonts w:ascii="Times New Roman" w:hAnsi="Times New Roman"/>
                <w:color w:val="auto"/>
                <w:szCs w:val="24"/>
              </w:rPr>
            </w:pPr>
            <w:r>
              <w:rPr>
                <w:rFonts w:ascii="Times New Roman" w:hAnsi="Times New Roman"/>
                <w:color w:val="auto"/>
                <w:szCs w:val="24"/>
              </w:rPr>
              <w:t>第六章</w:t>
            </w:r>
            <w:r>
              <w:rPr>
                <w:rFonts w:hint="eastAsia" w:ascii="Times New Roman" w:hAnsi="Times New Roman"/>
                <w:color w:val="auto"/>
                <w:szCs w:val="24"/>
              </w:rPr>
              <w:t xml:space="preserve"> 第二节 </w:t>
            </w:r>
            <w:r>
              <w:rPr>
                <w:rFonts w:ascii="Times New Roman" w:hAnsi="Times New Roman"/>
                <w:color w:val="auto"/>
                <w:szCs w:val="24"/>
              </w:rPr>
              <w:t>深入推进水污染减排。聚焦国考断面达标、万里碧道建设，围绕“查、测、溯、治”，分类推进入河排污口规范化整治，以佛山、中山、东莞等市为重点试点推进入河排污口规范化管理体系建设，建立入河排污口动态更新及定期排查机制。持续推进工业、城镇、农业农村、港口船舶等污染源治理。加强农副产品加工、印染、化工等重点行业综合整治，持续推进清洁化改造。推进高耗水行业实施废水深度处理回用，强化工业园区工业废水和生活污水分质分类处理，推进省级以上工业园区“污水零直排区”创建。实施城镇生活污水处理提质增效，推进生活污水管网全覆盖，补足生活污水处理厂弱项，稳步提升生活污水处理厂进水生化需氧量（BOD）浓度，提升生活污水收集和处理效能。到2025年，基本实现地级及以上城市建成区污水“零直排”，全省城市生活污水集中收集率力争达到70%以上，广州、深圳达到85%以上，粤港澳大湾区地级市（广州、深圳、肇庆除外）达到75%以上，其他城市提升15个百分点。加快推进污泥无害化处置和资源化利用，到2025年，全省地级及以上城市污泥无害化处置率达到95%。强化农村生活污水治理、畜禽及水产养殖污染防治、种植污染管控。系统推进航运污染整治，加快推进船舶污水治理、老旧及难以达标船舶淘汰，统筹规划建设港口码头船舶污染物接收设施，提升船舶水污染物收集转运处理能力。不满足船舶水污染物排放要求的400总吨以下内河船舶应当完成水污染物收集储存设备改造，采取船上储存、交岸接收的方式处置。</w:t>
            </w:r>
          </w:p>
          <w:p w14:paraId="741C397D">
            <w:pPr>
              <w:pStyle w:val="76"/>
              <w:snapToGrid w:val="0"/>
              <w:ind w:firstLine="482" w:firstLineChars="200"/>
              <w:rPr>
                <w:rFonts w:ascii="Times New Roman" w:hAnsi="Times New Roman"/>
                <w:b/>
                <w:bCs/>
                <w:color w:val="auto"/>
                <w:szCs w:val="24"/>
              </w:rPr>
            </w:pPr>
            <w:r>
              <w:rPr>
                <w:rFonts w:ascii="Times New Roman" w:hAnsi="Times New Roman"/>
                <w:b/>
                <w:bCs/>
                <w:color w:val="auto"/>
                <w:szCs w:val="24"/>
              </w:rPr>
              <w:t>相符性分析：</w:t>
            </w:r>
            <w:r>
              <w:rPr>
                <w:rFonts w:ascii="Times New Roman" w:hAnsi="Times New Roman"/>
                <w:color w:val="auto"/>
                <w:szCs w:val="24"/>
              </w:rPr>
              <w:t>项目位于</w:t>
            </w:r>
            <w:r>
              <w:rPr>
                <w:rFonts w:hint="eastAsia" w:ascii="Times New Roman" w:hAnsi="Times New Roman"/>
                <w:color w:val="auto"/>
                <w:szCs w:val="24"/>
              </w:rPr>
              <w:t>广东省惠州市博罗县石湾镇黄西村宝居乐工业园A1栋4-7楼</w:t>
            </w:r>
            <w:r>
              <w:rPr>
                <w:rFonts w:ascii="Times New Roman" w:hAnsi="Times New Roman"/>
                <w:color w:val="auto"/>
                <w:szCs w:val="24"/>
              </w:rPr>
              <w:t>。本项目</w:t>
            </w:r>
            <w:r>
              <w:rPr>
                <w:rFonts w:hint="eastAsia" w:ascii="Times New Roman" w:hAnsi="Times New Roman"/>
                <w:color w:val="auto"/>
                <w:szCs w:val="24"/>
              </w:rPr>
              <w:t>营运期间所使用的</w:t>
            </w:r>
            <w:r>
              <w:rPr>
                <w:rFonts w:hint="eastAsia"/>
                <w:color w:val="auto"/>
                <w:szCs w:val="21"/>
              </w:rPr>
              <w:t>水性底漆、水性面漆、水性清漆和粉末涂料</w:t>
            </w:r>
            <w:r>
              <w:rPr>
                <w:rFonts w:ascii="Times New Roman" w:hAnsi="Times New Roman"/>
                <w:color w:val="auto"/>
                <w:szCs w:val="24"/>
              </w:rPr>
              <w:t>为低VOC</w:t>
            </w:r>
            <w:r>
              <w:rPr>
                <w:rFonts w:ascii="Times New Roman" w:hAnsi="Times New Roman"/>
                <w:color w:val="auto"/>
                <w:szCs w:val="24"/>
                <w:vertAlign w:val="subscript"/>
              </w:rPr>
              <w:t>S</w:t>
            </w:r>
            <w:r>
              <w:rPr>
                <w:rFonts w:ascii="Times New Roman" w:hAnsi="Times New Roman"/>
                <w:color w:val="auto"/>
                <w:szCs w:val="24"/>
              </w:rPr>
              <w:t>涂料，符合</w:t>
            </w:r>
            <w:r>
              <w:rPr>
                <w:rFonts w:ascii="Times New Roman" w:hAnsi="Times New Roman"/>
                <w:color w:val="auto"/>
              </w:rPr>
              <w:t>《低挥发性有机化合物含量涂料产品技术要求》（GB/T38597-2020）</w:t>
            </w:r>
            <w:r>
              <w:rPr>
                <w:rFonts w:hint="eastAsia" w:ascii="Times New Roman" w:hAnsi="Times New Roman"/>
                <w:bCs/>
                <w:color w:val="auto"/>
                <w:szCs w:val="24"/>
              </w:rPr>
              <w:t>；涂料的固化和烘烤均采用燃气烤炉，不涉及煤、油等燃料的使用；生产过程产生</w:t>
            </w:r>
            <w:r>
              <w:rPr>
                <w:rFonts w:ascii="Times New Roman" w:hAnsi="Times New Roman"/>
                <w:color w:val="auto"/>
                <w:szCs w:val="24"/>
              </w:rPr>
              <w:t>的有机废气通过集气装置收集后抽至</w:t>
            </w:r>
            <w:r>
              <w:rPr>
                <w:rFonts w:hint="eastAsia" w:ascii="Times New Roman" w:hAnsi="Times New Roman"/>
                <w:color w:val="auto"/>
                <w:szCs w:val="24"/>
              </w:rPr>
              <w:t>3</w:t>
            </w:r>
            <w:r>
              <w:rPr>
                <w:rFonts w:ascii="Times New Roman" w:hAnsi="Times New Roman"/>
                <w:color w:val="auto"/>
                <w:szCs w:val="24"/>
              </w:rPr>
              <w:t>套</w:t>
            </w:r>
            <w:r>
              <w:rPr>
                <w:rFonts w:ascii="Times New Roman" w:hAnsi="Times New Roman"/>
                <w:color w:val="auto"/>
              </w:rPr>
              <w:t>“</w:t>
            </w:r>
            <w:r>
              <w:rPr>
                <w:rFonts w:hint="eastAsia"/>
                <w:color w:val="auto"/>
                <w:szCs w:val="24"/>
              </w:rPr>
              <w:t>水帘柜+喷淋塔+除湿装置+二级活性炭吸附装置</w:t>
            </w:r>
            <w:r>
              <w:rPr>
                <w:rFonts w:ascii="Times New Roman" w:hAnsi="Times New Roman"/>
                <w:color w:val="auto"/>
              </w:rPr>
              <w:t>”</w:t>
            </w:r>
            <w:r>
              <w:rPr>
                <w:rFonts w:ascii="Times New Roman" w:hAnsi="Times New Roman"/>
                <w:color w:val="auto"/>
                <w:szCs w:val="24"/>
              </w:rPr>
              <w:t>进行处理，处理</w:t>
            </w:r>
            <w:r>
              <w:rPr>
                <w:rFonts w:hint="eastAsia" w:ascii="Times New Roman" w:hAnsi="Times New Roman"/>
                <w:color w:val="auto"/>
                <w:szCs w:val="24"/>
              </w:rPr>
              <w:t>达标</w:t>
            </w:r>
            <w:r>
              <w:rPr>
                <w:rFonts w:ascii="Times New Roman" w:hAnsi="Times New Roman"/>
                <w:color w:val="auto"/>
                <w:szCs w:val="24"/>
              </w:rPr>
              <w:t>后高空排放；</w:t>
            </w:r>
            <w:r>
              <w:rPr>
                <w:rFonts w:ascii="Times New Roman" w:hAnsi="Times New Roman"/>
                <w:color w:val="auto"/>
              </w:rPr>
              <w:t>项目</w:t>
            </w:r>
            <w:r>
              <w:rPr>
                <w:rFonts w:hint="eastAsia"/>
                <w:color w:val="auto"/>
              </w:rPr>
              <w:t>生产废水经处理后回用于前处理线清洗用水、喷淋塔用水，浓缩废液和水帘柜废水定期由有危险废物处理资质单位清运处理，不对外排放生产废水</w:t>
            </w:r>
            <w:r>
              <w:rPr>
                <w:rFonts w:ascii="Times New Roman" w:hAnsi="Times New Roman"/>
                <w:color w:val="auto"/>
              </w:rPr>
              <w:t>；项目生活污水经厂内化粪池三级预处理后，</w:t>
            </w:r>
            <w:r>
              <w:rPr>
                <w:rFonts w:hint="eastAsia" w:ascii="Times New Roman" w:hAnsi="Times New Roman"/>
                <w:color w:val="auto"/>
              </w:rPr>
              <w:t>经</w:t>
            </w:r>
            <w:r>
              <w:rPr>
                <w:rFonts w:ascii="Times New Roman" w:hAnsi="Times New Roman"/>
                <w:color w:val="auto"/>
              </w:rPr>
              <w:t>市政</w:t>
            </w:r>
            <w:r>
              <w:rPr>
                <w:rFonts w:hint="eastAsia" w:ascii="Times New Roman" w:hAnsi="Times New Roman"/>
                <w:color w:val="auto"/>
              </w:rPr>
              <w:t>污水</w:t>
            </w:r>
            <w:r>
              <w:rPr>
                <w:rFonts w:ascii="Times New Roman" w:hAnsi="Times New Roman"/>
                <w:color w:val="auto"/>
              </w:rPr>
              <w:t>管网纳入到</w:t>
            </w:r>
            <w:r>
              <w:rPr>
                <w:rFonts w:hint="eastAsia" w:ascii="Times New Roman" w:hAnsi="Times New Roman"/>
                <w:color w:val="auto"/>
              </w:rPr>
              <w:t>石湾镇西基生活污水厂</w:t>
            </w:r>
            <w:r>
              <w:rPr>
                <w:rFonts w:ascii="Times New Roman" w:hAnsi="Times New Roman"/>
                <w:color w:val="auto"/>
              </w:rPr>
              <w:t>处理，</w:t>
            </w:r>
            <w:r>
              <w:rPr>
                <w:rFonts w:hint="eastAsia" w:ascii="Times New Roman" w:hAnsi="Times New Roman"/>
                <w:color w:val="auto"/>
              </w:rPr>
              <w:t>石湾镇西基生活污水厂</w:t>
            </w:r>
            <w:r>
              <w:rPr>
                <w:rFonts w:ascii="Times New Roman" w:hAnsi="Times New Roman"/>
                <w:color w:val="auto"/>
              </w:rPr>
              <w:t>的尾水排入</w:t>
            </w:r>
            <w:r>
              <w:rPr>
                <w:rFonts w:hint="eastAsia" w:ascii="Times New Roman" w:hAnsi="Times New Roman"/>
                <w:color w:val="auto"/>
              </w:rPr>
              <w:t>联和排渠</w:t>
            </w:r>
            <w:r>
              <w:rPr>
                <w:rFonts w:ascii="Times New Roman" w:hAnsi="Times New Roman"/>
                <w:color w:val="auto"/>
              </w:rPr>
              <w:t>。</w:t>
            </w:r>
            <w:r>
              <w:rPr>
                <w:rFonts w:hint="eastAsia" w:ascii="Times New Roman" w:hAnsi="Times New Roman"/>
                <w:color w:val="auto"/>
              </w:rPr>
              <w:t>因此</w:t>
            </w:r>
            <w:r>
              <w:rPr>
                <w:rFonts w:ascii="Times New Roman" w:hAnsi="Times New Roman"/>
                <w:color w:val="auto"/>
                <w:szCs w:val="24"/>
              </w:rPr>
              <w:t>，本项目与《广东省生态环境保护“十四五”规划》相符。</w:t>
            </w:r>
          </w:p>
          <w:p w14:paraId="79D66D2A">
            <w:pPr>
              <w:pStyle w:val="76"/>
              <w:snapToGrid w:val="0"/>
              <w:ind w:firstLine="482" w:firstLineChars="200"/>
              <w:rPr>
                <w:rFonts w:ascii="Times New Roman" w:hAnsi="Times New Roman"/>
                <w:b/>
                <w:bCs/>
                <w:color w:val="auto"/>
                <w:szCs w:val="24"/>
              </w:rPr>
            </w:pPr>
            <w:r>
              <w:rPr>
                <w:rFonts w:hint="eastAsia" w:ascii="Times New Roman" w:hAnsi="Times New Roman"/>
                <w:b/>
                <w:bCs/>
                <w:color w:val="auto"/>
                <w:szCs w:val="24"/>
              </w:rPr>
              <w:t>10</w:t>
            </w:r>
            <w:r>
              <w:rPr>
                <w:rFonts w:ascii="Times New Roman" w:hAnsi="Times New Roman"/>
                <w:b/>
                <w:bCs/>
                <w:color w:val="auto"/>
                <w:szCs w:val="24"/>
              </w:rPr>
              <w:t>、</w:t>
            </w:r>
            <w:r>
              <w:rPr>
                <w:rFonts w:ascii="Times New Roman" w:hAnsi="Times New Roman"/>
                <w:b/>
                <w:bCs/>
                <w:color w:val="auto"/>
              </w:rPr>
              <w:t>与《惠州市人民政府关于印发惠州市生态环境保护“十四五”规划的通知》（惠府【2022】11号）的相符性分析</w:t>
            </w:r>
          </w:p>
          <w:p w14:paraId="3226CEBB">
            <w:pPr>
              <w:pStyle w:val="76"/>
              <w:snapToGrid w:val="0"/>
              <w:ind w:firstLine="480" w:firstLineChars="200"/>
              <w:rPr>
                <w:rFonts w:ascii="Times New Roman" w:hAnsi="Times New Roman"/>
                <w:color w:val="auto"/>
              </w:rPr>
            </w:pPr>
            <w:r>
              <w:rPr>
                <w:rFonts w:ascii="Times New Roman" w:hAnsi="Times New Roman"/>
                <w:color w:val="auto"/>
              </w:rPr>
              <w:t>根据《惠州市人民政府关于印发惠州市生态环境保护“十四五”规划的通知》（惠府[2022]11号）：</w:t>
            </w:r>
          </w:p>
          <w:p w14:paraId="15D5BA1F">
            <w:pPr>
              <w:pStyle w:val="76"/>
              <w:snapToGrid w:val="0"/>
              <w:ind w:firstLine="480" w:firstLineChars="200"/>
              <w:rPr>
                <w:rFonts w:ascii="Times New Roman" w:hAnsi="Times New Roman"/>
                <w:color w:val="auto"/>
              </w:rPr>
            </w:pPr>
            <w:r>
              <w:rPr>
                <w:rFonts w:ascii="Times New Roman" w:hAnsi="Times New Roman"/>
                <w:color w:val="auto"/>
              </w:rPr>
              <w:t>第五章</w:t>
            </w:r>
            <w:r>
              <w:rPr>
                <w:rFonts w:hint="eastAsia" w:ascii="Times New Roman" w:hAnsi="Times New Roman"/>
                <w:color w:val="auto"/>
              </w:rPr>
              <w:t xml:space="preserve"> </w:t>
            </w:r>
            <w:r>
              <w:rPr>
                <w:rFonts w:ascii="Times New Roman" w:hAnsi="Times New Roman"/>
                <w:color w:val="auto"/>
              </w:rPr>
              <w:t>第二节</w:t>
            </w:r>
            <w:r>
              <w:rPr>
                <w:rFonts w:hint="eastAsia" w:ascii="Times New Roman" w:hAnsi="Times New Roman"/>
                <w:color w:val="auto"/>
              </w:rPr>
              <w:t xml:space="preserve"> </w:t>
            </w:r>
            <w:r>
              <w:rPr>
                <w:rFonts w:ascii="Times New Roman" w:hAnsi="Times New Roman"/>
                <w:color w:val="auto"/>
              </w:rPr>
              <w:t>加强挥发性有机物（VOCs）深度治理。建立健全全市VOCs重点管控企业清单，督促重点行业企业编制VOCs深度治理手册，指导辖区内VOCs重点监管企业“按单施治”。实施VOCs重点企业分级管控，更新建立重点企业分级管理台账。加强低挥发性有机物原辅材料替代，严格执行大宗有机溶剂产品VOCs含量限值标准，禁止建设生产和使用高VOCs含量的溶剂型涂料、油墨、胶粘剂等项目。落实建设项目VOCs削减替代制度，重点推进炼油石化、化工、工业涂装、印刷、制鞋、电子制造等重点行业，以及机动车和油品储运销等领域VOCs减排。以加油站、储油库为重点，加强VOCs无组织排放控制，加强储罐、装卸、设备管线组件、污水处理厂等通用设施污染源项管理。大亚湾石化区石油炼制及化工行业全面实施VOCs泄漏检测与修复（LDAR）工作，加快应用VOCs走航监测等新技术，加快推动车用汽油年销售量5000吨以上的加油站开展油气回收在线监控。</w:t>
            </w:r>
          </w:p>
          <w:p w14:paraId="4351F71A">
            <w:pPr>
              <w:pStyle w:val="76"/>
              <w:snapToGrid w:val="0"/>
              <w:ind w:firstLine="480" w:firstLineChars="200"/>
              <w:rPr>
                <w:rFonts w:ascii="Times New Roman" w:hAnsi="Times New Roman"/>
                <w:color w:val="auto"/>
              </w:rPr>
            </w:pPr>
            <w:r>
              <w:rPr>
                <w:rFonts w:ascii="Times New Roman" w:hAnsi="Times New Roman"/>
                <w:color w:val="auto"/>
              </w:rPr>
              <w:t>第六章</w:t>
            </w:r>
            <w:r>
              <w:rPr>
                <w:rFonts w:hint="eastAsia" w:ascii="Times New Roman" w:hAnsi="Times New Roman"/>
                <w:color w:val="auto"/>
              </w:rPr>
              <w:t xml:space="preserve"> 第二节 </w:t>
            </w:r>
            <w:r>
              <w:rPr>
                <w:rFonts w:ascii="Times New Roman" w:hAnsi="Times New Roman"/>
                <w:color w:val="auto"/>
              </w:rPr>
              <w:t>二、深化水污染源头治理</w:t>
            </w:r>
          </w:p>
          <w:p w14:paraId="3A8170FE">
            <w:pPr>
              <w:pStyle w:val="76"/>
              <w:snapToGrid w:val="0"/>
              <w:ind w:firstLine="480" w:firstLineChars="200"/>
              <w:rPr>
                <w:rFonts w:ascii="Times New Roman" w:hAnsi="Times New Roman"/>
                <w:color w:val="auto"/>
                <w:szCs w:val="24"/>
              </w:rPr>
            </w:pPr>
            <w:r>
              <w:rPr>
                <w:rFonts w:ascii="Times New Roman" w:hAnsi="Times New Roman"/>
                <w:color w:val="auto"/>
              </w:rPr>
              <w:t>持续开展入河排污口“查、测、溯、治”，按照封堵一批、整治一批、规范一批要求，建立入河排污口动态更新及定期排查机制，分类推进入河排污口规范化整治。严格实行东江、丁山河沿岸，淡水河、潼湖、沙河等重点流域水污染型项目限批准入，对存在重大环境问题、未完成污染整治任务的区域实行区域限批，对定点园区外的电镀、印染、化工等重污染项目实行行业限批。以国省考断面汇水范围为重点，加强流域内电镀、制革、印染、有色金属、化工等行业企业搬迁和清洁化改造，推进高耗水行业实施废水深度处理回用，推进工业集聚区“污水零直排区”创建。全面推进工业集聚区建设污水集中处理设施并安装在线监控系统。强化农村生活污水治理、畜禽及水产养殖污染防治、种植污染管控，严防禁养区内非法养殖反弹。以惠州港为重点，加强船舶污染物、废弃物接收、转运及处理处置设施建设，不满足船舶水污染物排放要求的400总吨以下内河船舶应当完成水污染物收集储存设备改造，采取船上储存、交岸接收的方式处置，确保船舶水污染物达标排放。</w:t>
            </w:r>
          </w:p>
          <w:p w14:paraId="12D8A43B">
            <w:pPr>
              <w:pStyle w:val="76"/>
              <w:snapToGrid w:val="0"/>
              <w:ind w:firstLine="480" w:firstLineChars="200"/>
              <w:rPr>
                <w:rFonts w:ascii="Times New Roman" w:hAnsi="Times New Roman"/>
                <w:color w:val="auto"/>
                <w:szCs w:val="24"/>
              </w:rPr>
            </w:pPr>
            <w:r>
              <w:rPr>
                <w:rFonts w:ascii="Times New Roman" w:hAnsi="Times New Roman"/>
                <w:color w:val="auto"/>
                <w:szCs w:val="24"/>
              </w:rPr>
              <w:t>……。</w:t>
            </w:r>
          </w:p>
          <w:p w14:paraId="1C212AC0">
            <w:pPr>
              <w:pStyle w:val="76"/>
              <w:snapToGrid w:val="0"/>
              <w:ind w:firstLine="482" w:firstLineChars="200"/>
              <w:rPr>
                <w:rFonts w:ascii="Times New Roman" w:hAnsi="Times New Roman"/>
                <w:color w:val="auto"/>
                <w:szCs w:val="24"/>
              </w:rPr>
            </w:pPr>
            <w:r>
              <w:rPr>
                <w:rFonts w:ascii="Times New Roman" w:hAnsi="Times New Roman"/>
                <w:b/>
                <w:bCs/>
                <w:color w:val="auto"/>
                <w:szCs w:val="24"/>
              </w:rPr>
              <w:t>相符性分析：</w:t>
            </w:r>
            <w:r>
              <w:rPr>
                <w:rFonts w:ascii="Times New Roman" w:hAnsi="Times New Roman"/>
                <w:color w:val="auto"/>
                <w:szCs w:val="24"/>
              </w:rPr>
              <w:t>项目位于</w:t>
            </w:r>
            <w:r>
              <w:rPr>
                <w:rFonts w:hint="eastAsia" w:ascii="Times New Roman" w:hAnsi="Times New Roman"/>
                <w:color w:val="auto"/>
                <w:szCs w:val="24"/>
              </w:rPr>
              <w:t>广东省惠州市博罗县石湾镇黄西村宝居乐工业园A1栋4-7楼</w:t>
            </w:r>
            <w:r>
              <w:rPr>
                <w:rFonts w:ascii="Times New Roman" w:hAnsi="Times New Roman"/>
                <w:color w:val="auto"/>
                <w:szCs w:val="24"/>
              </w:rPr>
              <w:t>。本项目</w:t>
            </w:r>
            <w:r>
              <w:rPr>
                <w:rFonts w:hint="eastAsia" w:ascii="Times New Roman" w:hAnsi="Times New Roman"/>
                <w:color w:val="auto"/>
                <w:szCs w:val="24"/>
              </w:rPr>
              <w:t>营运期间所使用的</w:t>
            </w:r>
            <w:r>
              <w:rPr>
                <w:rFonts w:hint="eastAsia"/>
                <w:color w:val="auto"/>
                <w:szCs w:val="21"/>
              </w:rPr>
              <w:t>水性底漆、水性面漆、水性清漆和粉末涂料</w:t>
            </w:r>
            <w:r>
              <w:rPr>
                <w:rFonts w:ascii="Times New Roman" w:hAnsi="Times New Roman"/>
                <w:color w:val="auto"/>
                <w:szCs w:val="24"/>
              </w:rPr>
              <w:t>为低VOC</w:t>
            </w:r>
            <w:r>
              <w:rPr>
                <w:rFonts w:ascii="Times New Roman" w:hAnsi="Times New Roman"/>
                <w:color w:val="auto"/>
                <w:szCs w:val="24"/>
                <w:vertAlign w:val="subscript"/>
              </w:rPr>
              <w:t>S</w:t>
            </w:r>
            <w:r>
              <w:rPr>
                <w:rFonts w:ascii="Times New Roman" w:hAnsi="Times New Roman"/>
                <w:color w:val="auto"/>
                <w:szCs w:val="24"/>
              </w:rPr>
              <w:t>涂料，符合</w:t>
            </w:r>
            <w:r>
              <w:rPr>
                <w:rFonts w:ascii="Times New Roman" w:hAnsi="Times New Roman"/>
                <w:color w:val="auto"/>
              </w:rPr>
              <w:t>《低挥发性有机化合物含量涂料产品技术要求》（GB/T38597-2020）</w:t>
            </w:r>
            <w:r>
              <w:rPr>
                <w:rFonts w:hint="eastAsia" w:ascii="Times New Roman" w:hAnsi="Times New Roman"/>
                <w:bCs/>
                <w:color w:val="auto"/>
                <w:szCs w:val="24"/>
              </w:rPr>
              <w:t>，生产过程产生</w:t>
            </w:r>
            <w:r>
              <w:rPr>
                <w:rFonts w:ascii="Times New Roman" w:hAnsi="Times New Roman"/>
                <w:color w:val="auto"/>
                <w:szCs w:val="24"/>
              </w:rPr>
              <w:t>的有机废气通过集气装置收集后抽至</w:t>
            </w:r>
            <w:r>
              <w:rPr>
                <w:rFonts w:hint="eastAsia" w:ascii="Times New Roman" w:hAnsi="Times New Roman"/>
                <w:color w:val="auto"/>
                <w:szCs w:val="24"/>
              </w:rPr>
              <w:t>3</w:t>
            </w:r>
            <w:r>
              <w:rPr>
                <w:rFonts w:ascii="Times New Roman" w:hAnsi="Times New Roman"/>
                <w:color w:val="auto"/>
                <w:szCs w:val="24"/>
              </w:rPr>
              <w:t>套</w:t>
            </w:r>
            <w:r>
              <w:rPr>
                <w:rFonts w:ascii="Times New Roman" w:hAnsi="Times New Roman"/>
                <w:color w:val="auto"/>
              </w:rPr>
              <w:t>“</w:t>
            </w:r>
            <w:r>
              <w:rPr>
                <w:rFonts w:hint="eastAsia"/>
                <w:color w:val="auto"/>
                <w:szCs w:val="24"/>
              </w:rPr>
              <w:t>水帘柜+喷淋塔+除湿装置+二级活性炭吸附装置</w:t>
            </w:r>
            <w:r>
              <w:rPr>
                <w:rFonts w:ascii="Times New Roman" w:hAnsi="Times New Roman"/>
                <w:color w:val="auto"/>
              </w:rPr>
              <w:t>”</w:t>
            </w:r>
            <w:r>
              <w:rPr>
                <w:rFonts w:ascii="Times New Roman" w:hAnsi="Times New Roman"/>
                <w:color w:val="auto"/>
                <w:szCs w:val="24"/>
              </w:rPr>
              <w:t>进行处理，处理</w:t>
            </w:r>
            <w:r>
              <w:rPr>
                <w:rFonts w:hint="eastAsia" w:ascii="Times New Roman" w:hAnsi="Times New Roman"/>
                <w:color w:val="auto"/>
                <w:szCs w:val="24"/>
              </w:rPr>
              <w:t>达标</w:t>
            </w:r>
            <w:r>
              <w:rPr>
                <w:rFonts w:ascii="Times New Roman" w:hAnsi="Times New Roman"/>
                <w:color w:val="auto"/>
                <w:szCs w:val="24"/>
              </w:rPr>
              <w:t>后高空排放；</w:t>
            </w:r>
            <w:r>
              <w:rPr>
                <w:rFonts w:ascii="Times New Roman" w:hAnsi="Times New Roman"/>
                <w:color w:val="auto"/>
              </w:rPr>
              <w:t>项目</w:t>
            </w:r>
            <w:r>
              <w:rPr>
                <w:rFonts w:hint="eastAsia"/>
                <w:color w:val="auto"/>
              </w:rPr>
              <w:t>生产废水经处理后回用于前处理线清洗用水、喷淋塔用水，浓缩废液和水帘柜废水定期由有危险废物处理资质单位清运处理，不对外排放生产废水</w:t>
            </w:r>
            <w:r>
              <w:rPr>
                <w:rFonts w:ascii="Times New Roman" w:hAnsi="Times New Roman"/>
                <w:color w:val="auto"/>
              </w:rPr>
              <w:t>；项目生活污水经厂内化粪池三级预处理后，</w:t>
            </w:r>
            <w:r>
              <w:rPr>
                <w:rFonts w:hint="eastAsia" w:ascii="Times New Roman" w:hAnsi="Times New Roman"/>
                <w:color w:val="auto"/>
              </w:rPr>
              <w:t>经</w:t>
            </w:r>
            <w:r>
              <w:rPr>
                <w:rFonts w:ascii="Times New Roman" w:hAnsi="Times New Roman"/>
                <w:color w:val="auto"/>
              </w:rPr>
              <w:t>市政</w:t>
            </w:r>
            <w:r>
              <w:rPr>
                <w:rFonts w:hint="eastAsia" w:ascii="Times New Roman" w:hAnsi="Times New Roman"/>
                <w:color w:val="auto"/>
              </w:rPr>
              <w:t>污水</w:t>
            </w:r>
            <w:r>
              <w:rPr>
                <w:rFonts w:ascii="Times New Roman" w:hAnsi="Times New Roman"/>
                <w:color w:val="auto"/>
              </w:rPr>
              <w:t>管网纳入到</w:t>
            </w:r>
            <w:r>
              <w:rPr>
                <w:rFonts w:hint="eastAsia" w:ascii="Times New Roman" w:hAnsi="Times New Roman"/>
                <w:color w:val="auto"/>
              </w:rPr>
              <w:t>石湾镇西基生活污水厂</w:t>
            </w:r>
            <w:r>
              <w:rPr>
                <w:rFonts w:ascii="Times New Roman" w:hAnsi="Times New Roman"/>
                <w:color w:val="auto"/>
              </w:rPr>
              <w:t>处理，</w:t>
            </w:r>
            <w:r>
              <w:rPr>
                <w:rFonts w:hint="eastAsia" w:ascii="Times New Roman" w:hAnsi="Times New Roman"/>
                <w:color w:val="auto"/>
              </w:rPr>
              <w:t>石湾镇西基生活污水厂</w:t>
            </w:r>
            <w:r>
              <w:rPr>
                <w:rFonts w:ascii="Times New Roman" w:hAnsi="Times New Roman"/>
                <w:color w:val="auto"/>
              </w:rPr>
              <w:t>的尾水排入</w:t>
            </w:r>
            <w:r>
              <w:rPr>
                <w:rFonts w:hint="eastAsia" w:ascii="Times New Roman" w:hAnsi="Times New Roman"/>
                <w:color w:val="auto"/>
              </w:rPr>
              <w:t>联和排渠</w:t>
            </w:r>
            <w:r>
              <w:rPr>
                <w:rFonts w:ascii="Times New Roman" w:hAnsi="Times New Roman"/>
                <w:color w:val="auto"/>
              </w:rPr>
              <w:t>。</w:t>
            </w:r>
            <w:r>
              <w:rPr>
                <w:rFonts w:hint="eastAsia" w:ascii="Times New Roman" w:hAnsi="Times New Roman"/>
                <w:color w:val="auto"/>
                <w:szCs w:val="24"/>
              </w:rPr>
              <w:t>因此</w:t>
            </w:r>
            <w:r>
              <w:rPr>
                <w:rFonts w:ascii="Times New Roman" w:hAnsi="Times New Roman"/>
                <w:color w:val="auto"/>
                <w:szCs w:val="24"/>
              </w:rPr>
              <w:t>，本项目与《惠州市人民政府关于印发惠州市生态环境保护“十四五”规划的通知》（惠府【2022】11号）相符。</w:t>
            </w:r>
          </w:p>
          <w:p w14:paraId="3F71CDE2">
            <w:pPr>
              <w:tabs>
                <w:tab w:val="left" w:pos="2880"/>
              </w:tabs>
              <w:adjustRightInd w:val="0"/>
              <w:snapToGrid w:val="0"/>
              <w:spacing w:line="360" w:lineRule="auto"/>
              <w:ind w:firstLine="482" w:firstLineChars="200"/>
              <w:rPr>
                <w:b/>
                <w:bCs/>
                <w:snapToGrid w:val="0"/>
                <w:color w:val="auto"/>
                <w:sz w:val="24"/>
              </w:rPr>
            </w:pPr>
            <w:r>
              <w:rPr>
                <w:rFonts w:hint="eastAsia"/>
                <w:b/>
                <w:bCs/>
                <w:color w:val="auto"/>
                <w:sz w:val="24"/>
              </w:rPr>
              <w:t>11</w:t>
            </w:r>
            <w:r>
              <w:rPr>
                <w:b/>
                <w:bCs/>
                <w:color w:val="auto"/>
                <w:sz w:val="24"/>
              </w:rPr>
              <w:t>、</w:t>
            </w:r>
            <w:r>
              <w:rPr>
                <w:b/>
                <w:bCs/>
                <w:snapToGrid w:val="0"/>
                <w:color w:val="auto"/>
                <w:sz w:val="24"/>
              </w:rPr>
              <w:t>与</w:t>
            </w:r>
            <w:r>
              <w:rPr>
                <w:b/>
                <w:bCs/>
                <w:color w:val="auto"/>
                <w:sz w:val="24"/>
              </w:rPr>
              <w:t>《广东省大气污染物防治条例》广东省第十三届人民代表大会常务委员会公告（第20号）文件的相符性分析</w:t>
            </w:r>
          </w:p>
          <w:p w14:paraId="0BF4318B">
            <w:pPr>
              <w:tabs>
                <w:tab w:val="left" w:pos="2880"/>
              </w:tabs>
              <w:adjustRightInd w:val="0"/>
              <w:snapToGrid w:val="0"/>
              <w:spacing w:line="360" w:lineRule="auto"/>
              <w:ind w:firstLine="480" w:firstLineChars="200"/>
              <w:rPr>
                <w:color w:val="auto"/>
                <w:sz w:val="24"/>
              </w:rPr>
            </w:pPr>
            <w:r>
              <w:rPr>
                <w:color w:val="auto"/>
                <w:sz w:val="24"/>
              </w:rPr>
              <w:t>以下内容节选自《广东省大气污染防治条例》：</w:t>
            </w:r>
          </w:p>
          <w:p w14:paraId="321D5E30">
            <w:pPr>
              <w:tabs>
                <w:tab w:val="left" w:pos="2880"/>
              </w:tabs>
              <w:adjustRightInd w:val="0"/>
              <w:snapToGrid w:val="0"/>
              <w:spacing w:line="360" w:lineRule="auto"/>
              <w:ind w:firstLine="480" w:firstLineChars="200"/>
              <w:rPr>
                <w:color w:val="auto"/>
                <w:sz w:val="24"/>
              </w:rPr>
            </w:pPr>
            <w:r>
              <w:rPr>
                <w:color w:val="auto"/>
                <w:sz w:val="24"/>
              </w:rPr>
              <w:t>第十七条</w:t>
            </w:r>
            <w:r>
              <w:rPr>
                <w:rFonts w:hint="eastAsia"/>
                <w:color w:val="auto"/>
                <w:sz w:val="24"/>
              </w:rPr>
              <w:t xml:space="preserve"> </w:t>
            </w:r>
            <w:r>
              <w:rPr>
                <w:color w:val="auto"/>
                <w:sz w:val="24"/>
              </w:rPr>
              <w:t>珠江三角洲区域禁止新建、扩建燃煤燃油火电机组或者企业燃煤燃油自备电站。珠江三角洲区域禁止新建、扩建国家规划外的钢铁、原油加工、乙烯生产、造纸、水泥、平板玻璃、除特种陶瓷以外的陶瓷、有色金属冶炼等大气重污染项目。</w:t>
            </w:r>
          </w:p>
          <w:p w14:paraId="2BB33639">
            <w:pPr>
              <w:tabs>
                <w:tab w:val="left" w:pos="2880"/>
              </w:tabs>
              <w:adjustRightInd w:val="0"/>
              <w:snapToGrid w:val="0"/>
              <w:spacing w:line="360" w:lineRule="auto"/>
              <w:ind w:firstLine="480" w:firstLineChars="200"/>
              <w:rPr>
                <w:color w:val="auto"/>
                <w:sz w:val="24"/>
              </w:rPr>
            </w:pPr>
            <w:r>
              <w:rPr>
                <w:color w:val="auto"/>
                <w:sz w:val="24"/>
              </w:rPr>
              <w:t>第十九条 火电、钢铁、石油、化工、平板玻璃、水泥、陶瓷等大气污染重点行业企业及锅炉项目，应当采用污染防治先进可行技术，使重点大气污染物排放浓度达到国家和省的超低排放要求。</w:t>
            </w:r>
          </w:p>
          <w:p w14:paraId="1533F9EF">
            <w:pPr>
              <w:tabs>
                <w:tab w:val="left" w:pos="2880"/>
              </w:tabs>
              <w:adjustRightInd w:val="0"/>
              <w:snapToGrid w:val="0"/>
              <w:spacing w:line="360" w:lineRule="auto"/>
              <w:ind w:firstLine="480" w:firstLineChars="200"/>
              <w:rPr>
                <w:color w:val="auto"/>
                <w:sz w:val="24"/>
              </w:rPr>
            </w:pPr>
            <w:r>
              <w:rPr>
                <w:color w:val="auto"/>
                <w:sz w:val="24"/>
              </w:rPr>
              <w:t>第二十六条 新建、改建、扩建排放挥发性有机物的建设项目，应当使用污染防治先进可行技术。</w:t>
            </w:r>
          </w:p>
          <w:p w14:paraId="0607F568">
            <w:pPr>
              <w:tabs>
                <w:tab w:val="left" w:pos="2880"/>
              </w:tabs>
              <w:adjustRightInd w:val="0"/>
              <w:snapToGrid w:val="0"/>
              <w:spacing w:line="360" w:lineRule="auto"/>
              <w:ind w:firstLine="480" w:firstLineChars="200"/>
              <w:rPr>
                <w:color w:val="auto"/>
                <w:sz w:val="24"/>
              </w:rPr>
            </w:pPr>
            <w:r>
              <w:rPr>
                <w:color w:val="auto"/>
                <w:sz w:val="24"/>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7A5E575E">
            <w:pPr>
              <w:tabs>
                <w:tab w:val="left" w:pos="2880"/>
              </w:tabs>
              <w:adjustRightInd w:val="0"/>
              <w:snapToGrid w:val="0"/>
              <w:spacing w:line="360" w:lineRule="auto"/>
              <w:ind w:firstLine="480" w:firstLineChars="200"/>
              <w:rPr>
                <w:color w:val="auto"/>
                <w:sz w:val="24"/>
              </w:rPr>
            </w:pPr>
            <w:r>
              <w:rPr>
                <w:color w:val="auto"/>
                <w:sz w:val="24"/>
              </w:rPr>
              <w:t>①石油、化工、煤炭加工与转化等含挥发性有机物原料的生产；</w:t>
            </w:r>
          </w:p>
          <w:p w14:paraId="104AA105">
            <w:pPr>
              <w:tabs>
                <w:tab w:val="left" w:pos="2880"/>
              </w:tabs>
              <w:adjustRightInd w:val="0"/>
              <w:snapToGrid w:val="0"/>
              <w:spacing w:line="360" w:lineRule="auto"/>
              <w:ind w:firstLine="480" w:firstLineChars="200"/>
              <w:rPr>
                <w:color w:val="auto"/>
                <w:sz w:val="24"/>
              </w:rPr>
            </w:pPr>
            <w:r>
              <w:rPr>
                <w:color w:val="auto"/>
                <w:sz w:val="24"/>
              </w:rPr>
              <w:t>②燃油、溶剂的储存、运输和销售；</w:t>
            </w:r>
          </w:p>
          <w:p w14:paraId="1A0FF7A3">
            <w:pPr>
              <w:tabs>
                <w:tab w:val="left" w:pos="2880"/>
              </w:tabs>
              <w:adjustRightInd w:val="0"/>
              <w:snapToGrid w:val="0"/>
              <w:spacing w:line="360" w:lineRule="auto"/>
              <w:ind w:firstLine="480" w:firstLineChars="200"/>
              <w:rPr>
                <w:color w:val="auto"/>
                <w:sz w:val="24"/>
              </w:rPr>
            </w:pPr>
            <w:r>
              <w:rPr>
                <w:color w:val="auto"/>
                <w:sz w:val="24"/>
              </w:rPr>
              <w:t>③涂料、油墨、胶粘剂、农药等以挥发性有机物为原料的生产；</w:t>
            </w:r>
          </w:p>
          <w:p w14:paraId="719BF23E">
            <w:pPr>
              <w:tabs>
                <w:tab w:val="left" w:pos="2880"/>
              </w:tabs>
              <w:adjustRightInd w:val="0"/>
              <w:snapToGrid w:val="0"/>
              <w:spacing w:line="360" w:lineRule="auto"/>
              <w:ind w:firstLine="480" w:firstLineChars="200"/>
              <w:rPr>
                <w:color w:val="auto"/>
                <w:sz w:val="24"/>
              </w:rPr>
            </w:pPr>
            <w:r>
              <w:rPr>
                <w:color w:val="auto"/>
                <w:sz w:val="24"/>
              </w:rPr>
              <w:t>④涂装、印刷、粘合、工业清洗等使用含挥发性有机物产品的生产活动；</w:t>
            </w:r>
          </w:p>
          <w:p w14:paraId="06A9200D">
            <w:pPr>
              <w:tabs>
                <w:tab w:val="left" w:pos="2880"/>
              </w:tabs>
              <w:adjustRightInd w:val="0"/>
              <w:snapToGrid w:val="0"/>
              <w:spacing w:line="360" w:lineRule="auto"/>
              <w:ind w:firstLine="480" w:firstLineChars="200"/>
              <w:rPr>
                <w:color w:val="auto"/>
                <w:sz w:val="24"/>
              </w:rPr>
            </w:pPr>
            <w:r>
              <w:rPr>
                <w:color w:val="auto"/>
                <w:sz w:val="24"/>
              </w:rPr>
              <w:t>⑤其他产生挥发性有机物的生产和服务活动。</w:t>
            </w:r>
          </w:p>
          <w:p w14:paraId="213F3903">
            <w:pPr>
              <w:tabs>
                <w:tab w:val="left" w:pos="2880"/>
              </w:tabs>
              <w:adjustRightInd w:val="0"/>
              <w:snapToGrid w:val="0"/>
              <w:spacing w:line="360" w:lineRule="auto"/>
              <w:ind w:firstLine="480" w:firstLineChars="200"/>
              <w:rPr>
                <w:color w:val="auto"/>
                <w:sz w:val="24"/>
              </w:rPr>
            </w:pPr>
            <w:r>
              <w:rPr>
                <w:color w:val="auto"/>
                <w:sz w:val="24"/>
              </w:rPr>
              <w:t>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117AFAF7">
            <w:pPr>
              <w:tabs>
                <w:tab w:val="left" w:pos="2880"/>
              </w:tabs>
              <w:adjustRightInd w:val="0"/>
              <w:snapToGrid w:val="0"/>
              <w:spacing w:line="360" w:lineRule="auto"/>
              <w:ind w:firstLine="480" w:firstLineChars="200"/>
              <w:rPr>
                <w:color w:val="auto"/>
                <w:sz w:val="24"/>
              </w:rPr>
            </w:pPr>
            <w:r>
              <w:rPr>
                <w:color w:val="auto"/>
                <w:sz w:val="24"/>
              </w:rPr>
              <w:t>其他产生挥发性有机物的工业企业应当按照国家和省的有关规定，建立台账并向县级以上人民政府生态环境主管部门如实申报原辅材料使用等情况。台账保存期限不少于三年。</w:t>
            </w:r>
          </w:p>
          <w:p w14:paraId="35FA8529">
            <w:pPr>
              <w:tabs>
                <w:tab w:val="left" w:pos="2880"/>
              </w:tabs>
              <w:adjustRightInd w:val="0"/>
              <w:snapToGrid w:val="0"/>
              <w:spacing w:line="360" w:lineRule="auto"/>
              <w:ind w:firstLine="480" w:firstLineChars="200"/>
              <w:rPr>
                <w:color w:val="auto"/>
                <w:sz w:val="24"/>
              </w:rPr>
            </w:pPr>
            <w:r>
              <w:rPr>
                <w:color w:val="auto"/>
                <w:sz w:val="24"/>
              </w:rPr>
              <w:t>第三十条 严格控制新建、扩建排放恶臭污染物的工业类建设项目。产生恶臭污染物的化工、石化、制药、制革、骨胶炼制、生物发酵、饲料加工、家具制造等行业应当科学选址，设置合理的防护距离，并安装净化装置或者采取其他措施，防止排放恶臭污染物。</w:t>
            </w:r>
          </w:p>
          <w:p w14:paraId="66D34EE8">
            <w:pPr>
              <w:tabs>
                <w:tab w:val="left" w:pos="2880"/>
              </w:tabs>
              <w:adjustRightInd w:val="0"/>
              <w:snapToGrid w:val="0"/>
              <w:spacing w:line="360" w:lineRule="auto"/>
              <w:ind w:firstLine="482" w:firstLineChars="200"/>
              <w:rPr>
                <w:b/>
                <w:bCs/>
                <w:color w:val="auto"/>
                <w:sz w:val="24"/>
              </w:rPr>
            </w:pPr>
            <w:r>
              <w:rPr>
                <w:b/>
                <w:bCs/>
                <w:color w:val="auto"/>
                <w:sz w:val="24"/>
              </w:rPr>
              <w:t>相符性分析：</w:t>
            </w:r>
            <w:r>
              <w:rPr>
                <w:color w:val="auto"/>
                <w:sz w:val="24"/>
              </w:rPr>
              <w:t>项目</w:t>
            </w:r>
            <w:r>
              <w:rPr>
                <w:rFonts w:hint="eastAsia"/>
                <w:color w:val="auto"/>
                <w:sz w:val="24"/>
              </w:rPr>
              <w:t>营运期间所使用的水性底漆、水性面漆、水性清漆和粉末涂料</w:t>
            </w:r>
            <w:r>
              <w:rPr>
                <w:color w:val="auto"/>
                <w:sz w:val="24"/>
              </w:rPr>
              <w:t>为低VOCS涂料，符合《低挥发性有机化合物含量涂料产品技术要求》（GB/T38597-2020）</w:t>
            </w:r>
            <w:r>
              <w:rPr>
                <w:rFonts w:hint="eastAsia"/>
                <w:color w:val="auto"/>
                <w:sz w:val="24"/>
              </w:rPr>
              <w:t>；涂料的固化和烘烤均采用燃气烤炉，不涉及煤、油等燃料的使用；生产过程产生</w:t>
            </w:r>
            <w:r>
              <w:rPr>
                <w:color w:val="auto"/>
                <w:sz w:val="24"/>
              </w:rPr>
              <w:t>的有机废气通过集气装置收集后抽至</w:t>
            </w:r>
            <w:r>
              <w:rPr>
                <w:rFonts w:hint="eastAsia"/>
                <w:color w:val="auto"/>
                <w:sz w:val="24"/>
              </w:rPr>
              <w:t>3</w:t>
            </w:r>
            <w:r>
              <w:rPr>
                <w:color w:val="auto"/>
                <w:sz w:val="24"/>
              </w:rPr>
              <w:t>套“</w:t>
            </w:r>
            <w:r>
              <w:rPr>
                <w:rFonts w:hint="eastAsia"/>
                <w:color w:val="auto"/>
                <w:sz w:val="24"/>
              </w:rPr>
              <w:t>水帘柜+喷淋塔+除湿装置+二级活性炭吸附装置</w:t>
            </w:r>
            <w:r>
              <w:rPr>
                <w:color w:val="auto"/>
                <w:sz w:val="24"/>
              </w:rPr>
              <w:t>”进行处理，处理</w:t>
            </w:r>
            <w:r>
              <w:rPr>
                <w:rFonts w:hint="eastAsia"/>
                <w:color w:val="auto"/>
                <w:sz w:val="24"/>
              </w:rPr>
              <w:t>达标</w:t>
            </w:r>
            <w:r>
              <w:rPr>
                <w:color w:val="auto"/>
                <w:sz w:val="24"/>
              </w:rPr>
              <w:t>后高空排放，项目符合《广东省大气污染物防治条例》广东省第十三届人民代表大会常务委员会公告（第20号）文件的分析。</w:t>
            </w:r>
          </w:p>
          <w:p w14:paraId="53871264">
            <w:pPr>
              <w:pStyle w:val="76"/>
              <w:snapToGrid w:val="0"/>
              <w:ind w:firstLine="482" w:firstLineChars="200"/>
              <w:rPr>
                <w:rFonts w:ascii="Times New Roman" w:hAnsi="Times New Roman"/>
                <w:b/>
                <w:bCs/>
                <w:snapToGrid w:val="0"/>
                <w:color w:val="auto"/>
                <w:szCs w:val="24"/>
              </w:rPr>
            </w:pPr>
            <w:r>
              <w:rPr>
                <w:rFonts w:ascii="Times New Roman" w:hAnsi="Times New Roman"/>
                <w:b/>
                <w:bCs/>
                <w:snapToGrid w:val="0"/>
                <w:color w:val="auto"/>
                <w:szCs w:val="24"/>
              </w:rPr>
              <w:t>1</w:t>
            </w:r>
            <w:r>
              <w:rPr>
                <w:rFonts w:hint="eastAsia" w:ascii="Times New Roman" w:hAnsi="Times New Roman"/>
                <w:b/>
                <w:bCs/>
                <w:snapToGrid w:val="0"/>
                <w:color w:val="auto"/>
                <w:szCs w:val="24"/>
              </w:rPr>
              <w:t>2</w:t>
            </w:r>
            <w:r>
              <w:rPr>
                <w:rFonts w:ascii="Times New Roman" w:hAnsi="Times New Roman"/>
                <w:b/>
                <w:bCs/>
                <w:snapToGrid w:val="0"/>
                <w:color w:val="auto"/>
                <w:szCs w:val="24"/>
              </w:rPr>
              <w:t>、与</w:t>
            </w:r>
            <w:r>
              <w:rPr>
                <w:rFonts w:ascii="Times New Roman" w:hAnsi="Times New Roman"/>
                <w:b/>
                <w:bCs/>
                <w:color w:val="auto"/>
              </w:rPr>
              <w:t>《重点行业挥发性有机物综合治理方案》的通知（环大气[2019]53号）文件的相符性分析</w:t>
            </w:r>
          </w:p>
          <w:p w14:paraId="7FD966AF">
            <w:pPr>
              <w:pStyle w:val="76"/>
              <w:snapToGrid w:val="0"/>
              <w:ind w:firstLine="480" w:firstLineChars="200"/>
              <w:rPr>
                <w:rFonts w:ascii="Times New Roman" w:hAnsi="Times New Roman"/>
                <w:color w:val="auto"/>
              </w:rPr>
            </w:pPr>
            <w:r>
              <w:rPr>
                <w:rFonts w:ascii="Times New Roman" w:hAnsi="Times New Roman"/>
                <w:color w:val="auto"/>
              </w:rPr>
              <w:t>根据《重点行业挥发性有机物综合治理方案》的通知（环大气[2019]53号）（摘录）：</w:t>
            </w:r>
          </w:p>
          <w:p w14:paraId="5245380A">
            <w:pPr>
              <w:pStyle w:val="76"/>
              <w:numPr>
                <w:ilvl w:val="0"/>
                <w:numId w:val="6"/>
              </w:numPr>
              <w:snapToGrid w:val="0"/>
              <w:ind w:firstLine="480" w:firstLineChars="200"/>
              <w:rPr>
                <w:rFonts w:ascii="Times New Roman" w:hAnsi="Times New Roman"/>
                <w:color w:val="auto"/>
              </w:rPr>
            </w:pPr>
            <w:r>
              <w:rPr>
                <w:rFonts w:ascii="Times New Roman" w:hAnsi="Times New Roman"/>
                <w:color w:val="auto"/>
              </w:rPr>
              <w:t>大力推进源头替代。</w:t>
            </w:r>
            <w:r>
              <w:rPr>
                <w:rFonts w:hint="eastAsia" w:ascii="Times New Roman" w:hAnsi="Times New Roman"/>
                <w:color w:val="auto"/>
              </w:rPr>
              <w:t>通过使用水性、粉末、高固体分、无溶剂、辐射固化等低VOCs含量的涂料，</w:t>
            </w:r>
            <w:r>
              <w:rPr>
                <w:rFonts w:ascii="Times New Roman" w:hAnsi="Times New Roman"/>
                <w:color w:val="auto"/>
              </w:rPr>
              <w:t>……替代溶剂型涂料、油墨、胶粘剂、清洗剂等，从源头减少VOCs产生。……</w:t>
            </w:r>
            <w:r>
              <w:rPr>
                <w:rFonts w:hint="eastAsia" w:ascii="Times New Roman" w:hAnsi="Times New Roman"/>
                <w:color w:val="auto"/>
              </w:rPr>
              <w:t>企业应大力推广使用低VOCs含量木器涂料、车辆涂料、机械设备涂料、集装箱涂料以及建筑物和构筑物防护涂料等，</w:t>
            </w:r>
            <w:r>
              <w:rPr>
                <w:rFonts w:ascii="Times New Roman" w:hAnsi="Times New Roman"/>
                <w:color w:val="auto"/>
              </w:rPr>
              <w:t>……重点区域到2020年年底前基本完成。鼓励加快低VOCs含量涂料、油墨、胶粘剂等研发和生产。……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p w14:paraId="4483CA33">
            <w:pPr>
              <w:pStyle w:val="76"/>
              <w:numPr>
                <w:ilvl w:val="0"/>
                <w:numId w:val="6"/>
              </w:numPr>
              <w:snapToGrid w:val="0"/>
              <w:ind w:firstLine="480" w:firstLineChars="200"/>
              <w:rPr>
                <w:rFonts w:ascii="Times New Roman" w:hAnsi="Times New Roman"/>
                <w:color w:val="auto"/>
              </w:rPr>
            </w:pPr>
            <w:r>
              <w:rPr>
                <w:rFonts w:ascii="Times New Roman" w:hAnsi="Times New Roman"/>
                <w:color w:val="auto"/>
              </w:rPr>
              <w:t>全面加强无组织排放控制。……含VOCs物料应储存于密闭容器、包装袋，高效密封储罐，封闭式储库、料仓等。……采用局部集气罩的，距集气罩开口面最远处的VOCs无组织排放位置，控制风速应不低于0.3米/秒，有行业要求的按相关规定执行。……</w:t>
            </w:r>
          </w:p>
          <w:p w14:paraId="0EF0D5F4">
            <w:pPr>
              <w:pStyle w:val="76"/>
              <w:numPr>
                <w:ilvl w:val="0"/>
                <w:numId w:val="6"/>
              </w:numPr>
              <w:snapToGrid w:val="0"/>
              <w:ind w:firstLine="480" w:firstLineChars="200"/>
              <w:rPr>
                <w:rFonts w:ascii="Times New Roman" w:hAnsi="Times New Roman"/>
                <w:color w:val="auto"/>
              </w:rPr>
            </w:pPr>
            <w:r>
              <w:rPr>
                <w:rFonts w:ascii="Times New Roman" w:hAnsi="Times New Roman"/>
                <w:color w:val="auto"/>
              </w:rPr>
              <w:t>推进建设适宜高效的治污设施。……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w:t>
            </w:r>
          </w:p>
          <w:p w14:paraId="484CB9CC">
            <w:pPr>
              <w:pStyle w:val="76"/>
              <w:snapToGrid w:val="0"/>
              <w:ind w:firstLine="482" w:firstLineChars="200"/>
              <w:rPr>
                <w:rFonts w:ascii="Times New Roman" w:hAnsi="Times New Roman"/>
                <w:b/>
                <w:bCs/>
                <w:color w:val="auto"/>
                <w:szCs w:val="24"/>
              </w:rPr>
            </w:pPr>
            <w:r>
              <w:rPr>
                <w:rFonts w:ascii="Times New Roman" w:hAnsi="Times New Roman"/>
                <w:b/>
                <w:bCs/>
                <w:color w:val="auto"/>
                <w:szCs w:val="24"/>
              </w:rPr>
              <w:t>相符性分析：</w:t>
            </w:r>
            <w:r>
              <w:rPr>
                <w:rFonts w:ascii="Times New Roman" w:hAnsi="Times New Roman"/>
                <w:color w:val="auto"/>
              </w:rPr>
              <w:t>项目</w:t>
            </w:r>
            <w:r>
              <w:rPr>
                <w:rFonts w:hint="eastAsia" w:ascii="Times New Roman" w:hAnsi="Times New Roman"/>
                <w:color w:val="auto"/>
              </w:rPr>
              <w:t>营运期间所使用的水性底漆、水性面漆、水性清漆和粉末涂料</w:t>
            </w:r>
            <w:r>
              <w:rPr>
                <w:rFonts w:ascii="Times New Roman" w:hAnsi="Times New Roman"/>
                <w:color w:val="auto"/>
              </w:rPr>
              <w:t>为低VOC</w:t>
            </w:r>
            <w:r>
              <w:rPr>
                <w:rFonts w:hint="eastAsia" w:ascii="Times New Roman" w:hAnsi="Times New Roman"/>
                <w:color w:val="auto"/>
              </w:rPr>
              <w:t>s</w:t>
            </w:r>
            <w:r>
              <w:rPr>
                <w:rFonts w:ascii="Times New Roman" w:hAnsi="Times New Roman"/>
                <w:color w:val="auto"/>
              </w:rPr>
              <w:t>涂料，符合《低挥发性有机化合物含量涂料产品技术要求》（GB/T38597-2020）</w:t>
            </w:r>
            <w:r>
              <w:rPr>
                <w:rFonts w:hint="eastAsia" w:ascii="Times New Roman" w:hAnsi="Times New Roman"/>
                <w:color w:val="auto"/>
              </w:rPr>
              <w:t>；涂料的固化和烘烤均采用燃气烤炉，不涉及煤、油等燃料的使用；生产过程产生</w:t>
            </w:r>
            <w:r>
              <w:rPr>
                <w:rFonts w:ascii="Times New Roman" w:hAnsi="Times New Roman"/>
                <w:color w:val="auto"/>
              </w:rPr>
              <w:t>的有机废气通过集气装置收集后抽至</w:t>
            </w:r>
            <w:r>
              <w:rPr>
                <w:rFonts w:hint="eastAsia" w:ascii="Times New Roman" w:hAnsi="Times New Roman"/>
                <w:color w:val="auto"/>
              </w:rPr>
              <w:t>3</w:t>
            </w:r>
            <w:r>
              <w:rPr>
                <w:rFonts w:ascii="Times New Roman" w:hAnsi="Times New Roman"/>
                <w:color w:val="auto"/>
              </w:rPr>
              <w:t>套“</w:t>
            </w:r>
            <w:r>
              <w:rPr>
                <w:rFonts w:hint="eastAsia"/>
                <w:color w:val="auto"/>
                <w:szCs w:val="24"/>
              </w:rPr>
              <w:t>水帘柜+喷淋塔+除湿装置+二级活性炭吸附装置</w:t>
            </w:r>
            <w:r>
              <w:rPr>
                <w:rFonts w:ascii="Times New Roman" w:hAnsi="Times New Roman"/>
                <w:color w:val="auto"/>
              </w:rPr>
              <w:t>”进行处理，处理</w:t>
            </w:r>
            <w:r>
              <w:rPr>
                <w:rFonts w:hint="eastAsia" w:ascii="Times New Roman" w:hAnsi="Times New Roman"/>
                <w:color w:val="auto"/>
              </w:rPr>
              <w:t>达标</w:t>
            </w:r>
            <w:r>
              <w:rPr>
                <w:rFonts w:ascii="Times New Roman" w:hAnsi="Times New Roman"/>
                <w:color w:val="auto"/>
              </w:rPr>
              <w:t>后高空排放</w:t>
            </w:r>
            <w:r>
              <w:rPr>
                <w:rFonts w:ascii="Times New Roman" w:hAnsi="Times New Roman"/>
                <w:color w:val="auto"/>
                <w:szCs w:val="24"/>
              </w:rPr>
              <w:t>；项目建设符合《重点行业挥发性有机物综合治理方案》的通知（环大气[2019]53号）的相关要求。</w:t>
            </w:r>
          </w:p>
          <w:p w14:paraId="42809DE0">
            <w:pPr>
              <w:spacing w:line="360" w:lineRule="auto"/>
              <w:ind w:firstLine="482" w:firstLineChars="200"/>
              <w:rPr>
                <w:b/>
                <w:bCs/>
                <w:color w:val="auto"/>
                <w:sz w:val="24"/>
              </w:rPr>
            </w:pPr>
            <w:r>
              <w:rPr>
                <w:b/>
                <w:bCs/>
                <w:color w:val="auto"/>
                <w:sz w:val="24"/>
              </w:rPr>
              <w:t>1</w:t>
            </w:r>
            <w:r>
              <w:rPr>
                <w:rFonts w:hint="eastAsia"/>
                <w:b/>
                <w:bCs/>
                <w:color w:val="auto"/>
                <w:sz w:val="24"/>
              </w:rPr>
              <w:t>3</w:t>
            </w:r>
            <w:r>
              <w:rPr>
                <w:b/>
                <w:bCs/>
                <w:color w:val="auto"/>
                <w:sz w:val="24"/>
              </w:rPr>
              <w:t>、与《广东省涉挥发性有机物（VOCs）重点行业治理指引》（粤环办〔2021〕43号）的相符性分析</w:t>
            </w:r>
          </w:p>
          <w:p w14:paraId="5B358140">
            <w:pPr>
              <w:pStyle w:val="43"/>
              <w:rPr>
                <w:color w:val="auto"/>
              </w:rPr>
            </w:pPr>
            <w:r>
              <w:rPr>
                <w:color w:val="auto"/>
              </w:rPr>
              <w:t>项目属于《国民经济行业分类》（GB/T4754-2017）及第1号修改单中的“C3360金属表面处理及热处理加工”，涉及喷涂工序，与粤环办〔2021〕43号文中八、表面涂装行业VOCs 治理指引符合性分析见下表。</w:t>
            </w:r>
          </w:p>
          <w:p w14:paraId="2EAC5D27">
            <w:pPr>
              <w:pStyle w:val="16"/>
              <w:rPr>
                <w:rFonts w:eastAsia="黑体"/>
                <w:color w:val="auto"/>
              </w:rPr>
            </w:pPr>
            <w:r>
              <w:rPr>
                <w:color w:val="auto"/>
              </w:rPr>
              <w:t>表1-5 与（粤环办〔2021〕43号中“八、表面涂装行业VOCs 治理指引”）相符性分析一览表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0"/>
              <w:gridCol w:w="1136"/>
              <w:gridCol w:w="5113"/>
              <w:gridCol w:w="3111"/>
            </w:tblGrid>
            <w:tr w14:paraId="5F288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257E6009">
                  <w:pPr>
                    <w:jc w:val="center"/>
                    <w:rPr>
                      <w:b/>
                      <w:bCs/>
                      <w:color w:val="auto"/>
                      <w:spacing w:val="4"/>
                      <w:position w:val="2"/>
                      <w:szCs w:val="21"/>
                    </w:rPr>
                  </w:pPr>
                  <w:r>
                    <w:rPr>
                      <w:b/>
                      <w:bCs/>
                      <w:color w:val="auto"/>
                      <w:spacing w:val="4"/>
                      <w:position w:val="2"/>
                      <w:szCs w:val="21"/>
                    </w:rPr>
                    <w:t>序号</w:t>
                  </w:r>
                </w:p>
              </w:tc>
              <w:tc>
                <w:tcPr>
                  <w:tcW w:w="577" w:type="pct"/>
                  <w:vAlign w:val="center"/>
                </w:tcPr>
                <w:p w14:paraId="7C36FBF4">
                  <w:pPr>
                    <w:jc w:val="center"/>
                    <w:rPr>
                      <w:b/>
                      <w:bCs/>
                      <w:color w:val="auto"/>
                      <w:spacing w:val="4"/>
                      <w:position w:val="2"/>
                      <w:szCs w:val="21"/>
                    </w:rPr>
                  </w:pPr>
                  <w:r>
                    <w:rPr>
                      <w:b/>
                      <w:bCs/>
                      <w:color w:val="auto"/>
                      <w:spacing w:val="4"/>
                      <w:position w:val="2"/>
                      <w:szCs w:val="21"/>
                    </w:rPr>
                    <w:t>环节</w:t>
                  </w:r>
                </w:p>
              </w:tc>
              <w:tc>
                <w:tcPr>
                  <w:tcW w:w="2598" w:type="pct"/>
                  <w:vAlign w:val="center"/>
                </w:tcPr>
                <w:p w14:paraId="646CB2CE">
                  <w:pPr>
                    <w:jc w:val="center"/>
                    <w:rPr>
                      <w:b/>
                      <w:bCs/>
                      <w:color w:val="auto"/>
                      <w:spacing w:val="4"/>
                      <w:position w:val="2"/>
                      <w:szCs w:val="21"/>
                    </w:rPr>
                  </w:pPr>
                  <w:r>
                    <w:rPr>
                      <w:b/>
                      <w:bCs/>
                      <w:color w:val="auto"/>
                      <w:spacing w:val="4"/>
                      <w:position w:val="2"/>
                      <w:szCs w:val="21"/>
                    </w:rPr>
                    <w:t>控制要求</w:t>
                  </w:r>
                </w:p>
              </w:tc>
              <w:tc>
                <w:tcPr>
                  <w:tcW w:w="1580" w:type="pct"/>
                  <w:vAlign w:val="center"/>
                </w:tcPr>
                <w:p w14:paraId="391469B8">
                  <w:pPr>
                    <w:jc w:val="center"/>
                    <w:rPr>
                      <w:b/>
                      <w:bCs/>
                      <w:color w:val="auto"/>
                      <w:spacing w:val="4"/>
                      <w:position w:val="2"/>
                      <w:szCs w:val="21"/>
                    </w:rPr>
                  </w:pPr>
                  <w:r>
                    <w:rPr>
                      <w:b/>
                      <w:bCs/>
                      <w:color w:val="auto"/>
                      <w:spacing w:val="4"/>
                      <w:position w:val="2"/>
                      <w:szCs w:val="21"/>
                    </w:rPr>
                    <w:t>相符性分析</w:t>
                  </w:r>
                </w:p>
              </w:tc>
            </w:tr>
            <w:tr w14:paraId="0746C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pct"/>
                  <w:gridSpan w:val="4"/>
                  <w:vAlign w:val="center"/>
                </w:tcPr>
                <w:p w14:paraId="319DA16E">
                  <w:pPr>
                    <w:jc w:val="center"/>
                    <w:rPr>
                      <w:b/>
                      <w:bCs/>
                      <w:color w:val="auto"/>
                      <w:spacing w:val="4"/>
                      <w:position w:val="2"/>
                      <w:szCs w:val="21"/>
                    </w:rPr>
                  </w:pPr>
                  <w:r>
                    <w:rPr>
                      <w:b/>
                      <w:bCs/>
                      <w:color w:val="auto"/>
                      <w:szCs w:val="21"/>
                    </w:rPr>
                    <w:t>源头削减</w:t>
                  </w:r>
                </w:p>
              </w:tc>
            </w:tr>
            <w:tr w14:paraId="0193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40DB8D9F">
                  <w:pPr>
                    <w:jc w:val="center"/>
                    <w:rPr>
                      <w:color w:val="auto"/>
                      <w:spacing w:val="4"/>
                      <w:position w:val="2"/>
                      <w:szCs w:val="21"/>
                    </w:rPr>
                  </w:pPr>
                  <w:r>
                    <w:rPr>
                      <w:rFonts w:hint="eastAsia"/>
                      <w:color w:val="auto"/>
                      <w:spacing w:val="4"/>
                      <w:position w:val="2"/>
                      <w:szCs w:val="21"/>
                    </w:rPr>
                    <w:t>6</w:t>
                  </w:r>
                </w:p>
              </w:tc>
              <w:tc>
                <w:tcPr>
                  <w:tcW w:w="577" w:type="pct"/>
                  <w:vAlign w:val="center"/>
                </w:tcPr>
                <w:p w14:paraId="41D4EC5F">
                  <w:pPr>
                    <w:jc w:val="center"/>
                    <w:rPr>
                      <w:color w:val="auto"/>
                      <w:spacing w:val="4"/>
                      <w:position w:val="2"/>
                      <w:szCs w:val="21"/>
                    </w:rPr>
                  </w:pPr>
                  <w:r>
                    <w:rPr>
                      <w:rFonts w:hint="eastAsia"/>
                      <w:color w:val="auto"/>
                      <w:spacing w:val="4"/>
                      <w:position w:val="2"/>
                      <w:szCs w:val="21"/>
                    </w:rPr>
                    <w:t>水性涂料</w:t>
                  </w:r>
                </w:p>
              </w:tc>
              <w:tc>
                <w:tcPr>
                  <w:tcW w:w="2598" w:type="pct"/>
                  <w:vAlign w:val="center"/>
                </w:tcPr>
                <w:p w14:paraId="207CC9A9">
                  <w:pPr>
                    <w:rPr>
                      <w:color w:val="auto"/>
                      <w:spacing w:val="4"/>
                      <w:position w:val="2"/>
                      <w:szCs w:val="21"/>
                    </w:rPr>
                  </w:pPr>
                  <w:r>
                    <w:rPr>
                      <w:rFonts w:hint="eastAsia"/>
                      <w:color w:val="auto"/>
                      <w:spacing w:val="4"/>
                      <w:position w:val="2"/>
                      <w:szCs w:val="21"/>
                    </w:rPr>
                    <w:t>摩托车（含电动摩托车）和自行车（含电动自行车）涂料、车辆用零部件涂料：</w:t>
                  </w:r>
                </w:p>
                <w:p w14:paraId="6E51275E">
                  <w:pPr>
                    <w:rPr>
                      <w:color w:val="auto"/>
                      <w:spacing w:val="4"/>
                      <w:position w:val="2"/>
                      <w:szCs w:val="21"/>
                    </w:rPr>
                  </w:pPr>
                  <w:r>
                    <w:rPr>
                      <w:rFonts w:hint="eastAsia"/>
                      <w:color w:val="auto"/>
                      <w:spacing w:val="4"/>
                      <w:position w:val="2"/>
                      <w:szCs w:val="21"/>
                    </w:rPr>
                    <w:t>金属件用涂料：</w:t>
                  </w:r>
                </w:p>
                <w:p w14:paraId="3A602C39">
                  <w:pPr>
                    <w:rPr>
                      <w:color w:val="auto"/>
                      <w:spacing w:val="4"/>
                      <w:position w:val="2"/>
                      <w:szCs w:val="21"/>
                    </w:rPr>
                  </w:pPr>
                  <w:r>
                    <w:rPr>
                      <w:rFonts w:hint="eastAsia"/>
                      <w:color w:val="auto"/>
                      <w:spacing w:val="4"/>
                      <w:position w:val="2"/>
                      <w:szCs w:val="21"/>
                    </w:rPr>
                    <w:t>底漆VOCs含量≤350g/L；</w:t>
                  </w:r>
                </w:p>
                <w:p w14:paraId="168D4FEA">
                  <w:pPr>
                    <w:rPr>
                      <w:color w:val="auto"/>
                      <w:spacing w:val="4"/>
                      <w:position w:val="2"/>
                      <w:szCs w:val="21"/>
                    </w:rPr>
                  </w:pPr>
                  <w:r>
                    <w:rPr>
                      <w:rFonts w:hint="eastAsia"/>
                      <w:color w:val="auto"/>
                      <w:spacing w:val="4"/>
                      <w:position w:val="2"/>
                      <w:szCs w:val="21"/>
                    </w:rPr>
                    <w:t>色漆VOCs含量≤480g/L；</w:t>
                  </w:r>
                </w:p>
                <w:p w14:paraId="463F893E">
                  <w:pPr>
                    <w:rPr>
                      <w:color w:val="auto"/>
                      <w:spacing w:val="4"/>
                      <w:position w:val="2"/>
                      <w:szCs w:val="21"/>
                    </w:rPr>
                  </w:pPr>
                  <w:r>
                    <w:rPr>
                      <w:rFonts w:hint="eastAsia"/>
                      <w:color w:val="auto"/>
                      <w:spacing w:val="4"/>
                      <w:position w:val="2"/>
                      <w:szCs w:val="21"/>
                    </w:rPr>
                    <w:t>清漆VOCs含量≤420g/L；</w:t>
                  </w:r>
                </w:p>
              </w:tc>
              <w:tc>
                <w:tcPr>
                  <w:tcW w:w="1580" w:type="pct"/>
                  <w:vAlign w:val="center"/>
                </w:tcPr>
                <w:p w14:paraId="0E80E312">
                  <w:pPr>
                    <w:rPr>
                      <w:color w:val="auto"/>
                      <w:spacing w:val="4"/>
                      <w:position w:val="2"/>
                      <w:szCs w:val="21"/>
                    </w:rPr>
                  </w:pPr>
                  <w:r>
                    <w:rPr>
                      <w:rFonts w:hint="eastAsia"/>
                      <w:color w:val="auto"/>
                      <w:spacing w:val="4"/>
                      <w:position w:val="2"/>
                      <w:szCs w:val="21"/>
                    </w:rPr>
                    <w:t>根据检测报告，项目所用的水性底漆VOCs含量为62g/L；水性面漆VOCs含量为64g/L；水性清漆VOCs含量为50g/L。符合水性涂料源头削减的要求。</w:t>
                  </w:r>
                </w:p>
              </w:tc>
            </w:tr>
            <w:tr w14:paraId="69C42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239DB114">
                  <w:pPr>
                    <w:jc w:val="center"/>
                    <w:rPr>
                      <w:color w:val="auto"/>
                      <w:spacing w:val="4"/>
                      <w:position w:val="2"/>
                      <w:szCs w:val="21"/>
                    </w:rPr>
                  </w:pPr>
                  <w:r>
                    <w:rPr>
                      <w:rFonts w:hint="eastAsia"/>
                      <w:color w:val="auto"/>
                      <w:spacing w:val="4"/>
                      <w:position w:val="2"/>
                      <w:szCs w:val="21"/>
                    </w:rPr>
                    <w:t>26</w:t>
                  </w:r>
                </w:p>
              </w:tc>
              <w:tc>
                <w:tcPr>
                  <w:tcW w:w="577" w:type="pct"/>
                  <w:vAlign w:val="center"/>
                </w:tcPr>
                <w:p w14:paraId="739F2162">
                  <w:pPr>
                    <w:jc w:val="center"/>
                    <w:rPr>
                      <w:color w:val="auto"/>
                      <w:spacing w:val="4"/>
                      <w:position w:val="2"/>
                      <w:szCs w:val="21"/>
                    </w:rPr>
                  </w:pPr>
                  <w:r>
                    <w:rPr>
                      <w:rFonts w:hint="eastAsia"/>
                      <w:color w:val="auto"/>
                      <w:spacing w:val="4"/>
                      <w:position w:val="2"/>
                      <w:szCs w:val="21"/>
                    </w:rPr>
                    <w:t>无溶剂涂料</w:t>
                  </w:r>
                </w:p>
              </w:tc>
              <w:tc>
                <w:tcPr>
                  <w:tcW w:w="2598" w:type="pct"/>
                  <w:vAlign w:val="center"/>
                </w:tcPr>
                <w:p w14:paraId="3AD09F21">
                  <w:pPr>
                    <w:rPr>
                      <w:color w:val="auto"/>
                      <w:spacing w:val="4"/>
                      <w:position w:val="2"/>
                      <w:szCs w:val="21"/>
                    </w:rPr>
                  </w:pPr>
                  <w:r>
                    <w:rPr>
                      <w:rFonts w:hint="eastAsia"/>
                      <w:color w:val="auto"/>
                      <w:spacing w:val="4"/>
                      <w:position w:val="2"/>
                      <w:szCs w:val="21"/>
                    </w:rPr>
                    <w:t>VOCs含量≤100g/L；</w:t>
                  </w:r>
                </w:p>
              </w:tc>
              <w:tc>
                <w:tcPr>
                  <w:tcW w:w="1580" w:type="pct"/>
                  <w:vAlign w:val="center"/>
                </w:tcPr>
                <w:p w14:paraId="70759438">
                  <w:pPr>
                    <w:rPr>
                      <w:color w:val="auto"/>
                      <w:spacing w:val="4"/>
                      <w:position w:val="2"/>
                      <w:szCs w:val="21"/>
                    </w:rPr>
                  </w:pPr>
                  <w:r>
                    <w:rPr>
                      <w:rFonts w:hint="eastAsia"/>
                      <w:color w:val="auto"/>
                      <w:spacing w:val="4"/>
                      <w:position w:val="2"/>
                      <w:szCs w:val="21"/>
                    </w:rPr>
                    <w:t>根据检测报告，项目所用的粉末涂料VOCs含量为5g/L，符合无溶剂涂料源头削减的要求。</w:t>
                  </w:r>
                </w:p>
              </w:tc>
            </w:tr>
            <w:tr w14:paraId="7646F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pct"/>
                  <w:gridSpan w:val="4"/>
                  <w:vAlign w:val="center"/>
                </w:tcPr>
                <w:p w14:paraId="248DFD9B">
                  <w:pPr>
                    <w:jc w:val="center"/>
                    <w:rPr>
                      <w:color w:val="auto"/>
                      <w:spacing w:val="4"/>
                      <w:position w:val="2"/>
                      <w:szCs w:val="21"/>
                    </w:rPr>
                  </w:pPr>
                  <w:r>
                    <w:rPr>
                      <w:b/>
                      <w:bCs/>
                      <w:color w:val="auto"/>
                      <w:spacing w:val="4"/>
                      <w:position w:val="2"/>
                      <w:szCs w:val="21"/>
                    </w:rPr>
                    <w:t>过程控制</w:t>
                  </w:r>
                </w:p>
              </w:tc>
            </w:tr>
            <w:tr w14:paraId="7FC6E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1B0E9C21">
                  <w:pPr>
                    <w:jc w:val="center"/>
                    <w:rPr>
                      <w:color w:val="auto"/>
                      <w:szCs w:val="21"/>
                    </w:rPr>
                  </w:pPr>
                  <w:r>
                    <w:rPr>
                      <w:color w:val="auto"/>
                      <w:spacing w:val="-1"/>
                      <w:szCs w:val="21"/>
                    </w:rPr>
                    <w:t>57</w:t>
                  </w:r>
                </w:p>
              </w:tc>
              <w:tc>
                <w:tcPr>
                  <w:tcW w:w="577" w:type="pct"/>
                  <w:vMerge w:val="restart"/>
                  <w:vAlign w:val="center"/>
                </w:tcPr>
                <w:p w14:paraId="1A885104">
                  <w:pPr>
                    <w:jc w:val="center"/>
                    <w:rPr>
                      <w:color w:val="auto"/>
                      <w:szCs w:val="21"/>
                    </w:rPr>
                  </w:pPr>
                  <w:r>
                    <w:rPr>
                      <w:color w:val="auto"/>
                      <w:spacing w:val="6"/>
                      <w:szCs w:val="21"/>
                    </w:rPr>
                    <w:t>VOCs物料储存</w:t>
                  </w:r>
                </w:p>
              </w:tc>
              <w:tc>
                <w:tcPr>
                  <w:tcW w:w="2598" w:type="pct"/>
                  <w:vAlign w:val="center"/>
                </w:tcPr>
                <w:p w14:paraId="7A98D4AD">
                  <w:pPr>
                    <w:rPr>
                      <w:color w:val="auto"/>
                      <w:szCs w:val="21"/>
                    </w:rPr>
                  </w:pPr>
                  <w:r>
                    <w:rPr>
                      <w:color w:val="auto"/>
                      <w:spacing w:val="3"/>
                      <w:szCs w:val="21"/>
                    </w:rPr>
                    <w:t>油漆、稀释剂、清洗剂等含VOCs物料应储存于密闭的容器、包装袋、储罐、储库、料仓中。</w:t>
                  </w:r>
                </w:p>
              </w:tc>
              <w:tc>
                <w:tcPr>
                  <w:tcW w:w="1580" w:type="pct"/>
                  <w:vMerge w:val="restart"/>
                  <w:vAlign w:val="center"/>
                </w:tcPr>
                <w:p w14:paraId="5423E2F6">
                  <w:pPr>
                    <w:widowControl/>
                    <w:rPr>
                      <w:color w:val="auto"/>
                      <w:spacing w:val="4"/>
                      <w:position w:val="2"/>
                      <w:szCs w:val="21"/>
                    </w:rPr>
                  </w:pPr>
                  <w:r>
                    <w:rPr>
                      <w:rFonts w:hint="eastAsia"/>
                      <w:color w:val="auto"/>
                      <w:spacing w:val="7"/>
                      <w:szCs w:val="21"/>
                    </w:rPr>
                    <w:t>项目所使用的水性底漆、水性面漆、水性清漆、</w:t>
                  </w:r>
                  <w:r>
                    <w:rPr>
                      <w:color w:val="auto"/>
                      <w:spacing w:val="7"/>
                      <w:szCs w:val="21"/>
                    </w:rPr>
                    <w:t>粉末涂料等含VOCs物料</w:t>
                  </w:r>
                  <w:r>
                    <w:rPr>
                      <w:color w:val="auto"/>
                      <w:spacing w:val="3"/>
                      <w:szCs w:val="21"/>
                    </w:rPr>
                    <w:t>储存于密闭的容器中</w:t>
                  </w:r>
                  <w:r>
                    <w:rPr>
                      <w:color w:val="auto"/>
                      <w:spacing w:val="7"/>
                      <w:szCs w:val="21"/>
                    </w:rPr>
                    <w:t>，且盛装容器存放于室内</w:t>
                  </w:r>
                  <w:r>
                    <w:rPr>
                      <w:color w:val="auto"/>
                      <w:spacing w:val="6"/>
                      <w:szCs w:val="21"/>
                    </w:rPr>
                    <w:t>。</w:t>
                  </w:r>
                </w:p>
              </w:tc>
            </w:tr>
            <w:tr w14:paraId="1AB2E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0D038583">
                  <w:pPr>
                    <w:jc w:val="center"/>
                    <w:rPr>
                      <w:color w:val="auto"/>
                      <w:szCs w:val="21"/>
                    </w:rPr>
                  </w:pPr>
                  <w:r>
                    <w:rPr>
                      <w:color w:val="auto"/>
                      <w:spacing w:val="-1"/>
                      <w:szCs w:val="21"/>
                    </w:rPr>
                    <w:t>58</w:t>
                  </w:r>
                </w:p>
              </w:tc>
              <w:tc>
                <w:tcPr>
                  <w:tcW w:w="577" w:type="pct"/>
                  <w:vMerge w:val="continue"/>
                  <w:vAlign w:val="center"/>
                </w:tcPr>
                <w:p w14:paraId="5B259CC6">
                  <w:pPr>
                    <w:jc w:val="center"/>
                    <w:rPr>
                      <w:color w:val="auto"/>
                      <w:spacing w:val="6"/>
                      <w:szCs w:val="21"/>
                    </w:rPr>
                  </w:pPr>
                </w:p>
              </w:tc>
              <w:tc>
                <w:tcPr>
                  <w:tcW w:w="2598" w:type="pct"/>
                  <w:vAlign w:val="center"/>
                </w:tcPr>
                <w:p w14:paraId="4CFC3BE2">
                  <w:pPr>
                    <w:rPr>
                      <w:color w:val="auto"/>
                      <w:szCs w:val="21"/>
                    </w:rPr>
                  </w:pPr>
                  <w:r>
                    <w:rPr>
                      <w:color w:val="auto"/>
                      <w:spacing w:val="7"/>
                      <w:szCs w:val="21"/>
                    </w:rPr>
                    <w:t>油漆、稀释剂、清洗剂等盛装VOCs物料的容器存放于室内，或存放于设置有雨棚、遮阳和</w:t>
                  </w:r>
                  <w:r>
                    <w:rPr>
                      <w:color w:val="auto"/>
                      <w:spacing w:val="8"/>
                      <w:szCs w:val="21"/>
                    </w:rPr>
                    <w:t>防渗设施的专用场地。盛装VOCs物料的容器在非取用状态时应加盖、封口，保持密闭。</w:t>
                  </w:r>
                </w:p>
              </w:tc>
              <w:tc>
                <w:tcPr>
                  <w:tcW w:w="1580" w:type="pct"/>
                  <w:vMerge w:val="continue"/>
                  <w:vAlign w:val="center"/>
                </w:tcPr>
                <w:p w14:paraId="039232C9">
                  <w:pPr>
                    <w:widowControl/>
                    <w:rPr>
                      <w:color w:val="auto"/>
                      <w:spacing w:val="4"/>
                      <w:position w:val="2"/>
                      <w:szCs w:val="21"/>
                    </w:rPr>
                  </w:pPr>
                </w:p>
              </w:tc>
            </w:tr>
            <w:tr w14:paraId="02C03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5C9967D2">
                  <w:pPr>
                    <w:jc w:val="center"/>
                    <w:rPr>
                      <w:color w:val="auto"/>
                      <w:szCs w:val="21"/>
                    </w:rPr>
                  </w:pPr>
                  <w:r>
                    <w:rPr>
                      <w:color w:val="auto"/>
                      <w:spacing w:val="-1"/>
                      <w:szCs w:val="21"/>
                    </w:rPr>
                    <w:t>59</w:t>
                  </w:r>
                </w:p>
              </w:tc>
              <w:tc>
                <w:tcPr>
                  <w:tcW w:w="577" w:type="pct"/>
                  <w:vAlign w:val="center"/>
                </w:tcPr>
                <w:p w14:paraId="0430C659">
                  <w:pPr>
                    <w:jc w:val="center"/>
                    <w:rPr>
                      <w:color w:val="auto"/>
                      <w:szCs w:val="21"/>
                    </w:rPr>
                  </w:pPr>
                  <w:r>
                    <w:rPr>
                      <w:color w:val="auto"/>
                      <w:spacing w:val="6"/>
                      <w:szCs w:val="21"/>
                    </w:rPr>
                    <w:t>VOCs物料转移和输送</w:t>
                  </w:r>
                </w:p>
              </w:tc>
              <w:tc>
                <w:tcPr>
                  <w:tcW w:w="2598" w:type="pct"/>
                  <w:vAlign w:val="center"/>
                </w:tcPr>
                <w:p w14:paraId="5E35FCC0">
                  <w:pPr>
                    <w:rPr>
                      <w:color w:val="auto"/>
                      <w:szCs w:val="21"/>
                    </w:rPr>
                  </w:pPr>
                  <w:r>
                    <w:rPr>
                      <w:color w:val="auto"/>
                      <w:spacing w:val="7"/>
                      <w:szCs w:val="21"/>
                    </w:rPr>
                    <w:t>油漆、稀释剂、清洗剂等液体VOCs物料应采用管道密闭输送。采用非管道输送方式转移液</w:t>
                  </w:r>
                  <w:r>
                    <w:rPr>
                      <w:color w:val="auto"/>
                      <w:spacing w:val="6"/>
                      <w:szCs w:val="21"/>
                    </w:rPr>
                    <w:t>态VOCs物料时，应采用密闭容器或罐车。</w:t>
                  </w:r>
                </w:p>
              </w:tc>
              <w:tc>
                <w:tcPr>
                  <w:tcW w:w="1580" w:type="pct"/>
                  <w:vAlign w:val="center"/>
                </w:tcPr>
                <w:p w14:paraId="582E4956">
                  <w:pPr>
                    <w:widowControl/>
                    <w:rPr>
                      <w:color w:val="auto"/>
                      <w:spacing w:val="4"/>
                      <w:position w:val="2"/>
                      <w:szCs w:val="21"/>
                    </w:rPr>
                  </w:pPr>
                  <w:r>
                    <w:rPr>
                      <w:rFonts w:hint="eastAsia"/>
                      <w:color w:val="auto"/>
                      <w:spacing w:val="7"/>
                      <w:szCs w:val="21"/>
                    </w:rPr>
                    <w:t>水性底漆、水性面漆、水性清漆、</w:t>
                  </w:r>
                  <w:r>
                    <w:rPr>
                      <w:color w:val="auto"/>
                      <w:spacing w:val="7"/>
                      <w:szCs w:val="21"/>
                    </w:rPr>
                    <w:t>粉末涂料等含VOCs物料等转移和输送</w:t>
                  </w:r>
                  <w:r>
                    <w:rPr>
                      <w:color w:val="auto"/>
                      <w:spacing w:val="6"/>
                      <w:szCs w:val="21"/>
                    </w:rPr>
                    <w:t>采用密闭容器进行。</w:t>
                  </w:r>
                </w:p>
              </w:tc>
            </w:tr>
            <w:tr w14:paraId="62D1F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241E7807">
                  <w:pPr>
                    <w:jc w:val="center"/>
                    <w:rPr>
                      <w:color w:val="auto"/>
                      <w:szCs w:val="21"/>
                    </w:rPr>
                  </w:pPr>
                  <w:r>
                    <w:rPr>
                      <w:color w:val="auto"/>
                      <w:spacing w:val="-1"/>
                      <w:szCs w:val="21"/>
                    </w:rPr>
                    <w:t>63</w:t>
                  </w:r>
                </w:p>
              </w:tc>
              <w:tc>
                <w:tcPr>
                  <w:tcW w:w="577" w:type="pct"/>
                  <w:vAlign w:val="center"/>
                </w:tcPr>
                <w:p w14:paraId="3FEF6E0D">
                  <w:pPr>
                    <w:jc w:val="center"/>
                    <w:rPr>
                      <w:color w:val="auto"/>
                      <w:szCs w:val="21"/>
                    </w:rPr>
                  </w:pPr>
                  <w:r>
                    <w:rPr>
                      <w:color w:val="auto"/>
                      <w:spacing w:val="9"/>
                      <w:szCs w:val="21"/>
                    </w:rPr>
                    <w:t>涂装工艺</w:t>
                  </w:r>
                </w:p>
              </w:tc>
              <w:tc>
                <w:tcPr>
                  <w:tcW w:w="2598" w:type="pct"/>
                  <w:vAlign w:val="center"/>
                </w:tcPr>
                <w:p w14:paraId="5F5DBA78">
                  <w:pPr>
                    <w:rPr>
                      <w:color w:val="auto"/>
                      <w:szCs w:val="21"/>
                    </w:rPr>
                  </w:pPr>
                  <w:r>
                    <w:rPr>
                      <w:color w:val="auto"/>
                      <w:spacing w:val="7"/>
                      <w:szCs w:val="21"/>
                    </w:rPr>
                    <w:t>工程机械制造要提高室内涂装比例，鼓励采用自动喷涂、静电喷涂等技术。</w:t>
                  </w:r>
                </w:p>
              </w:tc>
              <w:tc>
                <w:tcPr>
                  <w:tcW w:w="1580" w:type="pct"/>
                  <w:vAlign w:val="center"/>
                </w:tcPr>
                <w:p w14:paraId="29C76DF4">
                  <w:pPr>
                    <w:rPr>
                      <w:color w:val="auto"/>
                      <w:spacing w:val="4"/>
                      <w:position w:val="2"/>
                      <w:szCs w:val="21"/>
                    </w:rPr>
                  </w:pPr>
                  <w:r>
                    <w:rPr>
                      <w:color w:val="auto"/>
                      <w:spacing w:val="4"/>
                      <w:position w:val="2"/>
                      <w:szCs w:val="21"/>
                    </w:rPr>
                    <w:t>项目均采用室内涂装，粉末涂料喷涂均采用静电喷涂技术</w:t>
                  </w:r>
                  <w:r>
                    <w:rPr>
                      <w:rFonts w:hint="eastAsia"/>
                      <w:color w:val="auto"/>
                      <w:spacing w:val="4"/>
                      <w:position w:val="2"/>
                      <w:szCs w:val="21"/>
                    </w:rPr>
                    <w:t>，水性</w:t>
                  </w:r>
                  <w:r>
                    <w:rPr>
                      <w:rFonts w:hint="eastAsia"/>
                      <w:color w:val="auto"/>
                      <w:spacing w:val="7"/>
                      <w:szCs w:val="21"/>
                    </w:rPr>
                    <w:t>底漆、水性面漆、水性清漆等涂料喷涂采用自动喷涂和静电喷涂</w:t>
                  </w:r>
                  <w:r>
                    <w:rPr>
                      <w:color w:val="auto"/>
                      <w:spacing w:val="6"/>
                      <w:szCs w:val="21"/>
                    </w:rPr>
                    <w:t>。</w:t>
                  </w:r>
                </w:p>
              </w:tc>
            </w:tr>
            <w:tr w14:paraId="490EB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2B80B284">
                  <w:pPr>
                    <w:jc w:val="center"/>
                    <w:rPr>
                      <w:color w:val="auto"/>
                      <w:szCs w:val="21"/>
                    </w:rPr>
                  </w:pPr>
                  <w:r>
                    <w:rPr>
                      <w:color w:val="auto"/>
                      <w:spacing w:val="-1"/>
                      <w:szCs w:val="21"/>
                    </w:rPr>
                    <w:t>64</w:t>
                  </w:r>
                </w:p>
              </w:tc>
              <w:tc>
                <w:tcPr>
                  <w:tcW w:w="577" w:type="pct"/>
                  <w:vAlign w:val="center"/>
                </w:tcPr>
                <w:p w14:paraId="034D3A6A">
                  <w:pPr>
                    <w:jc w:val="center"/>
                    <w:rPr>
                      <w:color w:val="auto"/>
                      <w:szCs w:val="21"/>
                    </w:rPr>
                  </w:pPr>
                  <w:r>
                    <w:rPr>
                      <w:color w:val="auto"/>
                      <w:spacing w:val="5"/>
                      <w:szCs w:val="21"/>
                    </w:rPr>
                    <w:t>工艺过程</w:t>
                  </w:r>
                </w:p>
              </w:tc>
              <w:tc>
                <w:tcPr>
                  <w:tcW w:w="2598" w:type="pct"/>
                  <w:vAlign w:val="center"/>
                </w:tcPr>
                <w:p w14:paraId="44C69A6C">
                  <w:pPr>
                    <w:rPr>
                      <w:color w:val="auto"/>
                      <w:szCs w:val="21"/>
                    </w:rPr>
                  </w:pPr>
                  <w:r>
                    <w:rPr>
                      <w:color w:val="auto"/>
                      <w:spacing w:val="4"/>
                      <w:szCs w:val="21"/>
                    </w:rPr>
                    <w:t>调配、电泳、电泳烘干、喷涂（低、中、面、清）、喷涂烘干、修补漆、修补漆烘干等使用VOCs 质量占比大于等于10%物料的工艺过程应采用密闭设备或在密闭空间内操作，废气应排至VOCs 废气收集处理系统；无法密闭的，应采取局部气体收集措施，废气排至VOCs 废气收集处理系统。</w:t>
                  </w:r>
                </w:p>
              </w:tc>
              <w:tc>
                <w:tcPr>
                  <w:tcW w:w="1580" w:type="pct"/>
                  <w:vAlign w:val="center"/>
                </w:tcPr>
                <w:p w14:paraId="121EF7A2">
                  <w:pPr>
                    <w:rPr>
                      <w:color w:val="auto"/>
                      <w:spacing w:val="4"/>
                      <w:position w:val="2"/>
                      <w:szCs w:val="21"/>
                    </w:rPr>
                  </w:pPr>
                  <w:r>
                    <w:rPr>
                      <w:color w:val="auto"/>
                      <w:spacing w:val="4"/>
                      <w:szCs w:val="21"/>
                    </w:rPr>
                    <w:t>项目使用</w:t>
                  </w:r>
                  <w:r>
                    <w:rPr>
                      <w:rFonts w:hint="eastAsia"/>
                      <w:color w:val="auto"/>
                      <w:spacing w:val="4"/>
                      <w:szCs w:val="21"/>
                    </w:rPr>
                    <w:t>喷涂（底漆、面漆、清漆）、喷粉</w:t>
                  </w:r>
                  <w:r>
                    <w:rPr>
                      <w:color w:val="auto"/>
                      <w:spacing w:val="4"/>
                      <w:szCs w:val="21"/>
                    </w:rPr>
                    <w:t>过程</w:t>
                  </w:r>
                  <w:r>
                    <w:rPr>
                      <w:rFonts w:hint="eastAsia"/>
                      <w:color w:val="auto"/>
                      <w:spacing w:val="4"/>
                      <w:szCs w:val="21"/>
                    </w:rPr>
                    <w:t>和烘烤、固化过程</w:t>
                  </w:r>
                  <w:r>
                    <w:rPr>
                      <w:color w:val="auto"/>
                      <w:spacing w:val="4"/>
                      <w:szCs w:val="21"/>
                    </w:rPr>
                    <w:t>均进行废气收集，</w:t>
                  </w:r>
                  <w:r>
                    <w:rPr>
                      <w:rFonts w:hint="eastAsia"/>
                      <w:color w:val="auto"/>
                      <w:spacing w:val="8"/>
                      <w:szCs w:val="21"/>
                    </w:rPr>
                    <w:t>作业过程在密闭空间操作</w:t>
                  </w:r>
                  <w:r>
                    <w:rPr>
                      <w:color w:val="auto"/>
                      <w:spacing w:val="8"/>
                      <w:szCs w:val="21"/>
                    </w:rPr>
                    <w:t>；有机</w:t>
                  </w:r>
                  <w:r>
                    <w:rPr>
                      <w:color w:val="auto"/>
                      <w:spacing w:val="4"/>
                      <w:szCs w:val="21"/>
                    </w:rPr>
                    <w:t>废气均排至废气收集处理系统，</w:t>
                  </w:r>
                  <w:r>
                    <w:rPr>
                      <w:color w:val="auto"/>
                      <w:spacing w:val="8"/>
                      <w:szCs w:val="21"/>
                    </w:rPr>
                    <w:t>处理达标后高空排放</w:t>
                  </w:r>
                  <w:r>
                    <w:rPr>
                      <w:color w:val="auto"/>
                      <w:spacing w:val="7"/>
                      <w:szCs w:val="21"/>
                    </w:rPr>
                    <w:t>，</w:t>
                  </w:r>
                  <w:r>
                    <w:rPr>
                      <w:color w:val="auto"/>
                      <w:spacing w:val="6"/>
                      <w:szCs w:val="21"/>
                    </w:rPr>
                    <w:t>符合要求。</w:t>
                  </w:r>
                </w:p>
              </w:tc>
            </w:tr>
            <w:tr w14:paraId="669FB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547D271E">
                  <w:pPr>
                    <w:jc w:val="center"/>
                    <w:rPr>
                      <w:color w:val="auto"/>
                      <w:szCs w:val="21"/>
                    </w:rPr>
                  </w:pPr>
                  <w:r>
                    <w:rPr>
                      <w:color w:val="auto"/>
                      <w:szCs w:val="21"/>
                    </w:rPr>
                    <w:t>70</w:t>
                  </w:r>
                </w:p>
              </w:tc>
              <w:tc>
                <w:tcPr>
                  <w:tcW w:w="577" w:type="pct"/>
                  <w:vMerge w:val="restart"/>
                  <w:vAlign w:val="center"/>
                </w:tcPr>
                <w:p w14:paraId="60528E13">
                  <w:pPr>
                    <w:jc w:val="center"/>
                    <w:rPr>
                      <w:color w:val="auto"/>
                      <w:szCs w:val="21"/>
                    </w:rPr>
                  </w:pPr>
                  <w:r>
                    <w:rPr>
                      <w:color w:val="auto"/>
                      <w:spacing w:val="8"/>
                      <w:szCs w:val="21"/>
                    </w:rPr>
                    <w:t>废气收集</w:t>
                  </w:r>
                </w:p>
              </w:tc>
              <w:tc>
                <w:tcPr>
                  <w:tcW w:w="2598" w:type="pct"/>
                  <w:vAlign w:val="center"/>
                </w:tcPr>
                <w:p w14:paraId="5A21697C">
                  <w:pPr>
                    <w:rPr>
                      <w:color w:val="auto"/>
                      <w:szCs w:val="21"/>
                    </w:rPr>
                  </w:pPr>
                  <w:r>
                    <w:rPr>
                      <w:color w:val="auto"/>
                      <w:spacing w:val="8"/>
                      <w:szCs w:val="21"/>
                    </w:rPr>
                    <w:t>废气收集系统的输送管道应密闭。废气收集系统应在负压下运行，若处于正压状态，应对管</w:t>
                  </w:r>
                  <w:r>
                    <w:rPr>
                      <w:color w:val="auto"/>
                      <w:spacing w:val="7"/>
                      <w:szCs w:val="21"/>
                    </w:rPr>
                    <w:t>道组件的密封点进行泄漏检测，泄漏检测值不应超过500μmol/mol，亦不应有感官可察觉泄</w:t>
                  </w:r>
                  <w:r>
                    <w:rPr>
                      <w:color w:val="auto"/>
                      <w:spacing w:val="-2"/>
                      <w:szCs w:val="21"/>
                    </w:rPr>
                    <w:t>漏。</w:t>
                  </w:r>
                </w:p>
              </w:tc>
              <w:tc>
                <w:tcPr>
                  <w:tcW w:w="1580" w:type="pct"/>
                  <w:vAlign w:val="center"/>
                </w:tcPr>
                <w:p w14:paraId="4ED89A2E">
                  <w:pPr>
                    <w:widowControl/>
                    <w:rPr>
                      <w:color w:val="auto"/>
                      <w:spacing w:val="4"/>
                      <w:position w:val="2"/>
                      <w:szCs w:val="21"/>
                    </w:rPr>
                  </w:pPr>
                  <w:r>
                    <w:rPr>
                      <w:color w:val="auto"/>
                      <w:spacing w:val="8"/>
                      <w:szCs w:val="21"/>
                    </w:rPr>
                    <w:t>废气收集系统的输送管道已密闭。</w:t>
                  </w:r>
                </w:p>
              </w:tc>
            </w:tr>
            <w:tr w14:paraId="72DFF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1786FFEC">
                  <w:pPr>
                    <w:jc w:val="center"/>
                    <w:rPr>
                      <w:color w:val="auto"/>
                      <w:szCs w:val="21"/>
                    </w:rPr>
                  </w:pPr>
                  <w:r>
                    <w:rPr>
                      <w:color w:val="auto"/>
                      <w:szCs w:val="21"/>
                    </w:rPr>
                    <w:t>71</w:t>
                  </w:r>
                </w:p>
              </w:tc>
              <w:tc>
                <w:tcPr>
                  <w:tcW w:w="577" w:type="pct"/>
                  <w:vMerge w:val="continue"/>
                  <w:vAlign w:val="center"/>
                </w:tcPr>
                <w:p w14:paraId="3114C811">
                  <w:pPr>
                    <w:jc w:val="center"/>
                    <w:rPr>
                      <w:color w:val="auto"/>
                      <w:spacing w:val="9"/>
                      <w:szCs w:val="21"/>
                    </w:rPr>
                  </w:pPr>
                </w:p>
              </w:tc>
              <w:tc>
                <w:tcPr>
                  <w:tcW w:w="2598" w:type="pct"/>
                  <w:vAlign w:val="center"/>
                </w:tcPr>
                <w:p w14:paraId="054C0B06">
                  <w:pPr>
                    <w:rPr>
                      <w:color w:val="auto"/>
                      <w:szCs w:val="21"/>
                    </w:rPr>
                  </w:pPr>
                  <w:r>
                    <w:rPr>
                      <w:color w:val="auto"/>
                      <w:spacing w:val="8"/>
                      <w:szCs w:val="21"/>
                    </w:rPr>
                    <w:t>采用外部集气罩的，距集气罩开口面最远处的VOCs无组织排放位置，控制风速不低于</w:t>
                  </w:r>
                  <w:r>
                    <w:rPr>
                      <w:color w:val="auto"/>
                      <w:spacing w:val="6"/>
                      <w:szCs w:val="21"/>
                    </w:rPr>
                    <w:t>0.3m/s，有行业要求的按相关规定执行。</w:t>
                  </w:r>
                </w:p>
              </w:tc>
              <w:tc>
                <w:tcPr>
                  <w:tcW w:w="1580" w:type="pct"/>
                  <w:vAlign w:val="center"/>
                </w:tcPr>
                <w:p w14:paraId="514F864C">
                  <w:pPr>
                    <w:widowControl/>
                    <w:rPr>
                      <w:color w:val="auto"/>
                      <w:spacing w:val="4"/>
                      <w:position w:val="2"/>
                      <w:szCs w:val="21"/>
                    </w:rPr>
                  </w:pPr>
                  <w:r>
                    <w:rPr>
                      <w:color w:val="auto"/>
                      <w:spacing w:val="8"/>
                      <w:szCs w:val="21"/>
                    </w:rPr>
                    <w:t>采用外部集气罩的，距集气罩开口面最远处的VOCs无组织排放位置，控制风速不低于</w:t>
                  </w:r>
                  <w:r>
                    <w:rPr>
                      <w:color w:val="auto"/>
                      <w:spacing w:val="6"/>
                      <w:szCs w:val="21"/>
                    </w:rPr>
                    <w:t>0.3m/s，有行业要求的按相关规定执行。</w:t>
                  </w:r>
                </w:p>
              </w:tc>
            </w:tr>
            <w:tr w14:paraId="2D0D8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14FC1992">
                  <w:pPr>
                    <w:jc w:val="center"/>
                    <w:rPr>
                      <w:color w:val="auto"/>
                      <w:szCs w:val="21"/>
                    </w:rPr>
                  </w:pPr>
                  <w:r>
                    <w:rPr>
                      <w:color w:val="auto"/>
                      <w:szCs w:val="21"/>
                    </w:rPr>
                    <w:t>72</w:t>
                  </w:r>
                </w:p>
              </w:tc>
              <w:tc>
                <w:tcPr>
                  <w:tcW w:w="577" w:type="pct"/>
                  <w:vMerge w:val="continue"/>
                  <w:vAlign w:val="center"/>
                </w:tcPr>
                <w:p w14:paraId="266DB535">
                  <w:pPr>
                    <w:jc w:val="center"/>
                    <w:rPr>
                      <w:color w:val="auto"/>
                      <w:spacing w:val="9"/>
                      <w:szCs w:val="21"/>
                    </w:rPr>
                  </w:pPr>
                </w:p>
              </w:tc>
              <w:tc>
                <w:tcPr>
                  <w:tcW w:w="2598" w:type="pct"/>
                  <w:vAlign w:val="center"/>
                </w:tcPr>
                <w:p w14:paraId="59CD6A73">
                  <w:pPr>
                    <w:rPr>
                      <w:color w:val="auto"/>
                      <w:szCs w:val="21"/>
                    </w:rPr>
                  </w:pPr>
                  <w:r>
                    <w:rPr>
                      <w:color w:val="auto"/>
                      <w:spacing w:val="8"/>
                      <w:szCs w:val="21"/>
                    </w:rPr>
                    <w:t>废气收集系统应与生产工艺设备同步运行。废气处理系统发生故障或检修时，对应的生产工</w:t>
                  </w:r>
                  <w:r>
                    <w:rPr>
                      <w:color w:val="auto"/>
                      <w:spacing w:val="4"/>
                      <w:szCs w:val="21"/>
                    </w:rPr>
                    <w:t>艺设备应停止运行，待检修完毕后同步投入使用；生产工艺设备不能停止运行或不能及时停</w:t>
                  </w:r>
                  <w:r>
                    <w:rPr>
                      <w:color w:val="auto"/>
                      <w:spacing w:val="9"/>
                      <w:szCs w:val="21"/>
                    </w:rPr>
                    <w:t>止运行的，应设置废气应急处理设施或采取其他代替措施。</w:t>
                  </w:r>
                </w:p>
              </w:tc>
              <w:tc>
                <w:tcPr>
                  <w:tcW w:w="1580" w:type="pct"/>
                  <w:vAlign w:val="center"/>
                </w:tcPr>
                <w:p w14:paraId="3879A075">
                  <w:pPr>
                    <w:widowControl/>
                    <w:rPr>
                      <w:color w:val="auto"/>
                      <w:spacing w:val="4"/>
                      <w:position w:val="2"/>
                      <w:szCs w:val="21"/>
                    </w:rPr>
                  </w:pPr>
                  <w:r>
                    <w:rPr>
                      <w:color w:val="auto"/>
                      <w:spacing w:val="8"/>
                      <w:szCs w:val="21"/>
                    </w:rPr>
                    <w:t>废气处理系统发生故障或检修时，对应的生产工</w:t>
                  </w:r>
                  <w:r>
                    <w:rPr>
                      <w:color w:val="auto"/>
                      <w:spacing w:val="4"/>
                      <w:szCs w:val="21"/>
                    </w:rPr>
                    <w:t>艺设备停止运行，待检修完毕后再运行；生产工艺设备不能停止运行或不能及时停</w:t>
                  </w:r>
                  <w:r>
                    <w:rPr>
                      <w:color w:val="auto"/>
                      <w:spacing w:val="9"/>
                      <w:szCs w:val="21"/>
                    </w:rPr>
                    <w:t>止运行的，设置废气应急处理设施或采取其他代替措施。</w:t>
                  </w:r>
                </w:p>
              </w:tc>
            </w:tr>
            <w:tr w14:paraId="40169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7B930D06">
                  <w:pPr>
                    <w:jc w:val="center"/>
                    <w:rPr>
                      <w:color w:val="auto"/>
                      <w:szCs w:val="21"/>
                    </w:rPr>
                  </w:pPr>
                  <w:r>
                    <w:rPr>
                      <w:color w:val="auto"/>
                      <w:szCs w:val="21"/>
                    </w:rPr>
                    <w:t>73</w:t>
                  </w:r>
                </w:p>
              </w:tc>
              <w:tc>
                <w:tcPr>
                  <w:tcW w:w="577" w:type="pct"/>
                  <w:vAlign w:val="center"/>
                </w:tcPr>
                <w:p w14:paraId="5367999D">
                  <w:pPr>
                    <w:jc w:val="center"/>
                    <w:rPr>
                      <w:color w:val="auto"/>
                      <w:szCs w:val="21"/>
                    </w:rPr>
                  </w:pPr>
                  <w:r>
                    <w:rPr>
                      <w:color w:val="auto"/>
                      <w:spacing w:val="6"/>
                      <w:szCs w:val="21"/>
                    </w:rPr>
                    <w:t>非正常排放</w:t>
                  </w:r>
                </w:p>
              </w:tc>
              <w:tc>
                <w:tcPr>
                  <w:tcW w:w="2598" w:type="pct"/>
                  <w:vAlign w:val="center"/>
                </w:tcPr>
                <w:p w14:paraId="487CEE62">
                  <w:pPr>
                    <w:rPr>
                      <w:color w:val="auto"/>
                      <w:szCs w:val="21"/>
                    </w:rPr>
                  </w:pPr>
                  <w:r>
                    <w:rPr>
                      <w:color w:val="auto"/>
                      <w:spacing w:val="5"/>
                      <w:szCs w:val="21"/>
                    </w:rPr>
                    <w:t>载有VOCs物料的设备及其管道在开停工（车）、检维修和清洗时，应在退料阶段将残存物</w:t>
                  </w:r>
                  <w:r>
                    <w:rPr>
                      <w:color w:val="auto"/>
                      <w:spacing w:val="3"/>
                      <w:szCs w:val="21"/>
                    </w:rPr>
                    <w:t>料退净，并用密闭容器盛装，退料过程废气应排至VOCs废气收集处理系统；清洗及吹扫过</w:t>
                  </w:r>
                  <w:r>
                    <w:rPr>
                      <w:color w:val="auto"/>
                      <w:spacing w:val="8"/>
                      <w:szCs w:val="21"/>
                    </w:rPr>
                    <w:t>程排气应排至VOCs废气收集处理系统。</w:t>
                  </w:r>
                </w:p>
              </w:tc>
              <w:tc>
                <w:tcPr>
                  <w:tcW w:w="1580" w:type="pct"/>
                  <w:vAlign w:val="center"/>
                </w:tcPr>
                <w:p w14:paraId="7BD1F0FA">
                  <w:pPr>
                    <w:widowControl/>
                    <w:rPr>
                      <w:color w:val="auto"/>
                      <w:spacing w:val="4"/>
                      <w:position w:val="2"/>
                      <w:szCs w:val="21"/>
                    </w:rPr>
                  </w:pPr>
                  <w:r>
                    <w:rPr>
                      <w:color w:val="auto"/>
                      <w:spacing w:val="5"/>
                      <w:szCs w:val="21"/>
                    </w:rPr>
                    <w:t>载有VOCs物料的设备及其管道在开停工（车）、检维修和清洗时，将残存物</w:t>
                  </w:r>
                  <w:r>
                    <w:rPr>
                      <w:color w:val="auto"/>
                      <w:spacing w:val="3"/>
                      <w:szCs w:val="21"/>
                    </w:rPr>
                    <w:t>料退净，并用密闭容器盛装，退料过程废气排至VOCs废气收集处理系统；清洗及吹扫过</w:t>
                  </w:r>
                  <w:r>
                    <w:rPr>
                      <w:color w:val="auto"/>
                      <w:spacing w:val="8"/>
                      <w:szCs w:val="21"/>
                    </w:rPr>
                    <w:t>程排气排至VOCs废气收集处理系统。</w:t>
                  </w:r>
                </w:p>
              </w:tc>
            </w:tr>
            <w:tr w14:paraId="2A74E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pct"/>
                  <w:gridSpan w:val="4"/>
                  <w:vAlign w:val="center"/>
                </w:tcPr>
                <w:p w14:paraId="3E85B4C6">
                  <w:pPr>
                    <w:jc w:val="center"/>
                    <w:rPr>
                      <w:color w:val="auto"/>
                      <w:spacing w:val="4"/>
                      <w:position w:val="2"/>
                      <w:szCs w:val="21"/>
                    </w:rPr>
                  </w:pPr>
                  <w:r>
                    <w:rPr>
                      <w:b/>
                      <w:bCs/>
                      <w:color w:val="auto"/>
                      <w:spacing w:val="4"/>
                      <w:position w:val="2"/>
                      <w:szCs w:val="21"/>
                    </w:rPr>
                    <w:t>末端治理</w:t>
                  </w:r>
                </w:p>
              </w:tc>
            </w:tr>
            <w:tr w14:paraId="16FB2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62305CA0">
                  <w:pPr>
                    <w:jc w:val="center"/>
                    <w:rPr>
                      <w:color w:val="auto"/>
                      <w:szCs w:val="21"/>
                    </w:rPr>
                  </w:pPr>
                  <w:r>
                    <w:rPr>
                      <w:color w:val="auto"/>
                      <w:szCs w:val="21"/>
                    </w:rPr>
                    <w:t>76</w:t>
                  </w:r>
                </w:p>
              </w:tc>
              <w:tc>
                <w:tcPr>
                  <w:tcW w:w="577" w:type="pct"/>
                  <w:vAlign w:val="center"/>
                </w:tcPr>
                <w:p w14:paraId="745E4BE0">
                  <w:pPr>
                    <w:jc w:val="center"/>
                    <w:rPr>
                      <w:color w:val="auto"/>
                      <w:szCs w:val="21"/>
                    </w:rPr>
                  </w:pPr>
                  <w:r>
                    <w:rPr>
                      <w:color w:val="auto"/>
                      <w:spacing w:val="8"/>
                      <w:szCs w:val="21"/>
                    </w:rPr>
                    <w:t>排放水平</w:t>
                  </w:r>
                </w:p>
              </w:tc>
              <w:tc>
                <w:tcPr>
                  <w:tcW w:w="2598" w:type="pct"/>
                  <w:vAlign w:val="center"/>
                </w:tcPr>
                <w:p w14:paraId="6091C3D6">
                  <w:pPr>
                    <w:rPr>
                      <w:color w:val="auto"/>
                      <w:szCs w:val="21"/>
                    </w:rPr>
                  </w:pPr>
                  <w:r>
                    <w:rPr>
                      <w:color w:val="auto"/>
                      <w:spacing w:val="-3"/>
                      <w:szCs w:val="21"/>
                    </w:rPr>
                    <w:t>其他表面涂装行业：a）2002年1月1日前的建设项目排放的工艺有机废气排放浓度执行《大</w:t>
                  </w:r>
                  <w:r>
                    <w:rPr>
                      <w:color w:val="auto"/>
                      <w:spacing w:val="-2"/>
                      <w:szCs w:val="21"/>
                    </w:rPr>
                    <w:t>气污染物排放限值》（DB4427-2001）第一时段限值；2002年1月1日起的建设项目排放的</w:t>
                  </w:r>
                  <w:r>
                    <w:rPr>
                      <w:color w:val="auto"/>
                      <w:spacing w:val="1"/>
                      <w:szCs w:val="21"/>
                    </w:rPr>
                    <w:t>有机废气排放浓度执行《大气污染物排放限值》（DB4427-2001）第二时段限值；车间或生</w:t>
                  </w:r>
                  <w:r>
                    <w:rPr>
                      <w:color w:val="auto"/>
                      <w:spacing w:val="7"/>
                      <w:szCs w:val="21"/>
                    </w:rPr>
                    <w:t>产设施排气中NMHC初始排放速率≥3kg/h时，建设VOCs处理设施且处理效率≥80%；b）</w:t>
                  </w:r>
                  <w:r>
                    <w:rPr>
                      <w:color w:val="auto"/>
                      <w:spacing w:val="6"/>
                      <w:szCs w:val="21"/>
                    </w:rPr>
                    <w:t>厂区内无组织排放监控点NMHC的小时平均浓度值不超过6mg/m</w:t>
                  </w:r>
                  <w:r>
                    <w:rPr>
                      <w:color w:val="auto"/>
                      <w:spacing w:val="3"/>
                      <w:szCs w:val="21"/>
                      <w:vertAlign w:val="superscript"/>
                    </w:rPr>
                    <w:t>3</w:t>
                  </w:r>
                  <w:r>
                    <w:rPr>
                      <w:color w:val="auto"/>
                      <w:spacing w:val="6"/>
                      <w:szCs w:val="21"/>
                    </w:rPr>
                    <w:t>，任意一次浓度值不超过</w:t>
                  </w:r>
                  <w:r>
                    <w:rPr>
                      <w:color w:val="auto"/>
                      <w:spacing w:val="3"/>
                      <w:szCs w:val="21"/>
                    </w:rPr>
                    <w:t>20mg/m</w:t>
                  </w:r>
                  <w:r>
                    <w:rPr>
                      <w:color w:val="auto"/>
                      <w:spacing w:val="3"/>
                      <w:szCs w:val="21"/>
                      <w:vertAlign w:val="superscript"/>
                    </w:rPr>
                    <w:t>3</w:t>
                  </w:r>
                  <w:r>
                    <w:rPr>
                      <w:color w:val="auto"/>
                      <w:spacing w:val="3"/>
                      <w:szCs w:val="21"/>
                    </w:rPr>
                    <w:t>。</w:t>
                  </w:r>
                </w:p>
              </w:tc>
              <w:tc>
                <w:tcPr>
                  <w:tcW w:w="1580" w:type="pct"/>
                  <w:vAlign w:val="center"/>
                </w:tcPr>
                <w:p w14:paraId="5312E57F">
                  <w:pPr>
                    <w:jc w:val="center"/>
                    <w:rPr>
                      <w:color w:val="auto"/>
                      <w:spacing w:val="6"/>
                      <w:szCs w:val="21"/>
                    </w:rPr>
                  </w:pPr>
                  <w:r>
                    <w:rPr>
                      <w:color w:val="auto"/>
                      <w:spacing w:val="6"/>
                      <w:szCs w:val="21"/>
                    </w:rPr>
                    <w:t>本项目</w:t>
                  </w:r>
                  <w:r>
                    <w:rPr>
                      <w:rFonts w:hint="eastAsia"/>
                      <w:color w:val="auto"/>
                      <w:spacing w:val="6"/>
                      <w:szCs w:val="21"/>
                    </w:rPr>
                    <w:t>喷漆、</w:t>
                  </w:r>
                  <w:r>
                    <w:rPr>
                      <w:color w:val="auto"/>
                      <w:spacing w:val="6"/>
                      <w:szCs w:val="21"/>
                    </w:rPr>
                    <w:t>喷粉</w:t>
                  </w:r>
                  <w:r>
                    <w:rPr>
                      <w:rFonts w:hint="eastAsia"/>
                      <w:color w:val="auto"/>
                      <w:spacing w:val="6"/>
                      <w:szCs w:val="21"/>
                    </w:rPr>
                    <w:t>及烘烤、固化过程</w:t>
                  </w:r>
                  <w:r>
                    <w:rPr>
                      <w:color w:val="auto"/>
                      <w:spacing w:val="6"/>
                      <w:szCs w:val="21"/>
                    </w:rPr>
                    <w:t>产生的VOCs均小于</w:t>
                  </w:r>
                  <w:r>
                    <w:rPr>
                      <w:rFonts w:hint="eastAsia"/>
                      <w:color w:val="auto"/>
                      <w:spacing w:val="6"/>
                      <w:szCs w:val="21"/>
                    </w:rPr>
                    <w:t>3</w:t>
                  </w:r>
                  <w:r>
                    <w:rPr>
                      <w:color w:val="auto"/>
                      <w:spacing w:val="6"/>
                      <w:szCs w:val="21"/>
                    </w:rPr>
                    <w:t>kg/h，经处理后满足广东省《固定污染源挥发性有机物综合排放标准》（DB44/2367-2022）中表1挥发性有机物排放限值。</w:t>
                  </w:r>
                </w:p>
              </w:tc>
            </w:tr>
            <w:tr w14:paraId="65F2C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3B8F15E9">
                  <w:pPr>
                    <w:jc w:val="center"/>
                    <w:rPr>
                      <w:color w:val="auto"/>
                      <w:szCs w:val="21"/>
                    </w:rPr>
                  </w:pPr>
                  <w:r>
                    <w:rPr>
                      <w:color w:val="auto"/>
                      <w:szCs w:val="21"/>
                    </w:rPr>
                    <w:t>77</w:t>
                  </w:r>
                </w:p>
              </w:tc>
              <w:tc>
                <w:tcPr>
                  <w:tcW w:w="577" w:type="pct"/>
                  <w:vAlign w:val="center"/>
                </w:tcPr>
                <w:p w14:paraId="7B486EFF">
                  <w:pPr>
                    <w:jc w:val="center"/>
                    <w:rPr>
                      <w:color w:val="auto"/>
                      <w:szCs w:val="21"/>
                    </w:rPr>
                  </w:pPr>
                  <w:r>
                    <w:rPr>
                      <w:color w:val="auto"/>
                      <w:spacing w:val="6"/>
                      <w:szCs w:val="21"/>
                    </w:rPr>
                    <w:t>治理技术</w:t>
                  </w:r>
                </w:p>
              </w:tc>
              <w:tc>
                <w:tcPr>
                  <w:tcW w:w="2598" w:type="pct"/>
                  <w:vAlign w:val="center"/>
                </w:tcPr>
                <w:p w14:paraId="24D7274C">
                  <w:pPr>
                    <w:rPr>
                      <w:color w:val="auto"/>
                      <w:szCs w:val="21"/>
                    </w:rPr>
                  </w:pPr>
                  <w:r>
                    <w:rPr>
                      <w:color w:val="auto"/>
                      <w:spacing w:val="8"/>
                      <w:szCs w:val="21"/>
                    </w:rPr>
                    <w:t>喷涂废气应设置有效的漆雾预处理装置，如采用干式过滤等高效除漆雾技术，涂密封胶、密封胶烘干、电泳平流、调配、喷涂和烘干工序废气宜采用吸附浓缩+燃烧等工艺进行处理。</w:t>
                  </w:r>
                </w:p>
              </w:tc>
              <w:tc>
                <w:tcPr>
                  <w:tcW w:w="1580" w:type="pct"/>
                  <w:vAlign w:val="center"/>
                </w:tcPr>
                <w:p w14:paraId="6D0B4F6C">
                  <w:pPr>
                    <w:rPr>
                      <w:color w:val="auto"/>
                      <w:spacing w:val="6"/>
                      <w:szCs w:val="21"/>
                    </w:rPr>
                  </w:pPr>
                  <w:r>
                    <w:rPr>
                      <w:color w:val="auto"/>
                      <w:spacing w:val="8"/>
                      <w:szCs w:val="21"/>
                    </w:rPr>
                    <w:t>本项目</w:t>
                  </w:r>
                  <w:r>
                    <w:rPr>
                      <w:rFonts w:hint="eastAsia"/>
                      <w:color w:val="auto"/>
                      <w:spacing w:val="4"/>
                      <w:szCs w:val="21"/>
                    </w:rPr>
                    <w:t>喷涂（底漆、面漆、清漆）、喷粉</w:t>
                  </w:r>
                  <w:r>
                    <w:rPr>
                      <w:color w:val="auto"/>
                      <w:spacing w:val="4"/>
                      <w:szCs w:val="21"/>
                    </w:rPr>
                    <w:t>过程</w:t>
                  </w:r>
                  <w:r>
                    <w:rPr>
                      <w:rFonts w:hint="eastAsia"/>
                      <w:color w:val="auto"/>
                      <w:spacing w:val="4"/>
                      <w:szCs w:val="21"/>
                    </w:rPr>
                    <w:t>和烘烤、固化过程</w:t>
                  </w:r>
                  <w:r>
                    <w:rPr>
                      <w:color w:val="auto"/>
                      <w:spacing w:val="4"/>
                      <w:szCs w:val="21"/>
                    </w:rPr>
                    <w:t>均进行废气收集，</w:t>
                  </w:r>
                  <w:r>
                    <w:rPr>
                      <w:rFonts w:hint="eastAsia"/>
                      <w:color w:val="auto"/>
                      <w:spacing w:val="8"/>
                      <w:szCs w:val="21"/>
                    </w:rPr>
                    <w:t>作业过程在密闭空间操作，产生的</w:t>
                  </w:r>
                  <w:r>
                    <w:rPr>
                      <w:color w:val="auto"/>
                      <w:spacing w:val="8"/>
                      <w:szCs w:val="21"/>
                    </w:rPr>
                    <w:t>有机废气经“</w:t>
                  </w:r>
                  <w:r>
                    <w:rPr>
                      <w:rFonts w:hint="eastAsia"/>
                      <w:color w:val="auto"/>
                      <w:spacing w:val="8"/>
                      <w:szCs w:val="21"/>
                    </w:rPr>
                    <w:t>水帘柜+喷淋塔+除湿装置+二级活性炭吸附装置</w:t>
                  </w:r>
                  <w:r>
                    <w:rPr>
                      <w:color w:val="auto"/>
                      <w:spacing w:val="8"/>
                      <w:szCs w:val="21"/>
                    </w:rPr>
                    <w:t>”处理后排放。</w:t>
                  </w:r>
                </w:p>
              </w:tc>
            </w:tr>
            <w:tr w14:paraId="6979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2CD54EB0">
                  <w:pPr>
                    <w:jc w:val="center"/>
                    <w:rPr>
                      <w:color w:val="auto"/>
                      <w:szCs w:val="21"/>
                    </w:rPr>
                  </w:pPr>
                  <w:r>
                    <w:rPr>
                      <w:color w:val="auto"/>
                      <w:spacing w:val="-3"/>
                      <w:szCs w:val="21"/>
                    </w:rPr>
                    <w:t>80</w:t>
                  </w:r>
                </w:p>
              </w:tc>
              <w:tc>
                <w:tcPr>
                  <w:tcW w:w="577" w:type="pct"/>
                  <w:vMerge w:val="restart"/>
                  <w:vAlign w:val="center"/>
                </w:tcPr>
                <w:p w14:paraId="0E387A20">
                  <w:pPr>
                    <w:jc w:val="center"/>
                    <w:rPr>
                      <w:color w:val="auto"/>
                      <w:szCs w:val="21"/>
                    </w:rPr>
                  </w:pPr>
                  <w:r>
                    <w:rPr>
                      <w:color w:val="auto"/>
                      <w:spacing w:val="7"/>
                      <w:szCs w:val="21"/>
                    </w:rPr>
                    <w:t>治理设施设计与</w:t>
                  </w:r>
                  <w:r>
                    <w:rPr>
                      <w:color w:val="auto"/>
                      <w:spacing w:val="10"/>
                      <w:szCs w:val="21"/>
                    </w:rPr>
                    <w:t>运行管理</w:t>
                  </w:r>
                </w:p>
              </w:tc>
              <w:tc>
                <w:tcPr>
                  <w:tcW w:w="2598" w:type="pct"/>
                  <w:vAlign w:val="center"/>
                </w:tcPr>
                <w:p w14:paraId="27B1DC57">
                  <w:pPr>
                    <w:rPr>
                      <w:color w:val="auto"/>
                      <w:szCs w:val="21"/>
                    </w:rPr>
                  </w:pPr>
                  <w:r>
                    <w:rPr>
                      <w:color w:val="auto"/>
                      <w:spacing w:val="8"/>
                      <w:szCs w:val="21"/>
                    </w:rPr>
                    <w:t>吸附床（含活性炭吸附法</w:t>
                  </w:r>
                  <w:r>
                    <w:rPr>
                      <w:color w:val="auto"/>
                      <w:spacing w:val="-20"/>
                      <w:szCs w:val="21"/>
                    </w:rPr>
                    <w:t>）：</w:t>
                  </w:r>
                  <w:r>
                    <w:rPr>
                      <w:color w:val="auto"/>
                      <w:spacing w:val="8"/>
                      <w:szCs w:val="21"/>
                    </w:rPr>
                    <w:t>a）预处理设备应根据废气的成分、性质和影响吸附过程的物</w:t>
                  </w:r>
                  <w:r>
                    <w:rPr>
                      <w:color w:val="auto"/>
                      <w:spacing w:val="5"/>
                      <w:szCs w:val="21"/>
                    </w:rPr>
                    <w:t>质性质及含量进行选择；b）吸附床层的吸附剂用量应根据废气处理量、污染物浓度和吸附</w:t>
                  </w:r>
                  <w:r>
                    <w:rPr>
                      <w:color w:val="auto"/>
                      <w:szCs w:val="21"/>
                    </w:rPr>
                    <w:t>剂的动态吸附量确定；c）吸附剂应及时更换或有效再生。</w:t>
                  </w:r>
                </w:p>
              </w:tc>
              <w:tc>
                <w:tcPr>
                  <w:tcW w:w="1580" w:type="pct"/>
                  <w:vAlign w:val="center"/>
                </w:tcPr>
                <w:p w14:paraId="6D5ED0B7">
                  <w:pPr>
                    <w:rPr>
                      <w:color w:val="auto"/>
                      <w:spacing w:val="4"/>
                      <w:position w:val="2"/>
                      <w:szCs w:val="21"/>
                    </w:rPr>
                  </w:pPr>
                  <w:r>
                    <w:rPr>
                      <w:color w:val="auto"/>
                      <w:spacing w:val="4"/>
                      <w:position w:val="2"/>
                      <w:szCs w:val="21"/>
                    </w:rPr>
                    <w:t>活性炭的装填量和更换频次均按要求设置。</w:t>
                  </w:r>
                </w:p>
              </w:tc>
            </w:tr>
            <w:tr w14:paraId="33DD8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07279F9A">
                  <w:pPr>
                    <w:jc w:val="center"/>
                    <w:rPr>
                      <w:color w:val="auto"/>
                      <w:szCs w:val="21"/>
                    </w:rPr>
                  </w:pPr>
                  <w:r>
                    <w:rPr>
                      <w:color w:val="auto"/>
                      <w:spacing w:val="-3"/>
                      <w:szCs w:val="21"/>
                    </w:rPr>
                    <w:t>83</w:t>
                  </w:r>
                </w:p>
              </w:tc>
              <w:tc>
                <w:tcPr>
                  <w:tcW w:w="577" w:type="pct"/>
                  <w:vMerge w:val="continue"/>
                  <w:vAlign w:val="center"/>
                </w:tcPr>
                <w:p w14:paraId="16228C26">
                  <w:pPr>
                    <w:jc w:val="center"/>
                    <w:rPr>
                      <w:color w:val="auto"/>
                      <w:szCs w:val="21"/>
                    </w:rPr>
                  </w:pPr>
                </w:p>
              </w:tc>
              <w:tc>
                <w:tcPr>
                  <w:tcW w:w="2598" w:type="pct"/>
                  <w:vAlign w:val="center"/>
                </w:tcPr>
                <w:p w14:paraId="46673FEF">
                  <w:pPr>
                    <w:rPr>
                      <w:color w:val="auto"/>
                      <w:szCs w:val="21"/>
                    </w:rPr>
                  </w:pPr>
                  <w:r>
                    <w:rPr>
                      <w:color w:val="auto"/>
                      <w:spacing w:val="8"/>
                      <w:szCs w:val="21"/>
                    </w:rPr>
                    <w:t>VOCs治理设施应与生产工艺设备同步运行，VOCs治理设施发生故障或检修时，对应的生</w:t>
                  </w:r>
                  <w:r>
                    <w:rPr>
                      <w:color w:val="auto"/>
                      <w:spacing w:val="4"/>
                      <w:szCs w:val="21"/>
                    </w:rPr>
                    <w:t>产工艺设备应停止运行，待检修完毕后同步投入使用；生产工艺设备不能停止运行或不能及</w:t>
                  </w:r>
                  <w:r>
                    <w:rPr>
                      <w:color w:val="auto"/>
                      <w:spacing w:val="9"/>
                      <w:szCs w:val="21"/>
                    </w:rPr>
                    <w:t>时停止运行的，应设置废气应急处理设施或采取其他替代措施。</w:t>
                  </w:r>
                </w:p>
              </w:tc>
              <w:tc>
                <w:tcPr>
                  <w:tcW w:w="1580" w:type="pct"/>
                  <w:vAlign w:val="center"/>
                </w:tcPr>
                <w:p w14:paraId="020C7B29">
                  <w:pPr>
                    <w:widowControl/>
                    <w:rPr>
                      <w:color w:val="auto"/>
                      <w:spacing w:val="4"/>
                      <w:position w:val="2"/>
                      <w:szCs w:val="21"/>
                    </w:rPr>
                  </w:pPr>
                  <w:r>
                    <w:rPr>
                      <w:color w:val="auto"/>
                      <w:spacing w:val="8"/>
                      <w:szCs w:val="21"/>
                    </w:rPr>
                    <w:t>废气处理系统发生故障或检修时，对应的生产工</w:t>
                  </w:r>
                  <w:r>
                    <w:rPr>
                      <w:color w:val="auto"/>
                      <w:spacing w:val="4"/>
                      <w:szCs w:val="21"/>
                    </w:rPr>
                    <w:t>艺设备停止运行，待检修完毕后再运行；生产工艺设备不能停止运行或不能及时停</w:t>
                  </w:r>
                  <w:r>
                    <w:rPr>
                      <w:color w:val="auto"/>
                      <w:spacing w:val="9"/>
                      <w:szCs w:val="21"/>
                    </w:rPr>
                    <w:t>止运行的，设置废气应急处理设施或采取其他代替措施。</w:t>
                  </w:r>
                </w:p>
              </w:tc>
            </w:tr>
            <w:tr w14:paraId="56F7C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542C1E5C">
                  <w:pPr>
                    <w:jc w:val="center"/>
                    <w:rPr>
                      <w:color w:val="auto"/>
                      <w:szCs w:val="21"/>
                    </w:rPr>
                  </w:pPr>
                  <w:r>
                    <w:rPr>
                      <w:color w:val="auto"/>
                      <w:spacing w:val="-3"/>
                      <w:szCs w:val="21"/>
                    </w:rPr>
                    <w:t>84</w:t>
                  </w:r>
                </w:p>
              </w:tc>
              <w:tc>
                <w:tcPr>
                  <w:tcW w:w="577" w:type="pct"/>
                  <w:vMerge w:val="continue"/>
                  <w:vAlign w:val="center"/>
                </w:tcPr>
                <w:p w14:paraId="3B9584D7">
                  <w:pPr>
                    <w:jc w:val="center"/>
                    <w:rPr>
                      <w:color w:val="auto"/>
                      <w:szCs w:val="21"/>
                    </w:rPr>
                  </w:pPr>
                </w:p>
              </w:tc>
              <w:tc>
                <w:tcPr>
                  <w:tcW w:w="2598" w:type="pct"/>
                  <w:vAlign w:val="center"/>
                </w:tcPr>
                <w:p w14:paraId="721608A4">
                  <w:pPr>
                    <w:rPr>
                      <w:color w:val="auto"/>
                      <w:szCs w:val="21"/>
                    </w:rPr>
                  </w:pPr>
                  <w:r>
                    <w:rPr>
                      <w:color w:val="auto"/>
                      <w:spacing w:val="1"/>
                      <w:szCs w:val="21"/>
                    </w:rPr>
                    <w:t>污染治理设施编号可为排污单位内部编号，若无内部编号，则根据《排污单位编码规则》（HJ</w:t>
                  </w:r>
                  <w:r>
                    <w:rPr>
                      <w:color w:val="auto"/>
                      <w:spacing w:val="8"/>
                      <w:szCs w:val="21"/>
                    </w:rPr>
                    <w:t>608）进行编号。有组织排放口编号应填写地方环境保护主管部门现有编号，或根据《排污</w:t>
                  </w:r>
                  <w:r>
                    <w:rPr>
                      <w:color w:val="auto"/>
                      <w:spacing w:val="-1"/>
                      <w:szCs w:val="21"/>
                    </w:rPr>
                    <w:t>单位编码规则》（HJ608）进行编号。</w:t>
                  </w:r>
                </w:p>
              </w:tc>
              <w:tc>
                <w:tcPr>
                  <w:tcW w:w="1580" w:type="pct"/>
                  <w:vAlign w:val="center"/>
                </w:tcPr>
                <w:p w14:paraId="525661EE">
                  <w:pPr>
                    <w:rPr>
                      <w:color w:val="auto"/>
                      <w:spacing w:val="4"/>
                      <w:position w:val="2"/>
                      <w:szCs w:val="21"/>
                    </w:rPr>
                  </w:pPr>
                  <w:r>
                    <w:rPr>
                      <w:color w:val="auto"/>
                      <w:spacing w:val="4"/>
                      <w:position w:val="2"/>
                      <w:szCs w:val="21"/>
                    </w:rPr>
                    <w:t>项目有组织排污口均按排污许可进行编号。</w:t>
                  </w:r>
                </w:p>
              </w:tc>
            </w:tr>
            <w:tr w14:paraId="49DB9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7A77705D">
                  <w:pPr>
                    <w:jc w:val="center"/>
                    <w:rPr>
                      <w:color w:val="auto"/>
                      <w:szCs w:val="21"/>
                    </w:rPr>
                  </w:pPr>
                  <w:r>
                    <w:rPr>
                      <w:color w:val="auto"/>
                      <w:spacing w:val="-3"/>
                      <w:szCs w:val="21"/>
                    </w:rPr>
                    <w:t>85</w:t>
                  </w:r>
                </w:p>
              </w:tc>
              <w:tc>
                <w:tcPr>
                  <w:tcW w:w="577" w:type="pct"/>
                  <w:vMerge w:val="continue"/>
                  <w:vAlign w:val="center"/>
                </w:tcPr>
                <w:p w14:paraId="531EA455">
                  <w:pPr>
                    <w:jc w:val="center"/>
                    <w:rPr>
                      <w:color w:val="auto"/>
                      <w:szCs w:val="21"/>
                    </w:rPr>
                  </w:pPr>
                </w:p>
              </w:tc>
              <w:tc>
                <w:tcPr>
                  <w:tcW w:w="2598" w:type="pct"/>
                  <w:vAlign w:val="center"/>
                </w:tcPr>
                <w:p w14:paraId="59933728">
                  <w:pPr>
                    <w:rPr>
                      <w:color w:val="auto"/>
                      <w:szCs w:val="21"/>
                    </w:rPr>
                  </w:pPr>
                  <w:r>
                    <w:rPr>
                      <w:color w:val="auto"/>
                      <w:spacing w:val="8"/>
                      <w:szCs w:val="21"/>
                    </w:rPr>
                    <w:t>设置规范的处理前后采样位置，采样位置应避开对测试人员操作有危险的场所，优先选择在垂直管段，避开烟道弯头和断面急剧变化的部位，应设置在距弯头、阀门、变径管下游方向</w:t>
                  </w:r>
                  <w:r>
                    <w:rPr>
                      <w:color w:val="auto"/>
                      <w:spacing w:val="7"/>
                      <w:szCs w:val="21"/>
                    </w:rPr>
                    <w:t>不小于6倍直径，和距上述部件上游方向不小于3倍直径处。</w:t>
                  </w:r>
                </w:p>
              </w:tc>
              <w:tc>
                <w:tcPr>
                  <w:tcW w:w="1580" w:type="pct"/>
                  <w:vAlign w:val="center"/>
                </w:tcPr>
                <w:p w14:paraId="7FB7D10B">
                  <w:pPr>
                    <w:rPr>
                      <w:color w:val="auto"/>
                      <w:spacing w:val="4"/>
                      <w:position w:val="2"/>
                      <w:szCs w:val="21"/>
                    </w:rPr>
                  </w:pPr>
                  <w:r>
                    <w:rPr>
                      <w:rFonts w:hint="eastAsia"/>
                      <w:color w:val="auto"/>
                      <w:spacing w:val="4"/>
                      <w:position w:val="2"/>
                      <w:szCs w:val="21"/>
                    </w:rPr>
                    <w:t>项目废气</w:t>
                  </w:r>
                  <w:r>
                    <w:rPr>
                      <w:color w:val="auto"/>
                      <w:spacing w:val="4"/>
                      <w:position w:val="2"/>
                      <w:szCs w:val="21"/>
                    </w:rPr>
                    <w:t>排放口</w:t>
                  </w:r>
                  <w:r>
                    <w:rPr>
                      <w:rFonts w:hint="eastAsia"/>
                      <w:color w:val="auto"/>
                      <w:spacing w:val="4"/>
                      <w:position w:val="2"/>
                      <w:szCs w:val="21"/>
                    </w:rPr>
                    <w:t>的采样位置</w:t>
                  </w:r>
                  <w:r>
                    <w:rPr>
                      <w:color w:val="auto"/>
                      <w:spacing w:val="4"/>
                      <w:position w:val="2"/>
                      <w:szCs w:val="21"/>
                    </w:rPr>
                    <w:t>按规范设置。</w:t>
                  </w:r>
                </w:p>
              </w:tc>
            </w:tr>
            <w:tr w14:paraId="23FC6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0890D2EF">
                  <w:pPr>
                    <w:jc w:val="center"/>
                    <w:rPr>
                      <w:color w:val="auto"/>
                      <w:szCs w:val="21"/>
                    </w:rPr>
                  </w:pPr>
                  <w:r>
                    <w:rPr>
                      <w:color w:val="auto"/>
                      <w:spacing w:val="-3"/>
                      <w:szCs w:val="21"/>
                    </w:rPr>
                    <w:t>86</w:t>
                  </w:r>
                </w:p>
              </w:tc>
              <w:tc>
                <w:tcPr>
                  <w:tcW w:w="577" w:type="pct"/>
                  <w:vMerge w:val="continue"/>
                  <w:vAlign w:val="center"/>
                </w:tcPr>
                <w:p w14:paraId="36F8BE0B">
                  <w:pPr>
                    <w:jc w:val="center"/>
                    <w:rPr>
                      <w:color w:val="auto"/>
                      <w:szCs w:val="21"/>
                    </w:rPr>
                  </w:pPr>
                </w:p>
              </w:tc>
              <w:tc>
                <w:tcPr>
                  <w:tcW w:w="2598" w:type="pct"/>
                  <w:vAlign w:val="center"/>
                </w:tcPr>
                <w:p w14:paraId="7F9F6DB4">
                  <w:pPr>
                    <w:rPr>
                      <w:color w:val="auto"/>
                      <w:szCs w:val="21"/>
                    </w:rPr>
                  </w:pPr>
                  <w:r>
                    <w:rPr>
                      <w:color w:val="auto"/>
                      <w:spacing w:val="4"/>
                      <w:szCs w:val="21"/>
                    </w:rPr>
                    <w:t>废气排放口应按照《广东省污染源排污口规范化设置导则》(粤环〔2008〕42号)相关规定，</w:t>
                  </w:r>
                  <w:r>
                    <w:rPr>
                      <w:color w:val="auto"/>
                      <w:spacing w:val="9"/>
                      <w:szCs w:val="21"/>
                    </w:rPr>
                    <w:t>设置与排污口相应的环境保护图形标志牌。</w:t>
                  </w:r>
                </w:p>
              </w:tc>
              <w:tc>
                <w:tcPr>
                  <w:tcW w:w="1580" w:type="pct"/>
                  <w:vAlign w:val="center"/>
                </w:tcPr>
                <w:p w14:paraId="22409E0F">
                  <w:pPr>
                    <w:rPr>
                      <w:color w:val="auto"/>
                      <w:spacing w:val="4"/>
                      <w:position w:val="2"/>
                      <w:szCs w:val="21"/>
                    </w:rPr>
                  </w:pPr>
                  <w:r>
                    <w:rPr>
                      <w:rFonts w:hint="eastAsia"/>
                      <w:color w:val="auto"/>
                      <w:spacing w:val="4"/>
                      <w:position w:val="2"/>
                      <w:szCs w:val="21"/>
                    </w:rPr>
                    <w:t>项目建成后，</w:t>
                  </w:r>
                  <w:r>
                    <w:rPr>
                      <w:color w:val="auto"/>
                      <w:spacing w:val="4"/>
                      <w:position w:val="2"/>
                      <w:szCs w:val="21"/>
                    </w:rPr>
                    <w:t>废气排放口</w:t>
                  </w:r>
                  <w:r>
                    <w:rPr>
                      <w:rFonts w:hint="eastAsia"/>
                      <w:color w:val="auto"/>
                      <w:spacing w:val="4"/>
                      <w:position w:val="2"/>
                      <w:szCs w:val="21"/>
                    </w:rPr>
                    <w:t>将</w:t>
                  </w:r>
                  <w:r>
                    <w:rPr>
                      <w:color w:val="auto"/>
                      <w:spacing w:val="4"/>
                      <w:position w:val="2"/>
                      <w:szCs w:val="21"/>
                    </w:rPr>
                    <w:t>按要求规定设置</w:t>
                  </w:r>
                  <w:r>
                    <w:rPr>
                      <w:color w:val="auto"/>
                      <w:spacing w:val="9"/>
                      <w:szCs w:val="21"/>
                    </w:rPr>
                    <w:t>与排污口相应的环境保护图形标志牌。</w:t>
                  </w:r>
                </w:p>
              </w:tc>
            </w:tr>
            <w:tr w14:paraId="5FDAC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pct"/>
                  <w:gridSpan w:val="4"/>
                  <w:vAlign w:val="center"/>
                </w:tcPr>
                <w:p w14:paraId="263F277E">
                  <w:pPr>
                    <w:jc w:val="center"/>
                    <w:rPr>
                      <w:color w:val="auto"/>
                      <w:spacing w:val="4"/>
                      <w:position w:val="2"/>
                      <w:szCs w:val="21"/>
                    </w:rPr>
                  </w:pPr>
                  <w:r>
                    <w:rPr>
                      <w:b/>
                      <w:bCs/>
                      <w:color w:val="auto"/>
                      <w:spacing w:val="4"/>
                      <w:position w:val="2"/>
                      <w:szCs w:val="21"/>
                    </w:rPr>
                    <w:t>环境管理</w:t>
                  </w:r>
                </w:p>
              </w:tc>
            </w:tr>
            <w:tr w14:paraId="62BA4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6727DC3F">
                  <w:pPr>
                    <w:jc w:val="center"/>
                    <w:rPr>
                      <w:color w:val="auto"/>
                      <w:szCs w:val="21"/>
                    </w:rPr>
                  </w:pPr>
                  <w:r>
                    <w:rPr>
                      <w:color w:val="auto"/>
                      <w:spacing w:val="-3"/>
                      <w:szCs w:val="21"/>
                    </w:rPr>
                    <w:t>87</w:t>
                  </w:r>
                </w:p>
              </w:tc>
              <w:tc>
                <w:tcPr>
                  <w:tcW w:w="577" w:type="pct"/>
                  <w:vMerge w:val="restart"/>
                  <w:vAlign w:val="center"/>
                </w:tcPr>
                <w:p w14:paraId="7F394868">
                  <w:pPr>
                    <w:jc w:val="center"/>
                    <w:rPr>
                      <w:color w:val="auto"/>
                      <w:szCs w:val="21"/>
                    </w:rPr>
                  </w:pPr>
                  <w:r>
                    <w:rPr>
                      <w:color w:val="auto"/>
                      <w:spacing w:val="6"/>
                      <w:szCs w:val="21"/>
                    </w:rPr>
                    <w:t>管理台账</w:t>
                  </w:r>
                </w:p>
              </w:tc>
              <w:tc>
                <w:tcPr>
                  <w:tcW w:w="2598" w:type="pct"/>
                  <w:vAlign w:val="center"/>
                </w:tcPr>
                <w:p w14:paraId="539BB0B8">
                  <w:pPr>
                    <w:rPr>
                      <w:color w:val="auto"/>
                      <w:szCs w:val="21"/>
                    </w:rPr>
                  </w:pPr>
                  <w:r>
                    <w:rPr>
                      <w:color w:val="auto"/>
                      <w:spacing w:val="7"/>
                      <w:szCs w:val="21"/>
                    </w:rPr>
                    <w:t>建立含VOCs原辅材料台账，记录含VOCs原辅材料的名称及其VOCs含量、采购量、使用</w:t>
                  </w:r>
                  <w:r>
                    <w:rPr>
                      <w:color w:val="auto"/>
                      <w:spacing w:val="8"/>
                      <w:szCs w:val="21"/>
                    </w:rPr>
                    <w:t>量、库存量、含VOCs原辅材料回收方式及回收量。</w:t>
                  </w:r>
                </w:p>
              </w:tc>
              <w:tc>
                <w:tcPr>
                  <w:tcW w:w="1580" w:type="pct"/>
                  <w:vMerge w:val="restart"/>
                  <w:vAlign w:val="center"/>
                </w:tcPr>
                <w:p w14:paraId="16D77543">
                  <w:pPr>
                    <w:rPr>
                      <w:color w:val="auto"/>
                      <w:spacing w:val="4"/>
                      <w:position w:val="2"/>
                      <w:szCs w:val="21"/>
                    </w:rPr>
                  </w:pPr>
                  <w:r>
                    <w:rPr>
                      <w:color w:val="auto"/>
                      <w:spacing w:val="4"/>
                      <w:position w:val="2"/>
                      <w:szCs w:val="21"/>
                    </w:rPr>
                    <w:t>企业按环境管理要求进行后期的环境管理。</w:t>
                  </w:r>
                </w:p>
              </w:tc>
            </w:tr>
            <w:tr w14:paraId="2FAA7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2022316A">
                  <w:pPr>
                    <w:jc w:val="center"/>
                    <w:rPr>
                      <w:color w:val="auto"/>
                      <w:szCs w:val="21"/>
                    </w:rPr>
                  </w:pPr>
                  <w:r>
                    <w:rPr>
                      <w:color w:val="auto"/>
                      <w:spacing w:val="-3"/>
                      <w:szCs w:val="21"/>
                    </w:rPr>
                    <w:t>88</w:t>
                  </w:r>
                </w:p>
              </w:tc>
              <w:tc>
                <w:tcPr>
                  <w:tcW w:w="577" w:type="pct"/>
                  <w:vMerge w:val="continue"/>
                  <w:vAlign w:val="center"/>
                </w:tcPr>
                <w:p w14:paraId="5ACE8586">
                  <w:pPr>
                    <w:jc w:val="center"/>
                    <w:rPr>
                      <w:color w:val="auto"/>
                      <w:szCs w:val="21"/>
                    </w:rPr>
                  </w:pPr>
                </w:p>
              </w:tc>
              <w:tc>
                <w:tcPr>
                  <w:tcW w:w="2598" w:type="pct"/>
                  <w:vAlign w:val="center"/>
                </w:tcPr>
                <w:p w14:paraId="3FE5539A">
                  <w:pPr>
                    <w:rPr>
                      <w:color w:val="auto"/>
                      <w:szCs w:val="21"/>
                    </w:rPr>
                  </w:pPr>
                  <w:r>
                    <w:rPr>
                      <w:color w:val="auto"/>
                      <w:spacing w:val="8"/>
                      <w:szCs w:val="21"/>
                    </w:rPr>
                    <w:t>建立废气收集处理设施台账，记录废气处理设施进出口的监测数据（废气量、浓度、温度、</w:t>
                  </w:r>
                  <w:r>
                    <w:rPr>
                      <w:color w:val="auto"/>
                      <w:spacing w:val="5"/>
                      <w:szCs w:val="21"/>
                    </w:rPr>
                    <w:t>含氧量等）、废气收集与处理设施关键参数、废气处理设施相关耗材（吸收剂、吸附剂、催</w:t>
                  </w:r>
                  <w:r>
                    <w:rPr>
                      <w:color w:val="auto"/>
                      <w:spacing w:val="-3"/>
                      <w:szCs w:val="21"/>
                    </w:rPr>
                    <w:t>化剂等）购买和处理记录。</w:t>
                  </w:r>
                </w:p>
              </w:tc>
              <w:tc>
                <w:tcPr>
                  <w:tcW w:w="1580" w:type="pct"/>
                  <w:vMerge w:val="continue"/>
                  <w:vAlign w:val="center"/>
                </w:tcPr>
                <w:p w14:paraId="5BC50054">
                  <w:pPr>
                    <w:jc w:val="center"/>
                    <w:rPr>
                      <w:color w:val="auto"/>
                      <w:spacing w:val="4"/>
                      <w:position w:val="2"/>
                      <w:szCs w:val="21"/>
                    </w:rPr>
                  </w:pPr>
                </w:p>
              </w:tc>
            </w:tr>
            <w:tr w14:paraId="7A417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39CA578A">
                  <w:pPr>
                    <w:jc w:val="center"/>
                    <w:rPr>
                      <w:color w:val="auto"/>
                      <w:szCs w:val="21"/>
                    </w:rPr>
                  </w:pPr>
                  <w:r>
                    <w:rPr>
                      <w:color w:val="auto"/>
                      <w:spacing w:val="-3"/>
                      <w:szCs w:val="21"/>
                    </w:rPr>
                    <w:t>89</w:t>
                  </w:r>
                </w:p>
              </w:tc>
              <w:tc>
                <w:tcPr>
                  <w:tcW w:w="577" w:type="pct"/>
                  <w:vMerge w:val="continue"/>
                  <w:vAlign w:val="center"/>
                </w:tcPr>
                <w:p w14:paraId="228D242C">
                  <w:pPr>
                    <w:jc w:val="center"/>
                    <w:rPr>
                      <w:color w:val="auto"/>
                      <w:szCs w:val="21"/>
                    </w:rPr>
                  </w:pPr>
                </w:p>
              </w:tc>
              <w:tc>
                <w:tcPr>
                  <w:tcW w:w="2598" w:type="pct"/>
                  <w:vAlign w:val="center"/>
                </w:tcPr>
                <w:p w14:paraId="1BB17A10">
                  <w:pPr>
                    <w:rPr>
                      <w:color w:val="auto"/>
                      <w:szCs w:val="21"/>
                    </w:rPr>
                  </w:pPr>
                  <w:r>
                    <w:rPr>
                      <w:color w:val="auto"/>
                      <w:spacing w:val="9"/>
                      <w:szCs w:val="21"/>
                    </w:rPr>
                    <w:t>建立危废台账，整理危废处置合同、转移联单及危废处理方资质佐证材料。</w:t>
                  </w:r>
                </w:p>
              </w:tc>
              <w:tc>
                <w:tcPr>
                  <w:tcW w:w="1580" w:type="pct"/>
                  <w:vMerge w:val="continue"/>
                  <w:vAlign w:val="center"/>
                </w:tcPr>
                <w:p w14:paraId="02A475A2">
                  <w:pPr>
                    <w:jc w:val="center"/>
                    <w:rPr>
                      <w:color w:val="auto"/>
                      <w:spacing w:val="4"/>
                      <w:position w:val="2"/>
                      <w:szCs w:val="21"/>
                    </w:rPr>
                  </w:pPr>
                </w:p>
              </w:tc>
            </w:tr>
            <w:tr w14:paraId="0833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3C4D80E4">
                  <w:pPr>
                    <w:jc w:val="center"/>
                    <w:rPr>
                      <w:color w:val="auto"/>
                      <w:szCs w:val="21"/>
                    </w:rPr>
                  </w:pPr>
                  <w:r>
                    <w:rPr>
                      <w:color w:val="auto"/>
                      <w:szCs w:val="21"/>
                    </w:rPr>
                    <w:t>90</w:t>
                  </w:r>
                </w:p>
              </w:tc>
              <w:tc>
                <w:tcPr>
                  <w:tcW w:w="577" w:type="pct"/>
                  <w:vMerge w:val="continue"/>
                  <w:vAlign w:val="center"/>
                </w:tcPr>
                <w:p w14:paraId="04567709">
                  <w:pPr>
                    <w:jc w:val="center"/>
                    <w:rPr>
                      <w:color w:val="auto"/>
                      <w:szCs w:val="21"/>
                    </w:rPr>
                  </w:pPr>
                </w:p>
              </w:tc>
              <w:tc>
                <w:tcPr>
                  <w:tcW w:w="2598" w:type="pct"/>
                  <w:vAlign w:val="center"/>
                </w:tcPr>
                <w:p w14:paraId="04213D56">
                  <w:pPr>
                    <w:rPr>
                      <w:color w:val="auto"/>
                      <w:szCs w:val="21"/>
                    </w:rPr>
                  </w:pPr>
                  <w:r>
                    <w:rPr>
                      <w:color w:val="auto"/>
                      <w:spacing w:val="4"/>
                      <w:szCs w:val="21"/>
                    </w:rPr>
                    <w:t>台账保存期限不少于3年。</w:t>
                  </w:r>
                </w:p>
              </w:tc>
              <w:tc>
                <w:tcPr>
                  <w:tcW w:w="1580" w:type="pct"/>
                  <w:vMerge w:val="continue"/>
                  <w:vAlign w:val="center"/>
                </w:tcPr>
                <w:p w14:paraId="0A3AAE0A">
                  <w:pPr>
                    <w:jc w:val="center"/>
                    <w:rPr>
                      <w:color w:val="auto"/>
                      <w:spacing w:val="4"/>
                      <w:position w:val="2"/>
                      <w:szCs w:val="21"/>
                    </w:rPr>
                  </w:pPr>
                </w:p>
              </w:tc>
            </w:tr>
            <w:tr w14:paraId="2ACC1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36DE4E26">
                  <w:pPr>
                    <w:jc w:val="center"/>
                    <w:rPr>
                      <w:color w:val="auto"/>
                      <w:szCs w:val="21"/>
                    </w:rPr>
                  </w:pPr>
                  <w:r>
                    <w:rPr>
                      <w:color w:val="auto"/>
                      <w:szCs w:val="21"/>
                    </w:rPr>
                    <w:t>91</w:t>
                  </w:r>
                </w:p>
              </w:tc>
              <w:tc>
                <w:tcPr>
                  <w:tcW w:w="577" w:type="pct"/>
                  <w:vMerge w:val="restart"/>
                  <w:vAlign w:val="center"/>
                </w:tcPr>
                <w:p w14:paraId="0968CA58">
                  <w:pPr>
                    <w:jc w:val="center"/>
                    <w:rPr>
                      <w:color w:val="auto"/>
                      <w:szCs w:val="21"/>
                    </w:rPr>
                  </w:pPr>
                  <w:r>
                    <w:rPr>
                      <w:color w:val="auto"/>
                      <w:spacing w:val="-6"/>
                      <w:szCs w:val="21"/>
                    </w:rPr>
                    <w:t>自行监测</w:t>
                  </w:r>
                </w:p>
              </w:tc>
              <w:tc>
                <w:tcPr>
                  <w:tcW w:w="2598" w:type="pct"/>
                  <w:vAlign w:val="center"/>
                </w:tcPr>
                <w:p w14:paraId="142750D6">
                  <w:pPr>
                    <w:rPr>
                      <w:color w:val="auto"/>
                      <w:szCs w:val="21"/>
                    </w:rPr>
                  </w:pPr>
                  <w:r>
                    <w:rPr>
                      <w:color w:val="auto"/>
                      <w:spacing w:val="5"/>
                      <w:szCs w:val="21"/>
                    </w:rPr>
                    <w:t>水性涂料涂覆、水性涂料（含胶）固化成膜设施废气重点排污单位主要排放口至少每季度监</w:t>
                  </w:r>
                  <w:r>
                    <w:rPr>
                      <w:color w:val="auto"/>
                      <w:spacing w:val="8"/>
                      <w:szCs w:val="21"/>
                    </w:rPr>
                    <w:t>测一次挥发性有机物及特征污染物，一般排放口至少每半年监测一次挥发性有机物及特征污</w:t>
                  </w:r>
                  <w:r>
                    <w:rPr>
                      <w:color w:val="auto"/>
                      <w:spacing w:val="9"/>
                      <w:szCs w:val="21"/>
                    </w:rPr>
                    <w:t>染物，非重点排污单位至少每年监测一次挥发性有机物及特征污染物。</w:t>
                  </w:r>
                </w:p>
              </w:tc>
              <w:tc>
                <w:tcPr>
                  <w:tcW w:w="1580" w:type="pct"/>
                  <w:vMerge w:val="continue"/>
                  <w:vAlign w:val="center"/>
                </w:tcPr>
                <w:p w14:paraId="4354E46E">
                  <w:pPr>
                    <w:jc w:val="center"/>
                    <w:rPr>
                      <w:color w:val="auto"/>
                      <w:spacing w:val="4"/>
                      <w:position w:val="2"/>
                      <w:szCs w:val="21"/>
                    </w:rPr>
                  </w:pPr>
                </w:p>
              </w:tc>
            </w:tr>
            <w:tr w14:paraId="1A2C2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737845A5">
                  <w:pPr>
                    <w:jc w:val="center"/>
                    <w:rPr>
                      <w:color w:val="auto"/>
                      <w:szCs w:val="21"/>
                    </w:rPr>
                  </w:pPr>
                  <w:r>
                    <w:rPr>
                      <w:rFonts w:hint="eastAsia"/>
                      <w:color w:val="auto"/>
                      <w:szCs w:val="21"/>
                    </w:rPr>
                    <w:t>93</w:t>
                  </w:r>
                </w:p>
              </w:tc>
              <w:tc>
                <w:tcPr>
                  <w:tcW w:w="577" w:type="pct"/>
                  <w:vMerge w:val="continue"/>
                  <w:vAlign w:val="center"/>
                </w:tcPr>
                <w:p w14:paraId="6814BEDA">
                  <w:pPr>
                    <w:jc w:val="center"/>
                    <w:rPr>
                      <w:color w:val="auto"/>
                      <w:szCs w:val="21"/>
                    </w:rPr>
                  </w:pPr>
                </w:p>
              </w:tc>
              <w:tc>
                <w:tcPr>
                  <w:tcW w:w="2598" w:type="pct"/>
                  <w:vAlign w:val="center"/>
                </w:tcPr>
                <w:p w14:paraId="7EEAB165">
                  <w:pPr>
                    <w:rPr>
                      <w:color w:val="auto"/>
                      <w:spacing w:val="8"/>
                      <w:szCs w:val="21"/>
                    </w:rPr>
                  </w:pPr>
                  <w:r>
                    <w:rPr>
                      <w:rFonts w:hint="eastAsia"/>
                      <w:color w:val="auto"/>
                      <w:spacing w:val="8"/>
                      <w:szCs w:val="21"/>
                    </w:rPr>
                    <w:t>粉末涂料固化成膜设施废气重点排污单位主要排放口至少每季度监测一次挥发性有机物，一般排放口至少每半年监测一次挥发性有机物，非重点排污单位至少每年监测一次挥发性有机物。</w:t>
                  </w:r>
                </w:p>
              </w:tc>
              <w:tc>
                <w:tcPr>
                  <w:tcW w:w="1580" w:type="pct"/>
                  <w:vMerge w:val="continue"/>
                  <w:vAlign w:val="center"/>
                </w:tcPr>
                <w:p w14:paraId="0CA467BB">
                  <w:pPr>
                    <w:jc w:val="center"/>
                    <w:rPr>
                      <w:color w:val="auto"/>
                      <w:spacing w:val="4"/>
                      <w:position w:val="2"/>
                      <w:szCs w:val="21"/>
                    </w:rPr>
                  </w:pPr>
                </w:p>
              </w:tc>
            </w:tr>
            <w:tr w14:paraId="49BBB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2A722256">
                  <w:pPr>
                    <w:jc w:val="center"/>
                    <w:rPr>
                      <w:color w:val="auto"/>
                      <w:szCs w:val="21"/>
                    </w:rPr>
                  </w:pPr>
                  <w:r>
                    <w:rPr>
                      <w:color w:val="auto"/>
                      <w:szCs w:val="21"/>
                    </w:rPr>
                    <w:t>94</w:t>
                  </w:r>
                </w:p>
              </w:tc>
              <w:tc>
                <w:tcPr>
                  <w:tcW w:w="577" w:type="pct"/>
                  <w:vMerge w:val="continue"/>
                  <w:vAlign w:val="center"/>
                </w:tcPr>
                <w:p w14:paraId="779C00C0">
                  <w:pPr>
                    <w:jc w:val="center"/>
                    <w:rPr>
                      <w:color w:val="auto"/>
                      <w:szCs w:val="21"/>
                    </w:rPr>
                  </w:pPr>
                </w:p>
              </w:tc>
              <w:tc>
                <w:tcPr>
                  <w:tcW w:w="2598" w:type="pct"/>
                  <w:vAlign w:val="center"/>
                </w:tcPr>
                <w:p w14:paraId="36D5B8D7">
                  <w:pPr>
                    <w:rPr>
                      <w:color w:val="auto"/>
                      <w:szCs w:val="21"/>
                    </w:rPr>
                  </w:pPr>
                  <w:r>
                    <w:rPr>
                      <w:color w:val="auto"/>
                      <w:spacing w:val="8"/>
                      <w:szCs w:val="21"/>
                    </w:rPr>
                    <w:t>点补、调漆等生产设施废气，以及树脂纤维、塑料加工等有机废气重点排污单位主要排放口至少每季度监测一次挥发性有机物，一般排放口至少每半年监测一次挥发性有机物，非重点</w:t>
                  </w:r>
                  <w:r>
                    <w:rPr>
                      <w:color w:val="auto"/>
                      <w:spacing w:val="9"/>
                      <w:szCs w:val="21"/>
                    </w:rPr>
                    <w:t>排污单位至少每年监测一次挥发性有机物。</w:t>
                  </w:r>
                </w:p>
              </w:tc>
              <w:tc>
                <w:tcPr>
                  <w:tcW w:w="1580" w:type="pct"/>
                  <w:vMerge w:val="continue"/>
                  <w:vAlign w:val="center"/>
                </w:tcPr>
                <w:p w14:paraId="4020E9F2">
                  <w:pPr>
                    <w:jc w:val="center"/>
                    <w:rPr>
                      <w:color w:val="auto"/>
                      <w:spacing w:val="4"/>
                      <w:position w:val="2"/>
                      <w:szCs w:val="21"/>
                    </w:rPr>
                  </w:pPr>
                </w:p>
              </w:tc>
            </w:tr>
            <w:tr w14:paraId="0FDB6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41F1E5E2">
                  <w:pPr>
                    <w:jc w:val="center"/>
                    <w:rPr>
                      <w:color w:val="auto"/>
                      <w:szCs w:val="21"/>
                    </w:rPr>
                  </w:pPr>
                  <w:r>
                    <w:rPr>
                      <w:color w:val="auto"/>
                      <w:szCs w:val="21"/>
                    </w:rPr>
                    <w:t>95</w:t>
                  </w:r>
                </w:p>
              </w:tc>
              <w:tc>
                <w:tcPr>
                  <w:tcW w:w="577" w:type="pct"/>
                  <w:vMerge w:val="continue"/>
                  <w:vAlign w:val="center"/>
                </w:tcPr>
                <w:p w14:paraId="780CDD53">
                  <w:pPr>
                    <w:jc w:val="center"/>
                    <w:rPr>
                      <w:color w:val="auto"/>
                      <w:szCs w:val="21"/>
                    </w:rPr>
                  </w:pPr>
                </w:p>
              </w:tc>
              <w:tc>
                <w:tcPr>
                  <w:tcW w:w="2598" w:type="pct"/>
                  <w:vAlign w:val="center"/>
                </w:tcPr>
                <w:p w14:paraId="2093AB45">
                  <w:pPr>
                    <w:rPr>
                      <w:color w:val="auto"/>
                      <w:szCs w:val="21"/>
                    </w:rPr>
                  </w:pPr>
                  <w:r>
                    <w:rPr>
                      <w:color w:val="auto"/>
                      <w:spacing w:val="9"/>
                      <w:szCs w:val="21"/>
                    </w:rPr>
                    <w:t>厂界无组织废气至少每半年监测一次挥发性有机物。</w:t>
                  </w:r>
                </w:p>
              </w:tc>
              <w:tc>
                <w:tcPr>
                  <w:tcW w:w="1580" w:type="pct"/>
                  <w:vMerge w:val="continue"/>
                  <w:vAlign w:val="center"/>
                </w:tcPr>
                <w:p w14:paraId="5C1E421E">
                  <w:pPr>
                    <w:jc w:val="center"/>
                    <w:rPr>
                      <w:color w:val="auto"/>
                      <w:spacing w:val="4"/>
                      <w:position w:val="2"/>
                      <w:szCs w:val="21"/>
                    </w:rPr>
                  </w:pPr>
                </w:p>
              </w:tc>
            </w:tr>
            <w:tr w14:paraId="38533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6E1B7625">
                  <w:pPr>
                    <w:jc w:val="center"/>
                    <w:rPr>
                      <w:color w:val="auto"/>
                      <w:szCs w:val="21"/>
                    </w:rPr>
                  </w:pPr>
                  <w:r>
                    <w:rPr>
                      <w:color w:val="auto"/>
                      <w:szCs w:val="21"/>
                    </w:rPr>
                    <w:t>96</w:t>
                  </w:r>
                </w:p>
              </w:tc>
              <w:tc>
                <w:tcPr>
                  <w:tcW w:w="577" w:type="pct"/>
                  <w:vMerge w:val="continue"/>
                  <w:vAlign w:val="center"/>
                </w:tcPr>
                <w:p w14:paraId="2E9065D3">
                  <w:pPr>
                    <w:jc w:val="center"/>
                    <w:rPr>
                      <w:color w:val="auto"/>
                      <w:szCs w:val="21"/>
                    </w:rPr>
                  </w:pPr>
                </w:p>
              </w:tc>
              <w:tc>
                <w:tcPr>
                  <w:tcW w:w="2598" w:type="pct"/>
                  <w:vAlign w:val="center"/>
                </w:tcPr>
                <w:p w14:paraId="749F1735">
                  <w:pPr>
                    <w:rPr>
                      <w:color w:val="auto"/>
                      <w:szCs w:val="21"/>
                    </w:rPr>
                  </w:pPr>
                  <w:r>
                    <w:rPr>
                      <w:color w:val="auto"/>
                      <w:spacing w:val="9"/>
                      <w:szCs w:val="21"/>
                    </w:rPr>
                    <w:t>涂装工段旁无组织废气至少每季度监测一次挥发性有机物。</w:t>
                  </w:r>
                </w:p>
              </w:tc>
              <w:tc>
                <w:tcPr>
                  <w:tcW w:w="1580" w:type="pct"/>
                  <w:vMerge w:val="continue"/>
                  <w:vAlign w:val="center"/>
                </w:tcPr>
                <w:p w14:paraId="164A3801">
                  <w:pPr>
                    <w:jc w:val="center"/>
                    <w:rPr>
                      <w:color w:val="auto"/>
                      <w:spacing w:val="4"/>
                      <w:position w:val="2"/>
                      <w:szCs w:val="21"/>
                    </w:rPr>
                  </w:pPr>
                </w:p>
              </w:tc>
            </w:tr>
            <w:tr w14:paraId="69EE9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6BD6C953">
                  <w:pPr>
                    <w:jc w:val="center"/>
                    <w:rPr>
                      <w:color w:val="auto"/>
                      <w:szCs w:val="21"/>
                    </w:rPr>
                  </w:pPr>
                  <w:r>
                    <w:rPr>
                      <w:color w:val="auto"/>
                      <w:szCs w:val="21"/>
                    </w:rPr>
                    <w:t>97</w:t>
                  </w:r>
                </w:p>
              </w:tc>
              <w:tc>
                <w:tcPr>
                  <w:tcW w:w="577" w:type="pct"/>
                  <w:vAlign w:val="center"/>
                </w:tcPr>
                <w:p w14:paraId="29F66E50">
                  <w:pPr>
                    <w:jc w:val="center"/>
                    <w:rPr>
                      <w:color w:val="auto"/>
                      <w:szCs w:val="21"/>
                    </w:rPr>
                  </w:pPr>
                  <w:r>
                    <w:rPr>
                      <w:color w:val="auto"/>
                      <w:spacing w:val="9"/>
                      <w:szCs w:val="21"/>
                    </w:rPr>
                    <w:t>危废管理</w:t>
                  </w:r>
                </w:p>
              </w:tc>
              <w:tc>
                <w:tcPr>
                  <w:tcW w:w="2598" w:type="pct"/>
                  <w:vAlign w:val="center"/>
                </w:tcPr>
                <w:p w14:paraId="6DF2C1F6">
                  <w:pPr>
                    <w:rPr>
                      <w:color w:val="auto"/>
                      <w:szCs w:val="21"/>
                    </w:rPr>
                  </w:pPr>
                  <w:r>
                    <w:rPr>
                      <w:color w:val="auto"/>
                      <w:spacing w:val="5"/>
                      <w:szCs w:val="21"/>
                    </w:rPr>
                    <w:t>工艺过程产生的含VOCs废料（渣、液）应按照相关要求进行储存、转移和输送。盛装过</w:t>
                  </w:r>
                  <w:r>
                    <w:rPr>
                      <w:color w:val="auto"/>
                      <w:spacing w:val="7"/>
                      <w:szCs w:val="21"/>
                    </w:rPr>
                    <w:t>VOCs物料的废包装容器应加盖密闭。</w:t>
                  </w:r>
                </w:p>
              </w:tc>
              <w:tc>
                <w:tcPr>
                  <w:tcW w:w="1580" w:type="pct"/>
                  <w:vMerge w:val="continue"/>
                  <w:vAlign w:val="center"/>
                </w:tcPr>
                <w:p w14:paraId="1507DE79">
                  <w:pPr>
                    <w:jc w:val="center"/>
                    <w:rPr>
                      <w:color w:val="auto"/>
                      <w:spacing w:val="4"/>
                      <w:position w:val="2"/>
                      <w:szCs w:val="21"/>
                    </w:rPr>
                  </w:pPr>
                </w:p>
              </w:tc>
            </w:tr>
            <w:tr w14:paraId="04A3B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00" w:type="pct"/>
                  <w:gridSpan w:val="4"/>
                  <w:vAlign w:val="center"/>
                </w:tcPr>
                <w:p w14:paraId="00DEF683">
                  <w:pPr>
                    <w:jc w:val="center"/>
                    <w:rPr>
                      <w:b/>
                      <w:bCs/>
                      <w:color w:val="auto"/>
                      <w:spacing w:val="4"/>
                      <w:position w:val="2"/>
                      <w:szCs w:val="21"/>
                    </w:rPr>
                  </w:pPr>
                  <w:r>
                    <w:rPr>
                      <w:b/>
                      <w:bCs/>
                      <w:color w:val="auto"/>
                      <w:szCs w:val="21"/>
                    </w:rPr>
                    <w:t>其他</w:t>
                  </w:r>
                </w:p>
              </w:tc>
            </w:tr>
            <w:tr w14:paraId="5719A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44" w:type="pct"/>
                  <w:vAlign w:val="center"/>
                </w:tcPr>
                <w:p w14:paraId="174D2286">
                  <w:pPr>
                    <w:jc w:val="center"/>
                    <w:rPr>
                      <w:color w:val="auto"/>
                      <w:szCs w:val="21"/>
                    </w:rPr>
                  </w:pPr>
                  <w:r>
                    <w:rPr>
                      <w:color w:val="auto"/>
                      <w:szCs w:val="21"/>
                    </w:rPr>
                    <w:t>98</w:t>
                  </w:r>
                </w:p>
              </w:tc>
              <w:tc>
                <w:tcPr>
                  <w:tcW w:w="577" w:type="pct"/>
                  <w:vAlign w:val="center"/>
                </w:tcPr>
                <w:p w14:paraId="05322FC1">
                  <w:pPr>
                    <w:jc w:val="center"/>
                    <w:rPr>
                      <w:color w:val="auto"/>
                      <w:szCs w:val="21"/>
                    </w:rPr>
                  </w:pPr>
                  <w:r>
                    <w:rPr>
                      <w:color w:val="auto"/>
                      <w:spacing w:val="6"/>
                      <w:szCs w:val="21"/>
                    </w:rPr>
                    <w:t>建设项目VOCs</w:t>
                  </w:r>
                  <w:r>
                    <w:rPr>
                      <w:color w:val="auto"/>
                      <w:spacing w:val="5"/>
                      <w:szCs w:val="21"/>
                    </w:rPr>
                    <w:t>总量管理</w:t>
                  </w:r>
                </w:p>
              </w:tc>
              <w:tc>
                <w:tcPr>
                  <w:tcW w:w="2598" w:type="pct"/>
                  <w:vAlign w:val="center"/>
                </w:tcPr>
                <w:p w14:paraId="715EB4BE">
                  <w:pPr>
                    <w:rPr>
                      <w:color w:val="auto"/>
                      <w:szCs w:val="21"/>
                    </w:rPr>
                  </w:pPr>
                  <w:r>
                    <w:rPr>
                      <w:color w:val="auto"/>
                      <w:spacing w:val="8"/>
                      <w:szCs w:val="21"/>
                    </w:rPr>
                    <w:t>新、改、扩建项目应执行总量替代制度，明确VOCs总量指标来源。</w:t>
                  </w:r>
                </w:p>
              </w:tc>
              <w:tc>
                <w:tcPr>
                  <w:tcW w:w="1580" w:type="pct"/>
                  <w:vAlign w:val="center"/>
                </w:tcPr>
                <w:p w14:paraId="5948C0CF">
                  <w:pPr>
                    <w:rPr>
                      <w:color w:val="auto"/>
                      <w:spacing w:val="4"/>
                      <w:position w:val="2"/>
                      <w:szCs w:val="21"/>
                    </w:rPr>
                  </w:pPr>
                  <w:r>
                    <w:rPr>
                      <w:color w:val="auto"/>
                      <w:spacing w:val="8"/>
                      <w:szCs w:val="21"/>
                    </w:rPr>
                    <w:t>VOCs总量指标</w:t>
                  </w:r>
                  <w:r>
                    <w:rPr>
                      <w:color w:val="auto"/>
                      <w:szCs w:val="21"/>
                    </w:rPr>
                    <w:t>由惠州市生态环境局</w:t>
                  </w:r>
                  <w:r>
                    <w:rPr>
                      <w:rFonts w:hint="eastAsia"/>
                      <w:color w:val="auto"/>
                      <w:szCs w:val="21"/>
                    </w:rPr>
                    <w:t>博罗</w:t>
                  </w:r>
                  <w:r>
                    <w:rPr>
                      <w:color w:val="auto"/>
                      <w:szCs w:val="21"/>
                    </w:rPr>
                    <w:t>分局分配</w:t>
                  </w:r>
                </w:p>
              </w:tc>
            </w:tr>
          </w:tbl>
          <w:p w14:paraId="0DD74A38">
            <w:pPr>
              <w:spacing w:line="360" w:lineRule="auto"/>
              <w:ind w:firstLine="480" w:firstLineChars="200"/>
              <w:rPr>
                <w:color w:val="auto"/>
                <w:sz w:val="24"/>
              </w:rPr>
            </w:pPr>
            <w:r>
              <w:rPr>
                <w:bCs/>
                <w:color w:val="auto"/>
                <w:sz w:val="24"/>
              </w:rPr>
              <w:t>综上，项目</w:t>
            </w:r>
            <w:r>
              <w:rPr>
                <w:rFonts w:hint="eastAsia"/>
                <w:bCs/>
                <w:color w:val="auto"/>
                <w:sz w:val="24"/>
              </w:rPr>
              <w:t>的建设</w:t>
            </w:r>
            <w:r>
              <w:rPr>
                <w:bCs/>
                <w:color w:val="auto"/>
                <w:sz w:val="24"/>
              </w:rPr>
              <w:t>符合《关于印发广东省涉挥发性有机物（VOCs）重点行业治理指引的通知》（粤环办〔2021〕43号）的相关要求。</w:t>
            </w:r>
          </w:p>
          <w:p w14:paraId="17471133">
            <w:pPr>
              <w:pStyle w:val="76"/>
              <w:snapToGrid w:val="0"/>
              <w:ind w:firstLine="482" w:firstLineChars="200"/>
              <w:rPr>
                <w:rFonts w:ascii="Times New Roman" w:hAnsi="Times New Roman"/>
                <w:b/>
                <w:bCs/>
                <w:color w:val="auto"/>
                <w:szCs w:val="24"/>
              </w:rPr>
            </w:pPr>
            <w:r>
              <w:rPr>
                <w:rFonts w:hint="eastAsia" w:ascii="Times New Roman" w:hAnsi="Times New Roman"/>
                <w:b/>
                <w:bCs/>
                <w:color w:val="auto"/>
                <w:szCs w:val="24"/>
              </w:rPr>
              <w:t>14、与《惠州市推进工业企业低挥发性有机物原辅材料替代工作方案》（惠市工信[2021]228号）相符性分析</w:t>
            </w:r>
          </w:p>
          <w:p w14:paraId="1C6B969D">
            <w:pPr>
              <w:pStyle w:val="76"/>
              <w:snapToGrid w:val="0"/>
              <w:ind w:firstLine="480" w:firstLineChars="200"/>
              <w:rPr>
                <w:rFonts w:ascii="Times New Roman" w:hAnsi="Times New Roman"/>
                <w:color w:val="auto"/>
                <w:szCs w:val="24"/>
              </w:rPr>
            </w:pPr>
            <w:r>
              <w:rPr>
                <w:rFonts w:hint="eastAsia" w:ascii="Times New Roman" w:hAnsi="Times New Roman"/>
                <w:color w:val="auto"/>
                <w:szCs w:val="24"/>
              </w:rPr>
              <w:t>按照“分类处置、应替尽替”的原则，推动工业涂装、家具喷涂、包装印刷等重点行业VOCs含量源头替代，采用符合国家有关低VOCs含量产品规定的涂料、油墨、粘接剂、切削液、润滑液等，或使用的原辅材VOCs含量（质量比）均低于10%的工序。工业涂装行业根据《涂料中挥发性有机物限量中》VOCs含量限值要求，重点加快使用粉末、水性、高固体分、辐射固化等低VOCs含量的涂料替代溶剂型涂料；包装印刷行业重点推广使用植物油基油墨、辐射固化油墨、低醇润版液等低VOCs含量原辅材料，重点推进塑料软包装印刷、印铁制罐等企业的替代任务。大力推进企业低挥发性有机物源头替代工作，从源头上减少挥发性有机物排放。</w:t>
            </w:r>
          </w:p>
          <w:p w14:paraId="667DCAA4">
            <w:pPr>
              <w:pStyle w:val="76"/>
              <w:snapToGrid w:val="0"/>
              <w:ind w:firstLine="482" w:firstLineChars="200"/>
              <w:rPr>
                <w:rFonts w:ascii="Times New Roman" w:hAnsi="Times New Roman"/>
                <w:color w:val="auto"/>
                <w:szCs w:val="24"/>
              </w:rPr>
            </w:pPr>
            <w:r>
              <w:rPr>
                <w:rFonts w:hint="eastAsia" w:ascii="Times New Roman" w:hAnsi="Times New Roman"/>
                <w:b/>
                <w:bCs/>
                <w:color w:val="auto"/>
                <w:szCs w:val="24"/>
              </w:rPr>
              <w:t>相符性分析：</w:t>
            </w:r>
            <w:r>
              <w:rPr>
                <w:rFonts w:ascii="Times New Roman" w:hAnsi="Times New Roman"/>
                <w:color w:val="auto"/>
              </w:rPr>
              <w:t>项目</w:t>
            </w:r>
            <w:r>
              <w:rPr>
                <w:rFonts w:hint="eastAsia" w:ascii="Times New Roman" w:hAnsi="Times New Roman"/>
                <w:color w:val="auto"/>
              </w:rPr>
              <w:t>营运期间所使用的水性底漆、水性面漆、水性清漆和粉末涂料</w:t>
            </w:r>
            <w:r>
              <w:rPr>
                <w:rFonts w:ascii="Times New Roman" w:hAnsi="Times New Roman"/>
                <w:color w:val="auto"/>
              </w:rPr>
              <w:t>为低VOCS涂料，符合《低挥发性有机化合物含量涂料产品技术要求》（GB/T38597-2020）</w:t>
            </w:r>
            <w:r>
              <w:rPr>
                <w:rFonts w:hint="eastAsia" w:ascii="Times New Roman" w:hAnsi="Times New Roman"/>
                <w:color w:val="auto"/>
              </w:rPr>
              <w:t>，生产过程产生</w:t>
            </w:r>
            <w:r>
              <w:rPr>
                <w:rFonts w:ascii="Times New Roman" w:hAnsi="Times New Roman"/>
                <w:color w:val="auto"/>
              </w:rPr>
              <w:t>的有机废气通过集气装置收集后抽至</w:t>
            </w:r>
            <w:r>
              <w:rPr>
                <w:rFonts w:hint="eastAsia" w:ascii="Times New Roman" w:hAnsi="Times New Roman"/>
                <w:color w:val="auto"/>
              </w:rPr>
              <w:t>3</w:t>
            </w:r>
            <w:r>
              <w:rPr>
                <w:rFonts w:ascii="Times New Roman" w:hAnsi="Times New Roman"/>
                <w:color w:val="auto"/>
              </w:rPr>
              <w:t>套“</w:t>
            </w:r>
            <w:r>
              <w:rPr>
                <w:rFonts w:hint="eastAsia"/>
                <w:color w:val="auto"/>
                <w:szCs w:val="24"/>
              </w:rPr>
              <w:t>水帘柜+喷淋塔+除湿装置+二级活性炭吸附装置</w:t>
            </w:r>
            <w:r>
              <w:rPr>
                <w:rFonts w:ascii="Times New Roman" w:hAnsi="Times New Roman"/>
                <w:color w:val="auto"/>
              </w:rPr>
              <w:t>”进行处理，处理</w:t>
            </w:r>
            <w:r>
              <w:rPr>
                <w:rFonts w:hint="eastAsia" w:ascii="Times New Roman" w:hAnsi="Times New Roman"/>
                <w:color w:val="auto"/>
              </w:rPr>
              <w:t>达标</w:t>
            </w:r>
            <w:r>
              <w:rPr>
                <w:rFonts w:ascii="Times New Roman" w:hAnsi="Times New Roman"/>
                <w:color w:val="auto"/>
              </w:rPr>
              <w:t>后高空排放</w:t>
            </w:r>
            <w:r>
              <w:rPr>
                <w:rFonts w:hint="eastAsia" w:ascii="Times New Roman" w:hAnsi="Times New Roman"/>
                <w:color w:val="auto"/>
                <w:szCs w:val="24"/>
              </w:rPr>
              <w:t>，符合《惠州市推进工业企业低挥发性有机物原辅材料替代工作方案》（惠市工信[2021]228号）的要求。</w:t>
            </w:r>
          </w:p>
          <w:p w14:paraId="02D3EBF8">
            <w:pPr>
              <w:pStyle w:val="76"/>
              <w:snapToGrid w:val="0"/>
              <w:ind w:firstLine="482" w:firstLineChars="200"/>
              <w:rPr>
                <w:rFonts w:ascii="Times New Roman" w:hAnsi="Times New Roman"/>
                <w:b/>
                <w:bCs/>
                <w:color w:val="auto"/>
                <w:szCs w:val="24"/>
              </w:rPr>
            </w:pPr>
            <w:r>
              <w:rPr>
                <w:rFonts w:hint="eastAsia" w:ascii="Times New Roman" w:hAnsi="Times New Roman"/>
                <w:b/>
                <w:bCs/>
                <w:color w:val="auto"/>
                <w:szCs w:val="24"/>
              </w:rPr>
              <w:t>15、与关于印发《惠州市2023年大气污染防治工作方案》的通知(惠市环[2023] 11号)的相符性分析</w:t>
            </w:r>
          </w:p>
          <w:p w14:paraId="17103C46">
            <w:pPr>
              <w:pStyle w:val="139"/>
              <w:rPr>
                <w:color w:val="auto"/>
                <w:kern w:val="2"/>
                <w:szCs w:val="24"/>
              </w:rPr>
            </w:pPr>
            <w:r>
              <w:rPr>
                <w:rFonts w:hint="eastAsia"/>
                <w:color w:val="auto"/>
                <w:kern w:val="2"/>
                <w:szCs w:val="24"/>
              </w:rPr>
              <w:t>表1-6  与惠州市2023年大气污染防治工作方案相符性分析一览表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61"/>
              <w:gridCol w:w="4637"/>
              <w:gridCol w:w="3451"/>
              <w:gridCol w:w="883"/>
            </w:tblGrid>
            <w:tr w14:paraId="7408D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trPr>
              <w:tc>
                <w:tcPr>
                  <w:tcW w:w="438" w:type="pct"/>
                  <w:vAlign w:val="center"/>
                </w:tcPr>
                <w:p w14:paraId="64E4FF3B">
                  <w:pPr>
                    <w:pStyle w:val="141"/>
                    <w:rPr>
                      <w:color w:val="auto"/>
                    </w:rPr>
                  </w:pPr>
                  <w:r>
                    <w:rPr>
                      <w:color w:val="auto"/>
                    </w:rPr>
                    <w:t>工作</w:t>
                  </w:r>
                </w:p>
                <w:p w14:paraId="402054F3">
                  <w:pPr>
                    <w:pStyle w:val="141"/>
                    <w:rPr>
                      <w:color w:val="auto"/>
                    </w:rPr>
                  </w:pPr>
                  <w:r>
                    <w:rPr>
                      <w:color w:val="auto"/>
                    </w:rPr>
                    <w:t>要求</w:t>
                  </w:r>
                </w:p>
              </w:tc>
              <w:tc>
                <w:tcPr>
                  <w:tcW w:w="2358" w:type="pct"/>
                  <w:vAlign w:val="center"/>
                </w:tcPr>
                <w:p w14:paraId="3367B1F0">
                  <w:pPr>
                    <w:pStyle w:val="141"/>
                    <w:rPr>
                      <w:color w:val="auto"/>
                    </w:rPr>
                  </w:pPr>
                  <w:r>
                    <w:rPr>
                      <w:color w:val="auto"/>
                    </w:rPr>
                    <w:t>工作内容</w:t>
                  </w:r>
                </w:p>
              </w:tc>
              <w:tc>
                <w:tcPr>
                  <w:tcW w:w="1755" w:type="pct"/>
                  <w:vAlign w:val="center"/>
                </w:tcPr>
                <w:p w14:paraId="2C221EDA">
                  <w:pPr>
                    <w:pStyle w:val="141"/>
                    <w:rPr>
                      <w:color w:val="auto"/>
                    </w:rPr>
                  </w:pPr>
                  <w:r>
                    <w:rPr>
                      <w:color w:val="auto"/>
                    </w:rPr>
                    <w:t>项目情况</w:t>
                  </w:r>
                </w:p>
              </w:tc>
              <w:tc>
                <w:tcPr>
                  <w:tcW w:w="447" w:type="pct"/>
                  <w:vAlign w:val="center"/>
                </w:tcPr>
                <w:p w14:paraId="340662CB">
                  <w:pPr>
                    <w:pStyle w:val="141"/>
                    <w:rPr>
                      <w:color w:val="auto"/>
                    </w:rPr>
                  </w:pPr>
                  <w:r>
                    <w:rPr>
                      <w:color w:val="auto"/>
                    </w:rPr>
                    <w:t>相符性</w:t>
                  </w:r>
                </w:p>
              </w:tc>
            </w:tr>
            <w:tr w14:paraId="178CE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0" w:hRule="atLeast"/>
              </w:trPr>
              <w:tc>
                <w:tcPr>
                  <w:tcW w:w="5000" w:type="pct"/>
                  <w:gridSpan w:val="4"/>
                  <w:vAlign w:val="center"/>
                </w:tcPr>
                <w:p w14:paraId="1259BBF8">
                  <w:pPr>
                    <w:pStyle w:val="141"/>
                    <w:rPr>
                      <w:color w:val="auto"/>
                    </w:rPr>
                  </w:pPr>
                  <w:r>
                    <w:rPr>
                      <w:color w:val="auto"/>
                    </w:rPr>
                    <w:t>过程控制</w:t>
                  </w:r>
                </w:p>
              </w:tc>
            </w:tr>
            <w:tr w14:paraId="2E003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9" w:hRule="atLeast"/>
              </w:trPr>
              <w:tc>
                <w:tcPr>
                  <w:tcW w:w="438" w:type="pct"/>
                  <w:vMerge w:val="restart"/>
                  <w:vAlign w:val="center"/>
                </w:tcPr>
                <w:p w14:paraId="1328A554">
                  <w:pPr>
                    <w:pStyle w:val="141"/>
                    <w:rPr>
                      <w:b w:val="0"/>
                      <w:bCs/>
                      <w:color w:val="auto"/>
                    </w:rPr>
                  </w:pPr>
                  <w:r>
                    <w:rPr>
                      <w:b w:val="0"/>
                      <w:bCs/>
                      <w:color w:val="auto"/>
                    </w:rPr>
                    <w:t>推动重点工业领域深度治理</w:t>
                  </w:r>
                </w:p>
              </w:tc>
              <w:tc>
                <w:tcPr>
                  <w:tcW w:w="2358" w:type="pct"/>
                  <w:vAlign w:val="center"/>
                </w:tcPr>
                <w:p w14:paraId="195B5286">
                  <w:pPr>
                    <w:pStyle w:val="141"/>
                    <w:jc w:val="left"/>
                    <w:rPr>
                      <w:b w:val="0"/>
                      <w:bCs/>
                      <w:color w:val="auto"/>
                    </w:rPr>
                  </w:pPr>
                  <w:r>
                    <w:rPr>
                      <w:rFonts w:hint="eastAsia"/>
                      <w:b w:val="0"/>
                      <w:bCs/>
                      <w:color w:val="auto"/>
                    </w:rPr>
                    <w:t>落实《惠州市人民政府关于重新规定惠州市高污染燃料禁燃区的通告》（惠府[2023]2号），禁止新建、扩建燃煤锅炉，全市35t/h以上燃煤锅炉和自备电厂稳定达到超低排放要求。惠城区、惠阳区、大亚湾开发区和仲恺高新区全面排查燃烧设施，确保无高污染燃料燃烧设施；惠东县、博罗县和龙门县全面排查水泥厂、石灰石膏厂、砖厂窑炉等高污染燃料燃烧设施，推动按时序要求改燃清洁能源、超低排放改造或淘汰。</w:t>
                  </w:r>
                </w:p>
              </w:tc>
              <w:tc>
                <w:tcPr>
                  <w:tcW w:w="1755" w:type="pct"/>
                  <w:vAlign w:val="center"/>
                </w:tcPr>
                <w:p w14:paraId="5F798B56">
                  <w:pPr>
                    <w:pStyle w:val="141"/>
                    <w:jc w:val="left"/>
                    <w:rPr>
                      <w:b w:val="0"/>
                      <w:bCs/>
                      <w:color w:val="auto"/>
                    </w:rPr>
                  </w:pPr>
                  <w:r>
                    <w:rPr>
                      <w:b w:val="0"/>
                      <w:bCs/>
                      <w:color w:val="auto"/>
                    </w:rPr>
                    <w:t>项目</w:t>
                  </w:r>
                  <w:r>
                    <w:rPr>
                      <w:rFonts w:hint="eastAsia"/>
                      <w:b w:val="0"/>
                      <w:bCs/>
                      <w:color w:val="auto"/>
                    </w:rPr>
                    <w:t>用能主要为电能和天然气，均由市政供应。</w:t>
                  </w:r>
                </w:p>
              </w:tc>
              <w:tc>
                <w:tcPr>
                  <w:tcW w:w="447" w:type="pct"/>
                  <w:vAlign w:val="center"/>
                </w:tcPr>
                <w:p w14:paraId="54E345F9">
                  <w:pPr>
                    <w:pStyle w:val="141"/>
                    <w:rPr>
                      <w:b w:val="0"/>
                      <w:bCs/>
                      <w:color w:val="auto"/>
                    </w:rPr>
                  </w:pPr>
                  <w:r>
                    <w:rPr>
                      <w:b w:val="0"/>
                      <w:bCs/>
                      <w:color w:val="auto"/>
                    </w:rPr>
                    <w:t>符合</w:t>
                  </w:r>
                </w:p>
              </w:tc>
            </w:tr>
            <w:tr w14:paraId="00710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4" w:hRule="atLeast"/>
              </w:trPr>
              <w:tc>
                <w:tcPr>
                  <w:tcW w:w="438" w:type="pct"/>
                  <w:vMerge w:val="continue"/>
                  <w:vAlign w:val="center"/>
                </w:tcPr>
                <w:p w14:paraId="5893D3EE">
                  <w:pPr>
                    <w:pStyle w:val="141"/>
                    <w:rPr>
                      <w:color w:val="auto"/>
                    </w:rPr>
                  </w:pPr>
                </w:p>
              </w:tc>
              <w:tc>
                <w:tcPr>
                  <w:tcW w:w="2358" w:type="pct"/>
                  <w:vAlign w:val="center"/>
                </w:tcPr>
                <w:p w14:paraId="3A362AC7">
                  <w:pPr>
                    <w:pStyle w:val="141"/>
                    <w:jc w:val="left"/>
                    <w:rPr>
                      <w:b w:val="0"/>
                      <w:bCs/>
                      <w:color w:val="auto"/>
                    </w:rPr>
                  </w:pPr>
                  <w:r>
                    <w:rPr>
                      <w:b w:val="0"/>
                      <w:bCs/>
                      <w:color w:val="auto"/>
                    </w:rPr>
                    <w:t>加强低VOCs含量原辅材料应用。应用涂装工艺的工业企业应当使用低挥发性有机物含量的涂料，并建立保存期限不少于3年的台账，记录生产原料、辅料的使用量、废弃量、去向以及VOCs含量。新建、改建、扩建的出版物印刷类项目全面使用低VOCs含量的油墨</w:t>
                  </w:r>
                  <w:r>
                    <w:rPr>
                      <w:rFonts w:hint="eastAsia"/>
                      <w:b w:val="0"/>
                      <w:bCs/>
                      <w:color w:val="auto"/>
                    </w:rPr>
                    <w:t>，</w:t>
                  </w:r>
                  <w:r>
                    <w:rPr>
                      <w:b w:val="0"/>
                      <w:bCs/>
                      <w:color w:val="auto"/>
                    </w:rPr>
                    <w:t>皮鞋制造、家具制造业类项目基本使用低VOCs含量胶粘剂。房屋建筑和市政工程全面使用低VOCs含量涂料和胶粘剂，除特殊功能要求外的室内地坪施工、室外构筑物防护和城市道路交通标志基本使用低VOCs含量涂料。</w:t>
                  </w:r>
                </w:p>
              </w:tc>
              <w:tc>
                <w:tcPr>
                  <w:tcW w:w="1755" w:type="pct"/>
                  <w:vAlign w:val="center"/>
                </w:tcPr>
                <w:p w14:paraId="4B13DB8D">
                  <w:pPr>
                    <w:pStyle w:val="141"/>
                    <w:jc w:val="left"/>
                    <w:rPr>
                      <w:b w:val="0"/>
                      <w:bCs/>
                      <w:color w:val="auto"/>
                    </w:rPr>
                  </w:pPr>
                  <w:r>
                    <w:rPr>
                      <w:rFonts w:hint="eastAsia"/>
                      <w:b w:val="0"/>
                      <w:bCs/>
                      <w:color w:val="auto"/>
                    </w:rPr>
                    <w:t>项目</w:t>
                  </w:r>
                  <w:r>
                    <w:rPr>
                      <w:b w:val="0"/>
                      <w:bCs/>
                      <w:color w:val="auto"/>
                    </w:rPr>
                    <w:t>生产过程</w:t>
                  </w:r>
                  <w:r>
                    <w:rPr>
                      <w:rFonts w:hint="eastAsia"/>
                      <w:b w:val="0"/>
                      <w:bCs/>
                      <w:color w:val="auto"/>
                    </w:rPr>
                    <w:t>所使用的水性底漆、水性面漆、水性清漆和粉末涂料</w:t>
                  </w:r>
                  <w:r>
                    <w:rPr>
                      <w:b w:val="0"/>
                      <w:bCs/>
                      <w:color w:val="auto"/>
                    </w:rPr>
                    <w:t>为低VOC</w:t>
                  </w:r>
                  <w:r>
                    <w:rPr>
                      <w:rFonts w:hint="eastAsia"/>
                      <w:b w:val="0"/>
                      <w:bCs/>
                      <w:color w:val="auto"/>
                    </w:rPr>
                    <w:t>s</w:t>
                  </w:r>
                  <w:r>
                    <w:rPr>
                      <w:b w:val="0"/>
                      <w:bCs/>
                      <w:color w:val="auto"/>
                    </w:rPr>
                    <w:t>涂料，符合《低挥发性有机化合物含量涂料产品技术要求》（GB/T38597-2020）。</w:t>
                  </w:r>
                </w:p>
              </w:tc>
              <w:tc>
                <w:tcPr>
                  <w:tcW w:w="447" w:type="pct"/>
                  <w:vAlign w:val="center"/>
                </w:tcPr>
                <w:p w14:paraId="53DA8018">
                  <w:pPr>
                    <w:pStyle w:val="141"/>
                    <w:rPr>
                      <w:b w:val="0"/>
                      <w:bCs/>
                      <w:color w:val="auto"/>
                    </w:rPr>
                  </w:pPr>
                  <w:r>
                    <w:rPr>
                      <w:b w:val="0"/>
                      <w:bCs/>
                      <w:color w:val="auto"/>
                    </w:rPr>
                    <w:t>符合</w:t>
                  </w:r>
                </w:p>
              </w:tc>
            </w:tr>
            <w:tr w14:paraId="14182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38" w:type="pct"/>
                  <w:vAlign w:val="center"/>
                </w:tcPr>
                <w:p w14:paraId="0BB3BFFB">
                  <w:pPr>
                    <w:pStyle w:val="141"/>
                    <w:rPr>
                      <w:color w:val="auto"/>
                    </w:rPr>
                  </w:pPr>
                  <w:r>
                    <w:rPr>
                      <w:b w:val="0"/>
                      <w:bCs/>
                      <w:color w:val="auto"/>
                    </w:rPr>
                    <w:t>清理整治低效治理设施</w:t>
                  </w:r>
                </w:p>
              </w:tc>
              <w:tc>
                <w:tcPr>
                  <w:tcW w:w="2358" w:type="pct"/>
                  <w:vAlign w:val="center"/>
                </w:tcPr>
                <w:p w14:paraId="09D8C2F3">
                  <w:pPr>
                    <w:pStyle w:val="141"/>
                    <w:jc w:val="left"/>
                    <w:rPr>
                      <w:b w:val="0"/>
                      <w:bCs/>
                      <w:color w:val="auto"/>
                    </w:rPr>
                  </w:pPr>
                  <w:r>
                    <w:rPr>
                      <w:b w:val="0"/>
                      <w:bCs/>
                      <w:color w:val="auto"/>
                    </w:rPr>
                    <w:t>新、改、扩建项目限制使用光催化、光氧化、水喷淋(吸收可溶性VOCs除外)、低温等离子等低效VOCs治理设施(恶臭处理除外)。加大对上述低效VOCs治理设施及其组合技术的排查整治，督促达不到治理要求的低效治理设施更换或升级改造，2023年底前，完成49家低效VOCs治理设施改造升级。</w:t>
                  </w:r>
                </w:p>
              </w:tc>
              <w:tc>
                <w:tcPr>
                  <w:tcW w:w="1755" w:type="pct"/>
                  <w:vAlign w:val="center"/>
                </w:tcPr>
                <w:p w14:paraId="5BBB9D2F">
                  <w:pPr>
                    <w:pStyle w:val="141"/>
                    <w:jc w:val="left"/>
                    <w:rPr>
                      <w:b w:val="0"/>
                      <w:bCs/>
                      <w:color w:val="auto"/>
                    </w:rPr>
                  </w:pPr>
                  <w:r>
                    <w:rPr>
                      <w:b w:val="0"/>
                      <w:bCs/>
                      <w:color w:val="auto"/>
                    </w:rPr>
                    <w:t>建设单位对</w:t>
                  </w:r>
                  <w:r>
                    <w:rPr>
                      <w:rFonts w:hint="eastAsia"/>
                      <w:b w:val="0"/>
                      <w:bCs/>
                      <w:color w:val="auto"/>
                    </w:rPr>
                    <w:t>喷漆、喷涂、烘烤和固化过程</w:t>
                  </w:r>
                  <w:r>
                    <w:rPr>
                      <w:b w:val="0"/>
                      <w:bCs/>
                      <w:color w:val="auto"/>
                    </w:rPr>
                    <w:t>等产生废气的工位做好废气有效收集，收集后废气</w:t>
                  </w:r>
                  <w:r>
                    <w:rPr>
                      <w:rFonts w:hint="eastAsia"/>
                      <w:b w:val="0"/>
                      <w:bCs/>
                      <w:color w:val="auto"/>
                    </w:rPr>
                    <w:t>分别</w:t>
                  </w:r>
                  <w:r>
                    <w:rPr>
                      <w:b w:val="0"/>
                      <w:bCs/>
                      <w:color w:val="auto"/>
                    </w:rPr>
                    <w:t>引至</w:t>
                  </w:r>
                  <w:r>
                    <w:rPr>
                      <w:rFonts w:hint="eastAsia"/>
                      <w:b w:val="0"/>
                      <w:bCs/>
                      <w:color w:val="auto"/>
                    </w:rPr>
                    <w:t>3套</w:t>
                  </w:r>
                  <w:r>
                    <w:rPr>
                      <w:b w:val="0"/>
                      <w:bCs/>
                      <w:color w:val="auto"/>
                    </w:rPr>
                    <w:t>“</w:t>
                  </w:r>
                  <w:r>
                    <w:rPr>
                      <w:rFonts w:hint="eastAsia"/>
                      <w:b w:val="0"/>
                      <w:bCs/>
                      <w:color w:val="auto"/>
                    </w:rPr>
                    <w:t>水帘柜+喷淋塔+除湿装置+二级活性炭吸附装置</w:t>
                  </w:r>
                  <w:r>
                    <w:rPr>
                      <w:b w:val="0"/>
                      <w:bCs/>
                      <w:color w:val="auto"/>
                    </w:rPr>
                    <w:t>”废气处理设施处理，不属于低效治理设施。</w:t>
                  </w:r>
                </w:p>
              </w:tc>
              <w:tc>
                <w:tcPr>
                  <w:tcW w:w="447" w:type="pct"/>
                  <w:vAlign w:val="center"/>
                </w:tcPr>
                <w:p w14:paraId="4789FF69">
                  <w:pPr>
                    <w:pStyle w:val="141"/>
                    <w:rPr>
                      <w:b w:val="0"/>
                      <w:bCs/>
                      <w:color w:val="auto"/>
                    </w:rPr>
                  </w:pPr>
                  <w:r>
                    <w:rPr>
                      <w:b w:val="0"/>
                      <w:bCs/>
                      <w:color w:val="auto"/>
                    </w:rPr>
                    <w:t>符合</w:t>
                  </w:r>
                </w:p>
              </w:tc>
            </w:tr>
          </w:tbl>
          <w:p w14:paraId="7E972101">
            <w:pPr>
              <w:pStyle w:val="104"/>
              <w:ind w:firstLine="480"/>
              <w:rPr>
                <w:color w:val="auto"/>
                <w:kern w:val="0"/>
              </w:rPr>
            </w:pPr>
            <w:r>
              <w:rPr>
                <w:bCs/>
                <w:color w:val="auto"/>
              </w:rPr>
              <w:t>综上，项目</w:t>
            </w:r>
            <w:r>
              <w:rPr>
                <w:rFonts w:hint="eastAsia"/>
                <w:bCs/>
                <w:color w:val="auto"/>
              </w:rPr>
              <w:t>的建设</w:t>
            </w:r>
            <w:r>
              <w:rPr>
                <w:bCs/>
                <w:color w:val="auto"/>
              </w:rPr>
              <w:t>符合《</w:t>
            </w:r>
            <w:r>
              <w:rPr>
                <w:rFonts w:hint="eastAsia"/>
                <w:bCs/>
                <w:color w:val="auto"/>
              </w:rPr>
              <w:t>关于印发&lt;惠州市2023年大气污染防治工作方案&gt;的通知(惠市环[2023] 11号)》</w:t>
            </w:r>
            <w:r>
              <w:rPr>
                <w:bCs/>
                <w:color w:val="auto"/>
              </w:rPr>
              <w:t>的相关要求。</w:t>
            </w:r>
          </w:p>
          <w:p w14:paraId="06DA0D77">
            <w:pPr>
              <w:pStyle w:val="76"/>
              <w:snapToGrid w:val="0"/>
              <w:ind w:firstLine="482" w:firstLineChars="200"/>
              <w:rPr>
                <w:rFonts w:ascii="Times New Roman" w:hAnsi="Times New Roman"/>
                <w:b/>
                <w:bCs/>
                <w:snapToGrid w:val="0"/>
                <w:color w:val="auto"/>
                <w:szCs w:val="24"/>
              </w:rPr>
            </w:pPr>
            <w:r>
              <w:rPr>
                <w:rFonts w:ascii="Times New Roman" w:hAnsi="Times New Roman"/>
                <w:b/>
                <w:bCs/>
                <w:snapToGrid w:val="0"/>
                <w:color w:val="auto"/>
                <w:szCs w:val="24"/>
              </w:rPr>
              <w:t>1</w:t>
            </w:r>
            <w:r>
              <w:rPr>
                <w:rFonts w:hint="eastAsia" w:ascii="Times New Roman" w:hAnsi="Times New Roman"/>
                <w:b/>
                <w:bCs/>
                <w:snapToGrid w:val="0"/>
                <w:color w:val="auto"/>
                <w:szCs w:val="24"/>
              </w:rPr>
              <w:t>6</w:t>
            </w:r>
            <w:r>
              <w:rPr>
                <w:rFonts w:ascii="Times New Roman" w:hAnsi="Times New Roman"/>
                <w:b/>
                <w:bCs/>
                <w:snapToGrid w:val="0"/>
                <w:color w:val="auto"/>
                <w:szCs w:val="24"/>
              </w:rPr>
              <w:t>、与《工业炉窑大气污染综合治理方案》（环大气[2019]56号）、《广东省生态环境厅关于2021年工业炉窑、锅炉综合整治重点工作的通知》（粤环函〔2021〕461号）和《惠州市工业炉窑大气污染综合治理工作方案》的相符性分析</w:t>
            </w:r>
          </w:p>
          <w:p w14:paraId="7643497F">
            <w:pPr>
              <w:pStyle w:val="76"/>
              <w:snapToGrid w:val="0"/>
              <w:ind w:firstLine="480"/>
              <w:rPr>
                <w:rFonts w:ascii="Times New Roman" w:hAnsi="Times New Roman"/>
                <w:b/>
                <w:bCs/>
                <w:snapToGrid w:val="0"/>
                <w:color w:val="auto"/>
                <w:szCs w:val="24"/>
              </w:rPr>
            </w:pPr>
            <w:r>
              <w:rPr>
                <w:rFonts w:ascii="Times New Roman" w:hAnsi="Times New Roman"/>
                <w:b/>
                <w:bCs/>
                <w:snapToGrid w:val="0"/>
                <w:color w:val="auto"/>
                <w:szCs w:val="24"/>
              </w:rPr>
              <w:t>《工业炉窑大气污染综合治理方案》：</w:t>
            </w:r>
          </w:p>
          <w:p w14:paraId="0E6780FB">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三、重点任务</w:t>
            </w:r>
          </w:p>
          <w:p w14:paraId="33CBC9C4">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二）加快燃料清洁低碳化替代。对以煤、石油焦、渣油、重油等为燃料的工业炉窑，加快使用清洁低碳能源以及利用工厂余热、电厂热力等进行替代。重点区域禁止掺烧高硫石油焦（硫含量大于3%）。玻璃行业全面禁止掺烧高硫石油焦。</w:t>
            </w:r>
          </w:p>
          <w:p w14:paraId="2C0840F7">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加大煤气发生炉淘汰力度。2020年年底前，重点区域淘汰炉膛直径3米以下燃料类煤气发生炉；集中使用煤气发生炉的工业园区，暂不具备改用天然气条件的，原则上应建设统一的清洁煤制气中心。</w:t>
            </w:r>
          </w:p>
          <w:p w14:paraId="53B118A0">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加快淘汰燃煤工业炉窑。重点区域取缔燃煤热风炉，基本淘汰热电联产供热管网覆盖范围内的燃煤加热、烘干炉（窑）。加快推动铸造（10吨/小时及以下）、岩棉等行业冲天炉改为电炉。</w:t>
            </w:r>
          </w:p>
          <w:p w14:paraId="4C0A843F">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三）实施污染深度治理。推进工业炉窑全面达标排放。已有行业排放标准的工业炉窑（见附件3），严格执行行业排放标准相关规定，配套建设高效脱硫脱硝除尘设施（见附件4），确保稳定达标排放。已制定更严格地方排放标准的，按地方标准执行。重点区域钢铁、水泥、焦化、石化、化工、有色等行业，二氧化硫、氮氧化物、颗粒物、挥发性有机物（VOCs）排放全面执行大气污染物特别排放限值。已核发排污许可证的，应严格执行许可要求。</w:t>
            </w:r>
          </w:p>
          <w:p w14:paraId="4A8041B9">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暂未制订行业排放标准的工业炉窑，包括铸造，日用玻璃，玻璃纤维、耐火材料、石灰、矿物棉等建材行业，钨、工业硅、金属冶炼废渣（灰）二次提取等有色金属行业，氮肥、电石、无机磷、活性炭等化工行业，应参照相关行业已出台的标准，全面加大污染治理力度（见附件4），铸造行业烧结、高炉工序污染排放控制按照钢铁行业相关标准要求执行；重点区域原则上按照颗粒物、二氧化硫、氮氧化物排放限值分别不高于30、200、300毫克/立方米实施改造，其中，日用玻璃、玻璃棉氮氧化物排放限值不高于400毫克/立方米；已制定更严格地方排放标准的地区，执行地方排放标准。</w:t>
            </w:r>
          </w:p>
          <w:p w14:paraId="35663212">
            <w:pPr>
              <w:pStyle w:val="76"/>
              <w:snapToGrid w:val="0"/>
              <w:ind w:firstLine="480"/>
              <w:rPr>
                <w:rFonts w:ascii="Times New Roman" w:hAnsi="Times New Roman"/>
                <w:b/>
                <w:bCs/>
                <w:snapToGrid w:val="0"/>
                <w:color w:val="auto"/>
                <w:szCs w:val="24"/>
              </w:rPr>
            </w:pPr>
            <w:r>
              <w:rPr>
                <w:rFonts w:ascii="Times New Roman" w:hAnsi="Times New Roman"/>
                <w:b/>
                <w:bCs/>
                <w:snapToGrid w:val="0"/>
                <w:color w:val="auto"/>
                <w:szCs w:val="24"/>
              </w:rPr>
              <w:t>《广东省生态环境厅关于2021年工业炉窑、锅炉综合整治重点工作的通知》：</w:t>
            </w:r>
          </w:p>
          <w:p w14:paraId="2C9BAA8A">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一、推进钢铁行业超低排放改造                    </w:t>
            </w:r>
          </w:p>
          <w:p w14:paraId="6AEA4D57">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各地要按粤环函〔2019〕1112号和《关于做好钢铁企业超低排放评估监测工作的通知》（环办大气函〔2019〕922）要求推进长流程、短流程钢铁企业超低排放改造，没有按要求完成超低排放改造的，不得定为A级企业。各地应于2021年8月底前将短流程钢铁企业超低排放改造计划上报我厅。                    </w:t>
            </w:r>
          </w:p>
          <w:p w14:paraId="39A6014F">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二、鼓励水泥行业超低排放改造                    </w:t>
            </w:r>
          </w:p>
          <w:p w14:paraId="308D1389">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各地按照国家工作部署，提前谋划制定水泥企业超低排放改造计划，并于2021年8月底将初定的超低排放改造计划报送我厅。没有达到超低排放改造要求的企业，不得定为A级。                    </w:t>
            </w:r>
          </w:p>
          <w:p w14:paraId="2F332E76">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三、推进钢压延、铝型材行业清洁能源改造                    </w:t>
            </w:r>
          </w:p>
          <w:p w14:paraId="598A277A">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稳步推进铝型材等有色金属冶炼和钢压延行业清洁能源改造，各地要结合产业结构、用地结构和当地天然气事业发展水平，科学制定实施计划，加强对使用煤炭等高污染燃料企业达标情况的监管。未使用清洁能源的企业不得定为A级或B级。各地应于2021年8月底前将清洁能源改造计划上报我厅。                    </w:t>
            </w:r>
          </w:p>
          <w:p w14:paraId="24195F85">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四、收严燃气锅炉大气污染物排放标准                    </w:t>
            </w:r>
          </w:p>
          <w:p w14:paraId="7C722FE1">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全省新建燃气锅炉要采取低氮燃烧技术，氮氧化物达到50毫克/立方米。各地要按照《锅炉大气污染物排放标准（DB44/765-2019）要求科学制定燃气锅炉执行特别排放限值公告，提请市政府于2022年底前发布实施。具体执行时间，执行范围以各地公告为准。                    </w:t>
            </w:r>
          </w:p>
          <w:p w14:paraId="43A3BE47">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 xml:space="preserve">五、珠三角地区逐步淘汰生物质锅炉                    </w:t>
            </w:r>
          </w:p>
          <w:p w14:paraId="7BC7873A">
            <w:pPr>
              <w:pStyle w:val="76"/>
              <w:snapToGrid w:val="0"/>
              <w:ind w:firstLine="480"/>
              <w:rPr>
                <w:rFonts w:ascii="Times New Roman" w:hAnsi="Times New Roman"/>
                <w:snapToGrid w:val="0"/>
                <w:color w:val="auto"/>
                <w:szCs w:val="24"/>
              </w:rPr>
            </w:pPr>
            <w:r>
              <w:rPr>
                <w:rFonts w:ascii="Times New Roman" w:hAnsi="Times New Roman"/>
                <w:snapToGrid w:val="0"/>
                <w:color w:val="auto"/>
                <w:szCs w:val="24"/>
              </w:rPr>
              <w:t>珠三角各地应按照《广东省人民政府关于印发广东省 “三线一单”生态环境分区管控方案的通知》有关珠三角地区“逐步淘汰生物质锅炉”要求，优先淘汰由燃煤改造为燃生物质的锅炉，于2021年8月底前将生物质锅炉淘汰计划上报我厅。</w:t>
            </w:r>
          </w:p>
          <w:p w14:paraId="309BA951">
            <w:pPr>
              <w:pStyle w:val="76"/>
              <w:snapToGrid w:val="0"/>
              <w:ind w:firstLine="480"/>
              <w:rPr>
                <w:rFonts w:ascii="Times New Roman" w:hAnsi="Times New Roman"/>
                <w:b/>
                <w:bCs/>
                <w:snapToGrid w:val="0"/>
                <w:color w:val="auto"/>
                <w:szCs w:val="24"/>
              </w:rPr>
            </w:pPr>
            <w:r>
              <w:rPr>
                <w:rFonts w:ascii="Times New Roman" w:hAnsi="Times New Roman"/>
                <w:b/>
                <w:bCs/>
                <w:snapToGrid w:val="0"/>
                <w:color w:val="auto"/>
                <w:szCs w:val="24"/>
              </w:rPr>
              <w:t>《惠州市工业炉窑大气污染综合治理工作方案》：</w:t>
            </w:r>
          </w:p>
          <w:p w14:paraId="5EBB5BF8">
            <w:pPr>
              <w:pStyle w:val="43"/>
              <w:rPr>
                <w:snapToGrid w:val="0"/>
                <w:color w:val="auto"/>
                <w:szCs w:val="24"/>
              </w:rPr>
            </w:pPr>
            <w:r>
              <w:rPr>
                <w:snapToGrid w:val="0"/>
                <w:color w:val="auto"/>
                <w:szCs w:val="24"/>
              </w:rPr>
              <w:t>二、重点工作</w:t>
            </w:r>
          </w:p>
          <w:p w14:paraId="54C4273D">
            <w:pPr>
              <w:pStyle w:val="43"/>
              <w:rPr>
                <w:snapToGrid w:val="0"/>
                <w:color w:val="auto"/>
                <w:szCs w:val="24"/>
              </w:rPr>
            </w:pPr>
            <w:r>
              <w:rPr>
                <w:snapToGrid w:val="0"/>
                <w:color w:val="auto"/>
                <w:szCs w:val="24"/>
              </w:rPr>
              <w:t>（一）加大产业结构调整力度。严格建设项目环境准入，新建涉工业炉窑的建设项目原则上要入园区，配套建设高效环保治理设施。严格控制涉工业炉窑建设项目，严禁新增钢铁、焦化、电解铝、铸造、水泥和平板玻璃等产能；严格执行钢铁、水泥、平板玻璃等行业产能置换实施办法；禁止新建燃料类煤气发生炉。加大落后产能和不达标工业炉窑淘汰力度，分行业清理《产业结构调整指导目录》淘汰类工业炉窑，对热效率低下、敞开未封闭，装备简易落后、自动化程度低，无组织排放突出，以及无治理设施或治理设施工艺落后等严重污染环境的工业炉窑，依法责令停业关闭。</w:t>
            </w:r>
          </w:p>
          <w:p w14:paraId="04222974">
            <w:pPr>
              <w:pStyle w:val="43"/>
              <w:rPr>
                <w:snapToGrid w:val="0"/>
                <w:color w:val="auto"/>
                <w:szCs w:val="24"/>
              </w:rPr>
            </w:pPr>
            <w:r>
              <w:rPr>
                <w:snapToGrid w:val="0"/>
                <w:color w:val="auto"/>
                <w:szCs w:val="24"/>
              </w:rPr>
              <w:t>（二）加快燃料清洁低碳化替代。对以煤、石油焦、渣油、重油等为燃料的工业炉窑，加快使用清洁低碳能源以及利用工厂余热、电厂热力等进行替代，禁止掺烧高硫石油焦（硫含量大于3%）。加快淘汰燃煤工业炉窑，2020年年底前，淘汰炉膛直径3米以下燃料类煤气发生炉，取缔燃煤热风炉，基本淘汰热电联产供热管网覆盖范围内的燃煤加热、烘干炉（窑）。加快推动铸造（10吨/小时及以下）、岩棉等行业冲天炉改为电炉。</w:t>
            </w:r>
          </w:p>
          <w:p w14:paraId="2D9CF5E6">
            <w:pPr>
              <w:pStyle w:val="43"/>
              <w:rPr>
                <w:snapToGrid w:val="0"/>
                <w:color w:val="auto"/>
                <w:szCs w:val="24"/>
              </w:rPr>
            </w:pPr>
            <w:r>
              <w:rPr>
                <w:snapToGrid w:val="0"/>
                <w:color w:val="auto"/>
                <w:szCs w:val="24"/>
              </w:rPr>
              <w:t>（三）实施污染深度治理。全面推进工业炉窑大气污染治理，按要求配套建设脱硫脱硝除尘等设施。已有行业排放标准的，严格执行行业排放标准相关规定；钢铁、水泥、焦化、石化、化工、有色等行业，二氧化硫、氮氧化物、颗粒物、挥发性有机物（VOCs）排放全面执行大气污染物特别排放限值；已核发排污许可证的，应严格执行排污许可要求。暂未制订行业排放标准的，原则上按照颗粒物、二氧化硫、氮氧化物排放限值分别不高于30、200、300毫克/立方米实施改造，其中，日用玻璃、玻璃棉氮氧化物排放限值不高于400毫克/立方米。严格控制生产工艺过程及相关物料储存、输送等无组织排放，在保障生产安全的前提下，采取密闭、封闭等有效措施，有效提高废气收集率，产尘点及车间不得有可见烟粉尘外逸。</w:t>
            </w:r>
          </w:p>
          <w:p w14:paraId="79923937">
            <w:pPr>
              <w:pStyle w:val="43"/>
              <w:rPr>
                <w:snapToGrid w:val="0"/>
                <w:color w:val="auto"/>
                <w:szCs w:val="24"/>
              </w:rPr>
            </w:pPr>
            <w:r>
              <w:rPr>
                <w:snapToGrid w:val="0"/>
                <w:color w:val="auto"/>
                <w:szCs w:val="24"/>
              </w:rPr>
              <w:t>推进重点行业污染深度治理。落实《关于推进实施钢铁行业超低排放的意见》（环大气〔2019〕35号），加快推进钢铁行业超低排放改造，到2025年底，全市钢铁企业按照国家要求完成超低排放改造。积极推进电解铝、平板玻璃、水泥、焦化等行业污染治理升级改造。电解铝企业全面推进烟气脱硫设施建设；全面加大热残极冷却过程无组织排放治理力度，建设封闭高效的烟气收集系统，实现残极冷却烟气有效处理。平板玻璃、建筑陶瓷企业应逐步取消脱硫脱硝烟气旁路或设置备用脱硫脱硝等设施，鼓励水泥企业实施全流程污染深度治理。推进具备条件的焦化企业实施干熄焦改造，在保证安全生产前提下，城市建成区内焦炉实施炉体加罩封闭，并对废气进行收集处理。</w:t>
            </w:r>
          </w:p>
          <w:p w14:paraId="79A9E9D0">
            <w:pPr>
              <w:pStyle w:val="43"/>
              <w:rPr>
                <w:snapToGrid w:val="0"/>
                <w:color w:val="auto"/>
                <w:szCs w:val="24"/>
              </w:rPr>
            </w:pPr>
            <w:r>
              <w:rPr>
                <w:snapToGrid w:val="0"/>
                <w:color w:val="auto"/>
                <w:szCs w:val="24"/>
              </w:rPr>
              <w:t>加大煤气发生炉VOCs治理力度。酚水系统应封闭，产生的废气应收集处理，鼓励送至煤气发生炉鼓风机入口进行再利用；酚水应送至煤气发生炉处置，或回收酚、氨后深度处理，或送至水煤浆炉进行焚烧等。禁止含酚废水直接作为煤气水封水、冲渣水。氮肥等行业采用固定床间歇式煤气化炉的，加快推进煤气冷却由直接</w:t>
            </w:r>
            <w:r>
              <w:rPr>
                <w:rFonts w:hint="eastAsia"/>
                <w:snapToGrid w:val="0"/>
                <w:color w:val="auto"/>
                <w:szCs w:val="24"/>
              </w:rPr>
              <w:t>清洗</w:t>
            </w:r>
            <w:r>
              <w:rPr>
                <w:snapToGrid w:val="0"/>
                <w:color w:val="auto"/>
                <w:szCs w:val="24"/>
              </w:rPr>
              <w:t>改为间接冷却。</w:t>
            </w:r>
          </w:p>
          <w:p w14:paraId="067BD411">
            <w:pPr>
              <w:pStyle w:val="43"/>
              <w:ind w:firstLine="482"/>
              <w:rPr>
                <w:color w:val="auto"/>
              </w:rPr>
            </w:pPr>
            <w:r>
              <w:rPr>
                <w:b/>
                <w:bCs/>
                <w:color w:val="auto"/>
              </w:rPr>
              <w:t>相符性分析：</w:t>
            </w:r>
            <w:r>
              <w:rPr>
                <w:color w:val="auto"/>
              </w:rPr>
              <w:t>本项目不涉及高污染燃料的使用，采用电能与清洁能源天然气作为热源；天然气燃烧尾气执行的大气污染物特别排放限值为</w:t>
            </w:r>
            <w:r>
              <w:rPr>
                <w:color w:val="auto"/>
                <w:szCs w:val="21"/>
              </w:rPr>
              <w:t>《工业炉窑大气污染物排放标准》（GB9078-1996），根据《广东省生态环境厅 广东省发展和改革委员会 广东省工业和信息化厅 广东省财政厅关于贯彻落实&lt;工业炉窑大气污染综合治理方案&gt;的实施意见》（粤环函【2019】1112号）要求：珠江三角洲地区原则上按照《工业炉窑大气污染综合治理方案》（大气[2019]56号）重点区域排放限值，即颗粒物30mg/m</w:t>
            </w:r>
            <w:r>
              <w:rPr>
                <w:color w:val="auto"/>
                <w:szCs w:val="21"/>
                <w:vertAlign w:val="superscript"/>
              </w:rPr>
              <w:t>3</w:t>
            </w:r>
            <w:r>
              <w:rPr>
                <w:color w:val="auto"/>
                <w:szCs w:val="21"/>
              </w:rPr>
              <w:t>、二氧化硫200mg/m</w:t>
            </w:r>
            <w:r>
              <w:rPr>
                <w:color w:val="auto"/>
                <w:szCs w:val="21"/>
                <w:vertAlign w:val="superscript"/>
              </w:rPr>
              <w:t>3</w:t>
            </w:r>
            <w:r>
              <w:rPr>
                <w:color w:val="auto"/>
                <w:szCs w:val="21"/>
              </w:rPr>
              <w:t>、氮氧化物300mg/m</w:t>
            </w:r>
            <w:r>
              <w:rPr>
                <w:color w:val="auto"/>
                <w:szCs w:val="21"/>
                <w:vertAlign w:val="superscript"/>
              </w:rPr>
              <w:t>3</w:t>
            </w:r>
            <w:r>
              <w:rPr>
                <w:color w:val="auto"/>
              </w:rPr>
              <w:t>。本项目与文件要求相符。</w:t>
            </w:r>
          </w:p>
          <w:p w14:paraId="57833B42">
            <w:pPr>
              <w:pStyle w:val="76"/>
              <w:snapToGrid w:val="0"/>
              <w:ind w:firstLine="482" w:firstLineChars="200"/>
              <w:rPr>
                <w:rFonts w:ascii="Times New Roman" w:hAnsi="Times New Roman"/>
                <w:b/>
                <w:bCs/>
                <w:snapToGrid w:val="0"/>
                <w:color w:val="auto"/>
                <w:szCs w:val="24"/>
              </w:rPr>
            </w:pPr>
            <w:r>
              <w:rPr>
                <w:rFonts w:hint="eastAsia" w:ascii="Times New Roman" w:hAnsi="Times New Roman"/>
                <w:b/>
                <w:bCs/>
                <w:snapToGrid w:val="0"/>
                <w:color w:val="auto"/>
                <w:szCs w:val="24"/>
              </w:rPr>
              <w:t>17、与《广东省臭氧污染防治（氮氧化物和挥发性有机物协同减排）实施方案（2023-2025年）》（粤环函〔2023〕45 号）相符性分析</w:t>
            </w:r>
          </w:p>
          <w:p w14:paraId="60853DD3">
            <w:pPr>
              <w:pStyle w:val="43"/>
              <w:rPr>
                <w:snapToGrid w:val="0"/>
                <w:color w:val="auto"/>
                <w:szCs w:val="24"/>
              </w:rPr>
            </w:pPr>
            <w:r>
              <w:rPr>
                <w:rFonts w:hint="eastAsia"/>
                <w:snapToGrid w:val="0"/>
                <w:color w:val="auto"/>
                <w:szCs w:val="24"/>
              </w:rPr>
              <w:t>以下内容选自《广东省臭氧污染防治（氮氧化物和挥发性有机物协同减排）实施方案（2023-2025年）》（粤环函〔2023〕45 号）：</w:t>
            </w:r>
          </w:p>
          <w:p w14:paraId="72A1A23D">
            <w:pPr>
              <w:pStyle w:val="43"/>
              <w:rPr>
                <w:snapToGrid w:val="0"/>
                <w:color w:val="auto"/>
                <w:szCs w:val="24"/>
              </w:rPr>
            </w:pPr>
            <w:r>
              <w:rPr>
                <w:rFonts w:hint="eastAsia"/>
                <w:snapToGrid w:val="0"/>
                <w:color w:val="auto"/>
                <w:szCs w:val="24"/>
              </w:rPr>
              <w:t>10．其他涉VOCs排放行业控制</w:t>
            </w:r>
          </w:p>
          <w:p w14:paraId="3DD9EF27">
            <w:pPr>
              <w:pStyle w:val="43"/>
              <w:rPr>
                <w:snapToGrid w:val="0"/>
                <w:color w:val="auto"/>
                <w:szCs w:val="24"/>
              </w:rPr>
            </w:pPr>
            <w:r>
              <w:rPr>
                <w:rFonts w:hint="eastAsia"/>
                <w:snapToGrid w:val="0"/>
                <w:color w:val="auto"/>
                <w:szCs w:val="24"/>
              </w:rPr>
              <w:t>工作目标：以工业涂装、橡胶塑料制品等行业为重点，开展涉VOCs企业达标治理，强化源头、无组织、末端全流程治理。</w:t>
            </w:r>
          </w:p>
          <w:p w14:paraId="6CB881B5">
            <w:pPr>
              <w:pStyle w:val="43"/>
              <w:rPr>
                <w:snapToGrid w:val="0"/>
                <w:color w:val="auto"/>
                <w:szCs w:val="24"/>
              </w:rPr>
            </w:pPr>
            <w:r>
              <w:rPr>
                <w:rFonts w:hint="eastAsia"/>
                <w:snapToGrid w:val="0"/>
                <w:color w:val="auto"/>
                <w:szCs w:val="24"/>
              </w:rPr>
              <w:t>工作要求：加快推进工程机械、钢结构、船舶制造等行业低VOCs含量原辅材料替代，引导生产和使用企业供应和使用符合国家质量标准产品；企业无组织排放控制措施及相关限值应符合《挥发性有机物无组织排放控制标准（GB37822）》、《固定污染源挥发性有机物排放综合标准（DB44/2367）》和《广东省生态环境厅关于实施厂区内挥发性有机物无组织排放监控要求的通告》（粤环发〔2021〕4号）要求，无法实现低VOCs原辅材料替代的工序，宜在密闭设备、密闭空间作业或安装二次密闭设施；新、改、扩建项目限制使用光催化、光氧化、水喷淋（吸收可溶性VOCs除外）、低温等离子等低效VOCs治理设施（恶臭处理除外），组织排查光催化、光氧化、水喷淋、低温等离子及上述组合技术的低效VOCs治理设施，对无法稳定达标的实施更换或升级改造。</w:t>
            </w:r>
          </w:p>
          <w:p w14:paraId="7D54F516">
            <w:pPr>
              <w:pStyle w:val="43"/>
              <w:rPr>
                <w:snapToGrid w:val="0"/>
                <w:color w:val="auto"/>
                <w:szCs w:val="24"/>
              </w:rPr>
            </w:pPr>
            <w:r>
              <w:rPr>
                <w:rFonts w:hint="eastAsia"/>
                <w:snapToGrid w:val="0"/>
                <w:color w:val="auto"/>
                <w:szCs w:val="24"/>
              </w:rPr>
              <w:t>12．涉VOCs原辅材料生产使用</w:t>
            </w:r>
          </w:p>
          <w:p w14:paraId="3F4B4268">
            <w:pPr>
              <w:pStyle w:val="43"/>
              <w:rPr>
                <w:snapToGrid w:val="0"/>
                <w:color w:val="auto"/>
                <w:szCs w:val="24"/>
              </w:rPr>
            </w:pPr>
            <w:r>
              <w:rPr>
                <w:rFonts w:hint="eastAsia"/>
                <w:snapToGrid w:val="0"/>
                <w:color w:val="auto"/>
                <w:szCs w:val="24"/>
              </w:rPr>
              <w:t>工作目标：加大VOCs原辅材料质量达标监管力度。</w:t>
            </w:r>
          </w:p>
          <w:p w14:paraId="453F5B89">
            <w:pPr>
              <w:pStyle w:val="43"/>
              <w:rPr>
                <w:snapToGrid w:val="0"/>
                <w:color w:val="auto"/>
                <w:szCs w:val="24"/>
              </w:rPr>
            </w:pPr>
            <w:r>
              <w:rPr>
                <w:rFonts w:hint="eastAsia"/>
                <w:snapToGrid w:val="0"/>
                <w:color w:val="auto"/>
                <w:szCs w:val="24"/>
              </w:rPr>
              <w:t>工作要求：严格执行涂料、油墨、胶粘剂、清洗剂VOCs含量限值标准；依法查处生产、销售VOCs含量不符合质量标准或者要求的原材料和产品的行为；增加对使用环节的检测与监管，曝光不合格产品并追溯其生产、销售、使用企业，依法追究责任。</w:t>
            </w:r>
          </w:p>
          <w:p w14:paraId="2AA762C0">
            <w:pPr>
              <w:pStyle w:val="43"/>
              <w:ind w:firstLine="482"/>
              <w:rPr>
                <w:snapToGrid w:val="0"/>
                <w:color w:val="auto"/>
                <w:szCs w:val="24"/>
              </w:rPr>
            </w:pPr>
            <w:r>
              <w:rPr>
                <w:rFonts w:hint="eastAsia"/>
                <w:b/>
                <w:bCs/>
                <w:snapToGrid w:val="0"/>
                <w:color w:val="auto"/>
                <w:szCs w:val="24"/>
              </w:rPr>
              <w:t>相符性分析：</w:t>
            </w:r>
            <w:r>
              <w:rPr>
                <w:color w:val="auto"/>
              </w:rPr>
              <w:t>项目</w:t>
            </w:r>
            <w:r>
              <w:rPr>
                <w:rFonts w:hint="eastAsia"/>
                <w:color w:val="auto"/>
              </w:rPr>
              <w:t>营运期间所使用的水性底漆、水性面漆、水性清漆和粉末涂料均属于</w:t>
            </w:r>
            <w:r>
              <w:rPr>
                <w:color w:val="auto"/>
              </w:rPr>
              <w:t>低</w:t>
            </w:r>
            <w:r>
              <w:rPr>
                <w:rFonts w:hint="eastAsia"/>
                <w:snapToGrid w:val="0"/>
                <w:color w:val="auto"/>
                <w:szCs w:val="24"/>
              </w:rPr>
              <w:t>VOCs</w:t>
            </w:r>
            <w:r>
              <w:rPr>
                <w:color w:val="auto"/>
              </w:rPr>
              <w:t>涂料，符合《低挥发性有机化合物含量涂料产品技术要求》（GB/T38597-2020）</w:t>
            </w:r>
            <w:r>
              <w:rPr>
                <w:rFonts w:hint="eastAsia"/>
                <w:color w:val="auto"/>
              </w:rPr>
              <w:t>，生产过程产生</w:t>
            </w:r>
            <w:r>
              <w:rPr>
                <w:color w:val="auto"/>
              </w:rPr>
              <w:t>的有机废气通过集气装置收集后抽至</w:t>
            </w:r>
            <w:r>
              <w:rPr>
                <w:rFonts w:hint="eastAsia"/>
                <w:color w:val="auto"/>
              </w:rPr>
              <w:t xml:space="preserve"> 3 </w:t>
            </w:r>
            <w:r>
              <w:rPr>
                <w:color w:val="auto"/>
              </w:rPr>
              <w:t>套“</w:t>
            </w:r>
            <w:r>
              <w:rPr>
                <w:rFonts w:hint="eastAsia"/>
                <w:color w:val="auto"/>
                <w:szCs w:val="24"/>
              </w:rPr>
              <w:t>水帘柜+喷淋塔+除湿装置+二级活性炭吸附装置</w:t>
            </w:r>
            <w:r>
              <w:rPr>
                <w:color w:val="auto"/>
              </w:rPr>
              <w:t>”进行处理，处理</w:t>
            </w:r>
            <w:r>
              <w:rPr>
                <w:rFonts w:hint="eastAsia"/>
                <w:color w:val="auto"/>
              </w:rPr>
              <w:t>达标</w:t>
            </w:r>
            <w:r>
              <w:rPr>
                <w:color w:val="auto"/>
              </w:rPr>
              <w:t>后高空排放</w:t>
            </w:r>
            <w:r>
              <w:rPr>
                <w:rFonts w:hint="eastAsia"/>
                <w:snapToGrid w:val="0"/>
                <w:color w:val="auto"/>
                <w:szCs w:val="24"/>
              </w:rPr>
              <w:t>，不使用光催化、光氧化、水喷淋、低温等离子等低效VOCs治理设施。因此，项目建设符合《广东省臭氧污染防治（氮氧化物和挥发性有机物协同减排）实施方案（2023-2025年）》（粤环函〔2023〕45 号）的要求。</w:t>
            </w:r>
          </w:p>
          <w:p w14:paraId="72841A44">
            <w:pPr>
              <w:pStyle w:val="43"/>
              <w:ind w:firstLine="482"/>
              <w:rPr>
                <w:snapToGrid w:val="0"/>
                <w:color w:val="auto"/>
                <w:szCs w:val="24"/>
              </w:rPr>
            </w:pPr>
            <w:r>
              <w:rPr>
                <w:rFonts w:hint="eastAsia"/>
                <w:b/>
                <w:bCs/>
                <w:color w:val="auto"/>
              </w:rPr>
              <w:t>18、与《惠州市人民政府关于划定惠州市高污染燃料禁燃区的通告》（惠府〔2023〕2号）相符性分析</w:t>
            </w:r>
          </w:p>
          <w:p w14:paraId="50F09D96">
            <w:pPr>
              <w:pStyle w:val="43"/>
              <w:rPr>
                <w:snapToGrid w:val="0"/>
                <w:color w:val="auto"/>
                <w:szCs w:val="24"/>
              </w:rPr>
            </w:pPr>
            <w:r>
              <w:rPr>
                <w:rFonts w:hint="eastAsia"/>
                <w:snapToGrid w:val="0"/>
                <w:color w:val="auto"/>
                <w:szCs w:val="24"/>
              </w:rPr>
              <w:t>以下内容选自《惠州市人民政府关于划定惠州市高污染燃料禁燃区的通告》（惠府〔2023〕2号）：</w:t>
            </w:r>
          </w:p>
          <w:p w14:paraId="39DA5923">
            <w:pPr>
              <w:pStyle w:val="43"/>
              <w:rPr>
                <w:snapToGrid w:val="0"/>
                <w:color w:val="auto"/>
                <w:szCs w:val="24"/>
              </w:rPr>
            </w:pPr>
            <w:r>
              <w:rPr>
                <w:rFonts w:hint="eastAsia"/>
                <w:snapToGrid w:val="0"/>
                <w:color w:val="auto"/>
                <w:szCs w:val="24"/>
              </w:rPr>
              <w:t>一、禁燃区范围划定</w:t>
            </w:r>
          </w:p>
          <w:p w14:paraId="089A5ECC">
            <w:pPr>
              <w:pStyle w:val="43"/>
              <w:rPr>
                <w:snapToGrid w:val="0"/>
                <w:color w:val="auto"/>
                <w:szCs w:val="24"/>
              </w:rPr>
            </w:pPr>
            <w:r>
              <w:rPr>
                <w:rFonts w:hint="eastAsia"/>
                <w:snapToGrid w:val="0"/>
                <w:color w:val="auto"/>
                <w:szCs w:val="24"/>
              </w:rPr>
              <w:t>惠州市全市行政区域均划定为高污染燃料禁燃区。</w:t>
            </w:r>
          </w:p>
          <w:p w14:paraId="25336BBD">
            <w:pPr>
              <w:pStyle w:val="43"/>
              <w:rPr>
                <w:snapToGrid w:val="0"/>
                <w:color w:val="auto"/>
                <w:szCs w:val="24"/>
              </w:rPr>
            </w:pPr>
            <w:r>
              <w:rPr>
                <w:rFonts w:hint="eastAsia"/>
                <w:snapToGrid w:val="0"/>
                <w:color w:val="auto"/>
                <w:szCs w:val="24"/>
              </w:rPr>
              <w:t>（一）全域范围内的单台出力35蒸吨/小时及以上锅炉、火力发电企业机组锅炉禁止燃用的燃料按照《高污染燃料目录》第Ⅱ类燃料组合类别执行。</w:t>
            </w:r>
          </w:p>
          <w:p w14:paraId="40B8EAE8">
            <w:pPr>
              <w:pStyle w:val="43"/>
              <w:rPr>
                <w:snapToGrid w:val="0"/>
                <w:color w:val="auto"/>
                <w:szCs w:val="24"/>
              </w:rPr>
            </w:pPr>
            <w:r>
              <w:rPr>
                <w:rFonts w:hint="eastAsia"/>
                <w:snapToGrid w:val="0"/>
                <w:color w:val="auto"/>
                <w:szCs w:val="24"/>
              </w:rPr>
              <w:t>（二）其他燃烧设施禁止燃用的燃料：</w:t>
            </w:r>
          </w:p>
          <w:p w14:paraId="1118976F">
            <w:pPr>
              <w:pStyle w:val="43"/>
              <w:rPr>
                <w:snapToGrid w:val="0"/>
                <w:color w:val="auto"/>
                <w:szCs w:val="24"/>
              </w:rPr>
            </w:pPr>
            <w:r>
              <w:rPr>
                <w:rFonts w:hint="eastAsia"/>
                <w:snapToGrid w:val="0"/>
                <w:color w:val="auto"/>
                <w:szCs w:val="24"/>
              </w:rPr>
              <w:t>1. 惠城区、惠阳区、大亚湾开发区、仲恺高新区：按照《高污染燃料目录》第III类燃料组合类别执行。</w:t>
            </w:r>
          </w:p>
          <w:p w14:paraId="777625EF">
            <w:pPr>
              <w:pStyle w:val="43"/>
              <w:rPr>
                <w:snapToGrid w:val="0"/>
                <w:color w:val="auto"/>
                <w:szCs w:val="24"/>
              </w:rPr>
            </w:pPr>
            <w:r>
              <w:rPr>
                <w:rFonts w:hint="eastAsia"/>
                <w:snapToGrid w:val="0"/>
                <w:color w:val="auto"/>
                <w:szCs w:val="24"/>
              </w:rPr>
              <w:t>2. 惠东县、博罗县、龙门县：</w:t>
            </w:r>
          </w:p>
          <w:p w14:paraId="0A9A2CE6">
            <w:pPr>
              <w:pStyle w:val="43"/>
              <w:rPr>
                <w:snapToGrid w:val="0"/>
                <w:color w:val="auto"/>
                <w:szCs w:val="24"/>
              </w:rPr>
            </w:pPr>
            <w:r>
              <w:rPr>
                <w:rFonts w:hint="eastAsia"/>
                <w:snapToGrid w:val="0"/>
                <w:color w:val="auto"/>
                <w:szCs w:val="24"/>
              </w:rPr>
              <w:t>——惠东县平山街道全域，博罗县罗阳街道全域，龙门县龙城街道全域，按照《高污染燃料目录》第III类燃料组合类别执行。</w:t>
            </w:r>
          </w:p>
          <w:p w14:paraId="57B93CC2">
            <w:pPr>
              <w:pStyle w:val="43"/>
              <w:rPr>
                <w:snapToGrid w:val="0"/>
                <w:color w:val="auto"/>
                <w:szCs w:val="24"/>
              </w:rPr>
            </w:pPr>
            <w:r>
              <w:rPr>
                <w:rFonts w:hint="eastAsia"/>
                <w:snapToGrid w:val="0"/>
                <w:color w:val="auto"/>
                <w:szCs w:val="24"/>
              </w:rPr>
              <w:t>——惠东县大岭街道、白花镇，博罗县园洲镇、石湾镇、龙溪街道、泰美镇，2025年12月31日前按照《高污染燃料目录》第Ⅱ类燃料组合类别执行；2026年1月1日起，按照《高污染燃料目录》第III类燃料组合类别执行。</w:t>
            </w:r>
          </w:p>
          <w:p w14:paraId="785CCA12">
            <w:pPr>
              <w:pStyle w:val="43"/>
              <w:rPr>
                <w:snapToGrid w:val="0"/>
                <w:color w:val="auto"/>
                <w:szCs w:val="24"/>
              </w:rPr>
            </w:pPr>
            <w:r>
              <w:rPr>
                <w:rFonts w:hint="eastAsia"/>
                <w:snapToGrid w:val="0"/>
                <w:color w:val="auto"/>
                <w:szCs w:val="24"/>
              </w:rPr>
              <w:t>——惠东县、博罗县、龙门县除上述区域外的其他地区，2025年12月31日前按照《高污染燃料目录》第Ⅰ类燃料组合类别执行；2026年1月1日起，按照《高污染燃料目录》第III类燃料组合类别执行。</w:t>
            </w:r>
          </w:p>
          <w:p w14:paraId="1AC10E73">
            <w:pPr>
              <w:pStyle w:val="43"/>
              <w:rPr>
                <w:snapToGrid w:val="0"/>
                <w:color w:val="auto"/>
                <w:szCs w:val="24"/>
              </w:rPr>
            </w:pPr>
            <w:r>
              <w:rPr>
                <w:rFonts w:hint="eastAsia"/>
                <w:snapToGrid w:val="0"/>
                <w:color w:val="auto"/>
                <w:szCs w:val="24"/>
              </w:rPr>
              <w:t>二、禁燃区管理</w:t>
            </w:r>
          </w:p>
          <w:p w14:paraId="7B5419A1">
            <w:pPr>
              <w:pStyle w:val="43"/>
              <w:rPr>
                <w:snapToGrid w:val="0"/>
                <w:color w:val="auto"/>
                <w:szCs w:val="24"/>
              </w:rPr>
            </w:pPr>
            <w:r>
              <w:rPr>
                <w:rFonts w:hint="eastAsia"/>
                <w:snapToGrid w:val="0"/>
                <w:color w:val="auto"/>
                <w:szCs w:val="24"/>
              </w:rPr>
              <w:t>（一）全市范围内除纳入能源规划的环保综合升级改造项目外，禁止新建、扩建燃用高污染燃料的燃烧设施。原则上全域禁止新建燃煤锅炉。</w:t>
            </w:r>
          </w:p>
          <w:p w14:paraId="64683D1B">
            <w:pPr>
              <w:pStyle w:val="43"/>
              <w:rPr>
                <w:snapToGrid w:val="0"/>
                <w:color w:val="auto"/>
                <w:szCs w:val="24"/>
              </w:rPr>
            </w:pPr>
            <w:r>
              <w:rPr>
                <w:rFonts w:hint="eastAsia"/>
                <w:snapToGrid w:val="0"/>
                <w:color w:val="auto"/>
                <w:szCs w:val="24"/>
              </w:rPr>
              <w:t>（二）全市范围内禁止燃用高污染燃料，禁止新增高污染燃料销售点。现有高污染燃料销售点，除本通告禁燃区管理第（三）条规定的当前可燃用高污染燃料设施的单位外，不得向本市范围内其他组织或个人销售高污染燃料。</w:t>
            </w:r>
          </w:p>
          <w:p w14:paraId="0DFD2C53">
            <w:pPr>
              <w:pStyle w:val="43"/>
              <w:rPr>
                <w:snapToGrid w:val="0"/>
                <w:color w:val="auto"/>
                <w:szCs w:val="24"/>
              </w:rPr>
            </w:pPr>
            <w:r>
              <w:rPr>
                <w:rFonts w:hint="eastAsia"/>
                <w:snapToGrid w:val="0"/>
                <w:color w:val="auto"/>
                <w:szCs w:val="24"/>
              </w:rPr>
              <w:t>（三）全市范围内已建成的高污染燃料燃烧设施按以下规定逐步强化管理：</w:t>
            </w:r>
          </w:p>
          <w:p w14:paraId="449A14C3">
            <w:pPr>
              <w:pStyle w:val="43"/>
              <w:rPr>
                <w:snapToGrid w:val="0"/>
                <w:color w:val="auto"/>
                <w:szCs w:val="24"/>
              </w:rPr>
            </w:pPr>
            <w:r>
              <w:rPr>
                <w:rFonts w:hint="eastAsia"/>
                <w:snapToGrid w:val="0"/>
                <w:color w:val="auto"/>
                <w:szCs w:val="24"/>
              </w:rPr>
              <w:t>1. 单台出力35蒸吨/小时及以上的高污染燃料锅炉（含火力发电企业机组锅炉），2023年12月31日前应当拆除，或改燃清洁能源，或完成超低排放改造。</w:t>
            </w:r>
          </w:p>
          <w:p w14:paraId="661B67E9">
            <w:pPr>
              <w:pStyle w:val="43"/>
              <w:rPr>
                <w:snapToGrid w:val="0"/>
                <w:color w:val="auto"/>
                <w:szCs w:val="24"/>
              </w:rPr>
            </w:pPr>
            <w:r>
              <w:rPr>
                <w:rFonts w:hint="eastAsia"/>
                <w:snapToGrid w:val="0"/>
                <w:color w:val="auto"/>
                <w:szCs w:val="24"/>
              </w:rPr>
              <w:t>2. 使用高污染燃料的钢铁厂、水泥厂窑炉及其他燃烧设施，2025年12月31日前应当拆除，或改燃清洁能源，或完成超低排放改造。</w:t>
            </w:r>
          </w:p>
          <w:p w14:paraId="446E4523">
            <w:pPr>
              <w:pStyle w:val="43"/>
              <w:rPr>
                <w:snapToGrid w:val="0"/>
                <w:color w:val="auto"/>
                <w:szCs w:val="24"/>
              </w:rPr>
            </w:pPr>
            <w:r>
              <w:rPr>
                <w:rFonts w:hint="eastAsia"/>
                <w:snapToGrid w:val="0"/>
                <w:color w:val="auto"/>
                <w:szCs w:val="24"/>
              </w:rPr>
              <w:t>（四）国家或广东省发布相关行业、燃用设备、燃料等新的强制性排放标准的，从其新标准实施。</w:t>
            </w:r>
          </w:p>
          <w:p w14:paraId="555F3458">
            <w:pPr>
              <w:pStyle w:val="43"/>
              <w:ind w:firstLine="482"/>
              <w:rPr>
                <w:b/>
                <w:bCs/>
                <w:snapToGrid w:val="0"/>
                <w:color w:val="auto"/>
                <w:szCs w:val="24"/>
              </w:rPr>
            </w:pPr>
            <w:r>
              <w:rPr>
                <w:rFonts w:hint="eastAsia"/>
                <w:b/>
                <w:bCs/>
                <w:snapToGrid w:val="0"/>
                <w:color w:val="auto"/>
                <w:szCs w:val="24"/>
              </w:rPr>
              <w:t>本通告所指的高污染燃料：</w:t>
            </w:r>
          </w:p>
          <w:p w14:paraId="4067EBA3">
            <w:pPr>
              <w:pStyle w:val="43"/>
              <w:rPr>
                <w:snapToGrid w:val="0"/>
                <w:color w:val="auto"/>
                <w:szCs w:val="24"/>
              </w:rPr>
            </w:pPr>
            <w:r>
              <w:rPr>
                <w:rFonts w:hint="eastAsia"/>
                <w:snapToGrid w:val="0"/>
                <w:color w:val="auto"/>
                <w:szCs w:val="24"/>
              </w:rPr>
              <w:t>一、Ⅰ类</w:t>
            </w:r>
          </w:p>
          <w:p w14:paraId="6DC7939E">
            <w:pPr>
              <w:pStyle w:val="43"/>
              <w:rPr>
                <w:snapToGrid w:val="0"/>
                <w:color w:val="auto"/>
                <w:szCs w:val="24"/>
              </w:rPr>
            </w:pPr>
            <w:r>
              <w:rPr>
                <w:rFonts w:hint="eastAsia"/>
                <w:snapToGrid w:val="0"/>
                <w:color w:val="auto"/>
                <w:szCs w:val="24"/>
              </w:rPr>
              <w:t>（一）单台出力小于20蒸吨/小时的锅炉和民用燃煤设备燃用的含硫量大于0.5%、灰分大于10%的煤炭及其制品，其中：型煤、焦炭、兰炭的组分含量大于国环规大气〔2017〕2号文中规定的限值。</w:t>
            </w:r>
          </w:p>
          <w:p w14:paraId="1C771893">
            <w:pPr>
              <w:pStyle w:val="43"/>
              <w:rPr>
                <w:snapToGrid w:val="0"/>
                <w:color w:val="auto"/>
                <w:szCs w:val="24"/>
              </w:rPr>
            </w:pPr>
            <w:r>
              <w:rPr>
                <w:rFonts w:hint="eastAsia"/>
                <w:snapToGrid w:val="0"/>
                <w:color w:val="auto"/>
                <w:szCs w:val="24"/>
              </w:rPr>
              <w:t>（二）石油焦、油页岩、原油、重油、渣油、煤焦油。</w:t>
            </w:r>
          </w:p>
          <w:p w14:paraId="1FF682C4">
            <w:pPr>
              <w:pStyle w:val="43"/>
              <w:rPr>
                <w:snapToGrid w:val="0"/>
                <w:color w:val="auto"/>
                <w:szCs w:val="24"/>
              </w:rPr>
            </w:pPr>
            <w:r>
              <w:rPr>
                <w:rFonts w:hint="eastAsia"/>
                <w:snapToGrid w:val="0"/>
                <w:color w:val="auto"/>
                <w:szCs w:val="24"/>
              </w:rPr>
              <w:t>二、Ⅱ类</w:t>
            </w:r>
          </w:p>
          <w:p w14:paraId="4F0357FE">
            <w:pPr>
              <w:pStyle w:val="43"/>
              <w:rPr>
                <w:snapToGrid w:val="0"/>
                <w:color w:val="auto"/>
                <w:szCs w:val="24"/>
              </w:rPr>
            </w:pPr>
            <w:r>
              <w:rPr>
                <w:rFonts w:hint="eastAsia"/>
                <w:snapToGrid w:val="0"/>
                <w:color w:val="auto"/>
                <w:szCs w:val="24"/>
              </w:rPr>
              <w:t>（一）除单台出力大于等于20蒸吨/小时锅炉以外燃用的煤炭及其制品。</w:t>
            </w:r>
          </w:p>
          <w:p w14:paraId="4E538D5B">
            <w:pPr>
              <w:pStyle w:val="43"/>
              <w:rPr>
                <w:snapToGrid w:val="0"/>
                <w:color w:val="auto"/>
                <w:szCs w:val="24"/>
              </w:rPr>
            </w:pPr>
            <w:r>
              <w:rPr>
                <w:rFonts w:hint="eastAsia"/>
                <w:snapToGrid w:val="0"/>
                <w:color w:val="auto"/>
                <w:szCs w:val="24"/>
              </w:rPr>
              <w:t>（二）石油焦、油页岩、原油、重油、渣油、煤焦油。</w:t>
            </w:r>
          </w:p>
          <w:p w14:paraId="7662ACFA">
            <w:pPr>
              <w:pStyle w:val="43"/>
              <w:rPr>
                <w:snapToGrid w:val="0"/>
                <w:color w:val="auto"/>
                <w:szCs w:val="24"/>
              </w:rPr>
            </w:pPr>
            <w:r>
              <w:rPr>
                <w:rFonts w:hint="eastAsia"/>
                <w:snapToGrid w:val="0"/>
                <w:color w:val="auto"/>
                <w:szCs w:val="24"/>
              </w:rPr>
              <w:t>三、Ⅲ类</w:t>
            </w:r>
          </w:p>
          <w:p w14:paraId="4292F99E">
            <w:pPr>
              <w:pStyle w:val="43"/>
              <w:rPr>
                <w:snapToGrid w:val="0"/>
                <w:color w:val="auto"/>
                <w:szCs w:val="24"/>
              </w:rPr>
            </w:pPr>
            <w:r>
              <w:rPr>
                <w:rFonts w:hint="eastAsia"/>
                <w:snapToGrid w:val="0"/>
                <w:color w:val="auto"/>
                <w:szCs w:val="24"/>
              </w:rPr>
              <w:t>（一）煤炭及其制品。</w:t>
            </w:r>
          </w:p>
          <w:p w14:paraId="1B7EF38C">
            <w:pPr>
              <w:pStyle w:val="43"/>
              <w:rPr>
                <w:snapToGrid w:val="0"/>
                <w:color w:val="auto"/>
                <w:szCs w:val="24"/>
              </w:rPr>
            </w:pPr>
            <w:r>
              <w:rPr>
                <w:rFonts w:hint="eastAsia"/>
                <w:snapToGrid w:val="0"/>
                <w:color w:val="auto"/>
                <w:szCs w:val="24"/>
              </w:rPr>
              <w:t>（二）石油焦、油页岩、原油、重油、渣油、煤焦油。</w:t>
            </w:r>
          </w:p>
          <w:p w14:paraId="705210D5">
            <w:pPr>
              <w:pStyle w:val="43"/>
              <w:rPr>
                <w:snapToGrid w:val="0"/>
                <w:color w:val="auto"/>
                <w:szCs w:val="24"/>
              </w:rPr>
            </w:pPr>
            <w:r>
              <w:rPr>
                <w:rFonts w:hint="eastAsia"/>
                <w:snapToGrid w:val="0"/>
                <w:color w:val="auto"/>
                <w:szCs w:val="24"/>
              </w:rPr>
              <w:t>（三）非专用锅炉或未配置高效除尘设施的专用锅炉燃用的生物质成型燃料。</w:t>
            </w:r>
          </w:p>
          <w:p w14:paraId="175CA674">
            <w:pPr>
              <w:pStyle w:val="43"/>
              <w:ind w:firstLine="482"/>
              <w:rPr>
                <w:snapToGrid w:val="0"/>
                <w:color w:val="auto"/>
                <w:szCs w:val="24"/>
              </w:rPr>
            </w:pPr>
            <w:r>
              <w:rPr>
                <w:b/>
                <w:bCs/>
                <w:color w:val="auto"/>
              </w:rPr>
              <w:t>相符性分析：</w:t>
            </w:r>
            <w:r>
              <w:rPr>
                <w:color w:val="auto"/>
              </w:rPr>
              <w:t>本项目</w:t>
            </w:r>
            <w:r>
              <w:rPr>
                <w:rFonts w:hint="eastAsia"/>
                <w:color w:val="auto"/>
              </w:rPr>
              <w:t>所在位置属于石湾镇的行政范围，需执行</w:t>
            </w:r>
            <w:r>
              <w:rPr>
                <w:rFonts w:hint="eastAsia"/>
                <w:snapToGrid w:val="0"/>
                <w:color w:val="auto"/>
                <w:szCs w:val="24"/>
              </w:rPr>
              <w:t>2025年12月31日前按照《高污染燃料目录》第Ⅱ类燃料组合类别执行；2026年1月1日起，按照《高污染燃料目录》第III类燃料组合类别执行。</w:t>
            </w:r>
            <w:r>
              <w:rPr>
                <w:rFonts w:hint="eastAsia"/>
                <w:color w:val="auto"/>
              </w:rPr>
              <w:t>项目</w:t>
            </w:r>
            <w:r>
              <w:rPr>
                <w:color w:val="auto"/>
              </w:rPr>
              <w:t>采用电能与清洁能源天然气作为热源</w:t>
            </w:r>
            <w:r>
              <w:rPr>
                <w:rFonts w:hint="eastAsia"/>
                <w:color w:val="auto"/>
              </w:rPr>
              <w:t>，均不属于</w:t>
            </w:r>
            <w:r>
              <w:rPr>
                <w:rFonts w:hint="eastAsia"/>
                <w:snapToGrid w:val="0"/>
                <w:color w:val="auto"/>
                <w:szCs w:val="24"/>
              </w:rPr>
              <w:t>《高污染燃料目录》中的燃料类别。</w:t>
            </w:r>
          </w:p>
          <w:p w14:paraId="586A7958">
            <w:pPr>
              <w:pStyle w:val="43"/>
              <w:ind w:firstLine="482"/>
              <w:rPr>
                <w:snapToGrid w:val="0"/>
                <w:color w:val="auto"/>
                <w:szCs w:val="24"/>
              </w:rPr>
            </w:pPr>
            <w:r>
              <w:rPr>
                <w:rFonts w:hint="eastAsia"/>
                <w:b/>
                <w:bCs/>
                <w:snapToGrid w:val="0"/>
                <w:color w:val="auto"/>
                <w:szCs w:val="24"/>
              </w:rPr>
              <w:t>19、与《关于加快解决当前挥发性有机物治理突出问题的通知》（环大气〔2021〕65号）相符性分析</w:t>
            </w:r>
          </w:p>
          <w:p w14:paraId="07BE1092">
            <w:pPr>
              <w:pStyle w:val="43"/>
              <w:rPr>
                <w:snapToGrid w:val="0"/>
                <w:color w:val="auto"/>
                <w:szCs w:val="24"/>
              </w:rPr>
            </w:pPr>
            <w:r>
              <w:rPr>
                <w:snapToGrid w:val="0"/>
                <w:color w:val="auto"/>
                <w:szCs w:val="24"/>
              </w:rPr>
              <w:t>以下内容选自《关于加快解决当前挥发性有机物治理突出问题的通知》（环大气〔2021〕65号）：</w:t>
            </w:r>
          </w:p>
          <w:p w14:paraId="218E5E39">
            <w:pPr>
              <w:pStyle w:val="43"/>
              <w:numPr>
                <w:ilvl w:val="0"/>
                <w:numId w:val="7"/>
              </w:numPr>
              <w:ind w:firstLine="482"/>
              <w:rPr>
                <w:b/>
                <w:bCs/>
                <w:color w:val="auto"/>
                <w:szCs w:val="24"/>
              </w:rPr>
            </w:pPr>
            <w:r>
              <w:rPr>
                <w:b/>
                <w:bCs/>
                <w:color w:val="auto"/>
                <w:szCs w:val="24"/>
              </w:rPr>
              <w:t>废气收集设施</w:t>
            </w:r>
          </w:p>
          <w:p w14:paraId="6DC1787C">
            <w:pPr>
              <w:pStyle w:val="43"/>
              <w:ind w:firstLine="482"/>
              <w:rPr>
                <w:color w:val="auto"/>
                <w:szCs w:val="24"/>
              </w:rPr>
            </w:pPr>
            <w:r>
              <w:rPr>
                <w:b/>
                <w:bCs/>
                <w:color w:val="auto"/>
                <w:szCs w:val="24"/>
              </w:rPr>
              <w:t>存在的突出问题</w:t>
            </w:r>
            <w:r>
              <w:rPr>
                <w:rFonts w:hint="eastAsia"/>
                <w:b/>
                <w:bCs/>
                <w:color w:val="auto"/>
                <w:szCs w:val="24"/>
              </w:rPr>
              <w:t>。</w:t>
            </w:r>
            <w:r>
              <w:rPr>
                <w:color w:val="auto"/>
                <w:szCs w:val="24"/>
              </w:rPr>
              <w:t>敞开式生产未配备收集设施，未对VOCs废气进行分质收集，废气收集系统排风罩（集气罩）控制风速达不到标准要求，废气收集系统输送管道破损、泄漏严重，生产设备密闭不严等。</w:t>
            </w:r>
          </w:p>
          <w:p w14:paraId="32382DB3">
            <w:pPr>
              <w:pStyle w:val="43"/>
              <w:ind w:firstLine="482"/>
              <w:rPr>
                <w:color w:val="auto"/>
                <w:szCs w:val="24"/>
              </w:rPr>
            </w:pPr>
            <w:r>
              <w:rPr>
                <w:b/>
                <w:bCs/>
                <w:color w:val="auto"/>
                <w:szCs w:val="24"/>
              </w:rPr>
              <w:t>排查检查重点。</w:t>
            </w:r>
            <w:r>
              <w:rPr>
                <w:color w:val="auto"/>
                <w:szCs w:val="24"/>
              </w:rPr>
              <w:t>检查车间和设备密闭情况、有机废气是否“应收尽收”、高低浓度废气是否分质收集处理等，废气收集系统排风罩的设计是否符合标准要求，并采用风速仪等设备开展现场抽测；检查废气收集系统输送管道是否有可见的破损情况；检查废气收集系统是否在负压状态下运行，若处于正压状态，应对输送管道组件的密封点进行泄漏检测。</w:t>
            </w:r>
          </w:p>
          <w:p w14:paraId="303E0139">
            <w:pPr>
              <w:pStyle w:val="43"/>
              <w:ind w:firstLine="482"/>
              <w:rPr>
                <w:color w:val="auto"/>
                <w:szCs w:val="24"/>
              </w:rPr>
            </w:pPr>
            <w:r>
              <w:rPr>
                <w:b/>
                <w:bCs/>
                <w:color w:val="auto"/>
                <w:szCs w:val="24"/>
              </w:rPr>
              <w:t>治理要求。</w:t>
            </w:r>
            <w:r>
              <w:rPr>
                <w:color w:val="auto"/>
                <w:szCs w:val="24"/>
              </w:rPr>
              <w:t>产生 VOCs 的生产环节优先采用密闭设备、在密闭空间中操作或采用全密闭集气罩收集方式，并保持负压运行。无尘等级要求车间需设置成正压的，宜建设内层正压、外层微负压的双层整体密闭收集空间。对采用局部收集方式的企业，距废气收集系统排风罩开口面最远处的VOCs无组织排放位置控制风速不低于0.3m/s；推广以生产线或设备为单位设置隔间，收集风量应确保隔间保持微负压。当废气产生点较多、彼此距离较远时，在满足设计规范、风压平衡的基础上，适当分设多套收集系统或中继风机。废气收集系统的输送管道应密闭、无破损。</w:t>
            </w:r>
            <w:r>
              <w:rPr>
                <w:rFonts w:ascii="Arial" w:hAnsi="Arial" w:cs="Arial"/>
                <w:color w:val="auto"/>
                <w:szCs w:val="24"/>
              </w:rPr>
              <w:t>……</w:t>
            </w:r>
            <w:r>
              <w:rPr>
                <w:color w:val="auto"/>
                <w:szCs w:val="24"/>
              </w:rPr>
              <w:t>工业涂装行业建设密闭喷漆房，对于大型构件（船舶、钢结构）实施分段涂装，废气进行收集治理；对于确需露天涂装的，应采用符合国家或地方标准要求的低（无）VOCs 含量涂料，或使用移动式废气收集治理设施。包装印刷行业的印刷、复合、涂布工序实施密闭化改造，全面采用 VOCs 质量占比小于10%的原辅材料的除外。</w:t>
            </w:r>
            <w:r>
              <w:rPr>
                <w:rFonts w:ascii="Arial" w:hAnsi="Arial" w:cs="Arial"/>
                <w:color w:val="auto"/>
                <w:szCs w:val="24"/>
              </w:rPr>
              <w:t>……</w:t>
            </w:r>
            <w:r>
              <w:rPr>
                <w:color w:val="auto"/>
                <w:szCs w:val="24"/>
              </w:rPr>
              <w:t>使用VOCs质量占比大于等于 10%的涂料、油墨、胶粘剂、稀释剂、清洗剂等物料存储、调配、转移、输送等环节应密闭。</w:t>
            </w:r>
          </w:p>
          <w:p w14:paraId="55C1AF56">
            <w:pPr>
              <w:pStyle w:val="43"/>
              <w:ind w:firstLine="482"/>
              <w:rPr>
                <w:b/>
                <w:bCs/>
                <w:color w:val="auto"/>
                <w:szCs w:val="24"/>
              </w:rPr>
            </w:pPr>
            <w:r>
              <w:rPr>
                <w:b/>
                <w:bCs/>
                <w:color w:val="auto"/>
                <w:szCs w:val="24"/>
              </w:rPr>
              <w:t>七、有机废气治理设施</w:t>
            </w:r>
          </w:p>
          <w:p w14:paraId="027068F6">
            <w:pPr>
              <w:pStyle w:val="43"/>
              <w:ind w:firstLine="482"/>
              <w:rPr>
                <w:color w:val="auto"/>
                <w:szCs w:val="24"/>
              </w:rPr>
            </w:pPr>
            <w:r>
              <w:rPr>
                <w:b/>
                <w:bCs/>
                <w:color w:val="auto"/>
                <w:szCs w:val="24"/>
              </w:rPr>
              <w:t>存在的突出问题。</w:t>
            </w:r>
            <w:r>
              <w:rPr>
                <w:color w:val="auto"/>
                <w:szCs w:val="24"/>
              </w:rPr>
              <w:t>治理设施设计不规范、与生产系统不匹配；光催化、光氧化、低温等离子等低效技术使用占比大、治理效果差；治理设施建设质量良莠不齐，应付治理、无效治理等现象突出；治理设施运行不规范，定期维护不到位。</w:t>
            </w:r>
          </w:p>
          <w:p w14:paraId="2D775C5E">
            <w:pPr>
              <w:pStyle w:val="43"/>
              <w:ind w:firstLine="482"/>
              <w:rPr>
                <w:color w:val="auto"/>
                <w:szCs w:val="24"/>
              </w:rPr>
            </w:pPr>
            <w:r>
              <w:rPr>
                <w:b/>
                <w:bCs/>
                <w:color w:val="auto"/>
                <w:szCs w:val="24"/>
              </w:rPr>
              <w:t>排查检查重点。</w:t>
            </w:r>
            <w:r>
              <w:rPr>
                <w:color w:val="auto"/>
                <w:szCs w:val="24"/>
              </w:rPr>
              <w:t>对治理设施建设情况、工艺类型、处理能力、运行时间、运行参数、耗材或药剂更换情况、能源消耗情况和废过滤棉、废催化剂、废吸附剂、废吸收剂、废有机溶剂等二次污染物规范化处置情况进行检查，建立 VOCs 治理设施清单；检查检测企业VOCs 排放浓度、排放速率和治理设施去除效率。</w:t>
            </w:r>
          </w:p>
          <w:p w14:paraId="571F4210">
            <w:pPr>
              <w:pStyle w:val="43"/>
              <w:ind w:firstLine="482"/>
              <w:rPr>
                <w:color w:val="auto"/>
                <w:szCs w:val="24"/>
              </w:rPr>
            </w:pPr>
            <w:r>
              <w:rPr>
                <w:b/>
                <w:bCs/>
                <w:color w:val="auto"/>
                <w:szCs w:val="24"/>
              </w:rPr>
              <w:t>治理要求。</w:t>
            </w:r>
            <w:r>
              <w:rPr>
                <w:color w:val="auto"/>
                <w:szCs w:val="24"/>
              </w:rPr>
              <w:t>新建治理设施或对现有治理设施实施改造，应依据排放废气特征、VOCs 组分及浓度、生产工况等，合理选择治理技术；对治理难度大、单一治理工艺难以稳定达标的，宜采用多种技术的组合工艺；除恶臭异味治理外，一般不使用低温等离子、光催化、光氧化等技术。 加强运行维护管理，做到治理设施较生产设备“先启后停”，在治理设施达到正常运行条件后方可启动生产设备，在生产设备停止、残留 VOCs 废气收集处理完毕后，方可停运治理设施；及时清理、更换吸附剂、吸收剂、催化剂、蓄热体、过滤棉、灯管、电器元件等治理设施耗材，确保设施能够稳定高效运行；做好生产设备和治理设施启停机时间、检维修情况、治理设施耗材维护更换、处置情况等台账记录；对于 VOCs 治理设施产生的废过滤棉、废催化剂、废吸附剂、废吸收剂、废有机溶剂等，应及时清运，属于危险废物的应交有资质的单位处理处置。 采用活性炭吸附工艺的企业，应根据废气排放特征，按照相关工程技术规范设计净化工艺和设备，使废气在吸附装置中有足够的停留时间，选择符合相关产品质量标准的活性炭，并足额充填、及时更换。采用颗粒活性炭作为吸附剂时，其碘值不宜低于800mg/g；采用蜂窝活性炭作为吸附剂时，其碘值不宜低于650mg/g；采用活性炭纤维作为吸附剂时，其比表面积不低于1100m</w:t>
            </w:r>
            <w:r>
              <w:rPr>
                <w:color w:val="auto"/>
                <w:szCs w:val="24"/>
                <w:vertAlign w:val="superscript"/>
              </w:rPr>
              <w:t>2</w:t>
            </w:r>
            <w:r>
              <w:rPr>
                <w:color w:val="auto"/>
                <w:szCs w:val="24"/>
              </w:rPr>
              <w:t>/g（BET 法）。一次性活性炭吸附工艺宜采用颗粒活性炭作为吸附剂。活性炭、活性炭纤维产品销售时应提供产品质量证明材料。采用催化燃烧工艺的企业应使用合格的催化剂并足额添加，催化剂床层的设计空速宜低于 40000h</w:t>
            </w:r>
            <w:r>
              <w:rPr>
                <w:color w:val="auto"/>
                <w:szCs w:val="24"/>
                <w:vertAlign w:val="superscript"/>
              </w:rPr>
              <w:t>-1</w:t>
            </w:r>
            <w:r>
              <w:rPr>
                <w:color w:val="auto"/>
                <w:szCs w:val="24"/>
              </w:rPr>
              <w:t>。采用非连续吸脱附治理工艺的，应按设计要求及时解吸吸附的VOCs，解吸气体应保证采用高效处理工艺处理后达标排放。蓄热式燃烧装置（RTO）燃烧温度一般不低于760℃，催化燃烧装置（CO）燃烧温度一般不低于300℃，相关温度参数应自动记录存储。有条件的工业园区和企业集群鼓励建设集中涂装中心，分散吸附、集中脱附模式的活性炭集中再生中心，溶剂回收中心等涉VOCs“绿岛”项目，实现 VOCs 集中高效处理</w:t>
            </w:r>
            <w:r>
              <w:rPr>
                <w:rFonts w:hint="eastAsia"/>
                <w:color w:val="auto"/>
                <w:szCs w:val="24"/>
              </w:rPr>
              <w:t>。</w:t>
            </w:r>
          </w:p>
          <w:p w14:paraId="65364E54">
            <w:pPr>
              <w:pStyle w:val="43"/>
              <w:ind w:firstLine="482"/>
              <w:rPr>
                <w:color w:val="auto"/>
              </w:rPr>
            </w:pPr>
            <w:r>
              <w:rPr>
                <w:rFonts w:hint="eastAsia"/>
                <w:b/>
                <w:bCs/>
                <w:color w:val="auto"/>
                <w:szCs w:val="24"/>
              </w:rPr>
              <w:t>相符性分析</w:t>
            </w:r>
            <w:r>
              <w:rPr>
                <w:rFonts w:hint="eastAsia"/>
                <w:color w:val="auto"/>
                <w:szCs w:val="24"/>
              </w:rPr>
              <w:t>：项目产生有机废气区域包括喷漆房、尾数房、固化隧道炉、烘烤隧道炉和烘烤柜炉，喷漆房、尾数房喷漆时产生废气通过水帘柜处设置集气设施收集，同时对喷漆房、尾数房进行围蔽，利用风机对密闭车间进行通风换气，换气次数为20次/h，使其呈单层密闭负压状态，收集效率可达90%；固化隧道炉、烘烤隧道炉和烘烤柜炉等为密闭设备，通过将设备废气排口与风管连接收集作业废气，使其呈设备废气排口直连状态，收集效率可达95%。末端治理装置采用“二级活性炭吸附装置”进行处理，活性炭</w:t>
            </w:r>
            <w:r>
              <w:rPr>
                <w:color w:val="auto"/>
                <w:szCs w:val="24"/>
              </w:rPr>
              <w:t>碘值不宜低于800mg/g</w:t>
            </w:r>
            <w:r>
              <w:rPr>
                <w:rFonts w:hint="eastAsia"/>
                <w:color w:val="auto"/>
                <w:szCs w:val="24"/>
              </w:rPr>
              <w:t>，</w:t>
            </w:r>
            <w:r>
              <w:rPr>
                <w:rFonts w:hint="eastAsia"/>
                <w:snapToGrid w:val="0"/>
                <w:color w:val="auto"/>
                <w:szCs w:val="24"/>
              </w:rPr>
              <w:t>不使用光催化、光氧化、水喷淋、低温等离子等低效VOCs治理设施。因此，项目建设符合</w:t>
            </w:r>
            <w:r>
              <w:rPr>
                <w:snapToGrid w:val="0"/>
                <w:color w:val="auto"/>
                <w:szCs w:val="24"/>
              </w:rPr>
              <w:t>《关于加快解决当前挥发性有机物治理突出问题的通知》（环大气〔2021〕65号）</w:t>
            </w:r>
            <w:r>
              <w:rPr>
                <w:rFonts w:hint="eastAsia"/>
                <w:snapToGrid w:val="0"/>
                <w:color w:val="auto"/>
                <w:szCs w:val="24"/>
              </w:rPr>
              <w:t>的要求。</w:t>
            </w:r>
          </w:p>
          <w:p w14:paraId="6F67E9A5">
            <w:pPr>
              <w:pStyle w:val="43"/>
              <w:ind w:firstLine="482"/>
              <w:rPr>
                <w:b/>
                <w:bCs/>
                <w:snapToGrid w:val="0"/>
                <w:color w:val="auto"/>
                <w:szCs w:val="24"/>
              </w:rPr>
            </w:pPr>
            <w:r>
              <w:rPr>
                <w:rFonts w:hint="eastAsia"/>
                <w:b/>
                <w:bCs/>
                <w:snapToGrid w:val="0"/>
                <w:color w:val="auto"/>
                <w:szCs w:val="24"/>
              </w:rPr>
              <w:t>20、与《国务院关于印发&lt;空气质量持续改善行动计划&gt;的通知》（国发[2023]24号）相符性分析</w:t>
            </w:r>
          </w:p>
          <w:p w14:paraId="007B45D2">
            <w:pPr>
              <w:pStyle w:val="43"/>
              <w:rPr>
                <w:snapToGrid w:val="0"/>
                <w:color w:val="auto"/>
                <w:szCs w:val="24"/>
              </w:rPr>
            </w:pPr>
            <w:r>
              <w:rPr>
                <w:snapToGrid w:val="0"/>
                <w:color w:val="auto"/>
                <w:szCs w:val="24"/>
              </w:rPr>
              <w:t>以下内容选自《国务院关于印发&lt;空气质量持续改善行动计划&gt;的通知》（国发[2023]24号）：</w:t>
            </w:r>
          </w:p>
          <w:p w14:paraId="14324BE7">
            <w:pPr>
              <w:pStyle w:val="43"/>
              <w:rPr>
                <w:snapToGrid w:val="0"/>
                <w:color w:val="auto"/>
                <w:szCs w:val="24"/>
              </w:rPr>
            </w:pPr>
            <w:r>
              <w:rPr>
                <w:snapToGrid w:val="0"/>
                <w:color w:val="auto"/>
                <w:szCs w:val="24"/>
              </w:rPr>
              <w:t>二、优化产业结构，促进产业产品绿色升级</w:t>
            </w:r>
          </w:p>
          <w:p w14:paraId="6896A2C0">
            <w:pPr>
              <w:pStyle w:val="43"/>
              <w:rPr>
                <w:snapToGrid w:val="0"/>
                <w:color w:val="auto"/>
                <w:szCs w:val="24"/>
              </w:rPr>
            </w:pPr>
            <w:r>
              <w:rPr>
                <w:snapToGrid w:val="0"/>
                <w:color w:val="auto"/>
                <w:szCs w:val="24"/>
              </w:rPr>
              <w:t>（七）优化含VOCs原辅材料和产品结构。严格控制生产和使用高VOCs含量涂料、油墨、胶粘剂、清洗剂等建设项目，提高低（无）VOCs含量产品比重。实施源头替代工程，加大工业涂装、包装印刷和电子行业低（无）VOCs含量原辅材料替代力度。室外构筑物防护和城市道路交通标志推广使用低（无）VOCs含量涂料。在生产、销售、进口、使用等环节严格执行VOCs含量限值标准。</w:t>
            </w:r>
          </w:p>
          <w:p w14:paraId="75EE902D">
            <w:pPr>
              <w:pStyle w:val="43"/>
              <w:rPr>
                <w:color w:val="auto"/>
              </w:rPr>
            </w:pPr>
            <w:r>
              <w:rPr>
                <w:color w:val="auto"/>
              </w:rPr>
              <w:t>三、优化能源结构，加速能源清洁低碳高效发展</w:t>
            </w:r>
          </w:p>
          <w:p w14:paraId="5C1E1092">
            <w:pPr>
              <w:pStyle w:val="43"/>
              <w:rPr>
                <w:color w:val="auto"/>
              </w:rPr>
            </w:pPr>
            <w:r>
              <w:rPr>
                <w:color w:val="auto"/>
              </w:rPr>
              <w:t>（九）大力发展新能源和清洁能源。到2025年，非化石能源消费比重达20%左右，电能占终端能源消费比重达30%左右。持续增加天然气生产供应，新增天然气优先保障居民生活和清洁取暖需求。</w:t>
            </w:r>
          </w:p>
          <w:p w14:paraId="086EA58E">
            <w:pPr>
              <w:pStyle w:val="43"/>
              <w:rPr>
                <w:color w:val="auto"/>
              </w:rPr>
            </w:pPr>
            <w:r>
              <w:rPr>
                <w:color w:val="auto"/>
              </w:rPr>
              <w:t>（十二）实施工业炉窑清洁能源替代。有序推进以电代煤，积极稳妥推进以气代煤。重点区域不再新增燃料类煤气发生炉，新改扩建加热炉、热处理炉、干燥炉、熔化炉原则上采用清洁低碳能源；安全稳妥推进使用高污染燃料的工业炉窑改用工业余热、电能、天然气等；燃料类煤气发生炉实行清洁能源替代，或因地制宜采取园区（集群）集中供气、分散使用方式；逐步淘汰固定床间歇式煤气发生炉。</w:t>
            </w:r>
          </w:p>
          <w:p w14:paraId="17D1FD5F">
            <w:pPr>
              <w:pStyle w:val="43"/>
              <w:ind w:firstLine="482"/>
              <w:rPr>
                <w:snapToGrid w:val="0"/>
                <w:color w:val="auto"/>
                <w:szCs w:val="24"/>
              </w:rPr>
            </w:pPr>
            <w:r>
              <w:rPr>
                <w:rFonts w:hint="eastAsia"/>
                <w:b/>
                <w:bCs/>
                <w:color w:val="auto"/>
                <w:szCs w:val="24"/>
              </w:rPr>
              <w:t>相符性分析</w:t>
            </w:r>
            <w:r>
              <w:rPr>
                <w:rFonts w:hint="eastAsia"/>
                <w:color w:val="auto"/>
                <w:szCs w:val="24"/>
              </w:rPr>
              <w:t>：</w:t>
            </w:r>
            <w:r>
              <w:rPr>
                <w:color w:val="auto"/>
              </w:rPr>
              <w:t>项目</w:t>
            </w:r>
            <w:r>
              <w:rPr>
                <w:rFonts w:hint="eastAsia"/>
                <w:color w:val="auto"/>
              </w:rPr>
              <w:t>营运期间所使用的水性底漆、水性面漆、水性清漆和粉末涂料均属于</w:t>
            </w:r>
            <w:r>
              <w:rPr>
                <w:color w:val="auto"/>
              </w:rPr>
              <w:t>低</w:t>
            </w:r>
            <w:r>
              <w:rPr>
                <w:rFonts w:hint="eastAsia"/>
                <w:snapToGrid w:val="0"/>
                <w:color w:val="auto"/>
                <w:szCs w:val="24"/>
              </w:rPr>
              <w:t>VOCs</w:t>
            </w:r>
            <w:r>
              <w:rPr>
                <w:color w:val="auto"/>
              </w:rPr>
              <w:t>涂料，符合《低挥发性有机化合物含量涂料产品技术要求》（GB/T38597-2020）</w:t>
            </w:r>
            <w:r>
              <w:rPr>
                <w:rFonts w:hint="eastAsia"/>
                <w:color w:val="auto"/>
              </w:rPr>
              <w:t>；项目营运期间主要使用电能和天然气作为能源来源，项目所在地属于市政天然气管道的供气范围，采用管道天然气。隧道炉、烘烤柜炉等属于工业炉窑类别，燃料使用天然气</w:t>
            </w:r>
            <w:r>
              <w:rPr>
                <w:color w:val="auto"/>
                <w:szCs w:val="24"/>
              </w:rPr>
              <w:t>。</w:t>
            </w:r>
            <w:r>
              <w:rPr>
                <w:rFonts w:hint="eastAsia"/>
                <w:color w:val="auto"/>
                <w:szCs w:val="24"/>
              </w:rPr>
              <w:t>因此，项目建设符合</w:t>
            </w:r>
            <w:r>
              <w:rPr>
                <w:snapToGrid w:val="0"/>
                <w:color w:val="auto"/>
                <w:szCs w:val="24"/>
              </w:rPr>
              <w:t>《国务院关于印发&lt;空气质量持续改善行动计划&gt;的通知》（国发[2023]24号）</w:t>
            </w:r>
            <w:r>
              <w:rPr>
                <w:rFonts w:hint="eastAsia"/>
                <w:snapToGrid w:val="0"/>
                <w:color w:val="auto"/>
                <w:szCs w:val="24"/>
              </w:rPr>
              <w:t>的要求。</w:t>
            </w:r>
          </w:p>
          <w:p w14:paraId="6DF1F59C">
            <w:pPr>
              <w:pStyle w:val="43"/>
              <w:ind w:firstLine="482"/>
              <w:rPr>
                <w:b/>
                <w:bCs/>
                <w:snapToGrid w:val="0"/>
                <w:color w:val="auto"/>
                <w:szCs w:val="24"/>
              </w:rPr>
            </w:pPr>
            <w:r>
              <w:rPr>
                <w:rFonts w:hint="eastAsia"/>
                <w:b/>
                <w:bCs/>
                <w:snapToGrid w:val="0"/>
                <w:color w:val="auto"/>
                <w:szCs w:val="24"/>
              </w:rPr>
              <w:t>21、与《臭氧污染防治攻坚行动方案》相符性分析</w:t>
            </w:r>
          </w:p>
          <w:p w14:paraId="7668422D">
            <w:pPr>
              <w:pStyle w:val="43"/>
              <w:rPr>
                <w:snapToGrid w:val="0"/>
                <w:color w:val="auto"/>
                <w:szCs w:val="24"/>
              </w:rPr>
            </w:pPr>
            <w:r>
              <w:rPr>
                <w:snapToGrid w:val="0"/>
                <w:color w:val="auto"/>
                <w:szCs w:val="24"/>
              </w:rPr>
              <w:t>以下内容选自《臭氧污染防治攻坚行动方案》：</w:t>
            </w:r>
          </w:p>
          <w:p w14:paraId="18BFB6C1">
            <w:pPr>
              <w:pStyle w:val="43"/>
              <w:numPr>
                <w:ilvl w:val="0"/>
                <w:numId w:val="8"/>
              </w:numPr>
              <w:rPr>
                <w:snapToGrid w:val="0"/>
                <w:color w:val="auto"/>
                <w:szCs w:val="24"/>
              </w:rPr>
            </w:pPr>
            <w:r>
              <w:rPr>
                <w:rFonts w:hint="eastAsia"/>
                <w:snapToGrid w:val="0"/>
                <w:color w:val="auto"/>
                <w:szCs w:val="24"/>
              </w:rPr>
              <w:t xml:space="preserve">含 VOCs 原辅材料源头替代行动 </w:t>
            </w:r>
          </w:p>
          <w:p w14:paraId="0DD2CE14">
            <w:pPr>
              <w:pStyle w:val="43"/>
              <w:rPr>
                <w:snapToGrid w:val="0"/>
                <w:color w:val="auto"/>
                <w:szCs w:val="24"/>
              </w:rPr>
            </w:pPr>
            <w:r>
              <w:rPr>
                <w:rFonts w:hint="eastAsia"/>
                <w:snapToGrid w:val="0"/>
                <w:color w:val="auto"/>
                <w:szCs w:val="24"/>
              </w:rPr>
              <w:t>加快实施低 VOCs 含量原辅材料替代。各地对溶剂型涂料、油墨、胶粘剂、清洗剂使用企业制定低 VOCs 含量原辅材料替代计划。全面推进汽车整车制造底漆、中涂、色漆使用低VOCs 含量涂料；在木质家具、汽车零部件、工程机械、钢结构、船舶制造技术成熟的工艺环节，大力推广使用低 VOCs 含量涂料，重点区域、中央企业加大使用比例。在房屋建筑和市政工程中，全面推广使用低VOCs含量涂料和胶粘剂；重点区域、珠三角地区除特殊功能要求外的室内地坪施工、室外构筑物防护和城市道路交通标志基本使用低VOCs 含量涂料。完善 VOCs 产品标准体系，建立低 VOCs 含量产品标识制度。</w:t>
            </w:r>
          </w:p>
          <w:p w14:paraId="6B387F13">
            <w:pPr>
              <w:pStyle w:val="43"/>
              <w:rPr>
                <w:snapToGrid w:val="0"/>
                <w:color w:val="auto"/>
                <w:szCs w:val="24"/>
              </w:rPr>
            </w:pPr>
            <w:r>
              <w:rPr>
                <w:rFonts w:hint="eastAsia"/>
                <w:snapToGrid w:val="0"/>
                <w:color w:val="auto"/>
                <w:szCs w:val="24"/>
              </w:rPr>
              <w:t xml:space="preserve">三、VOCs 污染治理达标行动 </w:t>
            </w:r>
          </w:p>
          <w:p w14:paraId="716FE360">
            <w:pPr>
              <w:pStyle w:val="43"/>
              <w:rPr>
                <w:snapToGrid w:val="0"/>
                <w:color w:val="auto"/>
                <w:szCs w:val="24"/>
              </w:rPr>
            </w:pPr>
            <w:r>
              <w:rPr>
                <w:rFonts w:hint="eastAsia"/>
                <w:snapToGrid w:val="0"/>
                <w:color w:val="auto"/>
                <w:szCs w:val="24"/>
              </w:rPr>
              <w:t>开展简易低效 VOCs 治理设施清理整治。各地全面梳理VOCs治理设施台账，分析治理技术、处理能力与VOCs 废气排放特征、组分等匹配性，对采用单一低温等离子、光氧化、光催化以及非水溶性VOCs 废气采用单一喷淋吸收等治理技术且无法稳定达标的，加快推进升级改造，严把工程质量，确保达标排放。力争2022 年12月底前基本完成，确需一定整改周期的，最迟在相关设备下次停车（工）大修期间完成整治。</w:t>
            </w:r>
          </w:p>
          <w:p w14:paraId="6C72D43B">
            <w:pPr>
              <w:pStyle w:val="43"/>
              <w:rPr>
                <w:snapToGrid w:val="0"/>
                <w:color w:val="auto"/>
                <w:szCs w:val="24"/>
              </w:rPr>
            </w:pPr>
            <w:r>
              <w:rPr>
                <w:rFonts w:hint="eastAsia"/>
                <w:snapToGrid w:val="0"/>
                <w:color w:val="auto"/>
                <w:szCs w:val="24"/>
              </w:rPr>
              <w:t>强化 VOCs 无组织排放整治。各地全面排查含VOCs 物料储存、转移和输送、设备与管线组件、敞开液面以及工艺过程等环节无组织排放情况，对达不到相关标准要求的开展整治。石化、现代煤化工、制药、农药行业重点治理储罐配件失效、装载和污水处理密闭收集效果差、装置区废水预处理池和废水储罐废气未收集、LDAR不符合标准规范等问题；焦化行业重点治理酚氰废水处理未密闭、煤气管线及焦炉等装置泄漏等问题；工业涂装、包装印刷等行业重点治理集气罩收集效果差、含 VOCs 原辅材料和废料储存环节无组织排放等问题。重点区域、珠三角地区无法实现低VOCs 原辅材料替代的工序，宜在密闭设备、密闭空间作业或安装二次密闭设施。</w:t>
            </w:r>
          </w:p>
          <w:p w14:paraId="0C44CD1A">
            <w:pPr>
              <w:pStyle w:val="43"/>
              <w:rPr>
                <w:snapToGrid w:val="0"/>
                <w:color w:val="auto"/>
                <w:szCs w:val="24"/>
              </w:rPr>
            </w:pPr>
            <w:r>
              <w:rPr>
                <w:rFonts w:hint="eastAsia"/>
                <w:snapToGrid w:val="0"/>
                <w:color w:val="auto"/>
                <w:szCs w:val="24"/>
              </w:rPr>
              <w:t>推进涉 VOCs 产业集群治理提升。各地全面排查使用溶剂型涂料、油墨、胶粘剂、清洗剂以及涉及有机化工生产的产业集群，研究制定治理提升计划，统一治理标准和时限。加快建设涉VOCs“绿岛”项目。同一类别工业涂装企业聚集的园区和集群，推进建设集中涂装中心；吸附剂使用量大的地区，建设吸附剂集中再生中心，同步完善吸附剂规范采购、统一收集、集中再生的管理体系；同类型有机溶剂使用量较大的园区和集群，建设有机溶剂集中回收中心。推进各地建设钣喷共享中心，配套建设适宜高效VOCs 治理设施，钣喷共享中心辐射服务范围内逐步取消使用溶剂型涂料的钣喷车间。</w:t>
            </w:r>
          </w:p>
          <w:p w14:paraId="467D270D">
            <w:pPr>
              <w:pStyle w:val="43"/>
              <w:rPr>
                <w:snapToGrid w:val="0"/>
                <w:color w:val="auto"/>
                <w:szCs w:val="24"/>
              </w:rPr>
            </w:pPr>
            <w:r>
              <w:rPr>
                <w:rFonts w:hint="eastAsia"/>
                <w:snapToGrid w:val="0"/>
                <w:color w:val="auto"/>
                <w:szCs w:val="24"/>
              </w:rPr>
              <w:t>实施工业锅炉和炉窑提标改造。生物质锅炉氮氧化物排放浓度无法稳定达标的，加装高效脱硝设施。燃气锅炉实施低氮燃烧改造，对低氮燃烧器、烟气再循环系统、分级燃烧系统、燃料及风量调配系统等关键部件要严把质量关，确保低氮燃烧系统稳定运行，2025年底前基本完成；推动燃气锅炉取消烟气再循环系统开关阀，确有必要保留的，可通过设置电动阀、气动阀或铅封等方式加强监管。玻璃、铸造、石灰等行业炉窑，依据新制修订的排放标准实施提标改造；鼓励臭氧污染严重地区结合实际制定更为严格的地方排放标准。</w:t>
            </w:r>
          </w:p>
          <w:p w14:paraId="4A4FF7F0">
            <w:pPr>
              <w:pStyle w:val="43"/>
              <w:ind w:firstLine="482"/>
              <w:rPr>
                <w:snapToGrid w:val="0"/>
                <w:color w:val="auto"/>
                <w:szCs w:val="24"/>
              </w:rPr>
            </w:pPr>
            <w:r>
              <w:rPr>
                <w:rFonts w:hint="eastAsia"/>
                <w:b/>
                <w:bCs/>
                <w:snapToGrid w:val="0"/>
                <w:color w:val="auto"/>
                <w:szCs w:val="24"/>
              </w:rPr>
              <w:t>相符性分析</w:t>
            </w:r>
            <w:r>
              <w:rPr>
                <w:rFonts w:hint="eastAsia"/>
                <w:snapToGrid w:val="0"/>
                <w:color w:val="auto"/>
                <w:szCs w:val="24"/>
              </w:rPr>
              <w:t>：</w:t>
            </w:r>
            <w:r>
              <w:rPr>
                <w:color w:val="auto"/>
              </w:rPr>
              <w:t>项目</w:t>
            </w:r>
            <w:r>
              <w:rPr>
                <w:rFonts w:hint="eastAsia"/>
                <w:color w:val="auto"/>
              </w:rPr>
              <w:t>营运期间所使用的水性底漆、水性面漆、水性清漆和粉末涂料均属于</w:t>
            </w:r>
            <w:r>
              <w:rPr>
                <w:color w:val="auto"/>
              </w:rPr>
              <w:t>低</w:t>
            </w:r>
            <w:r>
              <w:rPr>
                <w:rFonts w:hint="eastAsia"/>
                <w:snapToGrid w:val="0"/>
                <w:color w:val="auto"/>
                <w:szCs w:val="24"/>
              </w:rPr>
              <w:t>VOCs</w:t>
            </w:r>
            <w:r>
              <w:rPr>
                <w:color w:val="auto"/>
              </w:rPr>
              <w:t>涂料，符合《低挥发性有机化合物含量涂料产品技术要求》（GB/T38597-2020）</w:t>
            </w:r>
            <w:r>
              <w:rPr>
                <w:rFonts w:hint="eastAsia"/>
                <w:color w:val="auto"/>
              </w:rPr>
              <w:t>；营运期间通过对喷漆房、尾数房采取单层密闭负压收集，对隧道炉和烘烤柜炉采取设备废气排口直连的方式收集作业废气，经</w:t>
            </w:r>
            <w:r>
              <w:rPr>
                <w:color w:val="auto"/>
              </w:rPr>
              <w:t>收集后抽至</w:t>
            </w:r>
            <w:r>
              <w:rPr>
                <w:rFonts w:hint="eastAsia"/>
                <w:color w:val="auto"/>
              </w:rPr>
              <w:t xml:space="preserve"> 3 </w:t>
            </w:r>
            <w:r>
              <w:rPr>
                <w:color w:val="auto"/>
              </w:rPr>
              <w:t>套“</w:t>
            </w:r>
            <w:r>
              <w:rPr>
                <w:rFonts w:hint="eastAsia"/>
                <w:color w:val="auto"/>
                <w:szCs w:val="24"/>
              </w:rPr>
              <w:t>水帘柜+喷淋塔+除湿装置+二级活性炭吸附装置</w:t>
            </w:r>
            <w:r>
              <w:rPr>
                <w:color w:val="auto"/>
              </w:rPr>
              <w:t>”进行处理，处理</w:t>
            </w:r>
            <w:r>
              <w:rPr>
                <w:rFonts w:hint="eastAsia"/>
                <w:color w:val="auto"/>
              </w:rPr>
              <w:t>达标</w:t>
            </w:r>
            <w:r>
              <w:rPr>
                <w:color w:val="auto"/>
              </w:rPr>
              <w:t>后高空排放</w:t>
            </w:r>
            <w:r>
              <w:rPr>
                <w:rFonts w:hint="eastAsia"/>
                <w:snapToGrid w:val="0"/>
                <w:color w:val="auto"/>
                <w:szCs w:val="24"/>
              </w:rPr>
              <w:t>，不使用光催化、光氧化、水喷淋、低温等离子等低效VOCs治理设施。</w:t>
            </w:r>
            <w:r>
              <w:rPr>
                <w:color w:val="auto"/>
              </w:rPr>
              <w:t>项目不涉及高污染燃料的使用，采用电能与清洁能源天然气作为热源；天然气燃烧尾气执行的大气污染物特别排放限值为</w:t>
            </w:r>
            <w:r>
              <w:rPr>
                <w:color w:val="auto"/>
                <w:szCs w:val="21"/>
              </w:rPr>
              <w:t>《工业炉窑大气污染物排放标准》（GB9078-1996），根据《广东省生态环境厅 广东省发展和改革委员会 广东省工业和信息化厅 广东省财政厅关于贯彻落实&lt;工业炉窑大气污染综合治理方案&gt;的实施意见》（粤环函【2019】1112号）要求：珠江三角洲地区原则上按照《工业炉窑大气污染综合治理方案》（大气[2019]56号）重点区域排放限值，即颗粒物30mg/m</w:t>
            </w:r>
            <w:r>
              <w:rPr>
                <w:color w:val="auto"/>
                <w:szCs w:val="21"/>
                <w:vertAlign w:val="superscript"/>
              </w:rPr>
              <w:t>3</w:t>
            </w:r>
            <w:r>
              <w:rPr>
                <w:color w:val="auto"/>
                <w:szCs w:val="21"/>
              </w:rPr>
              <w:t>、二氧化硫200mg/m</w:t>
            </w:r>
            <w:r>
              <w:rPr>
                <w:color w:val="auto"/>
                <w:szCs w:val="21"/>
                <w:vertAlign w:val="superscript"/>
              </w:rPr>
              <w:t>3</w:t>
            </w:r>
            <w:r>
              <w:rPr>
                <w:color w:val="auto"/>
                <w:szCs w:val="21"/>
              </w:rPr>
              <w:t>、氮氧化物300mg/m</w:t>
            </w:r>
            <w:r>
              <w:rPr>
                <w:color w:val="auto"/>
                <w:szCs w:val="21"/>
                <w:vertAlign w:val="superscript"/>
              </w:rPr>
              <w:t>3</w:t>
            </w:r>
            <w:r>
              <w:rPr>
                <w:color w:val="auto"/>
              </w:rPr>
              <w:t>。</w:t>
            </w:r>
            <w:r>
              <w:rPr>
                <w:rFonts w:hint="eastAsia"/>
                <w:color w:val="auto"/>
              </w:rPr>
              <w:t>因此，项目建设符合</w:t>
            </w:r>
            <w:r>
              <w:rPr>
                <w:snapToGrid w:val="0"/>
                <w:color w:val="auto"/>
                <w:szCs w:val="24"/>
              </w:rPr>
              <w:t>《臭氧污染防治攻坚行动方案》</w:t>
            </w:r>
            <w:r>
              <w:rPr>
                <w:rFonts w:hint="eastAsia"/>
                <w:snapToGrid w:val="0"/>
                <w:color w:val="auto"/>
                <w:szCs w:val="24"/>
              </w:rPr>
              <w:t>的要求。</w:t>
            </w:r>
          </w:p>
          <w:p w14:paraId="78E78056">
            <w:pPr>
              <w:pStyle w:val="43"/>
              <w:ind w:firstLine="0" w:firstLineChars="0"/>
              <w:rPr>
                <w:color w:val="auto"/>
              </w:rPr>
            </w:pPr>
          </w:p>
        </w:tc>
      </w:tr>
    </w:tbl>
    <w:p w14:paraId="1F532294">
      <w:pPr>
        <w:spacing w:line="360" w:lineRule="auto"/>
        <w:outlineLvl w:val="0"/>
        <w:rPr>
          <w:rFonts w:eastAsia="黑体"/>
          <w:sz w:val="30"/>
        </w:rPr>
        <w:sectPr>
          <w:pgSz w:w="11906" w:h="16838"/>
          <w:pgMar w:top="720" w:right="720" w:bottom="720" w:left="720" w:header="851" w:footer="1077" w:gutter="0"/>
          <w:cols w:space="720" w:num="1"/>
          <w:docGrid w:linePitch="312" w:charSpace="0"/>
        </w:sectPr>
      </w:pPr>
    </w:p>
    <w:p w14:paraId="53624FD9">
      <w:pPr>
        <w:pStyle w:val="31"/>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二、建设项目工程分析</w:t>
      </w:r>
    </w:p>
    <w:tbl>
      <w:tblPr>
        <w:tblStyle w:val="35"/>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7"/>
        <w:gridCol w:w="9439"/>
      </w:tblGrid>
      <w:tr w14:paraId="329D4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39" w:hRule="atLeast"/>
          <w:jc w:val="center"/>
        </w:trPr>
        <w:tc>
          <w:tcPr>
            <w:tcW w:w="291" w:type="pct"/>
            <w:vAlign w:val="center"/>
          </w:tcPr>
          <w:p w14:paraId="7D9E07A1">
            <w:pPr>
              <w:pStyle w:val="31"/>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建设内容</w:t>
            </w:r>
          </w:p>
        </w:tc>
        <w:tc>
          <w:tcPr>
            <w:tcW w:w="4708" w:type="pct"/>
          </w:tcPr>
          <w:p w14:paraId="3297967D">
            <w:pPr>
              <w:numPr>
                <w:ilvl w:val="0"/>
                <w:numId w:val="9"/>
              </w:numPr>
              <w:adjustRightInd w:val="0"/>
              <w:snapToGrid w:val="0"/>
              <w:spacing w:line="360" w:lineRule="auto"/>
              <w:jc w:val="left"/>
              <w:rPr>
                <w:b/>
                <w:color w:val="auto"/>
                <w:sz w:val="24"/>
              </w:rPr>
            </w:pPr>
            <w:r>
              <w:rPr>
                <w:b/>
                <w:color w:val="auto"/>
                <w:sz w:val="24"/>
              </w:rPr>
              <w:t>项目由来</w:t>
            </w:r>
          </w:p>
          <w:p w14:paraId="7C74FB92">
            <w:pPr>
              <w:tabs>
                <w:tab w:val="left" w:pos="5109"/>
              </w:tabs>
              <w:wordWrap w:val="0"/>
              <w:adjustRightInd w:val="0"/>
              <w:snapToGrid w:val="0"/>
              <w:spacing w:line="360" w:lineRule="auto"/>
              <w:ind w:firstLine="480" w:firstLineChars="200"/>
              <w:jc w:val="left"/>
              <w:rPr>
                <w:color w:val="auto"/>
                <w:sz w:val="24"/>
              </w:rPr>
            </w:pPr>
            <w:r>
              <w:rPr>
                <w:rFonts w:hint="eastAsia"/>
                <w:color w:val="auto"/>
                <w:sz w:val="24"/>
              </w:rPr>
              <w:t>惠州市源意五金制品有限公司</w:t>
            </w:r>
            <w:r>
              <w:rPr>
                <w:color w:val="auto"/>
                <w:sz w:val="24"/>
              </w:rPr>
              <w:t>成立于202</w:t>
            </w:r>
            <w:r>
              <w:rPr>
                <w:rFonts w:hint="eastAsia"/>
                <w:color w:val="auto"/>
                <w:sz w:val="24"/>
              </w:rPr>
              <w:t>4</w:t>
            </w:r>
            <w:r>
              <w:rPr>
                <w:color w:val="auto"/>
                <w:sz w:val="24"/>
              </w:rPr>
              <w:t>年</w:t>
            </w:r>
            <w:r>
              <w:rPr>
                <w:rFonts w:hint="eastAsia"/>
                <w:color w:val="auto"/>
                <w:sz w:val="24"/>
              </w:rPr>
              <w:t>11</w:t>
            </w:r>
            <w:r>
              <w:rPr>
                <w:color w:val="auto"/>
                <w:sz w:val="24"/>
              </w:rPr>
              <w:t>月，拟</w:t>
            </w:r>
            <w:r>
              <w:rPr>
                <w:rFonts w:hint="eastAsia"/>
                <w:color w:val="auto"/>
                <w:sz w:val="24"/>
              </w:rPr>
              <w:t>租赁广东宝居乐家居股份有限公司位于广东省惠州市博罗县石湾镇黄西村宝居乐工业园A1栋4-7楼的厂房</w:t>
            </w:r>
            <w:r>
              <w:rPr>
                <w:bCs/>
                <w:color w:val="auto"/>
                <w:sz w:val="24"/>
              </w:rPr>
              <w:t>投资建设</w:t>
            </w:r>
            <w:r>
              <w:rPr>
                <w:rFonts w:hint="eastAsia"/>
                <w:color w:val="auto"/>
                <w:sz w:val="24"/>
              </w:rPr>
              <w:t>惠州市源意五金制品有限公司</w:t>
            </w:r>
            <w:r>
              <w:rPr>
                <w:color w:val="auto"/>
                <w:sz w:val="24"/>
              </w:rPr>
              <w:t>建设项目</w:t>
            </w:r>
            <w:r>
              <w:rPr>
                <w:rFonts w:hint="eastAsia"/>
                <w:color w:val="auto"/>
                <w:sz w:val="24"/>
              </w:rPr>
              <w:t>，中心地理位置</w:t>
            </w:r>
            <w:r>
              <w:rPr>
                <w:color w:val="auto"/>
                <w:sz w:val="24"/>
              </w:rPr>
              <w:t>为：E11</w:t>
            </w:r>
            <w:r>
              <w:rPr>
                <w:rFonts w:hint="eastAsia"/>
                <w:color w:val="auto"/>
                <w:sz w:val="24"/>
              </w:rPr>
              <w:t>3</w:t>
            </w:r>
            <w:r>
              <w:rPr>
                <w:color w:val="auto"/>
                <w:sz w:val="24"/>
              </w:rPr>
              <w:t>°</w:t>
            </w:r>
            <w:r>
              <w:rPr>
                <w:rFonts w:hint="eastAsia"/>
                <w:color w:val="auto"/>
                <w:sz w:val="24"/>
              </w:rPr>
              <w:t>53</w:t>
            </w:r>
            <w:r>
              <w:rPr>
                <w:color w:val="auto"/>
                <w:sz w:val="24"/>
              </w:rPr>
              <w:t>'</w:t>
            </w:r>
            <w:r>
              <w:rPr>
                <w:rFonts w:hint="eastAsia"/>
                <w:color w:val="auto"/>
                <w:sz w:val="24"/>
              </w:rPr>
              <w:t>2.749</w:t>
            </w:r>
            <w:r>
              <w:rPr>
                <w:color w:val="auto"/>
                <w:sz w:val="24"/>
              </w:rPr>
              <w:t>"（E</w:t>
            </w:r>
            <w:r>
              <w:rPr>
                <w:rFonts w:hint="eastAsia"/>
                <w:color w:val="auto"/>
                <w:sz w:val="24"/>
              </w:rPr>
              <w:t>113.884097</w:t>
            </w:r>
            <w:r>
              <w:rPr>
                <w:color w:val="auto"/>
                <w:sz w:val="24"/>
              </w:rPr>
              <w:t>°），N2</w:t>
            </w:r>
            <w:r>
              <w:rPr>
                <w:rFonts w:hint="eastAsia"/>
                <w:color w:val="auto"/>
                <w:sz w:val="24"/>
              </w:rPr>
              <w:t>3</w:t>
            </w:r>
            <w:r>
              <w:rPr>
                <w:color w:val="auto"/>
                <w:sz w:val="24"/>
              </w:rPr>
              <w:t>°</w:t>
            </w:r>
            <w:r>
              <w:rPr>
                <w:rFonts w:hint="eastAsia"/>
                <w:color w:val="auto"/>
                <w:sz w:val="24"/>
              </w:rPr>
              <w:t>1</w:t>
            </w:r>
            <w:r>
              <w:rPr>
                <w:color w:val="auto"/>
                <w:sz w:val="24"/>
              </w:rPr>
              <w:t>1'</w:t>
            </w:r>
            <w:r>
              <w:rPr>
                <w:rFonts w:hint="eastAsia"/>
                <w:color w:val="auto"/>
                <w:sz w:val="24"/>
              </w:rPr>
              <w:t>17.420</w:t>
            </w:r>
            <w:r>
              <w:rPr>
                <w:color w:val="auto"/>
                <w:sz w:val="24"/>
              </w:rPr>
              <w:t>"（N</w:t>
            </w:r>
            <w:r>
              <w:rPr>
                <w:rFonts w:hint="eastAsia"/>
                <w:color w:val="auto"/>
                <w:sz w:val="24"/>
              </w:rPr>
              <w:t>23.188172</w:t>
            </w:r>
            <w:r>
              <w:rPr>
                <w:color w:val="auto"/>
                <w:sz w:val="24"/>
              </w:rPr>
              <w:t>°）</w:t>
            </w:r>
            <w:r>
              <w:rPr>
                <w:rFonts w:hint="eastAsia"/>
                <w:color w:val="auto"/>
                <w:sz w:val="24"/>
              </w:rPr>
              <w:t>，项目所在A1栋厂房共7层，总楼高为40.6m（首层7m，其他楼层5.6m）</w:t>
            </w:r>
            <w:r>
              <w:rPr>
                <w:color w:val="auto"/>
                <w:sz w:val="24"/>
              </w:rPr>
              <w:t>。项目总投资</w:t>
            </w:r>
            <w:r>
              <w:rPr>
                <w:rFonts w:hint="eastAsia"/>
                <w:color w:val="auto"/>
                <w:sz w:val="24"/>
              </w:rPr>
              <w:t>35</w:t>
            </w:r>
            <w:r>
              <w:rPr>
                <w:color w:val="auto"/>
                <w:sz w:val="24"/>
              </w:rPr>
              <w:t>00万元，</w:t>
            </w:r>
            <w:r>
              <w:rPr>
                <w:rFonts w:hint="eastAsia"/>
                <w:color w:val="auto"/>
                <w:sz w:val="24"/>
              </w:rPr>
              <w:t>环保投资200万元，</w:t>
            </w:r>
            <w:r>
              <w:rPr>
                <w:color w:val="auto"/>
                <w:sz w:val="24"/>
              </w:rPr>
              <w:t>占地面积为</w:t>
            </w:r>
            <w:r>
              <w:rPr>
                <w:rFonts w:hint="eastAsia"/>
                <w:color w:val="auto"/>
                <w:sz w:val="24"/>
              </w:rPr>
              <w:t>3900</w:t>
            </w:r>
            <w:r>
              <w:rPr>
                <w:color w:val="auto"/>
                <w:sz w:val="24"/>
              </w:rPr>
              <w:t>m</w:t>
            </w:r>
            <w:r>
              <w:rPr>
                <w:color w:val="auto"/>
                <w:sz w:val="24"/>
                <w:vertAlign w:val="superscript"/>
              </w:rPr>
              <w:t>2</w:t>
            </w:r>
            <w:r>
              <w:rPr>
                <w:color w:val="auto"/>
                <w:sz w:val="24"/>
              </w:rPr>
              <w:t>，总建筑面积</w:t>
            </w:r>
            <w:r>
              <w:rPr>
                <w:rFonts w:hint="eastAsia"/>
                <w:color w:val="auto"/>
                <w:sz w:val="24"/>
              </w:rPr>
              <w:t>15600</w:t>
            </w:r>
            <w:r>
              <w:rPr>
                <w:color w:val="auto"/>
                <w:sz w:val="24"/>
              </w:rPr>
              <w:t>m</w:t>
            </w:r>
            <w:r>
              <w:rPr>
                <w:color w:val="auto"/>
                <w:sz w:val="24"/>
                <w:vertAlign w:val="superscript"/>
              </w:rPr>
              <w:t>2</w:t>
            </w:r>
            <w:r>
              <w:rPr>
                <w:color w:val="auto"/>
                <w:sz w:val="24"/>
              </w:rPr>
              <w:t>。</w:t>
            </w:r>
          </w:p>
          <w:p w14:paraId="2EE3F8CA">
            <w:pPr>
              <w:tabs>
                <w:tab w:val="left" w:pos="5109"/>
              </w:tabs>
              <w:wordWrap w:val="0"/>
              <w:adjustRightInd w:val="0"/>
              <w:snapToGrid w:val="0"/>
              <w:spacing w:line="360" w:lineRule="auto"/>
              <w:ind w:firstLine="480" w:firstLineChars="200"/>
              <w:jc w:val="left"/>
              <w:rPr>
                <w:color w:val="auto"/>
                <w:sz w:val="24"/>
              </w:rPr>
            </w:pPr>
            <w:r>
              <w:rPr>
                <w:color w:val="auto"/>
                <w:sz w:val="24"/>
              </w:rPr>
              <w:t>项目属于《国民经济行业分类》（GB/T4754-2017）及第1号修改单中“C3360金属表面处理及热处理加工”，根据《建设项目环境影响评价分类管理名录（</w:t>
            </w:r>
            <w:r>
              <w:rPr>
                <w:rFonts w:hint="eastAsia"/>
                <w:color w:val="auto"/>
                <w:sz w:val="24"/>
              </w:rPr>
              <w:t>2021年版</w:t>
            </w:r>
            <w:r>
              <w:rPr>
                <w:color w:val="auto"/>
                <w:sz w:val="24"/>
              </w:rPr>
              <w:t>）》（部令第16号），项目对应分类管理名录见下表：</w:t>
            </w:r>
          </w:p>
          <w:p w14:paraId="7ACC34D2">
            <w:pPr>
              <w:numPr>
                <w:ilvl w:val="0"/>
                <w:numId w:val="10"/>
              </w:numPr>
              <w:adjustRightInd w:val="0"/>
              <w:snapToGrid w:val="0"/>
              <w:jc w:val="center"/>
              <w:rPr>
                <w:b/>
                <w:color w:val="auto"/>
                <w:szCs w:val="21"/>
              </w:rPr>
            </w:pPr>
            <w:r>
              <w:rPr>
                <w:b/>
                <w:color w:val="auto"/>
                <w:szCs w:val="21"/>
              </w:rPr>
              <w:t>建设项目环境影响评价分类管理名录（摘要）</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0"/>
              <w:gridCol w:w="1955"/>
              <w:gridCol w:w="2883"/>
              <w:gridCol w:w="991"/>
              <w:gridCol w:w="987"/>
            </w:tblGrid>
            <w:tr w14:paraId="5DE96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98" w:type="pct"/>
                  <w:vAlign w:val="center"/>
                </w:tcPr>
                <w:p w14:paraId="07135B85">
                  <w:pPr>
                    <w:pStyle w:val="100"/>
                    <w:ind w:firstLine="0" w:firstLineChars="0"/>
                    <w:jc w:val="center"/>
                    <w:rPr>
                      <w:rFonts w:cs="Times New Roman"/>
                      <w:b/>
                      <w:bCs/>
                      <w:color w:val="auto"/>
                      <w:szCs w:val="21"/>
                      <w:lang w:eastAsia="zh-CN"/>
                    </w:rPr>
                  </w:pPr>
                  <w:r>
                    <w:rPr>
                      <w:rFonts w:cs="Times New Roman"/>
                      <w:b/>
                      <w:bCs/>
                      <w:color w:val="auto"/>
                      <w:szCs w:val="21"/>
                      <w:lang w:eastAsia="zh-CN"/>
                    </w:rPr>
                    <w:t>环评类别</w:t>
                  </w:r>
                </w:p>
              </w:tc>
              <w:tc>
                <w:tcPr>
                  <w:tcW w:w="1062" w:type="pct"/>
                  <w:vAlign w:val="center"/>
                </w:tcPr>
                <w:p w14:paraId="0CAAC148">
                  <w:pPr>
                    <w:pStyle w:val="100"/>
                    <w:ind w:firstLine="0" w:firstLineChars="0"/>
                    <w:jc w:val="center"/>
                    <w:rPr>
                      <w:rFonts w:cs="Times New Roman"/>
                      <w:b/>
                      <w:bCs/>
                      <w:color w:val="auto"/>
                      <w:szCs w:val="21"/>
                      <w:lang w:eastAsia="zh-CN"/>
                    </w:rPr>
                  </w:pPr>
                  <w:r>
                    <w:rPr>
                      <w:rFonts w:cs="Times New Roman"/>
                      <w:b/>
                      <w:bCs/>
                      <w:color w:val="auto"/>
                      <w:szCs w:val="21"/>
                      <w:lang w:eastAsia="zh-CN"/>
                    </w:rPr>
                    <w:t>报告书</w:t>
                  </w:r>
                </w:p>
              </w:tc>
              <w:tc>
                <w:tcPr>
                  <w:tcW w:w="1566" w:type="pct"/>
                  <w:vAlign w:val="center"/>
                </w:tcPr>
                <w:p w14:paraId="0DC590F8">
                  <w:pPr>
                    <w:pStyle w:val="100"/>
                    <w:ind w:firstLine="0" w:firstLineChars="0"/>
                    <w:jc w:val="center"/>
                    <w:rPr>
                      <w:rFonts w:cs="Times New Roman"/>
                      <w:b/>
                      <w:bCs/>
                      <w:color w:val="auto"/>
                      <w:szCs w:val="21"/>
                      <w:lang w:eastAsia="zh-CN"/>
                    </w:rPr>
                  </w:pPr>
                  <w:r>
                    <w:rPr>
                      <w:rFonts w:cs="Times New Roman"/>
                      <w:b/>
                      <w:bCs/>
                      <w:color w:val="auto"/>
                      <w:szCs w:val="21"/>
                      <w:lang w:eastAsia="zh-CN"/>
                    </w:rPr>
                    <w:t>报告表</w:t>
                  </w:r>
                </w:p>
              </w:tc>
              <w:tc>
                <w:tcPr>
                  <w:tcW w:w="538" w:type="pct"/>
                  <w:vAlign w:val="center"/>
                </w:tcPr>
                <w:p w14:paraId="6F573B34">
                  <w:pPr>
                    <w:pStyle w:val="100"/>
                    <w:ind w:firstLine="0" w:firstLineChars="0"/>
                    <w:jc w:val="center"/>
                    <w:rPr>
                      <w:rFonts w:cs="Times New Roman"/>
                      <w:b/>
                      <w:bCs/>
                      <w:color w:val="auto"/>
                      <w:szCs w:val="21"/>
                      <w:lang w:eastAsia="zh-CN"/>
                    </w:rPr>
                  </w:pPr>
                  <w:r>
                    <w:rPr>
                      <w:rFonts w:cs="Times New Roman"/>
                      <w:b/>
                      <w:bCs/>
                      <w:color w:val="auto"/>
                      <w:szCs w:val="21"/>
                      <w:lang w:eastAsia="zh-CN"/>
                    </w:rPr>
                    <w:t>登记表</w:t>
                  </w:r>
                </w:p>
              </w:tc>
              <w:tc>
                <w:tcPr>
                  <w:tcW w:w="534" w:type="pct"/>
                  <w:vAlign w:val="center"/>
                </w:tcPr>
                <w:p w14:paraId="0087342E">
                  <w:pPr>
                    <w:pStyle w:val="100"/>
                    <w:ind w:firstLine="0" w:firstLineChars="0"/>
                    <w:jc w:val="center"/>
                    <w:rPr>
                      <w:rFonts w:cs="Times New Roman"/>
                      <w:b/>
                      <w:bCs/>
                      <w:color w:val="auto"/>
                      <w:szCs w:val="21"/>
                      <w:lang w:eastAsia="zh-CN"/>
                    </w:rPr>
                  </w:pPr>
                  <w:r>
                    <w:rPr>
                      <w:rFonts w:cs="Times New Roman"/>
                      <w:b/>
                      <w:bCs/>
                      <w:color w:val="auto"/>
                      <w:szCs w:val="21"/>
                      <w:lang w:eastAsia="zh-CN"/>
                    </w:rPr>
                    <w:t>本项目</w:t>
                  </w:r>
                </w:p>
              </w:tc>
            </w:tr>
            <w:tr w14:paraId="7B6F6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000" w:type="pct"/>
                  <w:gridSpan w:val="5"/>
                  <w:vAlign w:val="center"/>
                </w:tcPr>
                <w:p w14:paraId="5E12345B">
                  <w:pPr>
                    <w:pStyle w:val="84"/>
                    <w:spacing w:before="28"/>
                    <w:jc w:val="left"/>
                    <w:rPr>
                      <w:b/>
                      <w:bCs/>
                      <w:color w:val="auto"/>
                    </w:rPr>
                  </w:pPr>
                  <w:r>
                    <w:rPr>
                      <w:color w:val="auto"/>
                    </w:rPr>
                    <w:t>三十、金属制品业 33</w:t>
                  </w:r>
                </w:p>
              </w:tc>
            </w:tr>
            <w:tr w14:paraId="2C2BD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98" w:type="pct"/>
                  <w:vAlign w:val="center"/>
                </w:tcPr>
                <w:p w14:paraId="7C2FBA5A">
                  <w:pPr>
                    <w:pStyle w:val="84"/>
                    <w:spacing w:before="28"/>
                    <w:jc w:val="both"/>
                    <w:rPr>
                      <w:b/>
                      <w:bCs/>
                      <w:color w:val="auto"/>
                    </w:rPr>
                  </w:pPr>
                  <w:r>
                    <w:rPr>
                      <w:b/>
                      <w:color w:val="auto"/>
                      <w:position w:val="-20"/>
                    </w:rPr>
                    <w:t>67、金属表面处理及热处理加工</w:t>
                  </w:r>
                </w:p>
              </w:tc>
              <w:tc>
                <w:tcPr>
                  <w:tcW w:w="1062" w:type="pct"/>
                  <w:vAlign w:val="center"/>
                </w:tcPr>
                <w:p w14:paraId="4E0D00F6">
                  <w:pPr>
                    <w:pStyle w:val="84"/>
                    <w:spacing w:before="28"/>
                    <w:jc w:val="both"/>
                    <w:rPr>
                      <w:b/>
                      <w:bCs/>
                      <w:color w:val="auto"/>
                    </w:rPr>
                  </w:pPr>
                  <w:r>
                    <w:rPr>
                      <w:bCs/>
                      <w:color w:val="auto"/>
                      <w:position w:val="-20"/>
                    </w:rPr>
                    <w:t>有电镀工艺的；年用溶剂型涂料（含稀释剂）10吨及以上的</w:t>
                  </w:r>
                </w:p>
              </w:tc>
              <w:tc>
                <w:tcPr>
                  <w:tcW w:w="1566" w:type="pct"/>
                  <w:vAlign w:val="center"/>
                </w:tcPr>
                <w:p w14:paraId="63EAB75B">
                  <w:pPr>
                    <w:pStyle w:val="84"/>
                    <w:spacing w:before="28"/>
                    <w:jc w:val="both"/>
                    <w:rPr>
                      <w:b/>
                      <w:bCs/>
                      <w:color w:val="auto"/>
                    </w:rPr>
                  </w:pPr>
                  <w:r>
                    <w:rPr>
                      <w:b/>
                      <w:color w:val="auto"/>
                      <w:position w:val="-20"/>
                    </w:rPr>
                    <w:t>其他</w:t>
                  </w:r>
                  <w:r>
                    <w:rPr>
                      <w:bCs/>
                      <w:color w:val="auto"/>
                      <w:position w:val="-20"/>
                    </w:rPr>
                    <w:t>（仅分割、焊接、组装的除外；年用非溶剂型低VOCs含量涂料10吨以下的除外）</w:t>
                  </w:r>
                </w:p>
              </w:tc>
              <w:tc>
                <w:tcPr>
                  <w:tcW w:w="538" w:type="pct"/>
                  <w:vAlign w:val="center"/>
                </w:tcPr>
                <w:p w14:paraId="3E88FDAB">
                  <w:pPr>
                    <w:pStyle w:val="84"/>
                    <w:spacing w:before="28"/>
                    <w:rPr>
                      <w:b/>
                      <w:bCs/>
                      <w:color w:val="auto"/>
                    </w:rPr>
                  </w:pPr>
                  <w:r>
                    <w:rPr>
                      <w:color w:val="auto"/>
                    </w:rPr>
                    <w:t>/</w:t>
                  </w:r>
                </w:p>
              </w:tc>
              <w:tc>
                <w:tcPr>
                  <w:tcW w:w="534" w:type="pct"/>
                  <w:vAlign w:val="center"/>
                </w:tcPr>
                <w:p w14:paraId="28785A45">
                  <w:pPr>
                    <w:pStyle w:val="84"/>
                    <w:spacing w:before="28"/>
                    <w:rPr>
                      <w:b/>
                      <w:bCs/>
                      <w:color w:val="auto"/>
                    </w:rPr>
                  </w:pPr>
                  <w:r>
                    <w:rPr>
                      <w:color w:val="auto"/>
                    </w:rPr>
                    <w:t>其他</w:t>
                  </w:r>
                </w:p>
              </w:tc>
            </w:tr>
            <w:tr w14:paraId="48050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000" w:type="pct"/>
                  <w:gridSpan w:val="5"/>
                  <w:vAlign w:val="center"/>
                </w:tcPr>
                <w:p w14:paraId="290BE2B5">
                  <w:pPr>
                    <w:pStyle w:val="84"/>
                    <w:spacing w:before="28"/>
                    <w:jc w:val="both"/>
                    <w:rPr>
                      <w:color w:val="auto"/>
                    </w:rPr>
                  </w:pPr>
                  <w:r>
                    <w:rPr>
                      <w:rFonts w:hint="eastAsia"/>
                      <w:color w:val="auto"/>
                    </w:rPr>
                    <w:t>三十四、铁路、船舶、航空航天和其他运输设备制造业37</w:t>
                  </w:r>
                </w:p>
              </w:tc>
            </w:tr>
            <w:tr w14:paraId="29930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98" w:type="pct"/>
                  <w:vAlign w:val="center"/>
                </w:tcPr>
                <w:p w14:paraId="034C7CBC">
                  <w:pPr>
                    <w:pStyle w:val="84"/>
                    <w:spacing w:before="28"/>
                    <w:jc w:val="both"/>
                    <w:rPr>
                      <w:bCs/>
                      <w:color w:val="auto"/>
                      <w:position w:val="-20"/>
                    </w:rPr>
                  </w:pPr>
                  <w:r>
                    <w:rPr>
                      <w:rFonts w:hint="eastAsia"/>
                      <w:bCs/>
                      <w:color w:val="auto"/>
                      <w:position w:val="-20"/>
                    </w:rPr>
                    <w:t>76、</w:t>
                  </w:r>
                  <w:r>
                    <w:rPr>
                      <w:rFonts w:hint="eastAsia"/>
                      <w:b/>
                      <w:color w:val="auto"/>
                      <w:position w:val="-20"/>
                    </w:rPr>
                    <w:t>自行车和残疾人座车制造376；助动车制造 377</w:t>
                  </w:r>
                  <w:r>
                    <w:rPr>
                      <w:rFonts w:hint="eastAsia"/>
                      <w:bCs/>
                      <w:color w:val="auto"/>
                      <w:position w:val="-20"/>
                    </w:rPr>
                    <w:t>；非公路休闲车及零配件制造378；潜水救捞及其他未列明运输设备制造379</w:t>
                  </w:r>
                </w:p>
              </w:tc>
              <w:tc>
                <w:tcPr>
                  <w:tcW w:w="1062" w:type="pct"/>
                  <w:vAlign w:val="center"/>
                </w:tcPr>
                <w:p w14:paraId="2859E99A">
                  <w:pPr>
                    <w:pStyle w:val="84"/>
                    <w:spacing w:before="28"/>
                    <w:jc w:val="both"/>
                    <w:rPr>
                      <w:bCs/>
                      <w:color w:val="auto"/>
                      <w:position w:val="-20"/>
                    </w:rPr>
                  </w:pPr>
                  <w:r>
                    <w:rPr>
                      <w:rFonts w:hint="eastAsia"/>
                      <w:bCs/>
                      <w:color w:val="auto"/>
                      <w:position w:val="-20"/>
                    </w:rPr>
                    <w:t>有电镀工艺的；年用溶剂型涂料(含稀释剂)10吨及以上的</w:t>
                  </w:r>
                </w:p>
              </w:tc>
              <w:tc>
                <w:tcPr>
                  <w:tcW w:w="1566" w:type="pct"/>
                  <w:vAlign w:val="center"/>
                </w:tcPr>
                <w:p w14:paraId="1C63805B">
                  <w:pPr>
                    <w:pStyle w:val="84"/>
                    <w:spacing w:before="28"/>
                    <w:jc w:val="both"/>
                    <w:rPr>
                      <w:b/>
                      <w:color w:val="auto"/>
                      <w:position w:val="-20"/>
                    </w:rPr>
                  </w:pPr>
                  <w:r>
                    <w:rPr>
                      <w:rFonts w:hint="eastAsia"/>
                      <w:b/>
                      <w:color w:val="auto"/>
                      <w:position w:val="-20"/>
                    </w:rPr>
                    <w:t>其他</w:t>
                  </w:r>
                  <w:r>
                    <w:rPr>
                      <w:rFonts w:hint="eastAsia"/>
                      <w:bCs/>
                      <w:color w:val="auto"/>
                      <w:position w:val="-20"/>
                    </w:rPr>
                    <w:t>（仅分割、焊接、组装的除外；年用非溶剂型低VOCs含量涂料10吨以下的除外）</w:t>
                  </w:r>
                </w:p>
              </w:tc>
              <w:tc>
                <w:tcPr>
                  <w:tcW w:w="984" w:type="dxa"/>
                  <w:vAlign w:val="center"/>
                </w:tcPr>
                <w:p w14:paraId="303FF183">
                  <w:pPr>
                    <w:pStyle w:val="84"/>
                    <w:spacing w:before="28"/>
                    <w:rPr>
                      <w:color w:val="auto"/>
                    </w:rPr>
                  </w:pPr>
                  <w:r>
                    <w:rPr>
                      <w:color w:val="auto"/>
                    </w:rPr>
                    <w:t>/</w:t>
                  </w:r>
                </w:p>
              </w:tc>
              <w:tc>
                <w:tcPr>
                  <w:tcW w:w="980" w:type="dxa"/>
                  <w:vAlign w:val="center"/>
                </w:tcPr>
                <w:p w14:paraId="2020E8E3">
                  <w:pPr>
                    <w:pStyle w:val="84"/>
                    <w:spacing w:before="28"/>
                    <w:rPr>
                      <w:color w:val="auto"/>
                    </w:rPr>
                  </w:pPr>
                  <w:r>
                    <w:rPr>
                      <w:color w:val="auto"/>
                    </w:rPr>
                    <w:t>其他</w:t>
                  </w:r>
                </w:p>
              </w:tc>
            </w:tr>
            <w:tr w14:paraId="73927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000" w:type="pct"/>
                  <w:gridSpan w:val="5"/>
                  <w:vAlign w:val="center"/>
                </w:tcPr>
                <w:p w14:paraId="09433D47">
                  <w:pPr>
                    <w:pStyle w:val="84"/>
                    <w:spacing w:before="28"/>
                    <w:jc w:val="both"/>
                    <w:rPr>
                      <w:color w:val="auto"/>
                    </w:rPr>
                  </w:pPr>
                  <w:r>
                    <w:rPr>
                      <w:rFonts w:hint="eastAsia"/>
                      <w:color w:val="auto"/>
                    </w:rPr>
                    <w:t>十八、家具制造业21</w:t>
                  </w:r>
                </w:p>
              </w:tc>
            </w:tr>
            <w:tr w14:paraId="19D20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98" w:type="pct"/>
                  <w:vAlign w:val="center"/>
                </w:tcPr>
                <w:p w14:paraId="53EE4428">
                  <w:pPr>
                    <w:pStyle w:val="84"/>
                    <w:spacing w:before="28"/>
                    <w:jc w:val="both"/>
                    <w:rPr>
                      <w:bCs/>
                      <w:color w:val="auto"/>
                      <w:position w:val="-20"/>
                    </w:rPr>
                  </w:pPr>
                  <w:r>
                    <w:rPr>
                      <w:rFonts w:hint="eastAsia"/>
                      <w:bCs/>
                      <w:color w:val="auto"/>
                      <w:position w:val="-20"/>
                    </w:rPr>
                    <w:t>36、木质家具制造211*；竹、藤家具制造212*；</w:t>
                  </w:r>
                  <w:r>
                    <w:rPr>
                      <w:rFonts w:hint="eastAsia"/>
                      <w:b/>
                      <w:color w:val="auto"/>
                      <w:position w:val="-20"/>
                    </w:rPr>
                    <w:t>金属家具制造213*；</w:t>
                  </w:r>
                  <w:r>
                    <w:rPr>
                      <w:rFonts w:hint="eastAsia"/>
                      <w:bCs/>
                      <w:color w:val="auto"/>
                      <w:position w:val="-20"/>
                    </w:rPr>
                    <w:t>塑料家具制造214*；其他家具制造219*</w:t>
                  </w:r>
                </w:p>
              </w:tc>
              <w:tc>
                <w:tcPr>
                  <w:tcW w:w="1062" w:type="pct"/>
                  <w:vAlign w:val="center"/>
                </w:tcPr>
                <w:p w14:paraId="76B98360">
                  <w:pPr>
                    <w:pStyle w:val="84"/>
                    <w:spacing w:before="28"/>
                    <w:jc w:val="both"/>
                    <w:rPr>
                      <w:bCs/>
                      <w:color w:val="auto"/>
                      <w:position w:val="-20"/>
                    </w:rPr>
                  </w:pPr>
                  <w:r>
                    <w:rPr>
                      <w:rFonts w:hint="eastAsia"/>
                      <w:bCs/>
                      <w:color w:val="auto"/>
                      <w:position w:val="-20"/>
                    </w:rPr>
                    <w:t>有电镀工艺的；年用溶剂型涂料(含稀释剂)10吨及以上的</w:t>
                  </w:r>
                </w:p>
              </w:tc>
              <w:tc>
                <w:tcPr>
                  <w:tcW w:w="1566" w:type="pct"/>
                  <w:vAlign w:val="center"/>
                </w:tcPr>
                <w:p w14:paraId="45F1F9B4">
                  <w:pPr>
                    <w:pStyle w:val="84"/>
                    <w:spacing w:before="28"/>
                    <w:jc w:val="both"/>
                    <w:rPr>
                      <w:b/>
                      <w:color w:val="auto"/>
                      <w:position w:val="-20"/>
                    </w:rPr>
                  </w:pPr>
                  <w:r>
                    <w:rPr>
                      <w:rFonts w:hint="eastAsia"/>
                      <w:b/>
                      <w:color w:val="auto"/>
                      <w:position w:val="-20"/>
                    </w:rPr>
                    <w:t>其他</w:t>
                  </w:r>
                  <w:r>
                    <w:rPr>
                      <w:rFonts w:hint="eastAsia"/>
                      <w:bCs/>
                      <w:color w:val="auto"/>
                      <w:position w:val="-20"/>
                    </w:rPr>
                    <w:t>（仅分割、组装的除外；年用非溶剂型低VOCs含量涂料10吨以下的除外）</w:t>
                  </w:r>
                </w:p>
              </w:tc>
              <w:tc>
                <w:tcPr>
                  <w:tcW w:w="984" w:type="dxa"/>
                  <w:vAlign w:val="center"/>
                </w:tcPr>
                <w:p w14:paraId="6F0543BB">
                  <w:pPr>
                    <w:pStyle w:val="84"/>
                    <w:spacing w:before="28"/>
                    <w:rPr>
                      <w:color w:val="auto"/>
                    </w:rPr>
                  </w:pPr>
                  <w:r>
                    <w:rPr>
                      <w:color w:val="auto"/>
                    </w:rPr>
                    <w:t>/</w:t>
                  </w:r>
                </w:p>
              </w:tc>
              <w:tc>
                <w:tcPr>
                  <w:tcW w:w="980" w:type="dxa"/>
                  <w:vAlign w:val="center"/>
                </w:tcPr>
                <w:p w14:paraId="380458DE">
                  <w:pPr>
                    <w:pStyle w:val="84"/>
                    <w:spacing w:before="28"/>
                    <w:rPr>
                      <w:color w:val="auto"/>
                    </w:rPr>
                  </w:pPr>
                  <w:r>
                    <w:rPr>
                      <w:color w:val="auto"/>
                    </w:rPr>
                    <w:t>其他</w:t>
                  </w:r>
                </w:p>
              </w:tc>
            </w:tr>
          </w:tbl>
          <w:p w14:paraId="2879B054">
            <w:pPr>
              <w:adjustRightInd w:val="0"/>
              <w:snapToGrid w:val="0"/>
              <w:spacing w:line="360" w:lineRule="auto"/>
              <w:ind w:firstLine="480" w:firstLineChars="200"/>
              <w:rPr>
                <w:color w:val="auto"/>
                <w:sz w:val="24"/>
              </w:rPr>
            </w:pPr>
            <w:r>
              <w:rPr>
                <w:rStyle w:val="42"/>
                <w:color w:val="auto"/>
                <w:kern w:val="0"/>
                <w:sz w:val="24"/>
              </w:rPr>
              <w:t>根据《建设项目环境影响评价分类管理名录（</w:t>
            </w:r>
            <w:r>
              <w:rPr>
                <w:rStyle w:val="42"/>
                <w:rFonts w:hint="eastAsia"/>
                <w:color w:val="auto"/>
                <w:kern w:val="0"/>
                <w:sz w:val="24"/>
              </w:rPr>
              <w:t>2025年版</w:t>
            </w:r>
            <w:r>
              <w:rPr>
                <w:rStyle w:val="42"/>
                <w:color w:val="auto"/>
                <w:kern w:val="0"/>
                <w:sz w:val="24"/>
              </w:rPr>
              <w:t>）》（部令第16号），</w:t>
            </w:r>
            <w:r>
              <w:rPr>
                <w:color w:val="auto"/>
                <w:sz w:val="24"/>
              </w:rPr>
              <w:t>项目应编制环境影响报告表</w:t>
            </w:r>
            <w:r>
              <w:rPr>
                <w:rStyle w:val="42"/>
                <w:color w:val="auto"/>
                <w:kern w:val="0"/>
                <w:sz w:val="24"/>
              </w:rPr>
              <w:t>。</w:t>
            </w:r>
          </w:p>
          <w:p w14:paraId="5F6E5D81">
            <w:pPr>
              <w:numPr>
                <w:ilvl w:val="0"/>
                <w:numId w:val="9"/>
              </w:numPr>
              <w:adjustRightInd w:val="0"/>
              <w:snapToGrid w:val="0"/>
              <w:spacing w:line="360" w:lineRule="auto"/>
              <w:jc w:val="left"/>
              <w:rPr>
                <w:b/>
                <w:bCs/>
                <w:color w:val="auto"/>
                <w:sz w:val="24"/>
              </w:rPr>
            </w:pPr>
            <w:r>
              <w:rPr>
                <w:b/>
                <w:bCs/>
                <w:color w:val="auto"/>
                <w:sz w:val="24"/>
              </w:rPr>
              <w:t>项目概况</w:t>
            </w:r>
          </w:p>
          <w:p w14:paraId="280619A6">
            <w:pPr>
              <w:adjustRightInd w:val="0"/>
              <w:snapToGrid w:val="0"/>
              <w:spacing w:line="360" w:lineRule="auto"/>
              <w:ind w:left="8" w:firstLine="360" w:firstLineChars="150"/>
              <w:rPr>
                <w:color w:val="auto"/>
                <w:sz w:val="24"/>
              </w:rPr>
            </w:pPr>
            <w:r>
              <w:rPr>
                <w:rFonts w:hint="eastAsia"/>
                <w:color w:val="auto"/>
                <w:sz w:val="24"/>
              </w:rPr>
              <w:t>惠州市源意五金制品有限公司</w:t>
            </w:r>
            <w:r>
              <w:rPr>
                <w:color w:val="auto"/>
                <w:sz w:val="24"/>
              </w:rPr>
              <w:t>拟选址于</w:t>
            </w:r>
            <w:r>
              <w:rPr>
                <w:rFonts w:hint="eastAsia"/>
                <w:color w:val="auto"/>
                <w:sz w:val="24"/>
              </w:rPr>
              <w:t>广东省惠州市博罗县石湾镇黄西村宝居乐工业园A1栋4-7楼</w:t>
            </w:r>
            <w:r>
              <w:rPr>
                <w:color w:val="auto"/>
                <w:sz w:val="24"/>
              </w:rPr>
              <w:t>，总占地面积为</w:t>
            </w:r>
            <w:r>
              <w:rPr>
                <w:rFonts w:hint="eastAsia"/>
                <w:color w:val="auto"/>
                <w:sz w:val="24"/>
              </w:rPr>
              <w:t>3900</w:t>
            </w:r>
            <w:r>
              <w:rPr>
                <w:color w:val="auto"/>
                <w:sz w:val="24"/>
              </w:rPr>
              <w:t>m</w:t>
            </w:r>
            <w:r>
              <w:rPr>
                <w:color w:val="auto"/>
                <w:sz w:val="24"/>
                <w:vertAlign w:val="superscript"/>
              </w:rPr>
              <w:t>2</w:t>
            </w:r>
            <w:r>
              <w:rPr>
                <w:color w:val="auto"/>
                <w:sz w:val="24"/>
              </w:rPr>
              <w:t>，总建筑面积</w:t>
            </w:r>
            <w:r>
              <w:rPr>
                <w:rFonts w:hint="eastAsia"/>
                <w:color w:val="auto"/>
                <w:sz w:val="24"/>
              </w:rPr>
              <w:t>15600</w:t>
            </w:r>
            <w:r>
              <w:rPr>
                <w:color w:val="auto"/>
                <w:sz w:val="24"/>
              </w:rPr>
              <w:t>m</w:t>
            </w:r>
            <w:r>
              <w:rPr>
                <w:color w:val="auto"/>
                <w:sz w:val="24"/>
                <w:vertAlign w:val="superscript"/>
              </w:rPr>
              <w:t>2</w:t>
            </w:r>
            <w:r>
              <w:rPr>
                <w:color w:val="auto"/>
                <w:sz w:val="24"/>
              </w:rPr>
              <w:t>，项目主要从事</w:t>
            </w:r>
            <w:r>
              <w:rPr>
                <w:rFonts w:hint="eastAsia"/>
                <w:color w:val="auto"/>
                <w:sz w:val="24"/>
              </w:rPr>
              <w:t>自行车车架、电动助力车车架、家私配件等金属配件</w:t>
            </w:r>
            <w:r>
              <w:rPr>
                <w:color w:val="auto"/>
                <w:sz w:val="24"/>
                <w:shd w:val="clear" w:color="auto" w:fill="FFFFFF"/>
              </w:rPr>
              <w:t>的</w:t>
            </w:r>
            <w:r>
              <w:rPr>
                <w:rFonts w:hint="eastAsia"/>
                <w:color w:val="auto"/>
                <w:sz w:val="24"/>
                <w:shd w:val="clear" w:color="auto" w:fill="FFFFFF"/>
              </w:rPr>
              <w:t>表面加工</w:t>
            </w:r>
            <w:r>
              <w:rPr>
                <w:color w:val="auto"/>
                <w:sz w:val="24"/>
                <w:shd w:val="clear" w:color="auto" w:fill="FFFFFF"/>
              </w:rPr>
              <w:t>，预计年产</w:t>
            </w:r>
            <w:r>
              <w:rPr>
                <w:rFonts w:hint="eastAsia"/>
                <w:color w:val="auto"/>
                <w:sz w:val="24"/>
                <w:shd w:val="clear" w:color="auto" w:fill="FFFFFF"/>
              </w:rPr>
              <w:t>自行车车架12.6万件、电动助力车车架12万件和家私配件11.4万件</w:t>
            </w:r>
            <w:r>
              <w:rPr>
                <w:color w:val="auto"/>
                <w:sz w:val="24"/>
              </w:rPr>
              <w:t>，主要工艺为</w:t>
            </w:r>
            <w:r>
              <w:rPr>
                <w:rFonts w:hint="eastAsia"/>
                <w:color w:val="auto"/>
                <w:sz w:val="24"/>
              </w:rPr>
              <w:t>抛丸、除油、除锈、</w:t>
            </w:r>
            <w:r>
              <w:rPr>
                <w:color w:val="auto"/>
                <w:sz w:val="24"/>
              </w:rPr>
              <w:t>脱脂、表调、磷化、喷粉、固化</w:t>
            </w:r>
            <w:r>
              <w:rPr>
                <w:rFonts w:hint="eastAsia"/>
                <w:color w:val="auto"/>
                <w:sz w:val="24"/>
              </w:rPr>
              <w:t>、喷漆、烘烤</w:t>
            </w:r>
            <w:r>
              <w:rPr>
                <w:color w:val="auto"/>
                <w:sz w:val="24"/>
              </w:rPr>
              <w:t>等，</w:t>
            </w:r>
            <w:r>
              <w:rPr>
                <w:rFonts w:hint="eastAsia"/>
                <w:color w:val="auto"/>
                <w:sz w:val="24"/>
              </w:rPr>
              <w:t>共</w:t>
            </w:r>
            <w:r>
              <w:rPr>
                <w:color w:val="auto"/>
                <w:sz w:val="24"/>
              </w:rPr>
              <w:t>设置</w:t>
            </w:r>
            <w:r>
              <w:rPr>
                <w:rFonts w:hint="eastAsia"/>
                <w:color w:val="auto"/>
                <w:sz w:val="24"/>
              </w:rPr>
              <w:t>1</w:t>
            </w:r>
            <w:r>
              <w:rPr>
                <w:color w:val="auto"/>
                <w:sz w:val="24"/>
              </w:rPr>
              <w:t>条表面处理线、</w:t>
            </w:r>
            <w:r>
              <w:rPr>
                <w:rFonts w:hint="eastAsia"/>
                <w:color w:val="auto"/>
                <w:sz w:val="24"/>
              </w:rPr>
              <w:t>1</w:t>
            </w:r>
            <w:r>
              <w:rPr>
                <w:color w:val="auto"/>
                <w:sz w:val="24"/>
              </w:rPr>
              <w:t>条喷粉线</w:t>
            </w:r>
            <w:r>
              <w:rPr>
                <w:rFonts w:hint="eastAsia"/>
                <w:color w:val="auto"/>
                <w:sz w:val="24"/>
              </w:rPr>
              <w:t>和2条喷漆线</w:t>
            </w:r>
            <w:r>
              <w:rPr>
                <w:color w:val="auto"/>
                <w:sz w:val="24"/>
              </w:rPr>
              <w:t>；项目拟聘用员工</w:t>
            </w:r>
            <w:r>
              <w:rPr>
                <w:rFonts w:hint="eastAsia"/>
                <w:color w:val="auto"/>
                <w:sz w:val="24"/>
              </w:rPr>
              <w:t>50</w:t>
            </w:r>
            <w:r>
              <w:rPr>
                <w:color w:val="auto"/>
                <w:sz w:val="24"/>
              </w:rPr>
              <w:t>人，年工作日为300天，每天工作</w:t>
            </w:r>
            <w:r>
              <w:rPr>
                <w:rFonts w:hint="eastAsia"/>
                <w:color w:val="auto"/>
                <w:sz w:val="24"/>
              </w:rPr>
              <w:t>10</w:t>
            </w:r>
            <w:r>
              <w:rPr>
                <w:color w:val="auto"/>
                <w:sz w:val="24"/>
              </w:rPr>
              <w:t>小时，员工均不在厂区内食宿。</w:t>
            </w:r>
          </w:p>
          <w:p w14:paraId="0D12AB7B">
            <w:pPr>
              <w:adjustRightInd w:val="0"/>
              <w:snapToGrid w:val="0"/>
              <w:spacing w:line="360" w:lineRule="auto"/>
              <w:ind w:left="8" w:firstLine="360" w:firstLineChars="150"/>
              <w:rPr>
                <w:color w:val="auto"/>
                <w:sz w:val="24"/>
              </w:rPr>
            </w:pPr>
            <w:r>
              <w:rPr>
                <w:color w:val="auto"/>
                <w:sz w:val="24"/>
              </w:rPr>
              <w:t>项目工程组成见表2-2：</w:t>
            </w:r>
          </w:p>
          <w:p w14:paraId="20494DAD">
            <w:pPr>
              <w:numPr>
                <w:ilvl w:val="0"/>
                <w:numId w:val="10"/>
              </w:numPr>
              <w:adjustRightInd w:val="0"/>
              <w:snapToGrid w:val="0"/>
              <w:jc w:val="center"/>
              <w:rPr>
                <w:b/>
                <w:color w:val="auto"/>
                <w:szCs w:val="21"/>
              </w:rPr>
            </w:pPr>
            <w:r>
              <w:rPr>
                <w:b/>
                <w:color w:val="auto"/>
                <w:szCs w:val="21"/>
              </w:rPr>
              <w:t>项目工程组成一览表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1102"/>
              <w:gridCol w:w="6451"/>
            </w:tblGrid>
            <w:tr w14:paraId="7A16D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99" w:type="pct"/>
                  <w:gridSpan w:val="2"/>
                  <w:vAlign w:val="center"/>
                </w:tcPr>
                <w:p w14:paraId="37359DF8">
                  <w:pPr>
                    <w:topLinePunct/>
                    <w:jc w:val="center"/>
                    <w:rPr>
                      <w:b/>
                      <w:bCs/>
                      <w:color w:val="auto"/>
                      <w:szCs w:val="21"/>
                    </w:rPr>
                  </w:pPr>
                  <w:r>
                    <w:rPr>
                      <w:b/>
                      <w:bCs/>
                      <w:color w:val="auto"/>
                      <w:szCs w:val="21"/>
                    </w:rPr>
                    <w:t>工程类别</w:t>
                  </w:r>
                </w:p>
              </w:tc>
              <w:tc>
                <w:tcPr>
                  <w:tcW w:w="3500" w:type="pct"/>
                  <w:vAlign w:val="center"/>
                </w:tcPr>
                <w:p w14:paraId="1EFA0ECF">
                  <w:pPr>
                    <w:topLinePunct/>
                    <w:jc w:val="center"/>
                    <w:rPr>
                      <w:b/>
                      <w:bCs/>
                      <w:color w:val="auto"/>
                      <w:szCs w:val="21"/>
                    </w:rPr>
                  </w:pPr>
                  <w:r>
                    <w:rPr>
                      <w:b/>
                      <w:bCs/>
                      <w:color w:val="auto"/>
                      <w:szCs w:val="21"/>
                    </w:rPr>
                    <w:t>项目建设内容</w:t>
                  </w:r>
                </w:p>
              </w:tc>
            </w:tr>
            <w:tr w14:paraId="1454C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1" w:type="pct"/>
                  <w:vMerge w:val="restart"/>
                  <w:vAlign w:val="center"/>
                </w:tcPr>
                <w:p w14:paraId="59E67ECB">
                  <w:pPr>
                    <w:topLinePunct/>
                    <w:jc w:val="center"/>
                    <w:rPr>
                      <w:color w:val="auto"/>
                      <w:szCs w:val="21"/>
                    </w:rPr>
                  </w:pPr>
                  <w:r>
                    <w:rPr>
                      <w:color w:val="auto"/>
                      <w:szCs w:val="21"/>
                    </w:rPr>
                    <w:t>主体工程</w:t>
                  </w:r>
                </w:p>
              </w:tc>
              <w:tc>
                <w:tcPr>
                  <w:tcW w:w="598" w:type="pct"/>
                  <w:vAlign w:val="center"/>
                </w:tcPr>
                <w:p w14:paraId="7A9B097C">
                  <w:pPr>
                    <w:jc w:val="center"/>
                    <w:rPr>
                      <w:color w:val="auto"/>
                    </w:rPr>
                  </w:pPr>
                  <w:r>
                    <w:rPr>
                      <w:rFonts w:hint="eastAsia"/>
                      <w:color w:val="auto"/>
                      <w:szCs w:val="21"/>
                    </w:rPr>
                    <w:t>4F</w:t>
                  </w:r>
                </w:p>
              </w:tc>
              <w:tc>
                <w:tcPr>
                  <w:tcW w:w="3500" w:type="pct"/>
                  <w:vAlign w:val="center"/>
                </w:tcPr>
                <w:p w14:paraId="28C7CEC9">
                  <w:pPr>
                    <w:topLinePunct/>
                    <w:rPr>
                      <w:color w:val="auto"/>
                      <w:kern w:val="0"/>
                      <w:szCs w:val="21"/>
                    </w:rPr>
                  </w:pPr>
                  <w:r>
                    <w:rPr>
                      <w:color w:val="auto"/>
                      <w:szCs w:val="21"/>
                    </w:rPr>
                    <w:t>层高</w:t>
                  </w:r>
                  <w:r>
                    <w:rPr>
                      <w:rFonts w:hint="eastAsia"/>
                      <w:color w:val="auto"/>
                      <w:szCs w:val="21"/>
                    </w:rPr>
                    <w:t>5.6</w:t>
                  </w:r>
                  <w:r>
                    <w:rPr>
                      <w:color w:val="auto"/>
                      <w:szCs w:val="21"/>
                    </w:rPr>
                    <w:t>m，建筑面积</w:t>
                  </w:r>
                  <w:r>
                    <w:rPr>
                      <w:rFonts w:hint="eastAsia"/>
                      <w:color w:val="auto"/>
                      <w:szCs w:val="21"/>
                    </w:rPr>
                    <w:t>3900</w:t>
                  </w:r>
                  <w:r>
                    <w:rPr>
                      <w:color w:val="auto"/>
                      <w:szCs w:val="21"/>
                    </w:rPr>
                    <w:t>m</w:t>
                  </w:r>
                  <w:r>
                    <w:rPr>
                      <w:color w:val="auto"/>
                      <w:szCs w:val="21"/>
                      <w:vertAlign w:val="superscript"/>
                    </w:rPr>
                    <w:t>2</w:t>
                  </w:r>
                  <w:r>
                    <w:rPr>
                      <w:color w:val="auto"/>
                      <w:szCs w:val="21"/>
                    </w:rPr>
                    <w:t>，主要用于</w:t>
                  </w:r>
                  <w:r>
                    <w:rPr>
                      <w:rFonts w:hint="eastAsia"/>
                      <w:color w:val="auto"/>
                      <w:szCs w:val="21"/>
                    </w:rPr>
                    <w:t>表面处理加工</w:t>
                  </w:r>
                  <w:r>
                    <w:rPr>
                      <w:color w:val="auto"/>
                      <w:szCs w:val="21"/>
                    </w:rPr>
                    <w:t>，</w:t>
                  </w:r>
                  <w:r>
                    <w:rPr>
                      <w:rFonts w:hint="eastAsia"/>
                      <w:color w:val="auto"/>
                      <w:szCs w:val="21"/>
                    </w:rPr>
                    <w:t>包括1个粉线房、2个喷漆房、1个尾数房、面漆存储线、贴标存储线、成品存储线和打磨区</w:t>
                  </w:r>
                  <w:r>
                    <w:rPr>
                      <w:color w:val="auto"/>
                      <w:szCs w:val="21"/>
                    </w:rPr>
                    <w:t>等</w:t>
                  </w:r>
                </w:p>
              </w:tc>
            </w:tr>
            <w:tr w14:paraId="424BB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901" w:type="pct"/>
                  <w:vMerge w:val="continue"/>
                  <w:vAlign w:val="center"/>
                </w:tcPr>
                <w:p w14:paraId="14909F99">
                  <w:pPr>
                    <w:topLinePunct/>
                    <w:jc w:val="center"/>
                    <w:rPr>
                      <w:color w:val="auto"/>
                      <w:szCs w:val="21"/>
                    </w:rPr>
                  </w:pPr>
                </w:p>
              </w:tc>
              <w:tc>
                <w:tcPr>
                  <w:tcW w:w="598" w:type="pct"/>
                  <w:vAlign w:val="center"/>
                </w:tcPr>
                <w:p w14:paraId="0B47639D">
                  <w:pPr>
                    <w:jc w:val="center"/>
                    <w:rPr>
                      <w:color w:val="auto"/>
                    </w:rPr>
                  </w:pPr>
                  <w:r>
                    <w:rPr>
                      <w:rFonts w:hint="eastAsia"/>
                      <w:color w:val="auto"/>
                      <w:szCs w:val="21"/>
                    </w:rPr>
                    <w:t>5F</w:t>
                  </w:r>
                </w:p>
              </w:tc>
              <w:tc>
                <w:tcPr>
                  <w:tcW w:w="3500" w:type="pct"/>
                  <w:vAlign w:val="center"/>
                </w:tcPr>
                <w:p w14:paraId="4CC525E6">
                  <w:pPr>
                    <w:topLinePunct/>
                    <w:rPr>
                      <w:color w:val="auto"/>
                      <w:kern w:val="0"/>
                      <w:szCs w:val="21"/>
                    </w:rPr>
                  </w:pPr>
                  <w:r>
                    <w:rPr>
                      <w:color w:val="auto"/>
                      <w:szCs w:val="21"/>
                    </w:rPr>
                    <w:t>层高</w:t>
                  </w:r>
                  <w:r>
                    <w:rPr>
                      <w:rFonts w:hint="eastAsia"/>
                      <w:color w:val="auto"/>
                      <w:szCs w:val="21"/>
                    </w:rPr>
                    <w:t>5.6</w:t>
                  </w:r>
                  <w:r>
                    <w:rPr>
                      <w:color w:val="auto"/>
                      <w:szCs w:val="21"/>
                    </w:rPr>
                    <w:t>m，建筑面积</w:t>
                  </w:r>
                  <w:r>
                    <w:rPr>
                      <w:rFonts w:hint="eastAsia"/>
                      <w:color w:val="auto"/>
                      <w:szCs w:val="21"/>
                    </w:rPr>
                    <w:t>3900</w:t>
                  </w:r>
                  <w:r>
                    <w:rPr>
                      <w:color w:val="auto"/>
                      <w:szCs w:val="21"/>
                    </w:rPr>
                    <w:t>m</w:t>
                  </w:r>
                  <w:r>
                    <w:rPr>
                      <w:color w:val="auto"/>
                      <w:szCs w:val="21"/>
                      <w:vertAlign w:val="superscript"/>
                    </w:rPr>
                    <w:t>2</w:t>
                  </w:r>
                  <w:r>
                    <w:rPr>
                      <w:color w:val="auto"/>
                      <w:szCs w:val="21"/>
                    </w:rPr>
                    <w:t>，</w:t>
                  </w:r>
                  <w:r>
                    <w:rPr>
                      <w:rFonts w:hint="eastAsia"/>
                      <w:color w:val="auto"/>
                      <w:szCs w:val="21"/>
                    </w:rPr>
                    <w:t>主要用于半成品固化和烘烤，包括1个粉线固化隧道炉，1个底、面漆烘烤隧道炉和1个清漆烘烤隧道炉</w:t>
                  </w:r>
                </w:p>
              </w:tc>
            </w:tr>
            <w:tr w14:paraId="54695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901" w:type="pct"/>
                  <w:vMerge w:val="continue"/>
                  <w:vAlign w:val="center"/>
                </w:tcPr>
                <w:p w14:paraId="6D5106AD">
                  <w:pPr>
                    <w:topLinePunct/>
                    <w:jc w:val="center"/>
                    <w:rPr>
                      <w:color w:val="auto"/>
                      <w:szCs w:val="21"/>
                    </w:rPr>
                  </w:pPr>
                </w:p>
              </w:tc>
              <w:tc>
                <w:tcPr>
                  <w:tcW w:w="598" w:type="pct"/>
                  <w:vAlign w:val="center"/>
                </w:tcPr>
                <w:p w14:paraId="5879FBBB">
                  <w:pPr>
                    <w:jc w:val="center"/>
                    <w:rPr>
                      <w:color w:val="auto"/>
                    </w:rPr>
                  </w:pPr>
                  <w:r>
                    <w:rPr>
                      <w:rFonts w:hint="eastAsia"/>
                      <w:color w:val="auto"/>
                      <w:szCs w:val="21"/>
                    </w:rPr>
                    <w:t>6F</w:t>
                  </w:r>
                </w:p>
              </w:tc>
              <w:tc>
                <w:tcPr>
                  <w:tcW w:w="3500" w:type="pct"/>
                  <w:vAlign w:val="center"/>
                </w:tcPr>
                <w:p w14:paraId="5ABB0987">
                  <w:pPr>
                    <w:topLinePunct/>
                    <w:rPr>
                      <w:color w:val="auto"/>
                      <w:kern w:val="0"/>
                      <w:szCs w:val="21"/>
                    </w:rPr>
                  </w:pPr>
                  <w:r>
                    <w:rPr>
                      <w:color w:val="auto"/>
                      <w:szCs w:val="21"/>
                    </w:rPr>
                    <w:t>层高</w:t>
                  </w:r>
                  <w:r>
                    <w:rPr>
                      <w:rFonts w:hint="eastAsia"/>
                      <w:color w:val="auto"/>
                      <w:szCs w:val="21"/>
                    </w:rPr>
                    <w:t>5.6</w:t>
                  </w:r>
                  <w:r>
                    <w:rPr>
                      <w:color w:val="auto"/>
                      <w:szCs w:val="21"/>
                    </w:rPr>
                    <w:t>m，建筑面积</w:t>
                  </w:r>
                  <w:r>
                    <w:rPr>
                      <w:rFonts w:hint="eastAsia"/>
                      <w:color w:val="auto"/>
                      <w:szCs w:val="21"/>
                    </w:rPr>
                    <w:t>3900</w:t>
                  </w:r>
                  <w:r>
                    <w:rPr>
                      <w:color w:val="auto"/>
                      <w:szCs w:val="21"/>
                    </w:rPr>
                    <w:t>m</w:t>
                  </w:r>
                  <w:r>
                    <w:rPr>
                      <w:color w:val="auto"/>
                      <w:szCs w:val="21"/>
                      <w:vertAlign w:val="superscript"/>
                    </w:rPr>
                    <w:t>2</w:t>
                  </w:r>
                  <w:r>
                    <w:rPr>
                      <w:color w:val="auto"/>
                      <w:szCs w:val="21"/>
                    </w:rPr>
                    <w:t>，</w:t>
                  </w:r>
                  <w:r>
                    <w:rPr>
                      <w:rFonts w:hint="eastAsia"/>
                      <w:color w:val="auto"/>
                      <w:szCs w:val="21"/>
                    </w:rPr>
                    <w:t>主要用于毛坯件的前处理加工和废水处理，包括抛丸区、前处理区、毛坯存储区和废水处理设施</w:t>
                  </w:r>
                </w:p>
              </w:tc>
            </w:tr>
            <w:tr w14:paraId="3FFFB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901" w:type="pct"/>
                  <w:vMerge w:val="continue"/>
                  <w:vAlign w:val="center"/>
                </w:tcPr>
                <w:p w14:paraId="69145FFC">
                  <w:pPr>
                    <w:topLinePunct/>
                    <w:jc w:val="center"/>
                    <w:rPr>
                      <w:color w:val="auto"/>
                      <w:szCs w:val="21"/>
                    </w:rPr>
                  </w:pPr>
                </w:p>
              </w:tc>
              <w:tc>
                <w:tcPr>
                  <w:tcW w:w="598" w:type="pct"/>
                  <w:vAlign w:val="center"/>
                </w:tcPr>
                <w:p w14:paraId="4DB34746">
                  <w:pPr>
                    <w:jc w:val="center"/>
                    <w:rPr>
                      <w:color w:val="auto"/>
                    </w:rPr>
                  </w:pPr>
                  <w:r>
                    <w:rPr>
                      <w:rFonts w:hint="eastAsia"/>
                      <w:color w:val="auto"/>
                      <w:szCs w:val="21"/>
                    </w:rPr>
                    <w:t>7F</w:t>
                  </w:r>
                </w:p>
              </w:tc>
              <w:tc>
                <w:tcPr>
                  <w:tcW w:w="3500" w:type="pct"/>
                  <w:vAlign w:val="center"/>
                </w:tcPr>
                <w:p w14:paraId="71C22484">
                  <w:pPr>
                    <w:topLinePunct/>
                    <w:rPr>
                      <w:b/>
                      <w:bCs/>
                      <w:color w:val="auto"/>
                      <w:kern w:val="0"/>
                      <w:szCs w:val="21"/>
                    </w:rPr>
                  </w:pPr>
                  <w:r>
                    <w:rPr>
                      <w:color w:val="auto"/>
                      <w:szCs w:val="21"/>
                    </w:rPr>
                    <w:t>层高</w:t>
                  </w:r>
                  <w:r>
                    <w:rPr>
                      <w:rFonts w:hint="eastAsia"/>
                      <w:color w:val="auto"/>
                      <w:szCs w:val="21"/>
                    </w:rPr>
                    <w:t>5.6</w:t>
                  </w:r>
                  <w:r>
                    <w:rPr>
                      <w:color w:val="auto"/>
                      <w:szCs w:val="21"/>
                    </w:rPr>
                    <w:t>m，建筑面积</w:t>
                  </w:r>
                  <w:r>
                    <w:rPr>
                      <w:rFonts w:hint="eastAsia"/>
                      <w:color w:val="auto"/>
                      <w:szCs w:val="21"/>
                    </w:rPr>
                    <w:t>3900</w:t>
                  </w:r>
                  <w:r>
                    <w:rPr>
                      <w:color w:val="auto"/>
                      <w:szCs w:val="21"/>
                    </w:rPr>
                    <w:t>m</w:t>
                  </w:r>
                  <w:r>
                    <w:rPr>
                      <w:color w:val="auto"/>
                      <w:szCs w:val="21"/>
                      <w:vertAlign w:val="superscript"/>
                    </w:rPr>
                    <w:t>2</w:t>
                  </w:r>
                  <w:r>
                    <w:rPr>
                      <w:color w:val="auto"/>
                      <w:szCs w:val="21"/>
                    </w:rPr>
                    <w:t>，</w:t>
                  </w:r>
                  <w:r>
                    <w:rPr>
                      <w:rFonts w:hint="eastAsia"/>
                      <w:color w:val="auto"/>
                      <w:szCs w:val="21"/>
                    </w:rPr>
                    <w:t>主要作为办公场所、原料仓库和成品仓库</w:t>
                  </w:r>
                </w:p>
              </w:tc>
            </w:tr>
            <w:tr w14:paraId="0B223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1" w:type="pct"/>
                  <w:vMerge w:val="restart"/>
                  <w:vAlign w:val="center"/>
                </w:tcPr>
                <w:p w14:paraId="5149CEC5">
                  <w:pPr>
                    <w:topLinePunct/>
                    <w:jc w:val="center"/>
                    <w:rPr>
                      <w:color w:val="auto"/>
                      <w:szCs w:val="21"/>
                    </w:rPr>
                  </w:pPr>
                  <w:r>
                    <w:rPr>
                      <w:color w:val="auto"/>
                      <w:szCs w:val="21"/>
                    </w:rPr>
                    <w:t>辅助工程</w:t>
                  </w:r>
                </w:p>
              </w:tc>
              <w:tc>
                <w:tcPr>
                  <w:tcW w:w="598" w:type="pct"/>
                  <w:vAlign w:val="center"/>
                </w:tcPr>
                <w:p w14:paraId="178E3509">
                  <w:pPr>
                    <w:jc w:val="center"/>
                    <w:rPr>
                      <w:color w:val="auto"/>
                    </w:rPr>
                  </w:pPr>
                  <w:r>
                    <w:rPr>
                      <w:rFonts w:hint="eastAsia"/>
                      <w:color w:val="auto"/>
                    </w:rPr>
                    <w:t>办公区</w:t>
                  </w:r>
                </w:p>
              </w:tc>
              <w:tc>
                <w:tcPr>
                  <w:tcW w:w="3500" w:type="pct"/>
                  <w:vAlign w:val="center"/>
                </w:tcPr>
                <w:p w14:paraId="4595491A">
                  <w:pPr>
                    <w:topLinePunct/>
                    <w:jc w:val="left"/>
                    <w:rPr>
                      <w:color w:val="auto"/>
                      <w:szCs w:val="21"/>
                    </w:rPr>
                  </w:pPr>
                  <w:r>
                    <w:rPr>
                      <w:rFonts w:hint="eastAsia"/>
                      <w:color w:val="auto"/>
                      <w:szCs w:val="21"/>
                    </w:rPr>
                    <w:t>位于厂房7楼，</w:t>
                  </w:r>
                  <w:r>
                    <w:rPr>
                      <w:color w:val="auto"/>
                      <w:szCs w:val="21"/>
                    </w:rPr>
                    <w:t>面积</w:t>
                  </w:r>
                  <w:r>
                    <w:rPr>
                      <w:rFonts w:hint="eastAsia"/>
                      <w:color w:val="auto"/>
                      <w:szCs w:val="21"/>
                    </w:rPr>
                    <w:t>400</w:t>
                  </w:r>
                  <w:r>
                    <w:rPr>
                      <w:color w:val="auto"/>
                      <w:szCs w:val="21"/>
                    </w:rPr>
                    <w:t>m</w:t>
                  </w:r>
                  <w:r>
                    <w:rPr>
                      <w:color w:val="auto"/>
                      <w:szCs w:val="21"/>
                      <w:vertAlign w:val="superscript"/>
                    </w:rPr>
                    <w:t>2</w:t>
                  </w:r>
                  <w:r>
                    <w:rPr>
                      <w:color w:val="auto"/>
                      <w:szCs w:val="21"/>
                    </w:rPr>
                    <w:t>，</w:t>
                  </w:r>
                  <w:r>
                    <w:rPr>
                      <w:rFonts w:hint="eastAsia"/>
                      <w:color w:val="auto"/>
                      <w:szCs w:val="21"/>
                    </w:rPr>
                    <w:t>内分为办公区、会议室、样品房等</w:t>
                  </w:r>
                </w:p>
              </w:tc>
            </w:tr>
            <w:tr w14:paraId="3BBAF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1" w:type="pct"/>
                  <w:vMerge w:val="continue"/>
                  <w:vAlign w:val="center"/>
                </w:tcPr>
                <w:p w14:paraId="39E7F59E">
                  <w:pPr>
                    <w:topLinePunct/>
                    <w:jc w:val="center"/>
                    <w:rPr>
                      <w:color w:val="auto"/>
                      <w:szCs w:val="21"/>
                    </w:rPr>
                  </w:pPr>
                </w:p>
              </w:tc>
              <w:tc>
                <w:tcPr>
                  <w:tcW w:w="598" w:type="pct"/>
                  <w:vAlign w:val="center"/>
                </w:tcPr>
                <w:p w14:paraId="12C68BC3">
                  <w:pPr>
                    <w:jc w:val="center"/>
                    <w:rPr>
                      <w:color w:val="auto"/>
                    </w:rPr>
                  </w:pPr>
                  <w:r>
                    <w:rPr>
                      <w:rFonts w:hint="eastAsia"/>
                      <w:color w:val="auto"/>
                    </w:rPr>
                    <w:t>原料仓库</w:t>
                  </w:r>
                </w:p>
              </w:tc>
              <w:tc>
                <w:tcPr>
                  <w:tcW w:w="3500" w:type="pct"/>
                  <w:vAlign w:val="center"/>
                </w:tcPr>
                <w:p w14:paraId="65EC77C0">
                  <w:pPr>
                    <w:topLinePunct/>
                    <w:jc w:val="left"/>
                    <w:rPr>
                      <w:color w:val="auto"/>
                      <w:szCs w:val="21"/>
                    </w:rPr>
                  </w:pPr>
                  <w:r>
                    <w:rPr>
                      <w:rFonts w:hint="eastAsia"/>
                      <w:color w:val="auto"/>
                      <w:szCs w:val="21"/>
                    </w:rPr>
                    <w:t>位于厂房7楼，面积2000</w:t>
                  </w:r>
                  <w:r>
                    <w:rPr>
                      <w:color w:val="auto"/>
                      <w:szCs w:val="21"/>
                    </w:rPr>
                    <w:t>m</w:t>
                  </w:r>
                  <w:r>
                    <w:rPr>
                      <w:color w:val="auto"/>
                      <w:szCs w:val="21"/>
                      <w:vertAlign w:val="superscript"/>
                    </w:rPr>
                    <w:t>2</w:t>
                  </w:r>
                  <w:r>
                    <w:rPr>
                      <w:color w:val="auto"/>
                      <w:szCs w:val="21"/>
                    </w:rPr>
                    <w:t>，</w:t>
                  </w:r>
                  <w:r>
                    <w:rPr>
                      <w:rFonts w:hint="eastAsia"/>
                      <w:color w:val="auto"/>
                      <w:szCs w:val="21"/>
                    </w:rPr>
                    <w:t>包括毛坯区、药剂区、涂料仓库和化学品仓库</w:t>
                  </w:r>
                </w:p>
              </w:tc>
            </w:tr>
            <w:tr w14:paraId="4C682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1" w:type="pct"/>
                  <w:vMerge w:val="continue"/>
                  <w:vAlign w:val="center"/>
                </w:tcPr>
                <w:p w14:paraId="0FC74653">
                  <w:pPr>
                    <w:topLinePunct/>
                    <w:jc w:val="center"/>
                    <w:rPr>
                      <w:color w:val="auto"/>
                      <w:szCs w:val="21"/>
                    </w:rPr>
                  </w:pPr>
                </w:p>
              </w:tc>
              <w:tc>
                <w:tcPr>
                  <w:tcW w:w="598" w:type="pct"/>
                  <w:vAlign w:val="center"/>
                </w:tcPr>
                <w:p w14:paraId="6AE19DD7">
                  <w:pPr>
                    <w:jc w:val="center"/>
                    <w:rPr>
                      <w:color w:val="auto"/>
                    </w:rPr>
                  </w:pPr>
                  <w:r>
                    <w:rPr>
                      <w:rFonts w:hint="eastAsia"/>
                      <w:color w:val="auto"/>
                    </w:rPr>
                    <w:t>成品仓库</w:t>
                  </w:r>
                </w:p>
              </w:tc>
              <w:tc>
                <w:tcPr>
                  <w:tcW w:w="3500" w:type="pct"/>
                  <w:vAlign w:val="center"/>
                </w:tcPr>
                <w:p w14:paraId="6C712A14">
                  <w:pPr>
                    <w:topLinePunct/>
                    <w:jc w:val="left"/>
                    <w:rPr>
                      <w:color w:val="auto"/>
                      <w:szCs w:val="21"/>
                    </w:rPr>
                  </w:pPr>
                  <w:r>
                    <w:rPr>
                      <w:rFonts w:hint="eastAsia"/>
                      <w:color w:val="auto"/>
                      <w:szCs w:val="21"/>
                    </w:rPr>
                    <w:t>位于厂房7楼，面积1500</w:t>
                  </w:r>
                  <w:r>
                    <w:rPr>
                      <w:color w:val="auto"/>
                      <w:szCs w:val="21"/>
                    </w:rPr>
                    <w:t>m</w:t>
                  </w:r>
                  <w:r>
                    <w:rPr>
                      <w:color w:val="auto"/>
                      <w:szCs w:val="21"/>
                      <w:vertAlign w:val="superscript"/>
                    </w:rPr>
                    <w:t>2</w:t>
                  </w:r>
                </w:p>
              </w:tc>
            </w:tr>
            <w:tr w14:paraId="3EF59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1" w:type="pct"/>
                  <w:vMerge w:val="restart"/>
                  <w:vAlign w:val="center"/>
                </w:tcPr>
                <w:p w14:paraId="53A7CCBE">
                  <w:pPr>
                    <w:topLinePunct/>
                    <w:jc w:val="center"/>
                    <w:rPr>
                      <w:color w:val="auto"/>
                      <w:szCs w:val="21"/>
                    </w:rPr>
                  </w:pPr>
                  <w:r>
                    <w:rPr>
                      <w:color w:val="auto"/>
                      <w:szCs w:val="21"/>
                    </w:rPr>
                    <w:t>公用工程</w:t>
                  </w:r>
                </w:p>
              </w:tc>
              <w:tc>
                <w:tcPr>
                  <w:tcW w:w="598" w:type="pct"/>
                  <w:vAlign w:val="center"/>
                </w:tcPr>
                <w:p w14:paraId="6766650B">
                  <w:pPr>
                    <w:topLinePunct/>
                    <w:jc w:val="center"/>
                    <w:rPr>
                      <w:color w:val="auto"/>
                      <w:szCs w:val="21"/>
                    </w:rPr>
                  </w:pPr>
                  <w:r>
                    <w:rPr>
                      <w:color w:val="auto"/>
                      <w:szCs w:val="21"/>
                    </w:rPr>
                    <w:t>供水</w:t>
                  </w:r>
                </w:p>
              </w:tc>
              <w:tc>
                <w:tcPr>
                  <w:tcW w:w="3500" w:type="pct"/>
                  <w:vAlign w:val="center"/>
                </w:tcPr>
                <w:p w14:paraId="5E3F56E6">
                  <w:pPr>
                    <w:topLinePunct/>
                    <w:jc w:val="left"/>
                    <w:rPr>
                      <w:color w:val="auto"/>
                      <w:szCs w:val="21"/>
                    </w:rPr>
                  </w:pPr>
                  <w:r>
                    <w:rPr>
                      <w:color w:val="auto"/>
                      <w:szCs w:val="21"/>
                    </w:rPr>
                    <w:t>市政自来水供水管网供给</w:t>
                  </w:r>
                </w:p>
              </w:tc>
            </w:tr>
            <w:tr w14:paraId="381A1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1" w:type="pct"/>
                  <w:vMerge w:val="continue"/>
                  <w:vAlign w:val="center"/>
                </w:tcPr>
                <w:p w14:paraId="6DE4035A">
                  <w:pPr>
                    <w:topLinePunct/>
                    <w:jc w:val="center"/>
                    <w:rPr>
                      <w:color w:val="auto"/>
                      <w:szCs w:val="21"/>
                    </w:rPr>
                  </w:pPr>
                </w:p>
              </w:tc>
              <w:tc>
                <w:tcPr>
                  <w:tcW w:w="598" w:type="pct"/>
                  <w:vAlign w:val="center"/>
                </w:tcPr>
                <w:p w14:paraId="5F6186C9">
                  <w:pPr>
                    <w:topLinePunct/>
                    <w:jc w:val="center"/>
                    <w:rPr>
                      <w:color w:val="auto"/>
                      <w:szCs w:val="21"/>
                    </w:rPr>
                  </w:pPr>
                  <w:r>
                    <w:rPr>
                      <w:color w:val="auto"/>
                      <w:szCs w:val="21"/>
                    </w:rPr>
                    <w:t>供电</w:t>
                  </w:r>
                </w:p>
              </w:tc>
              <w:tc>
                <w:tcPr>
                  <w:tcW w:w="3500" w:type="pct"/>
                  <w:vAlign w:val="center"/>
                </w:tcPr>
                <w:p w14:paraId="3B7CA6DC">
                  <w:pPr>
                    <w:topLinePunct/>
                    <w:jc w:val="left"/>
                    <w:rPr>
                      <w:color w:val="auto"/>
                      <w:szCs w:val="21"/>
                    </w:rPr>
                  </w:pPr>
                  <w:r>
                    <w:rPr>
                      <w:color w:val="auto"/>
                      <w:szCs w:val="21"/>
                    </w:rPr>
                    <w:t>市政供电管网供应</w:t>
                  </w:r>
                </w:p>
              </w:tc>
            </w:tr>
            <w:tr w14:paraId="3FD3F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1" w:type="pct"/>
                  <w:vMerge w:val="continue"/>
                  <w:vAlign w:val="center"/>
                </w:tcPr>
                <w:p w14:paraId="5C07FB9B">
                  <w:pPr>
                    <w:topLinePunct/>
                    <w:jc w:val="center"/>
                    <w:rPr>
                      <w:color w:val="auto"/>
                      <w:szCs w:val="21"/>
                    </w:rPr>
                  </w:pPr>
                </w:p>
              </w:tc>
              <w:tc>
                <w:tcPr>
                  <w:tcW w:w="598" w:type="pct"/>
                  <w:vAlign w:val="center"/>
                </w:tcPr>
                <w:p w14:paraId="394C5DE6">
                  <w:pPr>
                    <w:topLinePunct/>
                    <w:jc w:val="center"/>
                    <w:rPr>
                      <w:color w:val="auto"/>
                      <w:szCs w:val="21"/>
                    </w:rPr>
                  </w:pPr>
                  <w:r>
                    <w:rPr>
                      <w:color w:val="auto"/>
                      <w:szCs w:val="21"/>
                    </w:rPr>
                    <w:t>供气</w:t>
                  </w:r>
                </w:p>
              </w:tc>
              <w:tc>
                <w:tcPr>
                  <w:tcW w:w="3500" w:type="pct"/>
                  <w:vAlign w:val="center"/>
                </w:tcPr>
                <w:p w14:paraId="41BB0C4F">
                  <w:pPr>
                    <w:topLinePunct/>
                    <w:jc w:val="left"/>
                    <w:rPr>
                      <w:color w:val="auto"/>
                      <w:szCs w:val="21"/>
                    </w:rPr>
                  </w:pPr>
                  <w:r>
                    <w:rPr>
                      <w:rFonts w:hint="eastAsia"/>
                      <w:color w:val="auto"/>
                      <w:szCs w:val="21"/>
                    </w:rPr>
                    <w:t>烘烤、固化均</w:t>
                  </w:r>
                  <w:r>
                    <w:rPr>
                      <w:color w:val="auto"/>
                      <w:szCs w:val="21"/>
                    </w:rPr>
                    <w:t>采用天然气为能源，厂区市政天然气管道已接通，采用管道天然气</w:t>
                  </w:r>
                </w:p>
              </w:tc>
            </w:tr>
            <w:tr w14:paraId="09826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1" w:type="pct"/>
                  <w:vMerge w:val="continue"/>
                  <w:vAlign w:val="center"/>
                </w:tcPr>
                <w:p w14:paraId="42DE13BB">
                  <w:pPr>
                    <w:topLinePunct/>
                    <w:jc w:val="center"/>
                    <w:rPr>
                      <w:color w:val="auto"/>
                      <w:szCs w:val="21"/>
                    </w:rPr>
                  </w:pPr>
                </w:p>
              </w:tc>
              <w:tc>
                <w:tcPr>
                  <w:tcW w:w="598" w:type="pct"/>
                  <w:vAlign w:val="center"/>
                </w:tcPr>
                <w:p w14:paraId="5CA7C174">
                  <w:pPr>
                    <w:topLinePunct/>
                    <w:jc w:val="center"/>
                    <w:rPr>
                      <w:color w:val="auto"/>
                      <w:szCs w:val="21"/>
                    </w:rPr>
                  </w:pPr>
                  <w:r>
                    <w:rPr>
                      <w:color w:val="auto"/>
                      <w:szCs w:val="21"/>
                    </w:rPr>
                    <w:t>消防</w:t>
                  </w:r>
                </w:p>
              </w:tc>
              <w:tc>
                <w:tcPr>
                  <w:tcW w:w="3500" w:type="pct"/>
                  <w:vAlign w:val="center"/>
                </w:tcPr>
                <w:p w14:paraId="2AB554C9">
                  <w:pPr>
                    <w:topLinePunct/>
                    <w:jc w:val="left"/>
                    <w:rPr>
                      <w:color w:val="auto"/>
                      <w:szCs w:val="21"/>
                    </w:rPr>
                  </w:pPr>
                  <w:r>
                    <w:rPr>
                      <w:color w:val="auto"/>
                      <w:szCs w:val="21"/>
                    </w:rPr>
                    <w:t>消防水采用自来水，由市政给水管网引入厂区水泵房</w:t>
                  </w:r>
                </w:p>
              </w:tc>
            </w:tr>
            <w:tr w14:paraId="16581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1" w:type="pct"/>
                  <w:vMerge w:val="restart"/>
                  <w:vAlign w:val="center"/>
                </w:tcPr>
                <w:p w14:paraId="6BC68F12">
                  <w:pPr>
                    <w:topLinePunct/>
                    <w:jc w:val="center"/>
                    <w:rPr>
                      <w:color w:val="auto"/>
                      <w:szCs w:val="21"/>
                    </w:rPr>
                  </w:pPr>
                  <w:r>
                    <w:rPr>
                      <w:color w:val="auto"/>
                      <w:szCs w:val="21"/>
                    </w:rPr>
                    <w:t>环保工程</w:t>
                  </w:r>
                </w:p>
              </w:tc>
              <w:tc>
                <w:tcPr>
                  <w:tcW w:w="598" w:type="pct"/>
                  <w:vAlign w:val="center"/>
                </w:tcPr>
                <w:p w14:paraId="3B6B8526">
                  <w:pPr>
                    <w:pStyle w:val="6"/>
                    <w:spacing w:line="240" w:lineRule="auto"/>
                    <w:ind w:left="0" w:leftChars="0" w:firstLine="0" w:firstLineChars="0"/>
                    <w:jc w:val="center"/>
                    <w:rPr>
                      <w:color w:val="auto"/>
                    </w:rPr>
                  </w:pPr>
                  <w:r>
                    <w:rPr>
                      <w:color w:val="auto"/>
                    </w:rPr>
                    <w:t>废水处理设施</w:t>
                  </w:r>
                </w:p>
              </w:tc>
              <w:tc>
                <w:tcPr>
                  <w:tcW w:w="3500" w:type="pct"/>
                  <w:vAlign w:val="center"/>
                </w:tcPr>
                <w:p w14:paraId="26DFD3F4">
                  <w:pPr>
                    <w:adjustRightInd w:val="0"/>
                    <w:snapToGrid w:val="0"/>
                    <w:jc w:val="left"/>
                    <w:rPr>
                      <w:color w:val="auto"/>
                    </w:rPr>
                  </w:pPr>
                  <w:r>
                    <w:rPr>
                      <w:color w:val="auto"/>
                    </w:rPr>
                    <w:t>生活污水经三级化粪池预处理后，纳入</w:t>
                  </w:r>
                  <w:r>
                    <w:rPr>
                      <w:rFonts w:hint="eastAsia"/>
                      <w:color w:val="auto"/>
                    </w:rPr>
                    <w:t>石湾镇西基生活污水厂</w:t>
                  </w:r>
                  <w:r>
                    <w:rPr>
                      <w:color w:val="auto"/>
                    </w:rPr>
                    <w:t>进行深度处理；</w:t>
                  </w:r>
                </w:p>
                <w:p w14:paraId="73D3069D">
                  <w:pPr>
                    <w:jc w:val="left"/>
                    <w:rPr>
                      <w:color w:val="auto"/>
                    </w:rPr>
                  </w:pPr>
                  <w:r>
                    <w:rPr>
                      <w:rFonts w:hint="eastAsia"/>
                      <w:color w:val="auto"/>
                    </w:rPr>
                    <w:t>生产废水经自建废水处理设施处理后回用于前处理线清洗用水、喷淋塔用水；</w:t>
                  </w:r>
                </w:p>
                <w:p w14:paraId="01B1A01D">
                  <w:pPr>
                    <w:jc w:val="left"/>
                    <w:rPr>
                      <w:color w:val="auto"/>
                    </w:rPr>
                  </w:pPr>
                  <w:r>
                    <w:rPr>
                      <w:rFonts w:hint="eastAsia"/>
                      <w:color w:val="auto"/>
                    </w:rPr>
                    <w:t>浓缩废液和水帘柜废水定期由有危险废物处理资质单位清运处理。</w:t>
                  </w:r>
                </w:p>
              </w:tc>
            </w:tr>
            <w:tr w14:paraId="6DE28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1" w:type="pct"/>
                  <w:vMerge w:val="continue"/>
                  <w:vAlign w:val="center"/>
                </w:tcPr>
                <w:p w14:paraId="4D1F1D79">
                  <w:pPr>
                    <w:topLinePunct/>
                    <w:jc w:val="center"/>
                    <w:rPr>
                      <w:color w:val="auto"/>
                      <w:szCs w:val="21"/>
                    </w:rPr>
                  </w:pPr>
                </w:p>
              </w:tc>
              <w:tc>
                <w:tcPr>
                  <w:tcW w:w="598" w:type="pct"/>
                  <w:vAlign w:val="center"/>
                </w:tcPr>
                <w:p w14:paraId="3DBA9581">
                  <w:pPr>
                    <w:pStyle w:val="6"/>
                    <w:spacing w:line="240" w:lineRule="auto"/>
                    <w:ind w:left="0" w:leftChars="0" w:firstLine="0" w:firstLineChars="0"/>
                    <w:jc w:val="center"/>
                    <w:rPr>
                      <w:color w:val="auto"/>
                    </w:rPr>
                  </w:pPr>
                  <w:r>
                    <w:rPr>
                      <w:color w:val="auto"/>
                    </w:rPr>
                    <w:t>废气处理设施</w:t>
                  </w:r>
                </w:p>
              </w:tc>
              <w:tc>
                <w:tcPr>
                  <w:tcW w:w="3500" w:type="pct"/>
                  <w:vAlign w:val="center"/>
                </w:tcPr>
                <w:p w14:paraId="3A065AF1">
                  <w:pPr>
                    <w:jc w:val="left"/>
                    <w:rPr>
                      <w:color w:val="auto"/>
                      <w:szCs w:val="21"/>
                    </w:rPr>
                  </w:pPr>
                  <w:r>
                    <w:rPr>
                      <w:rFonts w:hint="eastAsia"/>
                      <w:color w:val="auto"/>
                      <w:szCs w:val="21"/>
                    </w:rPr>
                    <w:t>抛丸粉尘：设备密闭，粉尘在设备内沉降；</w:t>
                  </w:r>
                </w:p>
                <w:p w14:paraId="20DBAAAA">
                  <w:pPr>
                    <w:jc w:val="left"/>
                    <w:rPr>
                      <w:color w:val="auto"/>
                      <w:szCs w:val="21"/>
                    </w:rPr>
                  </w:pPr>
                  <w:r>
                    <w:rPr>
                      <w:rFonts w:hint="eastAsia"/>
                      <w:color w:val="auto"/>
                      <w:szCs w:val="21"/>
                    </w:rPr>
                    <w:t>打磨粉尘</w:t>
                  </w:r>
                  <w:r>
                    <w:rPr>
                      <w:color w:val="auto"/>
                      <w:szCs w:val="21"/>
                    </w:rPr>
                    <w:t>：</w:t>
                  </w:r>
                  <w:r>
                    <w:rPr>
                      <w:rFonts w:hint="eastAsia"/>
                      <w:color w:val="auto"/>
                      <w:szCs w:val="21"/>
                    </w:rPr>
                    <w:t>无组织排放</w:t>
                  </w:r>
                  <w:r>
                    <w:rPr>
                      <w:color w:val="auto"/>
                      <w:szCs w:val="21"/>
                    </w:rPr>
                    <w:t>；</w:t>
                  </w:r>
                </w:p>
                <w:p w14:paraId="262F10CE">
                  <w:pPr>
                    <w:jc w:val="left"/>
                    <w:rPr>
                      <w:color w:val="auto"/>
                      <w:szCs w:val="21"/>
                    </w:rPr>
                  </w:pPr>
                  <w:r>
                    <w:rPr>
                      <w:color w:val="auto"/>
                      <w:szCs w:val="21"/>
                    </w:rPr>
                    <w:t>喷粉</w:t>
                  </w:r>
                  <w:r>
                    <w:rPr>
                      <w:rFonts w:hint="eastAsia"/>
                      <w:color w:val="auto"/>
                      <w:szCs w:val="21"/>
                    </w:rPr>
                    <w:t>粉尘</w:t>
                  </w:r>
                  <w:r>
                    <w:rPr>
                      <w:color w:val="auto"/>
                      <w:szCs w:val="21"/>
                    </w:rPr>
                    <w:t>：经</w:t>
                  </w:r>
                  <w:r>
                    <w:rPr>
                      <w:rFonts w:hint="eastAsia"/>
                      <w:color w:val="auto"/>
                      <w:szCs w:val="21"/>
                    </w:rPr>
                    <w:t>2套</w:t>
                  </w:r>
                  <w:r>
                    <w:rPr>
                      <w:color w:val="auto"/>
                      <w:szCs w:val="21"/>
                    </w:rPr>
                    <w:t>布袋除尘器处理后由排气筒（DA00</w:t>
                  </w:r>
                  <w:r>
                    <w:rPr>
                      <w:rFonts w:hint="eastAsia"/>
                      <w:color w:val="auto"/>
                      <w:szCs w:val="21"/>
                    </w:rPr>
                    <w:t>1</w:t>
                  </w:r>
                  <w:r>
                    <w:rPr>
                      <w:color w:val="auto"/>
                      <w:szCs w:val="21"/>
                    </w:rPr>
                    <w:t>、DA00</w:t>
                  </w:r>
                  <w:r>
                    <w:rPr>
                      <w:rFonts w:hint="eastAsia"/>
                      <w:color w:val="auto"/>
                      <w:szCs w:val="21"/>
                    </w:rPr>
                    <w:t>2</w:t>
                  </w:r>
                  <w:r>
                    <w:rPr>
                      <w:color w:val="auto"/>
                      <w:szCs w:val="21"/>
                    </w:rPr>
                    <w:t>）楼顶排放；</w:t>
                  </w:r>
                </w:p>
                <w:p w14:paraId="76A46887">
                  <w:pPr>
                    <w:jc w:val="left"/>
                    <w:rPr>
                      <w:color w:val="auto"/>
                      <w:szCs w:val="21"/>
                    </w:rPr>
                  </w:pPr>
                  <w:r>
                    <w:rPr>
                      <w:rFonts w:hint="eastAsia"/>
                      <w:color w:val="auto"/>
                      <w:szCs w:val="21"/>
                    </w:rPr>
                    <w:t>喷漆、烘烤、</w:t>
                  </w:r>
                  <w:r>
                    <w:rPr>
                      <w:color w:val="auto"/>
                      <w:szCs w:val="21"/>
                    </w:rPr>
                    <w:t>固化废气：经</w:t>
                  </w:r>
                  <w:r>
                    <w:rPr>
                      <w:rFonts w:hint="eastAsia"/>
                      <w:color w:val="auto"/>
                      <w:szCs w:val="21"/>
                    </w:rPr>
                    <w:t>3</w:t>
                  </w:r>
                  <w:r>
                    <w:rPr>
                      <w:color w:val="auto"/>
                      <w:szCs w:val="21"/>
                    </w:rPr>
                    <w:t>套“</w:t>
                  </w:r>
                  <w:r>
                    <w:rPr>
                      <w:rFonts w:hint="eastAsia"/>
                      <w:color w:val="auto"/>
                      <w:szCs w:val="21"/>
                    </w:rPr>
                    <w:t>水帘柜+喷淋塔+除湿装置+二级活性炭吸附装置</w:t>
                  </w:r>
                  <w:r>
                    <w:rPr>
                      <w:color w:val="auto"/>
                      <w:szCs w:val="21"/>
                    </w:rPr>
                    <w:t>”处理后由排气筒（DA00</w:t>
                  </w:r>
                  <w:r>
                    <w:rPr>
                      <w:rFonts w:hint="eastAsia"/>
                      <w:color w:val="auto"/>
                      <w:szCs w:val="21"/>
                    </w:rPr>
                    <w:t>3</w:t>
                  </w:r>
                  <w:r>
                    <w:rPr>
                      <w:color w:val="auto"/>
                      <w:szCs w:val="21"/>
                    </w:rPr>
                    <w:t>、DA00</w:t>
                  </w:r>
                  <w:r>
                    <w:rPr>
                      <w:rFonts w:hint="eastAsia"/>
                      <w:color w:val="auto"/>
                      <w:szCs w:val="21"/>
                    </w:rPr>
                    <w:t>4</w:t>
                  </w:r>
                  <w:r>
                    <w:rPr>
                      <w:color w:val="auto"/>
                      <w:szCs w:val="21"/>
                    </w:rPr>
                    <w:t>、DA00</w:t>
                  </w:r>
                  <w:r>
                    <w:rPr>
                      <w:rFonts w:hint="eastAsia"/>
                      <w:color w:val="auto"/>
                      <w:szCs w:val="21"/>
                    </w:rPr>
                    <w:t>5</w:t>
                  </w:r>
                  <w:r>
                    <w:rPr>
                      <w:color w:val="auto"/>
                      <w:szCs w:val="21"/>
                    </w:rPr>
                    <w:t>）楼顶排放；天然气燃烧机拟安装低氮燃烧器</w:t>
                  </w:r>
                  <w:r>
                    <w:rPr>
                      <w:rFonts w:hint="eastAsia"/>
                      <w:color w:val="auto"/>
                    </w:rPr>
                    <w:t>，尾气并入排气筒</w:t>
                  </w:r>
                  <w:r>
                    <w:rPr>
                      <w:color w:val="auto"/>
                      <w:szCs w:val="21"/>
                    </w:rPr>
                    <w:t>（DA00</w:t>
                  </w:r>
                  <w:r>
                    <w:rPr>
                      <w:rFonts w:hint="eastAsia"/>
                      <w:color w:val="auto"/>
                      <w:szCs w:val="21"/>
                    </w:rPr>
                    <w:t>3</w:t>
                  </w:r>
                  <w:r>
                    <w:rPr>
                      <w:color w:val="auto"/>
                      <w:szCs w:val="21"/>
                    </w:rPr>
                    <w:t>、DA00</w:t>
                  </w:r>
                  <w:r>
                    <w:rPr>
                      <w:rFonts w:hint="eastAsia"/>
                      <w:color w:val="auto"/>
                      <w:szCs w:val="21"/>
                    </w:rPr>
                    <w:t>4</w:t>
                  </w:r>
                  <w:r>
                    <w:rPr>
                      <w:color w:val="auto"/>
                      <w:szCs w:val="21"/>
                    </w:rPr>
                    <w:t>、DA00</w:t>
                  </w:r>
                  <w:r>
                    <w:rPr>
                      <w:rFonts w:hint="eastAsia"/>
                      <w:color w:val="auto"/>
                      <w:szCs w:val="21"/>
                    </w:rPr>
                    <w:t>5</w:t>
                  </w:r>
                  <w:r>
                    <w:rPr>
                      <w:color w:val="auto"/>
                      <w:szCs w:val="21"/>
                    </w:rPr>
                    <w:t>）楼顶排放；</w:t>
                  </w:r>
                </w:p>
                <w:p w14:paraId="1C4AFE01">
                  <w:pPr>
                    <w:pStyle w:val="43"/>
                    <w:spacing w:line="240" w:lineRule="auto"/>
                    <w:ind w:firstLine="0" w:firstLineChars="0"/>
                    <w:jc w:val="left"/>
                    <w:rPr>
                      <w:color w:val="auto"/>
                      <w:sz w:val="21"/>
                      <w:szCs w:val="21"/>
                    </w:rPr>
                  </w:pPr>
                  <w:r>
                    <w:rPr>
                      <w:color w:val="auto"/>
                      <w:sz w:val="21"/>
                      <w:szCs w:val="21"/>
                    </w:rPr>
                    <w:t>酸性废气：经1套“碱液喷淋塔”处理后由排气筒（DA0</w:t>
                  </w:r>
                  <w:r>
                    <w:rPr>
                      <w:rFonts w:hint="eastAsia"/>
                      <w:color w:val="auto"/>
                      <w:sz w:val="21"/>
                      <w:szCs w:val="21"/>
                    </w:rPr>
                    <w:t>06</w:t>
                  </w:r>
                  <w:r>
                    <w:rPr>
                      <w:color w:val="auto"/>
                      <w:sz w:val="21"/>
                      <w:szCs w:val="21"/>
                    </w:rPr>
                    <w:t>）楼顶排放；天然气燃烧机拟安装低氮燃烧器</w:t>
                  </w:r>
                  <w:r>
                    <w:rPr>
                      <w:rFonts w:hint="eastAsia"/>
                      <w:color w:val="auto"/>
                      <w:sz w:val="21"/>
                      <w:szCs w:val="21"/>
                    </w:rPr>
                    <w:t>，尾气并入排气筒</w:t>
                  </w:r>
                  <w:r>
                    <w:rPr>
                      <w:color w:val="auto"/>
                      <w:sz w:val="21"/>
                      <w:szCs w:val="21"/>
                    </w:rPr>
                    <w:t>（DA0</w:t>
                  </w:r>
                  <w:r>
                    <w:rPr>
                      <w:rFonts w:hint="eastAsia"/>
                      <w:color w:val="auto"/>
                      <w:sz w:val="21"/>
                      <w:szCs w:val="21"/>
                    </w:rPr>
                    <w:t>06</w:t>
                  </w:r>
                  <w:r>
                    <w:rPr>
                      <w:color w:val="auto"/>
                      <w:sz w:val="21"/>
                      <w:szCs w:val="21"/>
                    </w:rPr>
                    <w:t>）楼顶排放；</w:t>
                  </w:r>
                </w:p>
                <w:p w14:paraId="03FF22B1">
                  <w:pPr>
                    <w:pStyle w:val="6"/>
                    <w:spacing w:line="240" w:lineRule="auto"/>
                    <w:ind w:left="0" w:leftChars="0" w:firstLine="0" w:firstLineChars="0"/>
                    <w:jc w:val="left"/>
                    <w:rPr>
                      <w:color w:val="auto"/>
                      <w:szCs w:val="21"/>
                    </w:rPr>
                  </w:pPr>
                  <w:r>
                    <w:rPr>
                      <w:color w:val="auto"/>
                      <w:szCs w:val="21"/>
                    </w:rPr>
                    <w:t>自建废水处理</w:t>
                  </w:r>
                  <w:r>
                    <w:rPr>
                      <w:rFonts w:hint="eastAsia"/>
                      <w:color w:val="auto"/>
                      <w:szCs w:val="21"/>
                    </w:rPr>
                    <w:t>设施</w:t>
                  </w:r>
                  <w:r>
                    <w:rPr>
                      <w:color w:val="auto"/>
                      <w:szCs w:val="21"/>
                    </w:rPr>
                    <w:t>臭气：无组织排放</w:t>
                  </w:r>
                  <w:r>
                    <w:rPr>
                      <w:rFonts w:hint="eastAsia"/>
                      <w:color w:val="auto"/>
                      <w:szCs w:val="21"/>
                    </w:rPr>
                    <w:t>。</w:t>
                  </w:r>
                </w:p>
              </w:tc>
            </w:tr>
            <w:tr w14:paraId="6E25A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1" w:type="pct"/>
                  <w:vMerge w:val="continue"/>
                  <w:vAlign w:val="center"/>
                </w:tcPr>
                <w:p w14:paraId="2682FF88">
                  <w:pPr>
                    <w:topLinePunct/>
                    <w:jc w:val="center"/>
                    <w:rPr>
                      <w:color w:val="auto"/>
                      <w:szCs w:val="21"/>
                    </w:rPr>
                  </w:pPr>
                </w:p>
              </w:tc>
              <w:tc>
                <w:tcPr>
                  <w:tcW w:w="598" w:type="pct"/>
                  <w:vAlign w:val="center"/>
                </w:tcPr>
                <w:p w14:paraId="0A91BA95">
                  <w:pPr>
                    <w:pStyle w:val="6"/>
                    <w:spacing w:line="240" w:lineRule="auto"/>
                    <w:ind w:left="0" w:leftChars="0" w:firstLine="0" w:firstLineChars="0"/>
                    <w:jc w:val="center"/>
                    <w:rPr>
                      <w:color w:val="auto"/>
                    </w:rPr>
                  </w:pPr>
                  <w:r>
                    <w:rPr>
                      <w:color w:val="auto"/>
                    </w:rPr>
                    <w:t>固废暂存设施</w:t>
                  </w:r>
                </w:p>
              </w:tc>
              <w:tc>
                <w:tcPr>
                  <w:tcW w:w="3500" w:type="pct"/>
                  <w:vAlign w:val="center"/>
                </w:tcPr>
                <w:p w14:paraId="13AFA61F">
                  <w:pPr>
                    <w:pStyle w:val="6"/>
                    <w:spacing w:line="240" w:lineRule="auto"/>
                    <w:ind w:left="0" w:leftChars="0" w:firstLine="0" w:firstLineChars="0"/>
                    <w:jc w:val="left"/>
                    <w:rPr>
                      <w:color w:val="auto"/>
                    </w:rPr>
                  </w:pPr>
                  <w:r>
                    <w:rPr>
                      <w:rFonts w:hint="eastAsia"/>
                      <w:color w:val="auto"/>
                    </w:rPr>
                    <w:t>生活垃圾：厂区内设置生活垃圾临时存放区，交由环卫部门回收处理，日产日清；</w:t>
                  </w:r>
                </w:p>
                <w:p w14:paraId="5484AB62">
                  <w:pPr>
                    <w:pStyle w:val="6"/>
                    <w:spacing w:line="240" w:lineRule="auto"/>
                    <w:ind w:left="0" w:leftChars="0" w:firstLine="0" w:firstLineChars="0"/>
                    <w:jc w:val="left"/>
                    <w:rPr>
                      <w:color w:val="auto"/>
                      <w:vertAlign w:val="superscript"/>
                    </w:rPr>
                  </w:pPr>
                  <w:r>
                    <w:rPr>
                      <w:color w:val="auto"/>
                    </w:rPr>
                    <w:t>一般</w:t>
                  </w:r>
                  <w:r>
                    <w:rPr>
                      <w:rFonts w:hint="eastAsia"/>
                      <w:color w:val="auto"/>
                    </w:rPr>
                    <w:t>工业固废</w:t>
                  </w:r>
                  <w:r>
                    <w:rPr>
                      <w:color w:val="auto"/>
                    </w:rPr>
                    <w:t>：</w:t>
                  </w:r>
                  <w:r>
                    <w:rPr>
                      <w:rFonts w:hint="eastAsia"/>
                      <w:color w:val="auto"/>
                    </w:rPr>
                    <w:t>一般固废仓库设于6楼西南侧，面积为50m</w:t>
                  </w:r>
                  <w:r>
                    <w:rPr>
                      <w:rFonts w:hint="eastAsia"/>
                      <w:color w:val="auto"/>
                      <w:vertAlign w:val="superscript"/>
                    </w:rPr>
                    <w:t>2</w:t>
                  </w:r>
                  <w:r>
                    <w:rPr>
                      <w:rFonts w:hint="eastAsia"/>
                      <w:color w:val="auto"/>
                    </w:rPr>
                    <w:t>，仓库内一般固废分类堆放，定期处置</w:t>
                  </w:r>
                </w:p>
                <w:p w14:paraId="00AFAA51">
                  <w:pPr>
                    <w:pStyle w:val="6"/>
                    <w:spacing w:line="240" w:lineRule="auto"/>
                    <w:ind w:left="0" w:leftChars="0" w:firstLine="0" w:firstLineChars="0"/>
                    <w:jc w:val="left"/>
                    <w:rPr>
                      <w:color w:val="auto"/>
                    </w:rPr>
                  </w:pPr>
                  <w:r>
                    <w:rPr>
                      <w:rFonts w:hint="eastAsia"/>
                      <w:color w:val="auto"/>
                    </w:rPr>
                    <w:t>危险废物</w:t>
                  </w:r>
                  <w:r>
                    <w:rPr>
                      <w:color w:val="auto"/>
                    </w:rPr>
                    <w:t>：</w:t>
                  </w:r>
                  <w:r>
                    <w:rPr>
                      <w:rFonts w:hint="eastAsia"/>
                      <w:color w:val="auto"/>
                    </w:rPr>
                    <w:t>危废仓库设于6楼西南侧，面积为50m</w:t>
                  </w:r>
                  <w:r>
                    <w:rPr>
                      <w:rFonts w:hint="eastAsia"/>
                      <w:color w:val="auto"/>
                      <w:vertAlign w:val="superscript"/>
                    </w:rPr>
                    <w:t>2</w:t>
                  </w:r>
                  <w:r>
                    <w:rPr>
                      <w:rFonts w:hint="eastAsia"/>
                      <w:color w:val="auto"/>
                    </w:rPr>
                    <w:t>，地面铺设防渗防漏层；内设置专用防渗漏收集桶，分类存放危险废物，定期委托有危险废物处理资质的处理单位处置</w:t>
                  </w:r>
                </w:p>
              </w:tc>
            </w:tr>
            <w:tr w14:paraId="15D41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1" w:type="pct"/>
                  <w:vMerge w:val="continue"/>
                  <w:vAlign w:val="center"/>
                </w:tcPr>
                <w:p w14:paraId="354A91DD">
                  <w:pPr>
                    <w:topLinePunct/>
                    <w:jc w:val="center"/>
                    <w:rPr>
                      <w:color w:val="auto"/>
                      <w:szCs w:val="21"/>
                    </w:rPr>
                  </w:pPr>
                </w:p>
              </w:tc>
              <w:tc>
                <w:tcPr>
                  <w:tcW w:w="598" w:type="pct"/>
                  <w:vAlign w:val="center"/>
                </w:tcPr>
                <w:p w14:paraId="08CAAE6B">
                  <w:pPr>
                    <w:pStyle w:val="6"/>
                    <w:spacing w:line="240" w:lineRule="auto"/>
                    <w:ind w:left="0" w:leftChars="0" w:firstLine="0" w:firstLineChars="0"/>
                    <w:jc w:val="center"/>
                    <w:rPr>
                      <w:color w:val="auto"/>
                    </w:rPr>
                  </w:pPr>
                  <w:r>
                    <w:rPr>
                      <w:color w:val="auto"/>
                    </w:rPr>
                    <w:t>噪声治理措施</w:t>
                  </w:r>
                </w:p>
              </w:tc>
              <w:tc>
                <w:tcPr>
                  <w:tcW w:w="3500" w:type="pct"/>
                  <w:vAlign w:val="center"/>
                </w:tcPr>
                <w:p w14:paraId="6291FE42">
                  <w:pPr>
                    <w:pStyle w:val="6"/>
                    <w:spacing w:line="240" w:lineRule="auto"/>
                    <w:ind w:left="0" w:leftChars="0" w:firstLine="0" w:firstLineChars="0"/>
                    <w:jc w:val="left"/>
                    <w:rPr>
                      <w:color w:val="auto"/>
                    </w:rPr>
                  </w:pPr>
                  <w:r>
                    <w:rPr>
                      <w:rFonts w:hint="eastAsia"/>
                      <w:color w:val="auto"/>
                    </w:rPr>
                    <w:t>车间内</w:t>
                  </w:r>
                  <w:r>
                    <w:rPr>
                      <w:color w:val="auto"/>
                    </w:rPr>
                    <w:t>合理布局</w:t>
                  </w:r>
                  <w:r>
                    <w:rPr>
                      <w:rFonts w:hint="eastAsia"/>
                      <w:color w:val="auto"/>
                    </w:rPr>
                    <w:t>，采取</w:t>
                  </w:r>
                  <w:r>
                    <w:rPr>
                      <w:color w:val="auto"/>
                    </w:rPr>
                    <w:t>隔音、减振</w:t>
                  </w:r>
                  <w:r>
                    <w:rPr>
                      <w:rFonts w:hint="eastAsia"/>
                      <w:color w:val="auto"/>
                    </w:rPr>
                    <w:t>的防治措施</w:t>
                  </w:r>
                </w:p>
              </w:tc>
            </w:tr>
            <w:tr w14:paraId="15743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1" w:type="pct"/>
                  <w:vAlign w:val="center"/>
                </w:tcPr>
                <w:p w14:paraId="057A4E5F">
                  <w:pPr>
                    <w:topLinePunct/>
                    <w:jc w:val="center"/>
                    <w:rPr>
                      <w:color w:val="auto"/>
                      <w:szCs w:val="21"/>
                    </w:rPr>
                  </w:pPr>
                  <w:r>
                    <w:rPr>
                      <w:rFonts w:hint="eastAsia"/>
                      <w:color w:val="auto"/>
                      <w:szCs w:val="21"/>
                    </w:rPr>
                    <w:t>依托工程</w:t>
                  </w:r>
                </w:p>
              </w:tc>
              <w:tc>
                <w:tcPr>
                  <w:tcW w:w="598" w:type="pct"/>
                  <w:vAlign w:val="center"/>
                </w:tcPr>
                <w:p w14:paraId="401D4F94">
                  <w:pPr>
                    <w:pStyle w:val="6"/>
                    <w:spacing w:line="240" w:lineRule="auto"/>
                    <w:ind w:left="0" w:leftChars="0" w:firstLine="0" w:firstLineChars="0"/>
                    <w:jc w:val="center"/>
                    <w:rPr>
                      <w:color w:val="auto"/>
                    </w:rPr>
                  </w:pPr>
                  <w:r>
                    <w:rPr>
                      <w:rFonts w:hint="eastAsia"/>
                      <w:color w:val="auto"/>
                    </w:rPr>
                    <w:t>生活污水</w:t>
                  </w:r>
                </w:p>
              </w:tc>
              <w:tc>
                <w:tcPr>
                  <w:tcW w:w="3500" w:type="pct"/>
                  <w:vAlign w:val="center"/>
                </w:tcPr>
                <w:p w14:paraId="3F82BC07">
                  <w:pPr>
                    <w:pStyle w:val="6"/>
                    <w:spacing w:line="240" w:lineRule="auto"/>
                    <w:ind w:left="0" w:leftChars="0" w:firstLine="0" w:firstLineChars="0"/>
                    <w:jc w:val="left"/>
                    <w:rPr>
                      <w:color w:val="auto"/>
                    </w:rPr>
                  </w:pPr>
                  <w:r>
                    <w:rPr>
                      <w:rFonts w:hint="eastAsia"/>
                      <w:color w:val="auto"/>
                    </w:rPr>
                    <w:t>生活污水依托园区已建的三级化粪池预处理，尾水</w:t>
                  </w:r>
                  <w:r>
                    <w:rPr>
                      <w:color w:val="auto"/>
                    </w:rPr>
                    <w:t>纳入</w:t>
                  </w:r>
                  <w:r>
                    <w:rPr>
                      <w:rFonts w:hint="eastAsia"/>
                      <w:color w:val="auto"/>
                    </w:rPr>
                    <w:t>石湾镇西基生活污水厂</w:t>
                  </w:r>
                  <w:r>
                    <w:rPr>
                      <w:color w:val="auto"/>
                    </w:rPr>
                    <w:t>进行深度处理</w:t>
                  </w:r>
                  <w:r>
                    <w:rPr>
                      <w:rFonts w:hint="eastAsia"/>
                      <w:color w:val="auto"/>
                    </w:rPr>
                    <w:t>。</w:t>
                  </w:r>
                </w:p>
              </w:tc>
            </w:tr>
          </w:tbl>
          <w:p w14:paraId="271C5B7F">
            <w:pPr>
              <w:numPr>
                <w:ilvl w:val="0"/>
                <w:numId w:val="9"/>
              </w:numPr>
              <w:adjustRightInd w:val="0"/>
              <w:snapToGrid w:val="0"/>
              <w:spacing w:line="360" w:lineRule="auto"/>
              <w:jc w:val="left"/>
              <w:rPr>
                <w:b/>
                <w:color w:val="auto"/>
                <w:sz w:val="24"/>
              </w:rPr>
            </w:pPr>
            <w:r>
              <w:rPr>
                <w:b/>
                <w:color w:val="auto"/>
                <w:sz w:val="24"/>
              </w:rPr>
              <w:t>工程内容</w:t>
            </w:r>
          </w:p>
          <w:p w14:paraId="05EEEC7C">
            <w:pPr>
              <w:adjustRightInd w:val="0"/>
              <w:snapToGrid w:val="0"/>
              <w:spacing w:line="360" w:lineRule="auto"/>
              <w:ind w:firstLine="482" w:firstLineChars="200"/>
              <w:rPr>
                <w:b/>
                <w:bCs/>
                <w:color w:val="auto"/>
                <w:sz w:val="24"/>
              </w:rPr>
            </w:pPr>
            <w:r>
              <w:rPr>
                <w:b/>
                <w:bCs/>
                <w:color w:val="auto"/>
                <w:sz w:val="24"/>
              </w:rPr>
              <w:t>1、产品方案</w:t>
            </w:r>
          </w:p>
          <w:p w14:paraId="39F30041">
            <w:pPr>
              <w:pStyle w:val="43"/>
              <w:rPr>
                <w:color w:val="auto"/>
                <w:szCs w:val="24"/>
              </w:rPr>
            </w:pPr>
            <w:r>
              <w:rPr>
                <w:color w:val="auto"/>
                <w:szCs w:val="24"/>
              </w:rPr>
              <w:t>项目产品方案详见下表。</w:t>
            </w:r>
          </w:p>
          <w:p w14:paraId="3A5D81B9">
            <w:pPr>
              <w:numPr>
                <w:ilvl w:val="0"/>
                <w:numId w:val="10"/>
              </w:numPr>
              <w:adjustRightInd w:val="0"/>
              <w:snapToGrid w:val="0"/>
              <w:jc w:val="center"/>
              <w:rPr>
                <w:b/>
                <w:color w:val="auto"/>
                <w:szCs w:val="21"/>
              </w:rPr>
            </w:pPr>
            <w:r>
              <w:rPr>
                <w:b/>
                <w:color w:val="auto"/>
                <w:szCs w:val="21"/>
              </w:rPr>
              <w:t>产品方案</w:t>
            </w:r>
          </w:p>
          <w:tbl>
            <w:tblPr>
              <w:tblStyle w:val="3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695"/>
              <w:gridCol w:w="999"/>
              <w:gridCol w:w="814"/>
              <w:gridCol w:w="1085"/>
              <w:gridCol w:w="4218"/>
            </w:tblGrid>
            <w:tr w14:paraId="4B988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Align w:val="center"/>
                </w:tcPr>
                <w:p w14:paraId="30467451">
                  <w:pPr>
                    <w:autoSpaceDE w:val="0"/>
                    <w:autoSpaceDN w:val="0"/>
                    <w:adjustRightInd w:val="0"/>
                    <w:snapToGrid w:val="0"/>
                    <w:jc w:val="center"/>
                    <w:rPr>
                      <w:b/>
                      <w:bCs/>
                      <w:color w:val="auto"/>
                      <w:szCs w:val="21"/>
                    </w:rPr>
                  </w:pPr>
                  <w:r>
                    <w:rPr>
                      <w:b/>
                      <w:bCs/>
                      <w:color w:val="auto"/>
                      <w:szCs w:val="21"/>
                    </w:rPr>
                    <w:t>产品名称</w:t>
                  </w:r>
                </w:p>
              </w:tc>
              <w:tc>
                <w:tcPr>
                  <w:tcW w:w="377" w:type="pct"/>
                  <w:vAlign w:val="center"/>
                </w:tcPr>
                <w:p w14:paraId="19E926AA">
                  <w:pPr>
                    <w:autoSpaceDE w:val="0"/>
                    <w:autoSpaceDN w:val="0"/>
                    <w:adjustRightInd w:val="0"/>
                    <w:snapToGrid w:val="0"/>
                    <w:jc w:val="center"/>
                    <w:rPr>
                      <w:b/>
                      <w:bCs/>
                      <w:color w:val="auto"/>
                      <w:szCs w:val="21"/>
                    </w:rPr>
                  </w:pPr>
                  <w:r>
                    <w:rPr>
                      <w:b/>
                      <w:bCs/>
                      <w:color w:val="auto"/>
                      <w:szCs w:val="21"/>
                    </w:rPr>
                    <w:t>单位</w:t>
                  </w:r>
                </w:p>
              </w:tc>
              <w:tc>
                <w:tcPr>
                  <w:tcW w:w="542" w:type="pct"/>
                  <w:vAlign w:val="center"/>
                </w:tcPr>
                <w:p w14:paraId="207CF611">
                  <w:pPr>
                    <w:autoSpaceDE w:val="0"/>
                    <w:autoSpaceDN w:val="0"/>
                    <w:adjustRightInd w:val="0"/>
                    <w:snapToGrid w:val="0"/>
                    <w:jc w:val="center"/>
                    <w:rPr>
                      <w:b/>
                      <w:bCs/>
                      <w:color w:val="auto"/>
                      <w:szCs w:val="21"/>
                    </w:rPr>
                  </w:pPr>
                  <w:r>
                    <w:rPr>
                      <w:b/>
                      <w:bCs/>
                      <w:color w:val="auto"/>
                      <w:szCs w:val="21"/>
                    </w:rPr>
                    <w:t>年产量</w:t>
                  </w:r>
                </w:p>
              </w:tc>
              <w:tc>
                <w:tcPr>
                  <w:tcW w:w="442" w:type="pct"/>
                  <w:vAlign w:val="center"/>
                </w:tcPr>
                <w:p w14:paraId="74F8A764">
                  <w:pPr>
                    <w:autoSpaceDE w:val="0"/>
                    <w:autoSpaceDN w:val="0"/>
                    <w:adjustRightInd w:val="0"/>
                    <w:snapToGrid w:val="0"/>
                    <w:jc w:val="center"/>
                    <w:rPr>
                      <w:b/>
                      <w:bCs/>
                      <w:color w:val="auto"/>
                      <w:szCs w:val="21"/>
                    </w:rPr>
                  </w:pPr>
                  <w:r>
                    <w:rPr>
                      <w:rFonts w:hint="eastAsia"/>
                      <w:b/>
                      <w:bCs/>
                      <w:color w:val="auto"/>
                      <w:szCs w:val="21"/>
                    </w:rPr>
                    <w:t>材质</w:t>
                  </w:r>
                </w:p>
              </w:tc>
              <w:tc>
                <w:tcPr>
                  <w:tcW w:w="589" w:type="pct"/>
                  <w:vAlign w:val="center"/>
                </w:tcPr>
                <w:p w14:paraId="023A9088">
                  <w:pPr>
                    <w:autoSpaceDE w:val="0"/>
                    <w:autoSpaceDN w:val="0"/>
                    <w:adjustRightInd w:val="0"/>
                    <w:snapToGrid w:val="0"/>
                    <w:jc w:val="center"/>
                    <w:rPr>
                      <w:b/>
                      <w:bCs/>
                      <w:color w:val="auto"/>
                      <w:szCs w:val="21"/>
                    </w:rPr>
                  </w:pPr>
                  <w:r>
                    <w:rPr>
                      <w:rFonts w:hint="eastAsia"/>
                      <w:b/>
                      <w:bCs/>
                      <w:color w:val="auto"/>
                      <w:szCs w:val="21"/>
                    </w:rPr>
                    <w:t>喷涂方式</w:t>
                  </w:r>
                </w:p>
              </w:tc>
              <w:tc>
                <w:tcPr>
                  <w:tcW w:w="2289" w:type="pct"/>
                  <w:vAlign w:val="center"/>
                </w:tcPr>
                <w:p w14:paraId="1BC765C9">
                  <w:pPr>
                    <w:autoSpaceDE w:val="0"/>
                    <w:autoSpaceDN w:val="0"/>
                    <w:adjustRightInd w:val="0"/>
                    <w:snapToGrid w:val="0"/>
                    <w:jc w:val="center"/>
                    <w:rPr>
                      <w:b/>
                      <w:bCs/>
                      <w:color w:val="auto"/>
                      <w:szCs w:val="21"/>
                    </w:rPr>
                  </w:pPr>
                  <w:r>
                    <w:rPr>
                      <w:rFonts w:hint="eastAsia"/>
                      <w:b/>
                      <w:bCs/>
                      <w:color w:val="auto"/>
                      <w:szCs w:val="21"/>
                    </w:rPr>
                    <w:t>产品照片</w:t>
                  </w:r>
                </w:p>
              </w:tc>
            </w:tr>
            <w:tr w14:paraId="525F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Align w:val="center"/>
                </w:tcPr>
                <w:p w14:paraId="34C8AA03">
                  <w:pPr>
                    <w:pStyle w:val="127"/>
                    <w:rPr>
                      <w:color w:val="auto"/>
                    </w:rPr>
                  </w:pPr>
                  <w:r>
                    <w:rPr>
                      <w:rFonts w:hint="eastAsia"/>
                      <w:color w:val="auto"/>
                    </w:rPr>
                    <w:t>自行车车架</w:t>
                  </w:r>
                </w:p>
              </w:tc>
              <w:tc>
                <w:tcPr>
                  <w:tcW w:w="377" w:type="pct"/>
                  <w:vAlign w:val="center"/>
                </w:tcPr>
                <w:p w14:paraId="112EFEBF">
                  <w:pPr>
                    <w:autoSpaceDE w:val="0"/>
                    <w:autoSpaceDN w:val="0"/>
                    <w:adjustRightInd w:val="0"/>
                    <w:jc w:val="center"/>
                    <w:rPr>
                      <w:color w:val="auto"/>
                      <w:szCs w:val="21"/>
                    </w:rPr>
                  </w:pPr>
                  <w:r>
                    <w:rPr>
                      <w:rFonts w:hint="eastAsia"/>
                      <w:color w:val="auto"/>
                      <w:szCs w:val="21"/>
                    </w:rPr>
                    <w:t>件</w:t>
                  </w:r>
                </w:p>
              </w:tc>
              <w:tc>
                <w:tcPr>
                  <w:tcW w:w="542" w:type="pct"/>
                  <w:vAlign w:val="center"/>
                </w:tcPr>
                <w:p w14:paraId="52EFAE11">
                  <w:pPr>
                    <w:widowControl/>
                    <w:jc w:val="center"/>
                    <w:textAlignment w:val="center"/>
                    <w:rPr>
                      <w:color w:val="auto"/>
                    </w:rPr>
                  </w:pPr>
                  <w:r>
                    <w:rPr>
                      <w:rFonts w:hint="eastAsia"/>
                      <w:color w:val="auto"/>
                    </w:rPr>
                    <w:t>90000</w:t>
                  </w:r>
                </w:p>
              </w:tc>
              <w:tc>
                <w:tcPr>
                  <w:tcW w:w="442" w:type="pct"/>
                  <w:vAlign w:val="center"/>
                </w:tcPr>
                <w:p w14:paraId="4FF5A35B">
                  <w:pPr>
                    <w:pStyle w:val="127"/>
                    <w:rPr>
                      <w:color w:val="auto"/>
                    </w:rPr>
                  </w:pPr>
                  <w:r>
                    <w:rPr>
                      <w:rFonts w:hint="eastAsia"/>
                      <w:color w:val="auto"/>
                    </w:rPr>
                    <w:t>碳钢</w:t>
                  </w:r>
                </w:p>
              </w:tc>
              <w:tc>
                <w:tcPr>
                  <w:tcW w:w="589" w:type="pct"/>
                  <w:vAlign w:val="center"/>
                </w:tcPr>
                <w:p w14:paraId="1D88CA74">
                  <w:pPr>
                    <w:pStyle w:val="127"/>
                    <w:rPr>
                      <w:color w:val="auto"/>
                    </w:rPr>
                  </w:pPr>
                  <w:r>
                    <w:rPr>
                      <w:rFonts w:hint="eastAsia"/>
                      <w:color w:val="auto"/>
                    </w:rPr>
                    <w:t>喷粉</w:t>
                  </w:r>
                </w:p>
              </w:tc>
              <w:tc>
                <w:tcPr>
                  <w:tcW w:w="2289" w:type="pct"/>
                  <w:vAlign w:val="center"/>
                </w:tcPr>
                <w:p w14:paraId="23CB894D">
                  <w:pPr>
                    <w:pStyle w:val="127"/>
                    <w:rPr>
                      <w:color w:val="auto"/>
                    </w:rPr>
                  </w:pPr>
                  <w:r>
                    <w:rPr>
                      <w:rFonts w:hint="eastAsia"/>
                      <w:bCs/>
                      <w:color w:val="auto"/>
                      <w:szCs w:val="21"/>
                    </w:rPr>
                    <w:drawing>
                      <wp:inline distT="0" distB="0" distL="114300" distR="114300">
                        <wp:extent cx="1379855" cy="2453640"/>
                        <wp:effectExtent l="0" t="0" r="10160" b="4445"/>
                        <wp:docPr id="93" name="图片 21" descr="b4f68ea21ec04a0f5e7dfe368f584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1" descr="b4f68ea21ec04a0f5e7dfe368f584bb"/>
                                <pic:cNvPicPr>
                                  <a:picLocks noChangeAspect="1"/>
                                </pic:cNvPicPr>
                              </pic:nvPicPr>
                              <pic:blipFill>
                                <a:blip r:embed="rId10"/>
                                <a:stretch>
                                  <a:fillRect/>
                                </a:stretch>
                              </pic:blipFill>
                              <pic:spPr>
                                <a:xfrm rot="5400000">
                                  <a:off x="0" y="0"/>
                                  <a:ext cx="1379855" cy="2453640"/>
                                </a:xfrm>
                                <a:prstGeom prst="rect">
                                  <a:avLst/>
                                </a:prstGeom>
                                <a:noFill/>
                                <a:ln>
                                  <a:noFill/>
                                </a:ln>
                              </pic:spPr>
                            </pic:pic>
                          </a:graphicData>
                        </a:graphic>
                      </wp:inline>
                    </w:drawing>
                  </w:r>
                </w:p>
              </w:tc>
            </w:tr>
            <w:tr w14:paraId="4B802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Align w:val="center"/>
                </w:tcPr>
                <w:p w14:paraId="25B0BC20">
                  <w:pPr>
                    <w:pStyle w:val="127"/>
                    <w:rPr>
                      <w:color w:val="auto"/>
                    </w:rPr>
                  </w:pPr>
                  <w:r>
                    <w:rPr>
                      <w:rFonts w:hint="eastAsia"/>
                      <w:color w:val="auto"/>
                    </w:rPr>
                    <w:t>自行车车架</w:t>
                  </w:r>
                </w:p>
              </w:tc>
              <w:tc>
                <w:tcPr>
                  <w:tcW w:w="377" w:type="pct"/>
                  <w:vAlign w:val="center"/>
                </w:tcPr>
                <w:p w14:paraId="082DF18B">
                  <w:pPr>
                    <w:autoSpaceDE w:val="0"/>
                    <w:autoSpaceDN w:val="0"/>
                    <w:adjustRightInd w:val="0"/>
                    <w:jc w:val="center"/>
                    <w:rPr>
                      <w:color w:val="auto"/>
                      <w:szCs w:val="21"/>
                    </w:rPr>
                  </w:pPr>
                  <w:r>
                    <w:rPr>
                      <w:rFonts w:hint="eastAsia"/>
                      <w:color w:val="auto"/>
                      <w:szCs w:val="21"/>
                    </w:rPr>
                    <w:t>件</w:t>
                  </w:r>
                </w:p>
              </w:tc>
              <w:tc>
                <w:tcPr>
                  <w:tcW w:w="542" w:type="pct"/>
                  <w:vAlign w:val="center"/>
                </w:tcPr>
                <w:p w14:paraId="659813C5">
                  <w:pPr>
                    <w:widowControl/>
                    <w:jc w:val="center"/>
                    <w:textAlignment w:val="center"/>
                    <w:rPr>
                      <w:color w:val="auto"/>
                    </w:rPr>
                  </w:pPr>
                  <w:r>
                    <w:rPr>
                      <w:rFonts w:hint="eastAsia"/>
                      <w:color w:val="auto"/>
                    </w:rPr>
                    <w:t>36000</w:t>
                  </w:r>
                </w:p>
              </w:tc>
              <w:tc>
                <w:tcPr>
                  <w:tcW w:w="442" w:type="pct"/>
                  <w:vAlign w:val="center"/>
                </w:tcPr>
                <w:p w14:paraId="163B6833">
                  <w:pPr>
                    <w:pStyle w:val="127"/>
                    <w:rPr>
                      <w:color w:val="auto"/>
                    </w:rPr>
                  </w:pPr>
                  <w:r>
                    <w:rPr>
                      <w:rFonts w:hint="eastAsia"/>
                      <w:color w:val="auto"/>
                    </w:rPr>
                    <w:t>铝制</w:t>
                  </w:r>
                </w:p>
              </w:tc>
              <w:tc>
                <w:tcPr>
                  <w:tcW w:w="589" w:type="pct"/>
                  <w:vAlign w:val="center"/>
                </w:tcPr>
                <w:p w14:paraId="00193B22">
                  <w:pPr>
                    <w:pStyle w:val="127"/>
                    <w:rPr>
                      <w:color w:val="auto"/>
                    </w:rPr>
                  </w:pPr>
                  <w:r>
                    <w:rPr>
                      <w:rFonts w:hint="eastAsia"/>
                      <w:color w:val="auto"/>
                    </w:rPr>
                    <w:t>喷漆</w:t>
                  </w:r>
                </w:p>
              </w:tc>
              <w:tc>
                <w:tcPr>
                  <w:tcW w:w="2289" w:type="pct"/>
                  <w:vAlign w:val="center"/>
                </w:tcPr>
                <w:p w14:paraId="62FE2938">
                  <w:pPr>
                    <w:pStyle w:val="127"/>
                    <w:rPr>
                      <w:color w:val="auto"/>
                    </w:rPr>
                  </w:pPr>
                  <w:r>
                    <w:rPr>
                      <w:rFonts w:hint="eastAsia"/>
                      <w:bCs/>
                      <w:color w:val="auto"/>
                      <w:szCs w:val="21"/>
                    </w:rPr>
                    <w:drawing>
                      <wp:inline distT="0" distB="0" distL="114300" distR="114300">
                        <wp:extent cx="1379855" cy="2454910"/>
                        <wp:effectExtent l="0" t="0" r="8890" b="4445"/>
                        <wp:docPr id="94" name="图片 22" descr="d0b6b3f146031032dec3a9bfd5bdc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2" descr="d0b6b3f146031032dec3a9bfd5bdcfc"/>
                                <pic:cNvPicPr>
                                  <a:picLocks noChangeAspect="1"/>
                                </pic:cNvPicPr>
                              </pic:nvPicPr>
                              <pic:blipFill>
                                <a:blip r:embed="rId11"/>
                                <a:stretch>
                                  <a:fillRect/>
                                </a:stretch>
                              </pic:blipFill>
                              <pic:spPr>
                                <a:xfrm rot="16200000">
                                  <a:off x="0" y="0"/>
                                  <a:ext cx="1379855" cy="2454910"/>
                                </a:xfrm>
                                <a:prstGeom prst="rect">
                                  <a:avLst/>
                                </a:prstGeom>
                                <a:noFill/>
                                <a:ln>
                                  <a:noFill/>
                                </a:ln>
                              </pic:spPr>
                            </pic:pic>
                          </a:graphicData>
                        </a:graphic>
                      </wp:inline>
                    </w:drawing>
                  </w:r>
                </w:p>
              </w:tc>
            </w:tr>
            <w:tr w14:paraId="74BE4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Align w:val="center"/>
                </w:tcPr>
                <w:p w14:paraId="0E681AA9">
                  <w:pPr>
                    <w:pStyle w:val="127"/>
                    <w:rPr>
                      <w:color w:val="auto"/>
                    </w:rPr>
                  </w:pPr>
                  <w:r>
                    <w:rPr>
                      <w:rFonts w:hint="eastAsia"/>
                      <w:color w:val="auto"/>
                    </w:rPr>
                    <w:t>电动助力车车架</w:t>
                  </w:r>
                </w:p>
              </w:tc>
              <w:tc>
                <w:tcPr>
                  <w:tcW w:w="377" w:type="pct"/>
                  <w:vAlign w:val="center"/>
                </w:tcPr>
                <w:p w14:paraId="4AD38A8E">
                  <w:pPr>
                    <w:autoSpaceDE w:val="0"/>
                    <w:autoSpaceDN w:val="0"/>
                    <w:adjustRightInd w:val="0"/>
                    <w:jc w:val="center"/>
                    <w:rPr>
                      <w:color w:val="auto"/>
                      <w:szCs w:val="21"/>
                    </w:rPr>
                  </w:pPr>
                  <w:r>
                    <w:rPr>
                      <w:rFonts w:hint="eastAsia"/>
                      <w:color w:val="auto"/>
                      <w:szCs w:val="21"/>
                    </w:rPr>
                    <w:t>件</w:t>
                  </w:r>
                </w:p>
              </w:tc>
              <w:tc>
                <w:tcPr>
                  <w:tcW w:w="542" w:type="pct"/>
                  <w:vAlign w:val="center"/>
                </w:tcPr>
                <w:p w14:paraId="3077362A">
                  <w:pPr>
                    <w:widowControl/>
                    <w:jc w:val="center"/>
                    <w:textAlignment w:val="center"/>
                    <w:rPr>
                      <w:color w:val="auto"/>
                    </w:rPr>
                  </w:pPr>
                  <w:r>
                    <w:rPr>
                      <w:rFonts w:hint="eastAsia"/>
                      <w:color w:val="auto"/>
                    </w:rPr>
                    <w:t>84000</w:t>
                  </w:r>
                </w:p>
              </w:tc>
              <w:tc>
                <w:tcPr>
                  <w:tcW w:w="442" w:type="pct"/>
                  <w:vAlign w:val="center"/>
                </w:tcPr>
                <w:p w14:paraId="6865B528">
                  <w:pPr>
                    <w:pStyle w:val="127"/>
                    <w:rPr>
                      <w:color w:val="auto"/>
                    </w:rPr>
                  </w:pPr>
                  <w:r>
                    <w:rPr>
                      <w:rFonts w:hint="eastAsia"/>
                      <w:color w:val="auto"/>
                    </w:rPr>
                    <w:t>碳钢</w:t>
                  </w:r>
                </w:p>
              </w:tc>
              <w:tc>
                <w:tcPr>
                  <w:tcW w:w="589" w:type="pct"/>
                  <w:vAlign w:val="center"/>
                </w:tcPr>
                <w:p w14:paraId="20E3BFD0">
                  <w:pPr>
                    <w:pStyle w:val="127"/>
                    <w:rPr>
                      <w:color w:val="auto"/>
                    </w:rPr>
                  </w:pPr>
                  <w:r>
                    <w:rPr>
                      <w:rFonts w:hint="eastAsia"/>
                      <w:color w:val="auto"/>
                    </w:rPr>
                    <w:t>喷粉</w:t>
                  </w:r>
                </w:p>
              </w:tc>
              <w:tc>
                <w:tcPr>
                  <w:tcW w:w="2289" w:type="pct"/>
                  <w:vAlign w:val="center"/>
                </w:tcPr>
                <w:p w14:paraId="5C4240D7">
                  <w:pPr>
                    <w:pStyle w:val="127"/>
                    <w:rPr>
                      <w:color w:val="auto"/>
                    </w:rPr>
                  </w:pPr>
                  <w:r>
                    <w:rPr>
                      <w:color w:val="auto"/>
                    </w:rPr>
                    <w:drawing>
                      <wp:inline distT="0" distB="0" distL="114300" distR="114300">
                        <wp:extent cx="2499360" cy="1339215"/>
                        <wp:effectExtent l="0" t="0" r="0" b="0"/>
                        <wp:docPr id="1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pic:cNvPicPr>
                                  <a:picLocks noChangeAspect="1"/>
                                </pic:cNvPicPr>
                              </pic:nvPicPr>
                              <pic:blipFill>
                                <a:blip r:embed="rId12"/>
                                <a:srcRect t="23374" b="23044"/>
                                <a:stretch>
                                  <a:fillRect/>
                                </a:stretch>
                              </pic:blipFill>
                              <pic:spPr>
                                <a:xfrm>
                                  <a:off x="0" y="0"/>
                                  <a:ext cx="2499360" cy="1339215"/>
                                </a:xfrm>
                                <a:prstGeom prst="rect">
                                  <a:avLst/>
                                </a:prstGeom>
                                <a:noFill/>
                                <a:ln>
                                  <a:noFill/>
                                </a:ln>
                              </pic:spPr>
                            </pic:pic>
                          </a:graphicData>
                        </a:graphic>
                      </wp:inline>
                    </w:drawing>
                  </w:r>
                </w:p>
              </w:tc>
            </w:tr>
            <w:tr w14:paraId="4980A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Align w:val="center"/>
                </w:tcPr>
                <w:p w14:paraId="43AB2A7A">
                  <w:pPr>
                    <w:pStyle w:val="127"/>
                    <w:rPr>
                      <w:color w:val="auto"/>
                    </w:rPr>
                  </w:pPr>
                  <w:r>
                    <w:rPr>
                      <w:rFonts w:hint="eastAsia"/>
                      <w:color w:val="auto"/>
                    </w:rPr>
                    <w:t>电动助力车车架</w:t>
                  </w:r>
                </w:p>
              </w:tc>
              <w:tc>
                <w:tcPr>
                  <w:tcW w:w="377" w:type="pct"/>
                  <w:vAlign w:val="center"/>
                </w:tcPr>
                <w:p w14:paraId="188952A1">
                  <w:pPr>
                    <w:autoSpaceDE w:val="0"/>
                    <w:autoSpaceDN w:val="0"/>
                    <w:adjustRightInd w:val="0"/>
                    <w:jc w:val="center"/>
                    <w:rPr>
                      <w:color w:val="auto"/>
                      <w:szCs w:val="21"/>
                    </w:rPr>
                  </w:pPr>
                  <w:r>
                    <w:rPr>
                      <w:rFonts w:hint="eastAsia"/>
                      <w:color w:val="auto"/>
                      <w:szCs w:val="21"/>
                    </w:rPr>
                    <w:t>件</w:t>
                  </w:r>
                </w:p>
              </w:tc>
              <w:tc>
                <w:tcPr>
                  <w:tcW w:w="542" w:type="pct"/>
                  <w:vAlign w:val="center"/>
                </w:tcPr>
                <w:p w14:paraId="6733A8D4">
                  <w:pPr>
                    <w:widowControl/>
                    <w:jc w:val="center"/>
                    <w:textAlignment w:val="center"/>
                    <w:rPr>
                      <w:color w:val="auto"/>
                    </w:rPr>
                  </w:pPr>
                  <w:r>
                    <w:rPr>
                      <w:rFonts w:hint="eastAsia"/>
                      <w:color w:val="auto"/>
                    </w:rPr>
                    <w:t>36000</w:t>
                  </w:r>
                </w:p>
              </w:tc>
              <w:tc>
                <w:tcPr>
                  <w:tcW w:w="442" w:type="pct"/>
                  <w:vAlign w:val="center"/>
                </w:tcPr>
                <w:p w14:paraId="43E0ABA6">
                  <w:pPr>
                    <w:pStyle w:val="127"/>
                    <w:rPr>
                      <w:color w:val="auto"/>
                    </w:rPr>
                  </w:pPr>
                  <w:r>
                    <w:rPr>
                      <w:rFonts w:hint="eastAsia"/>
                      <w:color w:val="auto"/>
                    </w:rPr>
                    <w:t>铝制</w:t>
                  </w:r>
                </w:p>
              </w:tc>
              <w:tc>
                <w:tcPr>
                  <w:tcW w:w="589" w:type="pct"/>
                  <w:vAlign w:val="center"/>
                </w:tcPr>
                <w:p w14:paraId="1D25E8F5">
                  <w:pPr>
                    <w:pStyle w:val="127"/>
                    <w:rPr>
                      <w:color w:val="auto"/>
                    </w:rPr>
                  </w:pPr>
                  <w:r>
                    <w:rPr>
                      <w:rFonts w:hint="eastAsia"/>
                      <w:color w:val="auto"/>
                    </w:rPr>
                    <w:t>喷漆</w:t>
                  </w:r>
                </w:p>
              </w:tc>
              <w:tc>
                <w:tcPr>
                  <w:tcW w:w="2289" w:type="pct"/>
                  <w:vAlign w:val="center"/>
                </w:tcPr>
                <w:p w14:paraId="5266B6D3">
                  <w:pPr>
                    <w:pStyle w:val="127"/>
                    <w:rPr>
                      <w:color w:val="auto"/>
                    </w:rPr>
                  </w:pPr>
                  <w:r>
                    <w:rPr>
                      <w:rFonts w:hint="eastAsia"/>
                      <w:bCs/>
                      <w:color w:val="auto"/>
                      <w:szCs w:val="21"/>
                    </w:rPr>
                    <w:drawing>
                      <wp:inline distT="0" distB="0" distL="114300" distR="114300">
                        <wp:extent cx="1380490" cy="2454910"/>
                        <wp:effectExtent l="0" t="0" r="8890" b="3810"/>
                        <wp:docPr id="96" name="图片 24" descr="5298556f0e8c05cfcf31a7e02a65b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4" descr="5298556f0e8c05cfcf31a7e02a65b0f"/>
                                <pic:cNvPicPr>
                                  <a:picLocks noChangeAspect="1"/>
                                </pic:cNvPicPr>
                              </pic:nvPicPr>
                              <pic:blipFill>
                                <a:blip r:embed="rId13"/>
                                <a:stretch>
                                  <a:fillRect/>
                                </a:stretch>
                              </pic:blipFill>
                              <pic:spPr>
                                <a:xfrm rot="16200000">
                                  <a:off x="0" y="0"/>
                                  <a:ext cx="1380490" cy="2454910"/>
                                </a:xfrm>
                                <a:prstGeom prst="rect">
                                  <a:avLst/>
                                </a:prstGeom>
                                <a:noFill/>
                                <a:ln>
                                  <a:noFill/>
                                </a:ln>
                              </pic:spPr>
                            </pic:pic>
                          </a:graphicData>
                        </a:graphic>
                      </wp:inline>
                    </w:drawing>
                  </w:r>
                </w:p>
              </w:tc>
            </w:tr>
            <w:tr w14:paraId="5E07F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Align w:val="center"/>
                </w:tcPr>
                <w:p w14:paraId="66F47C1B">
                  <w:pPr>
                    <w:pStyle w:val="127"/>
                    <w:rPr>
                      <w:color w:val="auto"/>
                    </w:rPr>
                  </w:pPr>
                  <w:r>
                    <w:rPr>
                      <w:rFonts w:hint="eastAsia"/>
                      <w:color w:val="auto"/>
                    </w:rPr>
                    <w:t>家私配件</w:t>
                  </w:r>
                </w:p>
              </w:tc>
              <w:tc>
                <w:tcPr>
                  <w:tcW w:w="377" w:type="pct"/>
                  <w:vAlign w:val="center"/>
                </w:tcPr>
                <w:p w14:paraId="4C49FBC3">
                  <w:pPr>
                    <w:autoSpaceDE w:val="0"/>
                    <w:autoSpaceDN w:val="0"/>
                    <w:adjustRightInd w:val="0"/>
                    <w:jc w:val="center"/>
                    <w:rPr>
                      <w:color w:val="auto"/>
                      <w:szCs w:val="21"/>
                    </w:rPr>
                  </w:pPr>
                  <w:r>
                    <w:rPr>
                      <w:rFonts w:hint="eastAsia"/>
                      <w:color w:val="auto"/>
                      <w:szCs w:val="21"/>
                    </w:rPr>
                    <w:t>件</w:t>
                  </w:r>
                </w:p>
              </w:tc>
              <w:tc>
                <w:tcPr>
                  <w:tcW w:w="542" w:type="pct"/>
                  <w:vAlign w:val="center"/>
                </w:tcPr>
                <w:p w14:paraId="4D4C4D84">
                  <w:pPr>
                    <w:widowControl/>
                    <w:jc w:val="center"/>
                    <w:textAlignment w:val="center"/>
                    <w:rPr>
                      <w:color w:val="auto"/>
                    </w:rPr>
                  </w:pPr>
                  <w:r>
                    <w:rPr>
                      <w:rFonts w:hint="eastAsia"/>
                      <w:color w:val="auto"/>
                    </w:rPr>
                    <w:t>84000</w:t>
                  </w:r>
                </w:p>
              </w:tc>
              <w:tc>
                <w:tcPr>
                  <w:tcW w:w="442" w:type="pct"/>
                  <w:vAlign w:val="center"/>
                </w:tcPr>
                <w:p w14:paraId="0346AD74">
                  <w:pPr>
                    <w:pStyle w:val="127"/>
                    <w:rPr>
                      <w:color w:val="auto"/>
                    </w:rPr>
                  </w:pPr>
                  <w:r>
                    <w:rPr>
                      <w:rFonts w:hint="eastAsia"/>
                      <w:color w:val="auto"/>
                    </w:rPr>
                    <w:t>碳钢</w:t>
                  </w:r>
                </w:p>
              </w:tc>
              <w:tc>
                <w:tcPr>
                  <w:tcW w:w="589" w:type="pct"/>
                  <w:vAlign w:val="center"/>
                </w:tcPr>
                <w:p w14:paraId="4978EF37">
                  <w:pPr>
                    <w:pStyle w:val="127"/>
                    <w:rPr>
                      <w:color w:val="auto"/>
                    </w:rPr>
                  </w:pPr>
                  <w:r>
                    <w:rPr>
                      <w:rFonts w:hint="eastAsia"/>
                      <w:color w:val="auto"/>
                    </w:rPr>
                    <w:t>喷粉</w:t>
                  </w:r>
                </w:p>
              </w:tc>
              <w:tc>
                <w:tcPr>
                  <w:tcW w:w="2289" w:type="pct"/>
                  <w:vAlign w:val="center"/>
                </w:tcPr>
                <w:p w14:paraId="3F7DF40A">
                  <w:pPr>
                    <w:pStyle w:val="127"/>
                    <w:rPr>
                      <w:color w:val="auto"/>
                    </w:rPr>
                  </w:pPr>
                  <w:r>
                    <w:rPr>
                      <w:rFonts w:hint="eastAsia"/>
                      <w:color w:val="auto"/>
                    </w:rPr>
                    <w:drawing>
                      <wp:inline distT="0" distB="0" distL="114300" distR="114300">
                        <wp:extent cx="2517140" cy="2179320"/>
                        <wp:effectExtent l="0" t="0" r="10160" b="5080"/>
                        <wp:docPr id="97" name="图片 97" descr="dd4e73fc6fe65a4388efd6d78fae8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dd4e73fc6fe65a4388efd6d78fae8b9"/>
                                <pic:cNvPicPr>
                                  <a:picLocks noChangeAspect="1"/>
                                </pic:cNvPicPr>
                              </pic:nvPicPr>
                              <pic:blipFill>
                                <a:blip r:embed="rId14"/>
                                <a:stretch>
                                  <a:fillRect/>
                                </a:stretch>
                              </pic:blipFill>
                              <pic:spPr>
                                <a:xfrm>
                                  <a:off x="0" y="0"/>
                                  <a:ext cx="2517140" cy="2179320"/>
                                </a:xfrm>
                                <a:prstGeom prst="rect">
                                  <a:avLst/>
                                </a:prstGeom>
                              </pic:spPr>
                            </pic:pic>
                          </a:graphicData>
                        </a:graphic>
                      </wp:inline>
                    </w:drawing>
                  </w:r>
                </w:p>
              </w:tc>
            </w:tr>
            <w:tr w14:paraId="710F1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Align w:val="center"/>
                </w:tcPr>
                <w:p w14:paraId="72044E9A">
                  <w:pPr>
                    <w:pStyle w:val="127"/>
                    <w:rPr>
                      <w:color w:val="auto"/>
                    </w:rPr>
                  </w:pPr>
                  <w:r>
                    <w:rPr>
                      <w:rFonts w:hint="eastAsia"/>
                      <w:color w:val="auto"/>
                    </w:rPr>
                    <w:t>家私配件</w:t>
                  </w:r>
                </w:p>
              </w:tc>
              <w:tc>
                <w:tcPr>
                  <w:tcW w:w="377" w:type="pct"/>
                  <w:vAlign w:val="center"/>
                </w:tcPr>
                <w:p w14:paraId="2A486714">
                  <w:pPr>
                    <w:autoSpaceDE w:val="0"/>
                    <w:autoSpaceDN w:val="0"/>
                    <w:adjustRightInd w:val="0"/>
                    <w:jc w:val="center"/>
                    <w:rPr>
                      <w:color w:val="auto"/>
                      <w:szCs w:val="21"/>
                    </w:rPr>
                  </w:pPr>
                  <w:r>
                    <w:rPr>
                      <w:rFonts w:hint="eastAsia"/>
                      <w:color w:val="auto"/>
                      <w:szCs w:val="21"/>
                    </w:rPr>
                    <w:t>件</w:t>
                  </w:r>
                </w:p>
              </w:tc>
              <w:tc>
                <w:tcPr>
                  <w:tcW w:w="542" w:type="pct"/>
                  <w:vAlign w:val="center"/>
                </w:tcPr>
                <w:p w14:paraId="36A72AEE">
                  <w:pPr>
                    <w:widowControl/>
                    <w:jc w:val="center"/>
                    <w:textAlignment w:val="center"/>
                    <w:rPr>
                      <w:color w:val="auto"/>
                    </w:rPr>
                  </w:pPr>
                  <w:r>
                    <w:rPr>
                      <w:rFonts w:hint="eastAsia"/>
                      <w:color w:val="auto"/>
                    </w:rPr>
                    <w:t>30000</w:t>
                  </w:r>
                </w:p>
              </w:tc>
              <w:tc>
                <w:tcPr>
                  <w:tcW w:w="442" w:type="pct"/>
                  <w:vAlign w:val="center"/>
                </w:tcPr>
                <w:p w14:paraId="4626BCEF">
                  <w:pPr>
                    <w:pStyle w:val="127"/>
                    <w:rPr>
                      <w:color w:val="auto"/>
                    </w:rPr>
                  </w:pPr>
                  <w:r>
                    <w:rPr>
                      <w:rFonts w:hint="eastAsia"/>
                      <w:color w:val="auto"/>
                    </w:rPr>
                    <w:t>铝制</w:t>
                  </w:r>
                </w:p>
              </w:tc>
              <w:tc>
                <w:tcPr>
                  <w:tcW w:w="589" w:type="pct"/>
                  <w:vAlign w:val="center"/>
                </w:tcPr>
                <w:p w14:paraId="572AF9CF">
                  <w:pPr>
                    <w:pStyle w:val="127"/>
                    <w:rPr>
                      <w:color w:val="auto"/>
                    </w:rPr>
                  </w:pPr>
                  <w:r>
                    <w:rPr>
                      <w:rFonts w:hint="eastAsia"/>
                      <w:color w:val="auto"/>
                    </w:rPr>
                    <w:t>喷漆</w:t>
                  </w:r>
                </w:p>
              </w:tc>
              <w:tc>
                <w:tcPr>
                  <w:tcW w:w="2289" w:type="pct"/>
                  <w:vAlign w:val="center"/>
                </w:tcPr>
                <w:p w14:paraId="26BE6400">
                  <w:pPr>
                    <w:pStyle w:val="127"/>
                    <w:rPr>
                      <w:color w:val="auto"/>
                    </w:rPr>
                  </w:pPr>
                  <w:r>
                    <w:rPr>
                      <w:rFonts w:hint="eastAsia"/>
                      <w:color w:val="auto"/>
                    </w:rPr>
                    <w:drawing>
                      <wp:inline distT="0" distB="0" distL="114300" distR="114300">
                        <wp:extent cx="2526030" cy="2211705"/>
                        <wp:effectExtent l="0" t="0" r="0" b="0"/>
                        <wp:docPr id="98" name="图片 98" descr="ee4f80de72c19486ff7aa89289bcf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ee4f80de72c19486ff7aa89289bcf93"/>
                                <pic:cNvPicPr>
                                  <a:picLocks noChangeAspect="1"/>
                                </pic:cNvPicPr>
                              </pic:nvPicPr>
                              <pic:blipFill>
                                <a:blip r:embed="rId15"/>
                                <a:srcRect b="10046"/>
                                <a:stretch>
                                  <a:fillRect/>
                                </a:stretch>
                              </pic:blipFill>
                              <pic:spPr>
                                <a:xfrm>
                                  <a:off x="0" y="0"/>
                                  <a:ext cx="2526030" cy="2211705"/>
                                </a:xfrm>
                                <a:prstGeom prst="rect">
                                  <a:avLst/>
                                </a:prstGeom>
                              </pic:spPr>
                            </pic:pic>
                          </a:graphicData>
                        </a:graphic>
                      </wp:inline>
                    </w:drawing>
                  </w:r>
                </w:p>
              </w:tc>
            </w:tr>
          </w:tbl>
          <w:p w14:paraId="6B5C056F">
            <w:pPr>
              <w:adjustRightInd w:val="0"/>
              <w:snapToGrid w:val="0"/>
              <w:rPr>
                <w:b/>
                <w:color w:val="auto"/>
                <w:szCs w:val="21"/>
              </w:rPr>
            </w:pPr>
          </w:p>
          <w:p w14:paraId="44496B22">
            <w:pPr>
              <w:numPr>
                <w:ilvl w:val="0"/>
                <w:numId w:val="10"/>
              </w:numPr>
              <w:adjustRightInd w:val="0"/>
              <w:snapToGrid w:val="0"/>
              <w:jc w:val="center"/>
              <w:rPr>
                <w:b/>
                <w:color w:val="auto"/>
                <w:szCs w:val="21"/>
              </w:rPr>
            </w:pPr>
            <w:r>
              <w:rPr>
                <w:b/>
                <w:color w:val="auto"/>
                <w:szCs w:val="21"/>
              </w:rPr>
              <w:t>项目</w:t>
            </w:r>
            <w:r>
              <w:rPr>
                <w:rFonts w:hint="eastAsia"/>
                <w:b/>
                <w:color w:val="auto"/>
                <w:szCs w:val="21"/>
              </w:rPr>
              <w:t>自行车车架</w:t>
            </w:r>
            <w:r>
              <w:rPr>
                <w:b/>
                <w:color w:val="auto"/>
                <w:szCs w:val="21"/>
              </w:rPr>
              <w:t>规格参数一览表</w:t>
            </w:r>
          </w:p>
          <w:tbl>
            <w:tblPr>
              <w:tblStyle w:val="35"/>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861"/>
              <w:gridCol w:w="777"/>
              <w:gridCol w:w="956"/>
              <w:gridCol w:w="744"/>
              <w:gridCol w:w="789"/>
              <w:gridCol w:w="1489"/>
              <w:gridCol w:w="1356"/>
              <w:gridCol w:w="1437"/>
            </w:tblGrid>
            <w:tr w14:paraId="43B87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50" w:type="dxa"/>
                  <w:gridSpan w:val="9"/>
                  <w:vAlign w:val="center"/>
                </w:tcPr>
                <w:p w14:paraId="4F9FE246">
                  <w:pPr>
                    <w:widowControl/>
                    <w:jc w:val="center"/>
                    <w:textAlignment w:val="center"/>
                    <w:rPr>
                      <w:color w:val="auto"/>
                      <w:szCs w:val="21"/>
                    </w:rPr>
                  </w:pPr>
                  <w:r>
                    <w:rPr>
                      <w:b/>
                      <w:bCs/>
                      <w:color w:val="auto"/>
                      <w:kern w:val="0"/>
                      <w:szCs w:val="21"/>
                      <w:lang w:bidi="ar"/>
                    </w:rPr>
                    <w:t>产品-碳钢自行车车架（4.5kg）</w:t>
                  </w:r>
                </w:p>
              </w:tc>
            </w:tr>
            <w:tr w14:paraId="2DF9A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1" w:type="dxa"/>
                  <w:vMerge w:val="restart"/>
                  <w:vAlign w:val="center"/>
                </w:tcPr>
                <w:p w14:paraId="1706486C">
                  <w:pPr>
                    <w:widowControl/>
                    <w:jc w:val="center"/>
                    <w:textAlignment w:val="center"/>
                    <w:rPr>
                      <w:b/>
                      <w:bCs/>
                      <w:color w:val="auto"/>
                      <w:szCs w:val="21"/>
                    </w:rPr>
                  </w:pPr>
                  <w:r>
                    <w:rPr>
                      <w:b/>
                      <w:bCs/>
                      <w:color w:val="auto"/>
                      <w:kern w:val="0"/>
                      <w:szCs w:val="21"/>
                      <w:lang w:bidi="ar"/>
                    </w:rPr>
                    <w:t>单位产品物料使用情况</w:t>
                  </w:r>
                </w:p>
              </w:tc>
              <w:tc>
                <w:tcPr>
                  <w:tcW w:w="861" w:type="dxa"/>
                  <w:vMerge w:val="restart"/>
                  <w:vAlign w:val="center"/>
                </w:tcPr>
                <w:p w14:paraId="671507C9">
                  <w:pPr>
                    <w:widowControl/>
                    <w:jc w:val="center"/>
                    <w:textAlignment w:val="center"/>
                    <w:rPr>
                      <w:b/>
                      <w:bCs/>
                      <w:color w:val="auto"/>
                      <w:szCs w:val="21"/>
                    </w:rPr>
                  </w:pPr>
                  <w:r>
                    <w:rPr>
                      <w:b/>
                      <w:bCs/>
                      <w:color w:val="auto"/>
                      <w:kern w:val="0"/>
                      <w:szCs w:val="21"/>
                      <w:lang w:bidi="ar"/>
                    </w:rPr>
                    <w:t>物料</w:t>
                  </w:r>
                </w:p>
              </w:tc>
              <w:tc>
                <w:tcPr>
                  <w:tcW w:w="2477" w:type="dxa"/>
                  <w:gridSpan w:val="3"/>
                  <w:vAlign w:val="center"/>
                </w:tcPr>
                <w:p w14:paraId="2CD89ED6">
                  <w:pPr>
                    <w:widowControl/>
                    <w:jc w:val="center"/>
                    <w:textAlignment w:val="center"/>
                    <w:rPr>
                      <w:b/>
                      <w:bCs/>
                      <w:color w:val="auto"/>
                      <w:szCs w:val="21"/>
                    </w:rPr>
                  </w:pPr>
                  <w:r>
                    <w:rPr>
                      <w:b/>
                      <w:bCs/>
                      <w:color w:val="auto"/>
                      <w:kern w:val="0"/>
                      <w:szCs w:val="21"/>
                      <w:lang w:bidi="ar"/>
                    </w:rPr>
                    <w:t>尺寸（</w:t>
                  </w:r>
                  <w:r>
                    <w:rPr>
                      <w:rFonts w:hint="eastAsia"/>
                      <w:b/>
                      <w:bCs/>
                      <w:color w:val="auto"/>
                      <w:kern w:val="0"/>
                      <w:szCs w:val="21"/>
                      <w:lang w:bidi="ar"/>
                    </w:rPr>
                    <w:t>m</w:t>
                  </w:r>
                  <w:r>
                    <w:rPr>
                      <w:b/>
                      <w:bCs/>
                      <w:color w:val="auto"/>
                      <w:kern w:val="0"/>
                      <w:szCs w:val="21"/>
                      <w:lang w:bidi="ar"/>
                    </w:rPr>
                    <w:t>m）</w:t>
                  </w:r>
                </w:p>
              </w:tc>
              <w:tc>
                <w:tcPr>
                  <w:tcW w:w="789" w:type="dxa"/>
                  <w:vMerge w:val="restart"/>
                  <w:vAlign w:val="center"/>
                </w:tcPr>
                <w:p w14:paraId="0D52320A">
                  <w:pPr>
                    <w:widowControl/>
                    <w:jc w:val="center"/>
                    <w:textAlignment w:val="center"/>
                    <w:rPr>
                      <w:b/>
                      <w:bCs/>
                      <w:color w:val="auto"/>
                      <w:szCs w:val="21"/>
                    </w:rPr>
                  </w:pPr>
                  <w:r>
                    <w:rPr>
                      <w:b/>
                      <w:bCs/>
                      <w:color w:val="auto"/>
                      <w:kern w:val="0"/>
                      <w:szCs w:val="21"/>
                      <w:lang w:bidi="ar"/>
                    </w:rPr>
                    <w:t>数量</w:t>
                  </w:r>
                </w:p>
              </w:tc>
              <w:tc>
                <w:tcPr>
                  <w:tcW w:w="1489" w:type="dxa"/>
                  <w:vMerge w:val="restart"/>
                  <w:vAlign w:val="center"/>
                </w:tcPr>
                <w:p w14:paraId="25566940">
                  <w:pPr>
                    <w:widowControl/>
                    <w:jc w:val="center"/>
                    <w:textAlignment w:val="center"/>
                    <w:rPr>
                      <w:b/>
                      <w:bCs/>
                      <w:color w:val="auto"/>
                      <w:szCs w:val="21"/>
                    </w:rPr>
                  </w:pPr>
                  <w:r>
                    <w:rPr>
                      <w:b/>
                      <w:bCs/>
                      <w:color w:val="auto"/>
                      <w:kern w:val="0"/>
                      <w:szCs w:val="21"/>
                      <w:lang w:bidi="ar"/>
                    </w:rPr>
                    <w:t>前处理外表面积（m</w:t>
                  </w:r>
                  <w:r>
                    <w:rPr>
                      <w:b/>
                      <w:bCs/>
                      <w:color w:val="auto"/>
                      <w:kern w:val="0"/>
                      <w:szCs w:val="21"/>
                      <w:vertAlign w:val="superscript"/>
                      <w:lang w:bidi="ar"/>
                    </w:rPr>
                    <w:t>2</w:t>
                  </w:r>
                  <w:r>
                    <w:rPr>
                      <w:b/>
                      <w:bCs/>
                      <w:color w:val="auto"/>
                      <w:kern w:val="0"/>
                      <w:szCs w:val="21"/>
                      <w:lang w:bidi="ar"/>
                    </w:rPr>
                    <w:t>）</w:t>
                  </w:r>
                </w:p>
              </w:tc>
              <w:tc>
                <w:tcPr>
                  <w:tcW w:w="1356" w:type="dxa"/>
                  <w:vMerge w:val="restart"/>
                  <w:vAlign w:val="center"/>
                </w:tcPr>
                <w:p w14:paraId="7F1077E4">
                  <w:pPr>
                    <w:widowControl/>
                    <w:jc w:val="center"/>
                    <w:textAlignment w:val="center"/>
                    <w:rPr>
                      <w:b/>
                      <w:bCs/>
                      <w:color w:val="auto"/>
                      <w:szCs w:val="21"/>
                    </w:rPr>
                  </w:pPr>
                  <w:r>
                    <w:rPr>
                      <w:b/>
                      <w:bCs/>
                      <w:color w:val="auto"/>
                      <w:kern w:val="0"/>
                      <w:szCs w:val="21"/>
                      <w:lang w:bidi="ar"/>
                    </w:rPr>
                    <w:t>前处理内表面积（m</w:t>
                  </w:r>
                  <w:r>
                    <w:rPr>
                      <w:b/>
                      <w:bCs/>
                      <w:color w:val="auto"/>
                      <w:kern w:val="0"/>
                      <w:szCs w:val="21"/>
                      <w:vertAlign w:val="superscript"/>
                      <w:lang w:bidi="ar"/>
                    </w:rPr>
                    <w:t>2</w:t>
                  </w:r>
                  <w:r>
                    <w:rPr>
                      <w:b/>
                      <w:bCs/>
                      <w:color w:val="auto"/>
                      <w:kern w:val="0"/>
                      <w:szCs w:val="21"/>
                      <w:lang w:bidi="ar"/>
                    </w:rPr>
                    <w:t>）</w:t>
                  </w:r>
                </w:p>
              </w:tc>
              <w:tc>
                <w:tcPr>
                  <w:tcW w:w="1437" w:type="dxa"/>
                  <w:vMerge w:val="restart"/>
                  <w:vAlign w:val="center"/>
                </w:tcPr>
                <w:p w14:paraId="35D45626">
                  <w:pPr>
                    <w:widowControl/>
                    <w:jc w:val="center"/>
                    <w:textAlignment w:val="center"/>
                    <w:rPr>
                      <w:b/>
                      <w:bCs/>
                      <w:color w:val="auto"/>
                      <w:szCs w:val="21"/>
                    </w:rPr>
                  </w:pPr>
                  <w:r>
                    <w:rPr>
                      <w:b/>
                      <w:bCs/>
                      <w:color w:val="auto"/>
                      <w:kern w:val="0"/>
                      <w:szCs w:val="21"/>
                      <w:lang w:bidi="ar"/>
                    </w:rPr>
                    <w:t>前处理总表面积（m</w:t>
                  </w:r>
                  <w:r>
                    <w:rPr>
                      <w:b/>
                      <w:bCs/>
                      <w:color w:val="auto"/>
                      <w:kern w:val="0"/>
                      <w:szCs w:val="21"/>
                      <w:vertAlign w:val="superscript"/>
                      <w:lang w:bidi="ar"/>
                    </w:rPr>
                    <w:t>2</w:t>
                  </w:r>
                  <w:r>
                    <w:rPr>
                      <w:b/>
                      <w:bCs/>
                      <w:color w:val="auto"/>
                      <w:kern w:val="0"/>
                      <w:szCs w:val="21"/>
                      <w:lang w:bidi="ar"/>
                    </w:rPr>
                    <w:t>）</w:t>
                  </w:r>
                </w:p>
              </w:tc>
            </w:tr>
            <w:tr w14:paraId="25A6A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5E97C034">
                  <w:pPr>
                    <w:jc w:val="center"/>
                    <w:rPr>
                      <w:b/>
                      <w:bCs/>
                      <w:color w:val="auto"/>
                      <w:szCs w:val="21"/>
                    </w:rPr>
                  </w:pPr>
                </w:p>
              </w:tc>
              <w:tc>
                <w:tcPr>
                  <w:tcW w:w="861" w:type="dxa"/>
                  <w:vMerge w:val="continue"/>
                  <w:vAlign w:val="center"/>
                </w:tcPr>
                <w:p w14:paraId="7EB578A8">
                  <w:pPr>
                    <w:jc w:val="center"/>
                    <w:rPr>
                      <w:b/>
                      <w:bCs/>
                      <w:color w:val="auto"/>
                      <w:szCs w:val="21"/>
                    </w:rPr>
                  </w:pPr>
                </w:p>
              </w:tc>
              <w:tc>
                <w:tcPr>
                  <w:tcW w:w="777" w:type="dxa"/>
                  <w:vAlign w:val="center"/>
                </w:tcPr>
                <w:p w14:paraId="12E2C935">
                  <w:pPr>
                    <w:widowControl/>
                    <w:jc w:val="center"/>
                    <w:textAlignment w:val="center"/>
                    <w:rPr>
                      <w:rFonts w:eastAsiaTheme="minorEastAsia"/>
                      <w:b/>
                      <w:bCs/>
                      <w:color w:val="auto"/>
                      <w:szCs w:val="21"/>
                    </w:rPr>
                  </w:pPr>
                  <w:r>
                    <w:rPr>
                      <w:b/>
                      <w:bCs/>
                      <w:color w:val="auto"/>
                      <w:kern w:val="0"/>
                      <w:szCs w:val="21"/>
                      <w:lang w:bidi="ar"/>
                    </w:rPr>
                    <w:t>直径</w:t>
                  </w:r>
                </w:p>
              </w:tc>
              <w:tc>
                <w:tcPr>
                  <w:tcW w:w="956" w:type="dxa"/>
                  <w:vAlign w:val="center"/>
                </w:tcPr>
                <w:p w14:paraId="214DB99E">
                  <w:pPr>
                    <w:widowControl/>
                    <w:jc w:val="center"/>
                    <w:textAlignment w:val="center"/>
                    <w:rPr>
                      <w:b/>
                      <w:bCs/>
                      <w:color w:val="auto"/>
                      <w:szCs w:val="21"/>
                    </w:rPr>
                  </w:pPr>
                  <w:r>
                    <w:rPr>
                      <w:rFonts w:hint="eastAsia"/>
                      <w:b/>
                      <w:bCs/>
                      <w:color w:val="auto"/>
                      <w:kern w:val="0"/>
                      <w:szCs w:val="21"/>
                      <w:lang w:bidi="ar"/>
                    </w:rPr>
                    <w:t>长度</w:t>
                  </w:r>
                </w:p>
              </w:tc>
              <w:tc>
                <w:tcPr>
                  <w:tcW w:w="744" w:type="dxa"/>
                  <w:vAlign w:val="center"/>
                </w:tcPr>
                <w:p w14:paraId="3DD6A130">
                  <w:pPr>
                    <w:widowControl/>
                    <w:jc w:val="center"/>
                    <w:textAlignment w:val="center"/>
                    <w:rPr>
                      <w:b/>
                      <w:bCs/>
                      <w:color w:val="auto"/>
                      <w:szCs w:val="21"/>
                    </w:rPr>
                  </w:pPr>
                  <w:r>
                    <w:rPr>
                      <w:b/>
                      <w:bCs/>
                      <w:color w:val="auto"/>
                      <w:kern w:val="0"/>
                      <w:szCs w:val="21"/>
                      <w:lang w:bidi="ar"/>
                    </w:rPr>
                    <w:t>壁厚</w:t>
                  </w:r>
                </w:p>
              </w:tc>
              <w:tc>
                <w:tcPr>
                  <w:tcW w:w="789" w:type="dxa"/>
                  <w:vMerge w:val="continue"/>
                  <w:vAlign w:val="center"/>
                </w:tcPr>
                <w:p w14:paraId="6DF29084">
                  <w:pPr>
                    <w:jc w:val="center"/>
                    <w:rPr>
                      <w:b/>
                      <w:bCs/>
                      <w:color w:val="auto"/>
                      <w:szCs w:val="21"/>
                    </w:rPr>
                  </w:pPr>
                </w:p>
              </w:tc>
              <w:tc>
                <w:tcPr>
                  <w:tcW w:w="1489" w:type="dxa"/>
                  <w:vMerge w:val="continue"/>
                  <w:vAlign w:val="center"/>
                </w:tcPr>
                <w:p w14:paraId="0D9F0F3E">
                  <w:pPr>
                    <w:jc w:val="center"/>
                    <w:rPr>
                      <w:b/>
                      <w:bCs/>
                      <w:color w:val="auto"/>
                      <w:szCs w:val="21"/>
                    </w:rPr>
                  </w:pPr>
                </w:p>
              </w:tc>
              <w:tc>
                <w:tcPr>
                  <w:tcW w:w="1356" w:type="dxa"/>
                  <w:vMerge w:val="continue"/>
                  <w:vAlign w:val="center"/>
                </w:tcPr>
                <w:p w14:paraId="2A187798">
                  <w:pPr>
                    <w:jc w:val="center"/>
                    <w:rPr>
                      <w:b/>
                      <w:bCs/>
                      <w:color w:val="auto"/>
                      <w:szCs w:val="21"/>
                    </w:rPr>
                  </w:pPr>
                </w:p>
              </w:tc>
              <w:tc>
                <w:tcPr>
                  <w:tcW w:w="1437" w:type="dxa"/>
                  <w:vMerge w:val="continue"/>
                  <w:vAlign w:val="center"/>
                </w:tcPr>
                <w:p w14:paraId="07B0D34C">
                  <w:pPr>
                    <w:jc w:val="center"/>
                    <w:rPr>
                      <w:b/>
                      <w:bCs/>
                      <w:color w:val="auto"/>
                      <w:szCs w:val="21"/>
                    </w:rPr>
                  </w:pPr>
                </w:p>
              </w:tc>
            </w:tr>
            <w:tr w14:paraId="022FA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1" w:type="dxa"/>
                  <w:vMerge w:val="continue"/>
                  <w:vAlign w:val="center"/>
                </w:tcPr>
                <w:p w14:paraId="062B0273">
                  <w:pPr>
                    <w:jc w:val="center"/>
                    <w:rPr>
                      <w:color w:val="auto"/>
                      <w:szCs w:val="21"/>
                    </w:rPr>
                  </w:pPr>
                </w:p>
              </w:tc>
              <w:tc>
                <w:tcPr>
                  <w:tcW w:w="861" w:type="dxa"/>
                  <w:vAlign w:val="center"/>
                </w:tcPr>
                <w:p w14:paraId="3B09982C">
                  <w:pPr>
                    <w:widowControl/>
                    <w:jc w:val="center"/>
                    <w:textAlignment w:val="center"/>
                    <w:rPr>
                      <w:rFonts w:eastAsiaTheme="minorEastAsia"/>
                      <w:color w:val="auto"/>
                      <w:szCs w:val="21"/>
                    </w:rPr>
                  </w:pPr>
                  <w:r>
                    <w:rPr>
                      <w:color w:val="auto"/>
                      <w:kern w:val="0"/>
                      <w:szCs w:val="21"/>
                      <w:lang w:bidi="ar"/>
                    </w:rPr>
                    <w:t>头管</w:t>
                  </w:r>
                </w:p>
              </w:tc>
              <w:tc>
                <w:tcPr>
                  <w:tcW w:w="777" w:type="dxa"/>
                  <w:vAlign w:val="center"/>
                </w:tcPr>
                <w:p w14:paraId="7A1F91C5">
                  <w:pPr>
                    <w:widowControl/>
                    <w:jc w:val="center"/>
                    <w:textAlignment w:val="center"/>
                    <w:rPr>
                      <w:color w:val="auto"/>
                      <w:szCs w:val="21"/>
                    </w:rPr>
                  </w:pPr>
                  <w:r>
                    <w:rPr>
                      <w:color w:val="auto"/>
                      <w:szCs w:val="21"/>
                    </w:rPr>
                    <w:t>30</w:t>
                  </w:r>
                </w:p>
              </w:tc>
              <w:tc>
                <w:tcPr>
                  <w:tcW w:w="956" w:type="dxa"/>
                  <w:vAlign w:val="center"/>
                </w:tcPr>
                <w:p w14:paraId="28281ED7">
                  <w:pPr>
                    <w:widowControl/>
                    <w:jc w:val="center"/>
                    <w:textAlignment w:val="center"/>
                    <w:rPr>
                      <w:color w:val="auto"/>
                      <w:szCs w:val="21"/>
                    </w:rPr>
                  </w:pPr>
                  <w:r>
                    <w:rPr>
                      <w:color w:val="auto"/>
                      <w:szCs w:val="21"/>
                    </w:rPr>
                    <w:t>125</w:t>
                  </w:r>
                </w:p>
              </w:tc>
              <w:tc>
                <w:tcPr>
                  <w:tcW w:w="744" w:type="dxa"/>
                  <w:vAlign w:val="center"/>
                </w:tcPr>
                <w:p w14:paraId="2633E3B7">
                  <w:pPr>
                    <w:widowControl/>
                    <w:jc w:val="center"/>
                    <w:textAlignment w:val="center"/>
                    <w:rPr>
                      <w:color w:val="auto"/>
                      <w:szCs w:val="21"/>
                    </w:rPr>
                  </w:pPr>
                  <w:r>
                    <w:rPr>
                      <w:color w:val="auto"/>
                      <w:szCs w:val="21"/>
                    </w:rPr>
                    <w:t>1.2</w:t>
                  </w:r>
                </w:p>
              </w:tc>
              <w:tc>
                <w:tcPr>
                  <w:tcW w:w="789" w:type="dxa"/>
                  <w:vAlign w:val="center"/>
                </w:tcPr>
                <w:p w14:paraId="2FB3B381">
                  <w:pPr>
                    <w:widowControl/>
                    <w:jc w:val="center"/>
                    <w:textAlignment w:val="center"/>
                    <w:rPr>
                      <w:color w:val="auto"/>
                      <w:szCs w:val="21"/>
                    </w:rPr>
                  </w:pPr>
                  <w:r>
                    <w:rPr>
                      <w:rFonts w:hint="eastAsia"/>
                      <w:color w:val="auto"/>
                      <w:szCs w:val="21"/>
                    </w:rPr>
                    <w:t>1</w:t>
                  </w:r>
                </w:p>
              </w:tc>
              <w:tc>
                <w:tcPr>
                  <w:tcW w:w="1489" w:type="dxa"/>
                  <w:vAlign w:val="center"/>
                </w:tcPr>
                <w:p w14:paraId="1BFA3568">
                  <w:pPr>
                    <w:widowControl/>
                    <w:jc w:val="center"/>
                    <w:textAlignment w:val="center"/>
                    <w:rPr>
                      <w:color w:val="auto"/>
                      <w:szCs w:val="21"/>
                    </w:rPr>
                  </w:pPr>
                  <w:r>
                    <w:rPr>
                      <w:color w:val="auto"/>
                      <w:kern w:val="0"/>
                      <w:szCs w:val="21"/>
                      <w:lang w:bidi="ar"/>
                    </w:rPr>
                    <w:t>0.0118</w:t>
                  </w:r>
                </w:p>
              </w:tc>
              <w:tc>
                <w:tcPr>
                  <w:tcW w:w="1356" w:type="dxa"/>
                  <w:vAlign w:val="center"/>
                </w:tcPr>
                <w:p w14:paraId="68DF8C94">
                  <w:pPr>
                    <w:widowControl/>
                    <w:jc w:val="center"/>
                    <w:textAlignment w:val="center"/>
                    <w:rPr>
                      <w:color w:val="auto"/>
                      <w:szCs w:val="21"/>
                    </w:rPr>
                  </w:pPr>
                  <w:r>
                    <w:rPr>
                      <w:color w:val="auto"/>
                      <w:kern w:val="0"/>
                      <w:szCs w:val="21"/>
                      <w:lang w:bidi="ar"/>
                    </w:rPr>
                    <w:t>0.0108</w:t>
                  </w:r>
                </w:p>
              </w:tc>
              <w:tc>
                <w:tcPr>
                  <w:tcW w:w="1437" w:type="dxa"/>
                  <w:vAlign w:val="center"/>
                </w:tcPr>
                <w:p w14:paraId="6320F3A3">
                  <w:pPr>
                    <w:widowControl/>
                    <w:jc w:val="center"/>
                    <w:textAlignment w:val="center"/>
                    <w:rPr>
                      <w:color w:val="auto"/>
                      <w:szCs w:val="21"/>
                    </w:rPr>
                  </w:pPr>
                  <w:r>
                    <w:rPr>
                      <w:color w:val="auto"/>
                      <w:kern w:val="0"/>
                      <w:szCs w:val="21"/>
                      <w:lang w:bidi="ar"/>
                    </w:rPr>
                    <w:t>0.0226</w:t>
                  </w:r>
                </w:p>
              </w:tc>
            </w:tr>
            <w:tr w14:paraId="18067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1" w:type="dxa"/>
                  <w:vMerge w:val="continue"/>
                  <w:vAlign w:val="center"/>
                </w:tcPr>
                <w:p w14:paraId="7932352C">
                  <w:pPr>
                    <w:jc w:val="center"/>
                    <w:rPr>
                      <w:color w:val="auto"/>
                      <w:szCs w:val="21"/>
                    </w:rPr>
                  </w:pPr>
                </w:p>
              </w:tc>
              <w:tc>
                <w:tcPr>
                  <w:tcW w:w="861" w:type="dxa"/>
                  <w:vAlign w:val="center"/>
                </w:tcPr>
                <w:p w14:paraId="162ED106">
                  <w:pPr>
                    <w:jc w:val="center"/>
                    <w:rPr>
                      <w:rFonts w:eastAsiaTheme="minorEastAsia"/>
                      <w:color w:val="auto"/>
                      <w:szCs w:val="21"/>
                    </w:rPr>
                  </w:pPr>
                  <w:r>
                    <w:rPr>
                      <w:color w:val="auto"/>
                      <w:szCs w:val="21"/>
                    </w:rPr>
                    <w:t>上管</w:t>
                  </w:r>
                </w:p>
              </w:tc>
              <w:tc>
                <w:tcPr>
                  <w:tcW w:w="777" w:type="dxa"/>
                  <w:vAlign w:val="center"/>
                </w:tcPr>
                <w:p w14:paraId="1D159D49">
                  <w:pPr>
                    <w:widowControl/>
                    <w:jc w:val="center"/>
                    <w:textAlignment w:val="center"/>
                    <w:rPr>
                      <w:color w:val="auto"/>
                      <w:szCs w:val="21"/>
                    </w:rPr>
                  </w:pPr>
                  <w:r>
                    <w:rPr>
                      <w:color w:val="auto"/>
                      <w:szCs w:val="21"/>
                    </w:rPr>
                    <w:t>32</w:t>
                  </w:r>
                </w:p>
              </w:tc>
              <w:tc>
                <w:tcPr>
                  <w:tcW w:w="956" w:type="dxa"/>
                  <w:vAlign w:val="center"/>
                </w:tcPr>
                <w:p w14:paraId="613FC5A5">
                  <w:pPr>
                    <w:widowControl/>
                    <w:jc w:val="center"/>
                    <w:textAlignment w:val="center"/>
                    <w:rPr>
                      <w:color w:val="auto"/>
                      <w:szCs w:val="21"/>
                    </w:rPr>
                  </w:pPr>
                  <w:r>
                    <w:rPr>
                      <w:color w:val="auto"/>
                      <w:szCs w:val="21"/>
                    </w:rPr>
                    <w:t>500</w:t>
                  </w:r>
                </w:p>
              </w:tc>
              <w:tc>
                <w:tcPr>
                  <w:tcW w:w="744" w:type="dxa"/>
                  <w:vAlign w:val="center"/>
                </w:tcPr>
                <w:p w14:paraId="668E39C2">
                  <w:pPr>
                    <w:widowControl/>
                    <w:jc w:val="center"/>
                    <w:textAlignment w:val="center"/>
                    <w:rPr>
                      <w:color w:val="auto"/>
                      <w:szCs w:val="21"/>
                    </w:rPr>
                  </w:pPr>
                  <w:r>
                    <w:rPr>
                      <w:color w:val="auto"/>
                      <w:szCs w:val="21"/>
                    </w:rPr>
                    <w:t>1.2</w:t>
                  </w:r>
                </w:p>
              </w:tc>
              <w:tc>
                <w:tcPr>
                  <w:tcW w:w="789" w:type="dxa"/>
                  <w:vAlign w:val="center"/>
                </w:tcPr>
                <w:p w14:paraId="794ABA1D">
                  <w:pPr>
                    <w:widowControl/>
                    <w:jc w:val="center"/>
                    <w:textAlignment w:val="center"/>
                    <w:rPr>
                      <w:color w:val="auto"/>
                      <w:szCs w:val="21"/>
                    </w:rPr>
                  </w:pPr>
                  <w:r>
                    <w:rPr>
                      <w:rFonts w:hint="eastAsia"/>
                      <w:color w:val="auto"/>
                      <w:szCs w:val="21"/>
                    </w:rPr>
                    <w:t>1</w:t>
                  </w:r>
                </w:p>
              </w:tc>
              <w:tc>
                <w:tcPr>
                  <w:tcW w:w="1489" w:type="dxa"/>
                  <w:vAlign w:val="center"/>
                </w:tcPr>
                <w:p w14:paraId="42D2E74A">
                  <w:pPr>
                    <w:widowControl/>
                    <w:jc w:val="center"/>
                    <w:textAlignment w:val="center"/>
                    <w:rPr>
                      <w:color w:val="auto"/>
                      <w:szCs w:val="21"/>
                    </w:rPr>
                  </w:pPr>
                  <w:r>
                    <w:rPr>
                      <w:color w:val="auto"/>
                      <w:kern w:val="0"/>
                      <w:szCs w:val="21"/>
                      <w:lang w:bidi="ar"/>
                    </w:rPr>
                    <w:t>0.0503</w:t>
                  </w:r>
                </w:p>
              </w:tc>
              <w:tc>
                <w:tcPr>
                  <w:tcW w:w="1356" w:type="dxa"/>
                  <w:vAlign w:val="center"/>
                </w:tcPr>
                <w:p w14:paraId="2FFFEC5B">
                  <w:pPr>
                    <w:widowControl/>
                    <w:jc w:val="center"/>
                    <w:textAlignment w:val="center"/>
                    <w:rPr>
                      <w:color w:val="auto"/>
                      <w:szCs w:val="21"/>
                    </w:rPr>
                  </w:pPr>
                  <w:r>
                    <w:rPr>
                      <w:color w:val="auto"/>
                      <w:kern w:val="0"/>
                      <w:szCs w:val="21"/>
                      <w:lang w:bidi="ar"/>
                    </w:rPr>
                    <w:t>0.0465</w:t>
                  </w:r>
                </w:p>
              </w:tc>
              <w:tc>
                <w:tcPr>
                  <w:tcW w:w="1437" w:type="dxa"/>
                  <w:vAlign w:val="center"/>
                </w:tcPr>
                <w:p w14:paraId="081B3D2C">
                  <w:pPr>
                    <w:widowControl/>
                    <w:jc w:val="center"/>
                    <w:textAlignment w:val="center"/>
                    <w:rPr>
                      <w:color w:val="auto"/>
                      <w:szCs w:val="21"/>
                    </w:rPr>
                  </w:pPr>
                  <w:r>
                    <w:rPr>
                      <w:color w:val="auto"/>
                      <w:kern w:val="0"/>
                      <w:szCs w:val="21"/>
                      <w:lang w:bidi="ar"/>
                    </w:rPr>
                    <w:t>0.0968</w:t>
                  </w:r>
                </w:p>
              </w:tc>
            </w:tr>
            <w:tr w14:paraId="5E56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4B7D9B3A">
                  <w:pPr>
                    <w:jc w:val="center"/>
                    <w:rPr>
                      <w:color w:val="auto"/>
                      <w:szCs w:val="21"/>
                    </w:rPr>
                  </w:pPr>
                </w:p>
              </w:tc>
              <w:tc>
                <w:tcPr>
                  <w:tcW w:w="861" w:type="dxa"/>
                  <w:vAlign w:val="center"/>
                </w:tcPr>
                <w:p w14:paraId="2CB8E3A7">
                  <w:pPr>
                    <w:widowControl/>
                    <w:jc w:val="center"/>
                    <w:textAlignment w:val="center"/>
                    <w:rPr>
                      <w:rFonts w:eastAsiaTheme="minorEastAsia"/>
                      <w:color w:val="auto"/>
                      <w:szCs w:val="21"/>
                    </w:rPr>
                  </w:pPr>
                  <w:r>
                    <w:rPr>
                      <w:color w:val="auto"/>
                      <w:kern w:val="0"/>
                      <w:szCs w:val="21"/>
                      <w:lang w:bidi="ar"/>
                    </w:rPr>
                    <w:t>下管</w:t>
                  </w:r>
                </w:p>
              </w:tc>
              <w:tc>
                <w:tcPr>
                  <w:tcW w:w="777" w:type="dxa"/>
                  <w:vAlign w:val="center"/>
                </w:tcPr>
                <w:p w14:paraId="4C024081">
                  <w:pPr>
                    <w:widowControl/>
                    <w:jc w:val="center"/>
                    <w:textAlignment w:val="center"/>
                    <w:rPr>
                      <w:color w:val="auto"/>
                      <w:szCs w:val="21"/>
                    </w:rPr>
                  </w:pPr>
                  <w:r>
                    <w:rPr>
                      <w:color w:val="auto"/>
                      <w:szCs w:val="21"/>
                    </w:rPr>
                    <w:t>36</w:t>
                  </w:r>
                </w:p>
              </w:tc>
              <w:tc>
                <w:tcPr>
                  <w:tcW w:w="956" w:type="dxa"/>
                  <w:vAlign w:val="center"/>
                </w:tcPr>
                <w:p w14:paraId="0D716F9B">
                  <w:pPr>
                    <w:widowControl/>
                    <w:jc w:val="center"/>
                    <w:textAlignment w:val="center"/>
                    <w:rPr>
                      <w:color w:val="auto"/>
                      <w:szCs w:val="21"/>
                    </w:rPr>
                  </w:pPr>
                  <w:r>
                    <w:rPr>
                      <w:color w:val="auto"/>
                      <w:szCs w:val="21"/>
                    </w:rPr>
                    <w:t>540</w:t>
                  </w:r>
                </w:p>
              </w:tc>
              <w:tc>
                <w:tcPr>
                  <w:tcW w:w="744" w:type="dxa"/>
                  <w:vAlign w:val="center"/>
                </w:tcPr>
                <w:p w14:paraId="53D33F82">
                  <w:pPr>
                    <w:widowControl/>
                    <w:jc w:val="center"/>
                    <w:textAlignment w:val="center"/>
                    <w:rPr>
                      <w:color w:val="auto"/>
                      <w:szCs w:val="21"/>
                    </w:rPr>
                  </w:pPr>
                  <w:r>
                    <w:rPr>
                      <w:color w:val="auto"/>
                      <w:szCs w:val="21"/>
                    </w:rPr>
                    <w:t>1.2</w:t>
                  </w:r>
                </w:p>
              </w:tc>
              <w:tc>
                <w:tcPr>
                  <w:tcW w:w="789" w:type="dxa"/>
                  <w:vAlign w:val="center"/>
                </w:tcPr>
                <w:p w14:paraId="6A3852E3">
                  <w:pPr>
                    <w:widowControl/>
                    <w:jc w:val="center"/>
                    <w:textAlignment w:val="center"/>
                    <w:rPr>
                      <w:color w:val="auto"/>
                      <w:szCs w:val="21"/>
                    </w:rPr>
                  </w:pPr>
                  <w:r>
                    <w:rPr>
                      <w:rFonts w:hint="eastAsia"/>
                      <w:color w:val="auto"/>
                      <w:szCs w:val="21"/>
                    </w:rPr>
                    <w:t>1</w:t>
                  </w:r>
                </w:p>
              </w:tc>
              <w:tc>
                <w:tcPr>
                  <w:tcW w:w="1489" w:type="dxa"/>
                  <w:vAlign w:val="center"/>
                </w:tcPr>
                <w:p w14:paraId="0DD0C78D">
                  <w:pPr>
                    <w:widowControl/>
                    <w:jc w:val="center"/>
                    <w:textAlignment w:val="center"/>
                    <w:rPr>
                      <w:color w:val="auto"/>
                      <w:szCs w:val="21"/>
                    </w:rPr>
                  </w:pPr>
                  <w:r>
                    <w:rPr>
                      <w:color w:val="auto"/>
                      <w:kern w:val="0"/>
                      <w:szCs w:val="21"/>
                      <w:lang w:bidi="ar"/>
                    </w:rPr>
                    <w:t>0.0611</w:t>
                  </w:r>
                </w:p>
              </w:tc>
              <w:tc>
                <w:tcPr>
                  <w:tcW w:w="1356" w:type="dxa"/>
                  <w:vAlign w:val="center"/>
                </w:tcPr>
                <w:p w14:paraId="1D843415">
                  <w:pPr>
                    <w:widowControl/>
                    <w:jc w:val="center"/>
                    <w:textAlignment w:val="center"/>
                    <w:rPr>
                      <w:color w:val="auto"/>
                      <w:szCs w:val="21"/>
                    </w:rPr>
                  </w:pPr>
                  <w:r>
                    <w:rPr>
                      <w:color w:val="auto"/>
                      <w:kern w:val="0"/>
                      <w:szCs w:val="21"/>
                      <w:lang w:bidi="ar"/>
                    </w:rPr>
                    <w:t>0.057</w:t>
                  </w:r>
                </w:p>
              </w:tc>
              <w:tc>
                <w:tcPr>
                  <w:tcW w:w="1437" w:type="dxa"/>
                  <w:vAlign w:val="center"/>
                </w:tcPr>
                <w:p w14:paraId="73CEC485">
                  <w:pPr>
                    <w:widowControl/>
                    <w:jc w:val="center"/>
                    <w:textAlignment w:val="center"/>
                    <w:rPr>
                      <w:color w:val="auto"/>
                      <w:szCs w:val="21"/>
                    </w:rPr>
                  </w:pPr>
                  <w:r>
                    <w:rPr>
                      <w:color w:val="auto"/>
                      <w:kern w:val="0"/>
                      <w:szCs w:val="21"/>
                      <w:lang w:bidi="ar"/>
                    </w:rPr>
                    <w:t>0.1181</w:t>
                  </w:r>
                </w:p>
              </w:tc>
            </w:tr>
            <w:tr w14:paraId="74E47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2823E953">
                  <w:pPr>
                    <w:jc w:val="center"/>
                    <w:rPr>
                      <w:color w:val="auto"/>
                      <w:szCs w:val="21"/>
                    </w:rPr>
                  </w:pPr>
                </w:p>
              </w:tc>
              <w:tc>
                <w:tcPr>
                  <w:tcW w:w="861" w:type="dxa"/>
                  <w:vAlign w:val="center"/>
                </w:tcPr>
                <w:p w14:paraId="04BAE913">
                  <w:pPr>
                    <w:widowControl/>
                    <w:jc w:val="center"/>
                    <w:textAlignment w:val="center"/>
                    <w:rPr>
                      <w:color w:val="auto"/>
                      <w:kern w:val="0"/>
                      <w:szCs w:val="21"/>
                      <w:lang w:bidi="ar"/>
                    </w:rPr>
                  </w:pPr>
                  <w:r>
                    <w:rPr>
                      <w:color w:val="auto"/>
                      <w:kern w:val="0"/>
                      <w:szCs w:val="21"/>
                      <w:lang w:bidi="ar"/>
                    </w:rPr>
                    <w:t>座管</w:t>
                  </w:r>
                </w:p>
              </w:tc>
              <w:tc>
                <w:tcPr>
                  <w:tcW w:w="777" w:type="dxa"/>
                  <w:vAlign w:val="center"/>
                </w:tcPr>
                <w:p w14:paraId="118C422A">
                  <w:pPr>
                    <w:widowControl/>
                    <w:jc w:val="center"/>
                    <w:textAlignment w:val="center"/>
                    <w:rPr>
                      <w:color w:val="auto"/>
                      <w:szCs w:val="21"/>
                    </w:rPr>
                  </w:pPr>
                  <w:r>
                    <w:rPr>
                      <w:color w:val="auto"/>
                      <w:szCs w:val="21"/>
                    </w:rPr>
                    <w:t>27</w:t>
                  </w:r>
                </w:p>
              </w:tc>
              <w:tc>
                <w:tcPr>
                  <w:tcW w:w="956" w:type="dxa"/>
                  <w:vAlign w:val="center"/>
                </w:tcPr>
                <w:p w14:paraId="4CD30AF1">
                  <w:pPr>
                    <w:widowControl/>
                    <w:jc w:val="center"/>
                    <w:textAlignment w:val="center"/>
                    <w:rPr>
                      <w:color w:val="auto"/>
                      <w:szCs w:val="21"/>
                    </w:rPr>
                  </w:pPr>
                  <w:r>
                    <w:rPr>
                      <w:color w:val="auto"/>
                      <w:szCs w:val="21"/>
                    </w:rPr>
                    <w:t>420</w:t>
                  </w:r>
                </w:p>
              </w:tc>
              <w:tc>
                <w:tcPr>
                  <w:tcW w:w="744" w:type="dxa"/>
                  <w:vAlign w:val="center"/>
                </w:tcPr>
                <w:p w14:paraId="5757968B">
                  <w:pPr>
                    <w:widowControl/>
                    <w:jc w:val="center"/>
                    <w:textAlignment w:val="center"/>
                    <w:rPr>
                      <w:color w:val="auto"/>
                      <w:szCs w:val="21"/>
                    </w:rPr>
                  </w:pPr>
                  <w:r>
                    <w:rPr>
                      <w:color w:val="auto"/>
                      <w:szCs w:val="21"/>
                    </w:rPr>
                    <w:t>1.2</w:t>
                  </w:r>
                </w:p>
              </w:tc>
              <w:tc>
                <w:tcPr>
                  <w:tcW w:w="789" w:type="dxa"/>
                  <w:vAlign w:val="center"/>
                </w:tcPr>
                <w:p w14:paraId="563727EA">
                  <w:pPr>
                    <w:widowControl/>
                    <w:jc w:val="center"/>
                    <w:textAlignment w:val="center"/>
                    <w:rPr>
                      <w:color w:val="auto"/>
                      <w:szCs w:val="21"/>
                    </w:rPr>
                  </w:pPr>
                  <w:r>
                    <w:rPr>
                      <w:rFonts w:hint="eastAsia"/>
                      <w:color w:val="auto"/>
                      <w:szCs w:val="21"/>
                    </w:rPr>
                    <w:t>1</w:t>
                  </w:r>
                </w:p>
              </w:tc>
              <w:tc>
                <w:tcPr>
                  <w:tcW w:w="1489" w:type="dxa"/>
                  <w:vAlign w:val="center"/>
                </w:tcPr>
                <w:p w14:paraId="1D03188C">
                  <w:pPr>
                    <w:widowControl/>
                    <w:jc w:val="center"/>
                    <w:textAlignment w:val="center"/>
                    <w:rPr>
                      <w:color w:val="auto"/>
                      <w:szCs w:val="21"/>
                    </w:rPr>
                  </w:pPr>
                  <w:r>
                    <w:rPr>
                      <w:color w:val="auto"/>
                      <w:kern w:val="0"/>
                      <w:szCs w:val="21"/>
                      <w:lang w:bidi="ar"/>
                    </w:rPr>
                    <w:t>0.0356</w:t>
                  </w:r>
                </w:p>
              </w:tc>
              <w:tc>
                <w:tcPr>
                  <w:tcW w:w="1356" w:type="dxa"/>
                  <w:vAlign w:val="center"/>
                </w:tcPr>
                <w:p w14:paraId="1AD172DA">
                  <w:pPr>
                    <w:widowControl/>
                    <w:jc w:val="center"/>
                    <w:textAlignment w:val="center"/>
                    <w:rPr>
                      <w:color w:val="auto"/>
                      <w:szCs w:val="21"/>
                    </w:rPr>
                  </w:pPr>
                  <w:r>
                    <w:rPr>
                      <w:color w:val="auto"/>
                      <w:kern w:val="0"/>
                      <w:szCs w:val="21"/>
                      <w:lang w:bidi="ar"/>
                    </w:rPr>
                    <w:t>0.0325</w:t>
                  </w:r>
                </w:p>
              </w:tc>
              <w:tc>
                <w:tcPr>
                  <w:tcW w:w="1437" w:type="dxa"/>
                  <w:vAlign w:val="center"/>
                </w:tcPr>
                <w:p w14:paraId="702FCD50">
                  <w:pPr>
                    <w:widowControl/>
                    <w:jc w:val="center"/>
                    <w:textAlignment w:val="center"/>
                    <w:rPr>
                      <w:color w:val="auto"/>
                      <w:szCs w:val="21"/>
                    </w:rPr>
                  </w:pPr>
                  <w:r>
                    <w:rPr>
                      <w:color w:val="auto"/>
                      <w:kern w:val="0"/>
                      <w:szCs w:val="21"/>
                      <w:lang w:bidi="ar"/>
                    </w:rPr>
                    <w:t>0.0681</w:t>
                  </w:r>
                </w:p>
              </w:tc>
            </w:tr>
            <w:tr w14:paraId="366A9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7BE1BD23">
                  <w:pPr>
                    <w:jc w:val="center"/>
                    <w:rPr>
                      <w:color w:val="auto"/>
                      <w:szCs w:val="21"/>
                    </w:rPr>
                  </w:pPr>
                </w:p>
              </w:tc>
              <w:tc>
                <w:tcPr>
                  <w:tcW w:w="861" w:type="dxa"/>
                  <w:vAlign w:val="center"/>
                </w:tcPr>
                <w:p w14:paraId="1E21F39C">
                  <w:pPr>
                    <w:widowControl/>
                    <w:jc w:val="center"/>
                    <w:textAlignment w:val="center"/>
                    <w:rPr>
                      <w:color w:val="auto"/>
                      <w:kern w:val="0"/>
                      <w:szCs w:val="21"/>
                      <w:lang w:bidi="ar"/>
                    </w:rPr>
                  </w:pPr>
                  <w:r>
                    <w:rPr>
                      <w:color w:val="auto"/>
                      <w:kern w:val="0"/>
                      <w:szCs w:val="21"/>
                      <w:lang w:bidi="ar"/>
                    </w:rPr>
                    <w:t>前叉</w:t>
                  </w:r>
                </w:p>
              </w:tc>
              <w:tc>
                <w:tcPr>
                  <w:tcW w:w="777" w:type="dxa"/>
                  <w:vAlign w:val="center"/>
                </w:tcPr>
                <w:p w14:paraId="178B5FF2">
                  <w:pPr>
                    <w:widowControl/>
                    <w:jc w:val="center"/>
                    <w:textAlignment w:val="center"/>
                    <w:rPr>
                      <w:color w:val="auto"/>
                      <w:szCs w:val="21"/>
                    </w:rPr>
                  </w:pPr>
                  <w:r>
                    <w:rPr>
                      <w:color w:val="auto"/>
                      <w:szCs w:val="21"/>
                    </w:rPr>
                    <w:t>18</w:t>
                  </w:r>
                </w:p>
              </w:tc>
              <w:tc>
                <w:tcPr>
                  <w:tcW w:w="956" w:type="dxa"/>
                  <w:vAlign w:val="center"/>
                </w:tcPr>
                <w:p w14:paraId="58EC8A33">
                  <w:pPr>
                    <w:widowControl/>
                    <w:jc w:val="center"/>
                    <w:textAlignment w:val="center"/>
                    <w:rPr>
                      <w:color w:val="auto"/>
                      <w:szCs w:val="21"/>
                    </w:rPr>
                  </w:pPr>
                  <w:r>
                    <w:rPr>
                      <w:color w:val="auto"/>
                      <w:szCs w:val="21"/>
                    </w:rPr>
                    <w:t>300</w:t>
                  </w:r>
                </w:p>
              </w:tc>
              <w:tc>
                <w:tcPr>
                  <w:tcW w:w="744" w:type="dxa"/>
                  <w:vAlign w:val="center"/>
                </w:tcPr>
                <w:p w14:paraId="057EA4B7">
                  <w:pPr>
                    <w:widowControl/>
                    <w:jc w:val="center"/>
                    <w:textAlignment w:val="center"/>
                    <w:rPr>
                      <w:color w:val="auto"/>
                      <w:szCs w:val="21"/>
                    </w:rPr>
                  </w:pPr>
                  <w:r>
                    <w:rPr>
                      <w:color w:val="auto"/>
                      <w:szCs w:val="21"/>
                    </w:rPr>
                    <w:t>1.2</w:t>
                  </w:r>
                </w:p>
              </w:tc>
              <w:tc>
                <w:tcPr>
                  <w:tcW w:w="789" w:type="dxa"/>
                  <w:vAlign w:val="center"/>
                </w:tcPr>
                <w:p w14:paraId="6681C051">
                  <w:pPr>
                    <w:widowControl/>
                    <w:jc w:val="center"/>
                    <w:textAlignment w:val="center"/>
                    <w:rPr>
                      <w:color w:val="auto"/>
                      <w:szCs w:val="21"/>
                    </w:rPr>
                  </w:pPr>
                  <w:r>
                    <w:rPr>
                      <w:rFonts w:hint="eastAsia"/>
                      <w:color w:val="auto"/>
                      <w:szCs w:val="21"/>
                    </w:rPr>
                    <w:t>2</w:t>
                  </w:r>
                </w:p>
              </w:tc>
              <w:tc>
                <w:tcPr>
                  <w:tcW w:w="1489" w:type="dxa"/>
                  <w:vAlign w:val="center"/>
                </w:tcPr>
                <w:p w14:paraId="1ABBDA57">
                  <w:pPr>
                    <w:widowControl/>
                    <w:jc w:val="center"/>
                    <w:textAlignment w:val="center"/>
                    <w:rPr>
                      <w:color w:val="auto"/>
                      <w:szCs w:val="21"/>
                    </w:rPr>
                  </w:pPr>
                  <w:r>
                    <w:rPr>
                      <w:color w:val="auto"/>
                      <w:kern w:val="0"/>
                      <w:szCs w:val="21"/>
                      <w:lang w:bidi="ar"/>
                    </w:rPr>
                    <w:t>0.0339</w:t>
                  </w:r>
                </w:p>
              </w:tc>
              <w:tc>
                <w:tcPr>
                  <w:tcW w:w="1356" w:type="dxa"/>
                  <w:vAlign w:val="center"/>
                </w:tcPr>
                <w:p w14:paraId="33B3F933">
                  <w:pPr>
                    <w:widowControl/>
                    <w:jc w:val="center"/>
                    <w:textAlignment w:val="center"/>
                    <w:rPr>
                      <w:color w:val="auto"/>
                      <w:szCs w:val="21"/>
                    </w:rPr>
                  </w:pPr>
                  <w:r>
                    <w:rPr>
                      <w:color w:val="auto"/>
                      <w:kern w:val="0"/>
                      <w:szCs w:val="21"/>
                      <w:lang w:bidi="ar"/>
                    </w:rPr>
                    <w:t>0.0294</w:t>
                  </w:r>
                </w:p>
              </w:tc>
              <w:tc>
                <w:tcPr>
                  <w:tcW w:w="1437" w:type="dxa"/>
                  <w:vAlign w:val="center"/>
                </w:tcPr>
                <w:p w14:paraId="1A6BD8D8">
                  <w:pPr>
                    <w:widowControl/>
                    <w:jc w:val="center"/>
                    <w:textAlignment w:val="center"/>
                    <w:rPr>
                      <w:color w:val="auto"/>
                      <w:szCs w:val="21"/>
                    </w:rPr>
                  </w:pPr>
                  <w:r>
                    <w:rPr>
                      <w:color w:val="auto"/>
                      <w:kern w:val="0"/>
                      <w:szCs w:val="21"/>
                      <w:lang w:bidi="ar"/>
                    </w:rPr>
                    <w:t>0.0633</w:t>
                  </w:r>
                </w:p>
              </w:tc>
            </w:tr>
            <w:tr w14:paraId="55E8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33069A63">
                  <w:pPr>
                    <w:jc w:val="center"/>
                    <w:rPr>
                      <w:color w:val="auto"/>
                      <w:szCs w:val="21"/>
                    </w:rPr>
                  </w:pPr>
                </w:p>
              </w:tc>
              <w:tc>
                <w:tcPr>
                  <w:tcW w:w="861" w:type="dxa"/>
                  <w:vAlign w:val="center"/>
                </w:tcPr>
                <w:p w14:paraId="1F5D84A9">
                  <w:pPr>
                    <w:widowControl/>
                    <w:jc w:val="center"/>
                    <w:textAlignment w:val="center"/>
                    <w:rPr>
                      <w:rFonts w:eastAsiaTheme="minorEastAsia"/>
                      <w:color w:val="auto"/>
                      <w:kern w:val="0"/>
                      <w:szCs w:val="21"/>
                      <w:lang w:bidi="ar"/>
                    </w:rPr>
                  </w:pPr>
                  <w:r>
                    <w:rPr>
                      <w:color w:val="auto"/>
                      <w:kern w:val="0"/>
                      <w:szCs w:val="21"/>
                      <w:lang w:bidi="ar"/>
                    </w:rPr>
                    <w:t>后上叉</w:t>
                  </w:r>
                </w:p>
              </w:tc>
              <w:tc>
                <w:tcPr>
                  <w:tcW w:w="777" w:type="dxa"/>
                  <w:vAlign w:val="center"/>
                </w:tcPr>
                <w:p w14:paraId="61B6FFD0">
                  <w:pPr>
                    <w:widowControl/>
                    <w:jc w:val="center"/>
                    <w:textAlignment w:val="center"/>
                    <w:rPr>
                      <w:color w:val="auto"/>
                      <w:szCs w:val="21"/>
                    </w:rPr>
                  </w:pPr>
                  <w:r>
                    <w:rPr>
                      <w:color w:val="auto"/>
                      <w:szCs w:val="21"/>
                    </w:rPr>
                    <w:t>18</w:t>
                  </w:r>
                </w:p>
              </w:tc>
              <w:tc>
                <w:tcPr>
                  <w:tcW w:w="956" w:type="dxa"/>
                  <w:vAlign w:val="center"/>
                </w:tcPr>
                <w:p w14:paraId="4480C626">
                  <w:pPr>
                    <w:widowControl/>
                    <w:jc w:val="center"/>
                    <w:textAlignment w:val="center"/>
                    <w:rPr>
                      <w:color w:val="auto"/>
                      <w:szCs w:val="21"/>
                    </w:rPr>
                  </w:pPr>
                  <w:r>
                    <w:rPr>
                      <w:color w:val="auto"/>
                      <w:szCs w:val="21"/>
                    </w:rPr>
                    <w:t>340</w:t>
                  </w:r>
                </w:p>
              </w:tc>
              <w:tc>
                <w:tcPr>
                  <w:tcW w:w="744" w:type="dxa"/>
                  <w:vAlign w:val="center"/>
                </w:tcPr>
                <w:p w14:paraId="1B3E75C0">
                  <w:pPr>
                    <w:widowControl/>
                    <w:jc w:val="center"/>
                    <w:textAlignment w:val="center"/>
                    <w:rPr>
                      <w:color w:val="auto"/>
                      <w:szCs w:val="21"/>
                    </w:rPr>
                  </w:pPr>
                  <w:r>
                    <w:rPr>
                      <w:color w:val="auto"/>
                      <w:szCs w:val="21"/>
                    </w:rPr>
                    <w:t>1.2</w:t>
                  </w:r>
                </w:p>
              </w:tc>
              <w:tc>
                <w:tcPr>
                  <w:tcW w:w="789" w:type="dxa"/>
                  <w:vAlign w:val="center"/>
                </w:tcPr>
                <w:p w14:paraId="46380757">
                  <w:pPr>
                    <w:widowControl/>
                    <w:jc w:val="center"/>
                    <w:textAlignment w:val="center"/>
                    <w:rPr>
                      <w:color w:val="auto"/>
                      <w:szCs w:val="21"/>
                    </w:rPr>
                  </w:pPr>
                  <w:r>
                    <w:rPr>
                      <w:rFonts w:hint="eastAsia"/>
                      <w:color w:val="auto"/>
                      <w:szCs w:val="21"/>
                    </w:rPr>
                    <w:t>2</w:t>
                  </w:r>
                </w:p>
              </w:tc>
              <w:tc>
                <w:tcPr>
                  <w:tcW w:w="1489" w:type="dxa"/>
                  <w:vAlign w:val="center"/>
                </w:tcPr>
                <w:p w14:paraId="6E7E5E1C">
                  <w:pPr>
                    <w:widowControl/>
                    <w:jc w:val="center"/>
                    <w:textAlignment w:val="center"/>
                    <w:rPr>
                      <w:color w:val="auto"/>
                      <w:szCs w:val="21"/>
                    </w:rPr>
                  </w:pPr>
                  <w:r>
                    <w:rPr>
                      <w:color w:val="auto"/>
                      <w:kern w:val="0"/>
                      <w:szCs w:val="21"/>
                      <w:lang w:bidi="ar"/>
                    </w:rPr>
                    <w:t>0.0385</w:t>
                  </w:r>
                </w:p>
              </w:tc>
              <w:tc>
                <w:tcPr>
                  <w:tcW w:w="1356" w:type="dxa"/>
                  <w:vAlign w:val="center"/>
                </w:tcPr>
                <w:p w14:paraId="00ED3948">
                  <w:pPr>
                    <w:widowControl/>
                    <w:jc w:val="center"/>
                    <w:textAlignment w:val="center"/>
                    <w:rPr>
                      <w:color w:val="auto"/>
                      <w:szCs w:val="21"/>
                    </w:rPr>
                  </w:pPr>
                  <w:r>
                    <w:rPr>
                      <w:color w:val="auto"/>
                      <w:kern w:val="0"/>
                      <w:szCs w:val="21"/>
                      <w:lang w:bidi="ar"/>
                    </w:rPr>
                    <w:t>0.0333</w:t>
                  </w:r>
                </w:p>
              </w:tc>
              <w:tc>
                <w:tcPr>
                  <w:tcW w:w="1437" w:type="dxa"/>
                  <w:vAlign w:val="center"/>
                </w:tcPr>
                <w:p w14:paraId="27BB4238">
                  <w:pPr>
                    <w:widowControl/>
                    <w:jc w:val="center"/>
                    <w:textAlignment w:val="center"/>
                    <w:rPr>
                      <w:color w:val="auto"/>
                      <w:szCs w:val="21"/>
                    </w:rPr>
                  </w:pPr>
                  <w:r>
                    <w:rPr>
                      <w:color w:val="auto"/>
                      <w:kern w:val="0"/>
                      <w:szCs w:val="21"/>
                      <w:lang w:bidi="ar"/>
                    </w:rPr>
                    <w:t>0.0718</w:t>
                  </w:r>
                </w:p>
              </w:tc>
            </w:tr>
            <w:tr w14:paraId="76E58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4644FCD4">
                  <w:pPr>
                    <w:jc w:val="center"/>
                    <w:rPr>
                      <w:color w:val="auto"/>
                      <w:szCs w:val="21"/>
                    </w:rPr>
                  </w:pPr>
                </w:p>
              </w:tc>
              <w:tc>
                <w:tcPr>
                  <w:tcW w:w="861" w:type="dxa"/>
                  <w:vAlign w:val="center"/>
                </w:tcPr>
                <w:p w14:paraId="5FA42F20">
                  <w:pPr>
                    <w:widowControl/>
                    <w:jc w:val="center"/>
                    <w:textAlignment w:val="center"/>
                    <w:rPr>
                      <w:rFonts w:eastAsiaTheme="minorEastAsia"/>
                      <w:color w:val="auto"/>
                      <w:kern w:val="0"/>
                      <w:szCs w:val="21"/>
                      <w:lang w:bidi="ar"/>
                    </w:rPr>
                  </w:pPr>
                  <w:r>
                    <w:rPr>
                      <w:color w:val="auto"/>
                      <w:kern w:val="0"/>
                      <w:szCs w:val="21"/>
                      <w:lang w:bidi="ar"/>
                    </w:rPr>
                    <w:t>后下叉</w:t>
                  </w:r>
                </w:p>
              </w:tc>
              <w:tc>
                <w:tcPr>
                  <w:tcW w:w="777" w:type="dxa"/>
                  <w:vAlign w:val="center"/>
                </w:tcPr>
                <w:p w14:paraId="38B0BDDC">
                  <w:pPr>
                    <w:widowControl/>
                    <w:jc w:val="center"/>
                    <w:textAlignment w:val="center"/>
                    <w:rPr>
                      <w:color w:val="auto"/>
                      <w:szCs w:val="21"/>
                    </w:rPr>
                  </w:pPr>
                  <w:r>
                    <w:rPr>
                      <w:color w:val="auto"/>
                      <w:szCs w:val="21"/>
                    </w:rPr>
                    <w:t>18</w:t>
                  </w:r>
                </w:p>
              </w:tc>
              <w:tc>
                <w:tcPr>
                  <w:tcW w:w="956" w:type="dxa"/>
                  <w:vAlign w:val="center"/>
                </w:tcPr>
                <w:p w14:paraId="6F707597">
                  <w:pPr>
                    <w:widowControl/>
                    <w:jc w:val="center"/>
                    <w:textAlignment w:val="center"/>
                    <w:rPr>
                      <w:color w:val="auto"/>
                      <w:szCs w:val="21"/>
                    </w:rPr>
                  </w:pPr>
                  <w:r>
                    <w:rPr>
                      <w:color w:val="auto"/>
                      <w:szCs w:val="21"/>
                    </w:rPr>
                    <w:t>320</w:t>
                  </w:r>
                </w:p>
              </w:tc>
              <w:tc>
                <w:tcPr>
                  <w:tcW w:w="744" w:type="dxa"/>
                  <w:vAlign w:val="center"/>
                </w:tcPr>
                <w:p w14:paraId="485C056F">
                  <w:pPr>
                    <w:widowControl/>
                    <w:jc w:val="center"/>
                    <w:textAlignment w:val="center"/>
                    <w:rPr>
                      <w:color w:val="auto"/>
                      <w:szCs w:val="21"/>
                    </w:rPr>
                  </w:pPr>
                  <w:r>
                    <w:rPr>
                      <w:color w:val="auto"/>
                      <w:szCs w:val="21"/>
                    </w:rPr>
                    <w:t>1.2</w:t>
                  </w:r>
                </w:p>
              </w:tc>
              <w:tc>
                <w:tcPr>
                  <w:tcW w:w="789" w:type="dxa"/>
                  <w:vAlign w:val="center"/>
                </w:tcPr>
                <w:p w14:paraId="0D495C9A">
                  <w:pPr>
                    <w:widowControl/>
                    <w:jc w:val="center"/>
                    <w:textAlignment w:val="center"/>
                    <w:rPr>
                      <w:color w:val="auto"/>
                      <w:szCs w:val="21"/>
                    </w:rPr>
                  </w:pPr>
                  <w:r>
                    <w:rPr>
                      <w:rFonts w:hint="eastAsia"/>
                      <w:color w:val="auto"/>
                      <w:szCs w:val="21"/>
                    </w:rPr>
                    <w:t>2</w:t>
                  </w:r>
                </w:p>
              </w:tc>
              <w:tc>
                <w:tcPr>
                  <w:tcW w:w="1489" w:type="dxa"/>
                  <w:vAlign w:val="center"/>
                </w:tcPr>
                <w:p w14:paraId="52723B4A">
                  <w:pPr>
                    <w:widowControl/>
                    <w:jc w:val="center"/>
                    <w:textAlignment w:val="center"/>
                    <w:rPr>
                      <w:color w:val="auto"/>
                      <w:szCs w:val="21"/>
                    </w:rPr>
                  </w:pPr>
                  <w:r>
                    <w:rPr>
                      <w:color w:val="auto"/>
                      <w:kern w:val="0"/>
                      <w:szCs w:val="21"/>
                      <w:lang w:bidi="ar"/>
                    </w:rPr>
                    <w:t>0.0362</w:t>
                  </w:r>
                </w:p>
              </w:tc>
              <w:tc>
                <w:tcPr>
                  <w:tcW w:w="1356" w:type="dxa"/>
                  <w:vAlign w:val="center"/>
                </w:tcPr>
                <w:p w14:paraId="03595A55">
                  <w:pPr>
                    <w:widowControl/>
                    <w:jc w:val="center"/>
                    <w:textAlignment w:val="center"/>
                    <w:rPr>
                      <w:color w:val="auto"/>
                      <w:szCs w:val="21"/>
                    </w:rPr>
                  </w:pPr>
                  <w:r>
                    <w:rPr>
                      <w:color w:val="auto"/>
                      <w:kern w:val="0"/>
                      <w:szCs w:val="21"/>
                      <w:lang w:bidi="ar"/>
                    </w:rPr>
                    <w:t>0.0314</w:t>
                  </w:r>
                </w:p>
              </w:tc>
              <w:tc>
                <w:tcPr>
                  <w:tcW w:w="1437" w:type="dxa"/>
                  <w:vAlign w:val="center"/>
                </w:tcPr>
                <w:p w14:paraId="15EB1731">
                  <w:pPr>
                    <w:widowControl/>
                    <w:jc w:val="center"/>
                    <w:textAlignment w:val="center"/>
                    <w:rPr>
                      <w:color w:val="auto"/>
                      <w:szCs w:val="21"/>
                    </w:rPr>
                  </w:pPr>
                  <w:r>
                    <w:rPr>
                      <w:color w:val="auto"/>
                      <w:kern w:val="0"/>
                      <w:szCs w:val="21"/>
                      <w:lang w:bidi="ar"/>
                    </w:rPr>
                    <w:t>0.0676</w:t>
                  </w:r>
                </w:p>
              </w:tc>
            </w:tr>
            <w:tr w14:paraId="46346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5DB9139D">
                  <w:pPr>
                    <w:jc w:val="center"/>
                    <w:rPr>
                      <w:color w:val="auto"/>
                      <w:szCs w:val="21"/>
                    </w:rPr>
                  </w:pPr>
                </w:p>
              </w:tc>
              <w:tc>
                <w:tcPr>
                  <w:tcW w:w="4127" w:type="dxa"/>
                  <w:gridSpan w:val="5"/>
                  <w:vAlign w:val="center"/>
                </w:tcPr>
                <w:p w14:paraId="2032512B">
                  <w:pPr>
                    <w:widowControl/>
                    <w:jc w:val="center"/>
                    <w:textAlignment w:val="center"/>
                    <w:rPr>
                      <w:color w:val="auto"/>
                      <w:szCs w:val="21"/>
                    </w:rPr>
                  </w:pPr>
                  <w:r>
                    <w:rPr>
                      <w:color w:val="auto"/>
                      <w:kern w:val="0"/>
                      <w:szCs w:val="21"/>
                      <w:lang w:bidi="ar"/>
                    </w:rPr>
                    <w:t>单件产品小计</w:t>
                  </w:r>
                </w:p>
              </w:tc>
              <w:tc>
                <w:tcPr>
                  <w:tcW w:w="1489" w:type="dxa"/>
                  <w:vAlign w:val="center"/>
                </w:tcPr>
                <w:p w14:paraId="45609E03">
                  <w:pPr>
                    <w:widowControl/>
                    <w:jc w:val="center"/>
                    <w:textAlignment w:val="center"/>
                    <w:rPr>
                      <w:color w:val="auto"/>
                      <w:szCs w:val="21"/>
                    </w:rPr>
                  </w:pPr>
                  <w:r>
                    <w:rPr>
                      <w:color w:val="auto"/>
                      <w:kern w:val="0"/>
                      <w:szCs w:val="21"/>
                      <w:lang w:bidi="ar"/>
                    </w:rPr>
                    <w:t>0.2674</w:t>
                  </w:r>
                </w:p>
              </w:tc>
              <w:tc>
                <w:tcPr>
                  <w:tcW w:w="1356" w:type="dxa"/>
                  <w:vAlign w:val="center"/>
                </w:tcPr>
                <w:p w14:paraId="269AA631">
                  <w:pPr>
                    <w:widowControl/>
                    <w:jc w:val="center"/>
                    <w:textAlignment w:val="center"/>
                    <w:rPr>
                      <w:color w:val="auto"/>
                      <w:szCs w:val="21"/>
                    </w:rPr>
                  </w:pPr>
                  <w:r>
                    <w:rPr>
                      <w:color w:val="auto"/>
                      <w:kern w:val="0"/>
                      <w:szCs w:val="21"/>
                      <w:lang w:bidi="ar"/>
                    </w:rPr>
                    <w:t>0.2409</w:t>
                  </w:r>
                </w:p>
              </w:tc>
              <w:tc>
                <w:tcPr>
                  <w:tcW w:w="1437" w:type="dxa"/>
                  <w:vAlign w:val="center"/>
                </w:tcPr>
                <w:p w14:paraId="15E67C1F">
                  <w:pPr>
                    <w:widowControl/>
                    <w:jc w:val="center"/>
                    <w:textAlignment w:val="center"/>
                    <w:rPr>
                      <w:color w:val="auto"/>
                      <w:szCs w:val="21"/>
                    </w:rPr>
                  </w:pPr>
                  <w:r>
                    <w:rPr>
                      <w:color w:val="auto"/>
                      <w:kern w:val="0"/>
                      <w:szCs w:val="21"/>
                      <w:lang w:bidi="ar"/>
                    </w:rPr>
                    <w:t>0.5083</w:t>
                  </w:r>
                </w:p>
              </w:tc>
            </w:tr>
            <w:tr w14:paraId="208F2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50" w:type="dxa"/>
                  <w:gridSpan w:val="9"/>
                  <w:vAlign w:val="center"/>
                </w:tcPr>
                <w:p w14:paraId="647967C7">
                  <w:pPr>
                    <w:widowControl/>
                    <w:jc w:val="center"/>
                    <w:textAlignment w:val="center"/>
                    <w:rPr>
                      <w:color w:val="auto"/>
                      <w:szCs w:val="21"/>
                    </w:rPr>
                  </w:pPr>
                  <w:r>
                    <w:rPr>
                      <w:b/>
                      <w:bCs/>
                      <w:color w:val="auto"/>
                      <w:kern w:val="0"/>
                      <w:szCs w:val="21"/>
                      <w:lang w:bidi="ar"/>
                    </w:rPr>
                    <w:t>产品-铝制自行车车架（3kg）</w:t>
                  </w:r>
                </w:p>
              </w:tc>
            </w:tr>
            <w:tr w14:paraId="6BF0D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1" w:type="dxa"/>
                  <w:vMerge w:val="restart"/>
                  <w:vAlign w:val="center"/>
                </w:tcPr>
                <w:p w14:paraId="2DD5F53F">
                  <w:pPr>
                    <w:widowControl/>
                    <w:jc w:val="center"/>
                    <w:textAlignment w:val="center"/>
                    <w:rPr>
                      <w:b/>
                      <w:bCs/>
                      <w:color w:val="auto"/>
                      <w:szCs w:val="21"/>
                    </w:rPr>
                  </w:pPr>
                  <w:r>
                    <w:rPr>
                      <w:b/>
                      <w:bCs/>
                      <w:color w:val="auto"/>
                      <w:kern w:val="0"/>
                      <w:szCs w:val="21"/>
                      <w:lang w:bidi="ar"/>
                    </w:rPr>
                    <w:t>单位产品物料使用情况</w:t>
                  </w:r>
                </w:p>
              </w:tc>
              <w:tc>
                <w:tcPr>
                  <w:tcW w:w="861" w:type="dxa"/>
                  <w:vMerge w:val="restart"/>
                  <w:vAlign w:val="center"/>
                </w:tcPr>
                <w:p w14:paraId="042E473C">
                  <w:pPr>
                    <w:widowControl/>
                    <w:jc w:val="center"/>
                    <w:textAlignment w:val="center"/>
                    <w:rPr>
                      <w:b/>
                      <w:bCs/>
                      <w:color w:val="auto"/>
                      <w:szCs w:val="21"/>
                    </w:rPr>
                  </w:pPr>
                  <w:r>
                    <w:rPr>
                      <w:b/>
                      <w:bCs/>
                      <w:color w:val="auto"/>
                      <w:kern w:val="0"/>
                      <w:szCs w:val="21"/>
                      <w:lang w:bidi="ar"/>
                    </w:rPr>
                    <w:t>物料</w:t>
                  </w:r>
                </w:p>
              </w:tc>
              <w:tc>
                <w:tcPr>
                  <w:tcW w:w="2477" w:type="dxa"/>
                  <w:gridSpan w:val="3"/>
                  <w:vAlign w:val="center"/>
                </w:tcPr>
                <w:p w14:paraId="7E6F7800">
                  <w:pPr>
                    <w:widowControl/>
                    <w:jc w:val="center"/>
                    <w:textAlignment w:val="center"/>
                    <w:rPr>
                      <w:b/>
                      <w:bCs/>
                      <w:color w:val="auto"/>
                      <w:szCs w:val="21"/>
                    </w:rPr>
                  </w:pPr>
                  <w:r>
                    <w:rPr>
                      <w:b/>
                      <w:bCs/>
                      <w:color w:val="auto"/>
                      <w:kern w:val="0"/>
                      <w:szCs w:val="21"/>
                      <w:lang w:bidi="ar"/>
                    </w:rPr>
                    <w:t>尺寸（</w:t>
                  </w:r>
                  <w:r>
                    <w:rPr>
                      <w:rFonts w:hint="eastAsia"/>
                      <w:b/>
                      <w:bCs/>
                      <w:color w:val="auto"/>
                      <w:kern w:val="0"/>
                      <w:szCs w:val="21"/>
                      <w:lang w:bidi="ar"/>
                    </w:rPr>
                    <w:t>m</w:t>
                  </w:r>
                  <w:r>
                    <w:rPr>
                      <w:b/>
                      <w:bCs/>
                      <w:color w:val="auto"/>
                      <w:kern w:val="0"/>
                      <w:szCs w:val="21"/>
                      <w:lang w:bidi="ar"/>
                    </w:rPr>
                    <w:t>m）</w:t>
                  </w:r>
                </w:p>
              </w:tc>
              <w:tc>
                <w:tcPr>
                  <w:tcW w:w="789" w:type="dxa"/>
                  <w:vMerge w:val="restart"/>
                  <w:vAlign w:val="center"/>
                </w:tcPr>
                <w:p w14:paraId="155B827A">
                  <w:pPr>
                    <w:widowControl/>
                    <w:jc w:val="center"/>
                    <w:textAlignment w:val="center"/>
                    <w:rPr>
                      <w:b/>
                      <w:bCs/>
                      <w:color w:val="auto"/>
                      <w:szCs w:val="21"/>
                    </w:rPr>
                  </w:pPr>
                  <w:r>
                    <w:rPr>
                      <w:b/>
                      <w:bCs/>
                      <w:color w:val="auto"/>
                      <w:kern w:val="0"/>
                      <w:szCs w:val="21"/>
                      <w:lang w:bidi="ar"/>
                    </w:rPr>
                    <w:t>数量</w:t>
                  </w:r>
                </w:p>
              </w:tc>
              <w:tc>
                <w:tcPr>
                  <w:tcW w:w="1489" w:type="dxa"/>
                  <w:vMerge w:val="restart"/>
                  <w:vAlign w:val="center"/>
                </w:tcPr>
                <w:p w14:paraId="72A93A24">
                  <w:pPr>
                    <w:widowControl/>
                    <w:jc w:val="center"/>
                    <w:textAlignment w:val="center"/>
                    <w:rPr>
                      <w:b/>
                      <w:bCs/>
                      <w:color w:val="auto"/>
                      <w:szCs w:val="21"/>
                    </w:rPr>
                  </w:pPr>
                  <w:r>
                    <w:rPr>
                      <w:b/>
                      <w:bCs/>
                      <w:color w:val="auto"/>
                      <w:kern w:val="0"/>
                      <w:szCs w:val="21"/>
                      <w:lang w:bidi="ar"/>
                    </w:rPr>
                    <w:t>前处理外表面积（m</w:t>
                  </w:r>
                  <w:r>
                    <w:rPr>
                      <w:b/>
                      <w:bCs/>
                      <w:color w:val="auto"/>
                      <w:kern w:val="0"/>
                      <w:szCs w:val="21"/>
                      <w:vertAlign w:val="superscript"/>
                      <w:lang w:bidi="ar"/>
                    </w:rPr>
                    <w:t>2</w:t>
                  </w:r>
                  <w:r>
                    <w:rPr>
                      <w:b/>
                      <w:bCs/>
                      <w:color w:val="auto"/>
                      <w:kern w:val="0"/>
                      <w:szCs w:val="21"/>
                      <w:lang w:bidi="ar"/>
                    </w:rPr>
                    <w:t>）</w:t>
                  </w:r>
                </w:p>
              </w:tc>
              <w:tc>
                <w:tcPr>
                  <w:tcW w:w="1356" w:type="dxa"/>
                  <w:vMerge w:val="restart"/>
                  <w:vAlign w:val="center"/>
                </w:tcPr>
                <w:p w14:paraId="61285D47">
                  <w:pPr>
                    <w:widowControl/>
                    <w:jc w:val="center"/>
                    <w:textAlignment w:val="center"/>
                    <w:rPr>
                      <w:b/>
                      <w:bCs/>
                      <w:color w:val="auto"/>
                      <w:szCs w:val="21"/>
                    </w:rPr>
                  </w:pPr>
                  <w:r>
                    <w:rPr>
                      <w:b/>
                      <w:bCs/>
                      <w:color w:val="auto"/>
                      <w:kern w:val="0"/>
                      <w:szCs w:val="21"/>
                      <w:lang w:bidi="ar"/>
                    </w:rPr>
                    <w:t>前处理内表面积（m</w:t>
                  </w:r>
                  <w:r>
                    <w:rPr>
                      <w:b/>
                      <w:bCs/>
                      <w:color w:val="auto"/>
                      <w:kern w:val="0"/>
                      <w:szCs w:val="21"/>
                      <w:vertAlign w:val="superscript"/>
                      <w:lang w:bidi="ar"/>
                    </w:rPr>
                    <w:t>2</w:t>
                  </w:r>
                  <w:r>
                    <w:rPr>
                      <w:b/>
                      <w:bCs/>
                      <w:color w:val="auto"/>
                      <w:kern w:val="0"/>
                      <w:szCs w:val="21"/>
                      <w:lang w:bidi="ar"/>
                    </w:rPr>
                    <w:t>）</w:t>
                  </w:r>
                </w:p>
              </w:tc>
              <w:tc>
                <w:tcPr>
                  <w:tcW w:w="1437" w:type="dxa"/>
                  <w:vMerge w:val="restart"/>
                  <w:vAlign w:val="center"/>
                </w:tcPr>
                <w:p w14:paraId="648F63B4">
                  <w:pPr>
                    <w:widowControl/>
                    <w:jc w:val="center"/>
                    <w:textAlignment w:val="center"/>
                    <w:rPr>
                      <w:b/>
                      <w:bCs/>
                      <w:color w:val="auto"/>
                      <w:szCs w:val="21"/>
                    </w:rPr>
                  </w:pPr>
                  <w:r>
                    <w:rPr>
                      <w:b/>
                      <w:bCs/>
                      <w:color w:val="auto"/>
                      <w:kern w:val="0"/>
                      <w:szCs w:val="21"/>
                      <w:lang w:bidi="ar"/>
                    </w:rPr>
                    <w:t>前处理总表面积（m</w:t>
                  </w:r>
                  <w:r>
                    <w:rPr>
                      <w:b/>
                      <w:bCs/>
                      <w:color w:val="auto"/>
                      <w:kern w:val="0"/>
                      <w:szCs w:val="21"/>
                      <w:vertAlign w:val="superscript"/>
                      <w:lang w:bidi="ar"/>
                    </w:rPr>
                    <w:t>2</w:t>
                  </w:r>
                  <w:r>
                    <w:rPr>
                      <w:b/>
                      <w:bCs/>
                      <w:color w:val="auto"/>
                      <w:kern w:val="0"/>
                      <w:szCs w:val="21"/>
                      <w:lang w:bidi="ar"/>
                    </w:rPr>
                    <w:t>）</w:t>
                  </w:r>
                </w:p>
              </w:tc>
            </w:tr>
            <w:tr w14:paraId="4419A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110F19A6">
                  <w:pPr>
                    <w:jc w:val="center"/>
                    <w:rPr>
                      <w:b/>
                      <w:bCs/>
                      <w:color w:val="auto"/>
                      <w:szCs w:val="21"/>
                    </w:rPr>
                  </w:pPr>
                </w:p>
              </w:tc>
              <w:tc>
                <w:tcPr>
                  <w:tcW w:w="861" w:type="dxa"/>
                  <w:vMerge w:val="continue"/>
                  <w:vAlign w:val="center"/>
                </w:tcPr>
                <w:p w14:paraId="0B57BB84">
                  <w:pPr>
                    <w:jc w:val="center"/>
                    <w:rPr>
                      <w:b/>
                      <w:bCs/>
                      <w:color w:val="auto"/>
                      <w:szCs w:val="21"/>
                    </w:rPr>
                  </w:pPr>
                </w:p>
              </w:tc>
              <w:tc>
                <w:tcPr>
                  <w:tcW w:w="777" w:type="dxa"/>
                  <w:vAlign w:val="center"/>
                </w:tcPr>
                <w:p w14:paraId="3FC171FF">
                  <w:pPr>
                    <w:widowControl/>
                    <w:jc w:val="center"/>
                    <w:textAlignment w:val="center"/>
                    <w:rPr>
                      <w:rFonts w:eastAsiaTheme="minorEastAsia"/>
                      <w:b/>
                      <w:bCs/>
                      <w:color w:val="auto"/>
                      <w:szCs w:val="21"/>
                    </w:rPr>
                  </w:pPr>
                  <w:r>
                    <w:rPr>
                      <w:b/>
                      <w:bCs/>
                      <w:color w:val="auto"/>
                      <w:kern w:val="0"/>
                      <w:szCs w:val="21"/>
                      <w:lang w:bidi="ar"/>
                    </w:rPr>
                    <w:t>直径</w:t>
                  </w:r>
                </w:p>
              </w:tc>
              <w:tc>
                <w:tcPr>
                  <w:tcW w:w="956" w:type="dxa"/>
                  <w:vAlign w:val="center"/>
                </w:tcPr>
                <w:p w14:paraId="7B3F2291">
                  <w:pPr>
                    <w:widowControl/>
                    <w:jc w:val="center"/>
                    <w:textAlignment w:val="center"/>
                    <w:rPr>
                      <w:b/>
                      <w:bCs/>
                      <w:color w:val="auto"/>
                      <w:szCs w:val="21"/>
                    </w:rPr>
                  </w:pPr>
                  <w:r>
                    <w:rPr>
                      <w:rFonts w:hint="eastAsia"/>
                      <w:b/>
                      <w:bCs/>
                      <w:color w:val="auto"/>
                      <w:kern w:val="0"/>
                      <w:szCs w:val="21"/>
                      <w:lang w:bidi="ar"/>
                    </w:rPr>
                    <w:t>长度</w:t>
                  </w:r>
                </w:p>
              </w:tc>
              <w:tc>
                <w:tcPr>
                  <w:tcW w:w="744" w:type="dxa"/>
                  <w:vAlign w:val="center"/>
                </w:tcPr>
                <w:p w14:paraId="401E1A33">
                  <w:pPr>
                    <w:widowControl/>
                    <w:jc w:val="center"/>
                    <w:textAlignment w:val="center"/>
                    <w:rPr>
                      <w:b/>
                      <w:bCs/>
                      <w:color w:val="auto"/>
                      <w:szCs w:val="21"/>
                    </w:rPr>
                  </w:pPr>
                  <w:r>
                    <w:rPr>
                      <w:b/>
                      <w:bCs/>
                      <w:color w:val="auto"/>
                      <w:kern w:val="0"/>
                      <w:szCs w:val="21"/>
                      <w:lang w:bidi="ar"/>
                    </w:rPr>
                    <w:t>壁厚</w:t>
                  </w:r>
                </w:p>
              </w:tc>
              <w:tc>
                <w:tcPr>
                  <w:tcW w:w="789" w:type="dxa"/>
                  <w:vMerge w:val="continue"/>
                  <w:vAlign w:val="center"/>
                </w:tcPr>
                <w:p w14:paraId="5DDFE460">
                  <w:pPr>
                    <w:jc w:val="center"/>
                    <w:rPr>
                      <w:b/>
                      <w:bCs/>
                      <w:color w:val="auto"/>
                      <w:szCs w:val="21"/>
                    </w:rPr>
                  </w:pPr>
                </w:p>
              </w:tc>
              <w:tc>
                <w:tcPr>
                  <w:tcW w:w="1489" w:type="dxa"/>
                  <w:vMerge w:val="continue"/>
                  <w:vAlign w:val="center"/>
                </w:tcPr>
                <w:p w14:paraId="71492C82">
                  <w:pPr>
                    <w:jc w:val="center"/>
                    <w:rPr>
                      <w:b/>
                      <w:bCs/>
                      <w:color w:val="auto"/>
                      <w:szCs w:val="21"/>
                    </w:rPr>
                  </w:pPr>
                </w:p>
              </w:tc>
              <w:tc>
                <w:tcPr>
                  <w:tcW w:w="1356" w:type="dxa"/>
                  <w:vMerge w:val="continue"/>
                  <w:vAlign w:val="center"/>
                </w:tcPr>
                <w:p w14:paraId="1F3D7E2D">
                  <w:pPr>
                    <w:jc w:val="center"/>
                    <w:rPr>
                      <w:b/>
                      <w:bCs/>
                      <w:color w:val="auto"/>
                      <w:szCs w:val="21"/>
                    </w:rPr>
                  </w:pPr>
                </w:p>
              </w:tc>
              <w:tc>
                <w:tcPr>
                  <w:tcW w:w="1437" w:type="dxa"/>
                  <w:vMerge w:val="continue"/>
                  <w:vAlign w:val="center"/>
                </w:tcPr>
                <w:p w14:paraId="151E3D12">
                  <w:pPr>
                    <w:jc w:val="center"/>
                    <w:rPr>
                      <w:b/>
                      <w:bCs/>
                      <w:color w:val="auto"/>
                      <w:szCs w:val="21"/>
                    </w:rPr>
                  </w:pPr>
                </w:p>
              </w:tc>
            </w:tr>
            <w:tr w14:paraId="21AE6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26731CE4">
                  <w:pPr>
                    <w:jc w:val="center"/>
                    <w:rPr>
                      <w:color w:val="auto"/>
                      <w:szCs w:val="21"/>
                    </w:rPr>
                  </w:pPr>
                </w:p>
              </w:tc>
              <w:tc>
                <w:tcPr>
                  <w:tcW w:w="861" w:type="dxa"/>
                  <w:vAlign w:val="center"/>
                </w:tcPr>
                <w:p w14:paraId="292818EB">
                  <w:pPr>
                    <w:widowControl/>
                    <w:jc w:val="center"/>
                    <w:textAlignment w:val="center"/>
                    <w:rPr>
                      <w:rFonts w:eastAsiaTheme="minorEastAsia"/>
                      <w:color w:val="auto"/>
                      <w:szCs w:val="21"/>
                    </w:rPr>
                  </w:pPr>
                  <w:r>
                    <w:rPr>
                      <w:color w:val="auto"/>
                      <w:kern w:val="0"/>
                      <w:szCs w:val="21"/>
                      <w:lang w:bidi="ar"/>
                    </w:rPr>
                    <w:t>头管</w:t>
                  </w:r>
                </w:p>
              </w:tc>
              <w:tc>
                <w:tcPr>
                  <w:tcW w:w="777" w:type="dxa"/>
                  <w:vAlign w:val="center"/>
                </w:tcPr>
                <w:p w14:paraId="0250AACB">
                  <w:pPr>
                    <w:widowControl/>
                    <w:jc w:val="center"/>
                    <w:textAlignment w:val="center"/>
                    <w:rPr>
                      <w:color w:val="auto"/>
                      <w:szCs w:val="21"/>
                    </w:rPr>
                  </w:pPr>
                  <w:r>
                    <w:rPr>
                      <w:color w:val="auto"/>
                      <w:szCs w:val="21"/>
                    </w:rPr>
                    <w:t>32</w:t>
                  </w:r>
                </w:p>
              </w:tc>
              <w:tc>
                <w:tcPr>
                  <w:tcW w:w="956" w:type="dxa"/>
                  <w:vAlign w:val="center"/>
                </w:tcPr>
                <w:p w14:paraId="6BB4E2CB">
                  <w:pPr>
                    <w:widowControl/>
                    <w:jc w:val="center"/>
                    <w:textAlignment w:val="center"/>
                    <w:rPr>
                      <w:color w:val="auto"/>
                      <w:szCs w:val="21"/>
                    </w:rPr>
                  </w:pPr>
                  <w:r>
                    <w:rPr>
                      <w:color w:val="auto"/>
                      <w:szCs w:val="21"/>
                    </w:rPr>
                    <w:t>125</w:t>
                  </w:r>
                </w:p>
              </w:tc>
              <w:tc>
                <w:tcPr>
                  <w:tcW w:w="744" w:type="dxa"/>
                  <w:vAlign w:val="center"/>
                </w:tcPr>
                <w:p w14:paraId="156D76AB">
                  <w:pPr>
                    <w:widowControl/>
                    <w:jc w:val="center"/>
                    <w:textAlignment w:val="center"/>
                    <w:rPr>
                      <w:color w:val="auto"/>
                      <w:szCs w:val="21"/>
                    </w:rPr>
                  </w:pPr>
                  <w:r>
                    <w:rPr>
                      <w:color w:val="auto"/>
                      <w:szCs w:val="21"/>
                    </w:rPr>
                    <w:t>1.2</w:t>
                  </w:r>
                </w:p>
              </w:tc>
              <w:tc>
                <w:tcPr>
                  <w:tcW w:w="789" w:type="dxa"/>
                  <w:vAlign w:val="center"/>
                </w:tcPr>
                <w:p w14:paraId="236E3E56">
                  <w:pPr>
                    <w:widowControl/>
                    <w:jc w:val="center"/>
                    <w:textAlignment w:val="center"/>
                    <w:rPr>
                      <w:color w:val="auto"/>
                      <w:szCs w:val="21"/>
                    </w:rPr>
                  </w:pPr>
                  <w:r>
                    <w:rPr>
                      <w:rFonts w:hint="eastAsia"/>
                      <w:color w:val="auto"/>
                      <w:szCs w:val="21"/>
                    </w:rPr>
                    <w:t>1</w:t>
                  </w:r>
                </w:p>
              </w:tc>
              <w:tc>
                <w:tcPr>
                  <w:tcW w:w="1489" w:type="dxa"/>
                  <w:vAlign w:val="center"/>
                </w:tcPr>
                <w:p w14:paraId="575A3644">
                  <w:pPr>
                    <w:widowControl/>
                    <w:jc w:val="center"/>
                    <w:textAlignment w:val="center"/>
                    <w:rPr>
                      <w:color w:val="auto"/>
                      <w:szCs w:val="21"/>
                    </w:rPr>
                  </w:pPr>
                  <w:r>
                    <w:rPr>
                      <w:color w:val="auto"/>
                      <w:kern w:val="0"/>
                      <w:szCs w:val="21"/>
                      <w:lang w:bidi="ar"/>
                    </w:rPr>
                    <w:t>0.0126</w:t>
                  </w:r>
                </w:p>
              </w:tc>
              <w:tc>
                <w:tcPr>
                  <w:tcW w:w="1356" w:type="dxa"/>
                  <w:vAlign w:val="center"/>
                </w:tcPr>
                <w:p w14:paraId="3AE0C46B">
                  <w:pPr>
                    <w:widowControl/>
                    <w:jc w:val="center"/>
                    <w:textAlignment w:val="center"/>
                    <w:rPr>
                      <w:color w:val="auto"/>
                      <w:szCs w:val="21"/>
                    </w:rPr>
                  </w:pPr>
                  <w:r>
                    <w:rPr>
                      <w:color w:val="auto"/>
                      <w:kern w:val="0"/>
                      <w:szCs w:val="21"/>
                      <w:lang w:bidi="ar"/>
                    </w:rPr>
                    <w:t>0.0116</w:t>
                  </w:r>
                </w:p>
              </w:tc>
              <w:tc>
                <w:tcPr>
                  <w:tcW w:w="1437" w:type="dxa"/>
                  <w:vAlign w:val="center"/>
                </w:tcPr>
                <w:p w14:paraId="5BDBFE0F">
                  <w:pPr>
                    <w:widowControl/>
                    <w:jc w:val="center"/>
                    <w:textAlignment w:val="center"/>
                    <w:rPr>
                      <w:color w:val="auto"/>
                      <w:szCs w:val="21"/>
                    </w:rPr>
                  </w:pPr>
                  <w:r>
                    <w:rPr>
                      <w:color w:val="auto"/>
                      <w:kern w:val="0"/>
                      <w:szCs w:val="21"/>
                      <w:lang w:bidi="ar"/>
                    </w:rPr>
                    <w:t>0.0242</w:t>
                  </w:r>
                </w:p>
              </w:tc>
            </w:tr>
            <w:tr w14:paraId="505A7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1" w:type="dxa"/>
                  <w:vMerge w:val="continue"/>
                  <w:vAlign w:val="center"/>
                </w:tcPr>
                <w:p w14:paraId="39B2A9BF">
                  <w:pPr>
                    <w:jc w:val="center"/>
                    <w:rPr>
                      <w:color w:val="auto"/>
                      <w:szCs w:val="21"/>
                    </w:rPr>
                  </w:pPr>
                </w:p>
              </w:tc>
              <w:tc>
                <w:tcPr>
                  <w:tcW w:w="861" w:type="dxa"/>
                  <w:vAlign w:val="center"/>
                </w:tcPr>
                <w:p w14:paraId="1626CA73">
                  <w:pPr>
                    <w:jc w:val="center"/>
                    <w:rPr>
                      <w:rFonts w:eastAsiaTheme="minorEastAsia"/>
                      <w:color w:val="auto"/>
                      <w:szCs w:val="21"/>
                    </w:rPr>
                  </w:pPr>
                  <w:r>
                    <w:rPr>
                      <w:color w:val="auto"/>
                      <w:szCs w:val="21"/>
                    </w:rPr>
                    <w:t>上管</w:t>
                  </w:r>
                </w:p>
              </w:tc>
              <w:tc>
                <w:tcPr>
                  <w:tcW w:w="777" w:type="dxa"/>
                  <w:vAlign w:val="center"/>
                </w:tcPr>
                <w:p w14:paraId="69314AE2">
                  <w:pPr>
                    <w:widowControl/>
                    <w:jc w:val="center"/>
                    <w:textAlignment w:val="center"/>
                    <w:rPr>
                      <w:color w:val="auto"/>
                      <w:szCs w:val="21"/>
                    </w:rPr>
                  </w:pPr>
                  <w:r>
                    <w:rPr>
                      <w:color w:val="auto"/>
                      <w:szCs w:val="21"/>
                    </w:rPr>
                    <w:t>30</w:t>
                  </w:r>
                </w:p>
              </w:tc>
              <w:tc>
                <w:tcPr>
                  <w:tcW w:w="956" w:type="dxa"/>
                  <w:vAlign w:val="center"/>
                </w:tcPr>
                <w:p w14:paraId="2312A748">
                  <w:pPr>
                    <w:widowControl/>
                    <w:jc w:val="center"/>
                    <w:textAlignment w:val="center"/>
                    <w:rPr>
                      <w:color w:val="auto"/>
                      <w:szCs w:val="21"/>
                    </w:rPr>
                  </w:pPr>
                  <w:r>
                    <w:rPr>
                      <w:color w:val="auto"/>
                      <w:szCs w:val="21"/>
                    </w:rPr>
                    <w:t>400</w:t>
                  </w:r>
                </w:p>
              </w:tc>
              <w:tc>
                <w:tcPr>
                  <w:tcW w:w="744" w:type="dxa"/>
                  <w:vAlign w:val="center"/>
                </w:tcPr>
                <w:p w14:paraId="1DA82D34">
                  <w:pPr>
                    <w:widowControl/>
                    <w:jc w:val="center"/>
                    <w:textAlignment w:val="center"/>
                    <w:rPr>
                      <w:color w:val="auto"/>
                      <w:szCs w:val="21"/>
                    </w:rPr>
                  </w:pPr>
                  <w:r>
                    <w:rPr>
                      <w:color w:val="auto"/>
                      <w:szCs w:val="21"/>
                    </w:rPr>
                    <w:t>1.2</w:t>
                  </w:r>
                </w:p>
              </w:tc>
              <w:tc>
                <w:tcPr>
                  <w:tcW w:w="789" w:type="dxa"/>
                  <w:vAlign w:val="center"/>
                </w:tcPr>
                <w:p w14:paraId="57DAF8A2">
                  <w:pPr>
                    <w:widowControl/>
                    <w:jc w:val="center"/>
                    <w:textAlignment w:val="center"/>
                    <w:rPr>
                      <w:color w:val="auto"/>
                      <w:szCs w:val="21"/>
                    </w:rPr>
                  </w:pPr>
                  <w:r>
                    <w:rPr>
                      <w:rFonts w:hint="eastAsia"/>
                      <w:color w:val="auto"/>
                      <w:szCs w:val="21"/>
                    </w:rPr>
                    <w:t>1</w:t>
                  </w:r>
                </w:p>
              </w:tc>
              <w:tc>
                <w:tcPr>
                  <w:tcW w:w="1489" w:type="dxa"/>
                  <w:vAlign w:val="center"/>
                </w:tcPr>
                <w:p w14:paraId="06814967">
                  <w:pPr>
                    <w:widowControl/>
                    <w:jc w:val="center"/>
                    <w:textAlignment w:val="center"/>
                    <w:rPr>
                      <w:color w:val="auto"/>
                      <w:szCs w:val="21"/>
                    </w:rPr>
                  </w:pPr>
                  <w:r>
                    <w:rPr>
                      <w:color w:val="auto"/>
                      <w:kern w:val="0"/>
                      <w:szCs w:val="21"/>
                      <w:lang w:bidi="ar"/>
                    </w:rPr>
                    <w:t>0.0377</w:t>
                  </w:r>
                </w:p>
              </w:tc>
              <w:tc>
                <w:tcPr>
                  <w:tcW w:w="1356" w:type="dxa"/>
                  <w:vAlign w:val="center"/>
                </w:tcPr>
                <w:p w14:paraId="28E9B322">
                  <w:pPr>
                    <w:widowControl/>
                    <w:jc w:val="center"/>
                    <w:textAlignment w:val="center"/>
                    <w:rPr>
                      <w:color w:val="auto"/>
                      <w:szCs w:val="21"/>
                    </w:rPr>
                  </w:pPr>
                  <w:r>
                    <w:rPr>
                      <w:color w:val="auto"/>
                      <w:kern w:val="0"/>
                      <w:szCs w:val="21"/>
                      <w:lang w:bidi="ar"/>
                    </w:rPr>
                    <w:t>0.0347</w:t>
                  </w:r>
                </w:p>
              </w:tc>
              <w:tc>
                <w:tcPr>
                  <w:tcW w:w="1437" w:type="dxa"/>
                  <w:vAlign w:val="center"/>
                </w:tcPr>
                <w:p w14:paraId="2889FA77">
                  <w:pPr>
                    <w:widowControl/>
                    <w:jc w:val="center"/>
                    <w:textAlignment w:val="center"/>
                    <w:rPr>
                      <w:color w:val="auto"/>
                      <w:szCs w:val="21"/>
                    </w:rPr>
                  </w:pPr>
                  <w:r>
                    <w:rPr>
                      <w:color w:val="auto"/>
                      <w:kern w:val="0"/>
                      <w:szCs w:val="21"/>
                      <w:lang w:bidi="ar"/>
                    </w:rPr>
                    <w:t>0.0724</w:t>
                  </w:r>
                </w:p>
              </w:tc>
            </w:tr>
            <w:tr w14:paraId="6E201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3A5E697D">
                  <w:pPr>
                    <w:jc w:val="center"/>
                    <w:rPr>
                      <w:color w:val="auto"/>
                      <w:szCs w:val="21"/>
                    </w:rPr>
                  </w:pPr>
                </w:p>
              </w:tc>
              <w:tc>
                <w:tcPr>
                  <w:tcW w:w="861" w:type="dxa"/>
                  <w:vAlign w:val="center"/>
                </w:tcPr>
                <w:p w14:paraId="5301B501">
                  <w:pPr>
                    <w:widowControl/>
                    <w:jc w:val="center"/>
                    <w:textAlignment w:val="center"/>
                    <w:rPr>
                      <w:rFonts w:eastAsiaTheme="minorEastAsia"/>
                      <w:color w:val="auto"/>
                      <w:szCs w:val="21"/>
                    </w:rPr>
                  </w:pPr>
                  <w:r>
                    <w:rPr>
                      <w:color w:val="auto"/>
                      <w:kern w:val="0"/>
                      <w:szCs w:val="21"/>
                      <w:lang w:bidi="ar"/>
                    </w:rPr>
                    <w:t>下管</w:t>
                  </w:r>
                </w:p>
              </w:tc>
              <w:tc>
                <w:tcPr>
                  <w:tcW w:w="777" w:type="dxa"/>
                  <w:vAlign w:val="center"/>
                </w:tcPr>
                <w:p w14:paraId="0389C3FB">
                  <w:pPr>
                    <w:widowControl/>
                    <w:jc w:val="center"/>
                    <w:textAlignment w:val="center"/>
                    <w:rPr>
                      <w:color w:val="auto"/>
                      <w:szCs w:val="21"/>
                    </w:rPr>
                  </w:pPr>
                  <w:r>
                    <w:rPr>
                      <w:color w:val="auto"/>
                      <w:szCs w:val="21"/>
                    </w:rPr>
                    <w:t>36</w:t>
                  </w:r>
                </w:p>
              </w:tc>
              <w:tc>
                <w:tcPr>
                  <w:tcW w:w="956" w:type="dxa"/>
                  <w:vAlign w:val="center"/>
                </w:tcPr>
                <w:p w14:paraId="573014C7">
                  <w:pPr>
                    <w:widowControl/>
                    <w:jc w:val="center"/>
                    <w:textAlignment w:val="center"/>
                    <w:rPr>
                      <w:color w:val="auto"/>
                      <w:szCs w:val="21"/>
                    </w:rPr>
                  </w:pPr>
                  <w:r>
                    <w:rPr>
                      <w:color w:val="auto"/>
                      <w:szCs w:val="21"/>
                    </w:rPr>
                    <w:t>450</w:t>
                  </w:r>
                </w:p>
              </w:tc>
              <w:tc>
                <w:tcPr>
                  <w:tcW w:w="744" w:type="dxa"/>
                  <w:vAlign w:val="center"/>
                </w:tcPr>
                <w:p w14:paraId="6A99F0A7">
                  <w:pPr>
                    <w:widowControl/>
                    <w:jc w:val="center"/>
                    <w:textAlignment w:val="center"/>
                    <w:rPr>
                      <w:color w:val="auto"/>
                      <w:szCs w:val="21"/>
                    </w:rPr>
                  </w:pPr>
                  <w:r>
                    <w:rPr>
                      <w:color w:val="auto"/>
                      <w:szCs w:val="21"/>
                    </w:rPr>
                    <w:t>1.2</w:t>
                  </w:r>
                </w:p>
              </w:tc>
              <w:tc>
                <w:tcPr>
                  <w:tcW w:w="789" w:type="dxa"/>
                  <w:vAlign w:val="center"/>
                </w:tcPr>
                <w:p w14:paraId="2EB2391F">
                  <w:pPr>
                    <w:widowControl/>
                    <w:jc w:val="center"/>
                    <w:textAlignment w:val="center"/>
                    <w:rPr>
                      <w:color w:val="auto"/>
                      <w:szCs w:val="21"/>
                    </w:rPr>
                  </w:pPr>
                  <w:r>
                    <w:rPr>
                      <w:rFonts w:hint="eastAsia"/>
                      <w:color w:val="auto"/>
                      <w:szCs w:val="21"/>
                    </w:rPr>
                    <w:t>1</w:t>
                  </w:r>
                </w:p>
              </w:tc>
              <w:tc>
                <w:tcPr>
                  <w:tcW w:w="1489" w:type="dxa"/>
                  <w:vAlign w:val="center"/>
                </w:tcPr>
                <w:p w14:paraId="064616CF">
                  <w:pPr>
                    <w:widowControl/>
                    <w:jc w:val="center"/>
                    <w:textAlignment w:val="center"/>
                    <w:rPr>
                      <w:color w:val="auto"/>
                      <w:szCs w:val="21"/>
                    </w:rPr>
                  </w:pPr>
                  <w:r>
                    <w:rPr>
                      <w:color w:val="auto"/>
                      <w:kern w:val="0"/>
                      <w:szCs w:val="21"/>
                      <w:lang w:bidi="ar"/>
                    </w:rPr>
                    <w:t>0.0509</w:t>
                  </w:r>
                </w:p>
              </w:tc>
              <w:tc>
                <w:tcPr>
                  <w:tcW w:w="1356" w:type="dxa"/>
                  <w:vAlign w:val="center"/>
                </w:tcPr>
                <w:p w14:paraId="49E5ADAF">
                  <w:pPr>
                    <w:widowControl/>
                    <w:jc w:val="center"/>
                    <w:textAlignment w:val="center"/>
                    <w:rPr>
                      <w:color w:val="auto"/>
                      <w:szCs w:val="21"/>
                    </w:rPr>
                  </w:pPr>
                  <w:r>
                    <w:rPr>
                      <w:color w:val="auto"/>
                      <w:kern w:val="0"/>
                      <w:szCs w:val="21"/>
                      <w:lang w:bidi="ar"/>
                    </w:rPr>
                    <w:t>0.0475</w:t>
                  </w:r>
                </w:p>
              </w:tc>
              <w:tc>
                <w:tcPr>
                  <w:tcW w:w="1437" w:type="dxa"/>
                  <w:vAlign w:val="center"/>
                </w:tcPr>
                <w:p w14:paraId="0B44EC0B">
                  <w:pPr>
                    <w:widowControl/>
                    <w:jc w:val="center"/>
                    <w:textAlignment w:val="center"/>
                    <w:rPr>
                      <w:color w:val="auto"/>
                      <w:szCs w:val="21"/>
                    </w:rPr>
                  </w:pPr>
                  <w:r>
                    <w:rPr>
                      <w:color w:val="auto"/>
                      <w:kern w:val="0"/>
                      <w:szCs w:val="21"/>
                      <w:lang w:bidi="ar"/>
                    </w:rPr>
                    <w:t>0.0984</w:t>
                  </w:r>
                </w:p>
              </w:tc>
            </w:tr>
            <w:tr w14:paraId="3C966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5F325CA5">
                  <w:pPr>
                    <w:jc w:val="center"/>
                    <w:rPr>
                      <w:color w:val="auto"/>
                      <w:szCs w:val="21"/>
                    </w:rPr>
                  </w:pPr>
                </w:p>
              </w:tc>
              <w:tc>
                <w:tcPr>
                  <w:tcW w:w="861" w:type="dxa"/>
                  <w:vAlign w:val="center"/>
                </w:tcPr>
                <w:p w14:paraId="2A1918A9">
                  <w:pPr>
                    <w:widowControl/>
                    <w:jc w:val="center"/>
                    <w:textAlignment w:val="center"/>
                    <w:rPr>
                      <w:color w:val="auto"/>
                      <w:kern w:val="0"/>
                      <w:szCs w:val="21"/>
                      <w:lang w:bidi="ar"/>
                    </w:rPr>
                  </w:pPr>
                  <w:r>
                    <w:rPr>
                      <w:color w:val="auto"/>
                      <w:kern w:val="0"/>
                      <w:szCs w:val="21"/>
                      <w:lang w:bidi="ar"/>
                    </w:rPr>
                    <w:t>座管</w:t>
                  </w:r>
                </w:p>
              </w:tc>
              <w:tc>
                <w:tcPr>
                  <w:tcW w:w="777" w:type="dxa"/>
                  <w:vAlign w:val="center"/>
                </w:tcPr>
                <w:p w14:paraId="1FD3C265">
                  <w:pPr>
                    <w:widowControl/>
                    <w:jc w:val="center"/>
                    <w:textAlignment w:val="center"/>
                    <w:rPr>
                      <w:color w:val="auto"/>
                      <w:szCs w:val="21"/>
                    </w:rPr>
                  </w:pPr>
                  <w:r>
                    <w:rPr>
                      <w:color w:val="auto"/>
                      <w:szCs w:val="21"/>
                    </w:rPr>
                    <w:t>27.5</w:t>
                  </w:r>
                </w:p>
              </w:tc>
              <w:tc>
                <w:tcPr>
                  <w:tcW w:w="956" w:type="dxa"/>
                  <w:vAlign w:val="center"/>
                </w:tcPr>
                <w:p w14:paraId="19D55C9C">
                  <w:pPr>
                    <w:widowControl/>
                    <w:jc w:val="center"/>
                    <w:textAlignment w:val="center"/>
                    <w:rPr>
                      <w:color w:val="auto"/>
                      <w:szCs w:val="21"/>
                    </w:rPr>
                  </w:pPr>
                  <w:r>
                    <w:rPr>
                      <w:color w:val="auto"/>
                      <w:szCs w:val="21"/>
                    </w:rPr>
                    <w:t>360</w:t>
                  </w:r>
                </w:p>
              </w:tc>
              <w:tc>
                <w:tcPr>
                  <w:tcW w:w="744" w:type="dxa"/>
                  <w:vAlign w:val="center"/>
                </w:tcPr>
                <w:p w14:paraId="294E7DD4">
                  <w:pPr>
                    <w:widowControl/>
                    <w:jc w:val="center"/>
                    <w:textAlignment w:val="center"/>
                    <w:rPr>
                      <w:color w:val="auto"/>
                      <w:szCs w:val="21"/>
                    </w:rPr>
                  </w:pPr>
                  <w:r>
                    <w:rPr>
                      <w:color w:val="auto"/>
                      <w:szCs w:val="21"/>
                    </w:rPr>
                    <w:t>1.2</w:t>
                  </w:r>
                </w:p>
              </w:tc>
              <w:tc>
                <w:tcPr>
                  <w:tcW w:w="789" w:type="dxa"/>
                  <w:vAlign w:val="center"/>
                </w:tcPr>
                <w:p w14:paraId="433DE77C">
                  <w:pPr>
                    <w:widowControl/>
                    <w:jc w:val="center"/>
                    <w:textAlignment w:val="center"/>
                    <w:rPr>
                      <w:color w:val="auto"/>
                      <w:szCs w:val="21"/>
                    </w:rPr>
                  </w:pPr>
                  <w:r>
                    <w:rPr>
                      <w:rFonts w:hint="eastAsia"/>
                      <w:color w:val="auto"/>
                      <w:szCs w:val="21"/>
                    </w:rPr>
                    <w:t>1</w:t>
                  </w:r>
                </w:p>
              </w:tc>
              <w:tc>
                <w:tcPr>
                  <w:tcW w:w="1489" w:type="dxa"/>
                  <w:vAlign w:val="center"/>
                </w:tcPr>
                <w:p w14:paraId="38E6661A">
                  <w:pPr>
                    <w:widowControl/>
                    <w:jc w:val="center"/>
                    <w:textAlignment w:val="center"/>
                    <w:rPr>
                      <w:color w:val="auto"/>
                      <w:szCs w:val="21"/>
                    </w:rPr>
                  </w:pPr>
                  <w:r>
                    <w:rPr>
                      <w:color w:val="auto"/>
                      <w:kern w:val="0"/>
                      <w:szCs w:val="21"/>
                      <w:lang w:bidi="ar"/>
                    </w:rPr>
                    <w:t>0.0311</w:t>
                  </w:r>
                </w:p>
              </w:tc>
              <w:tc>
                <w:tcPr>
                  <w:tcW w:w="1356" w:type="dxa"/>
                  <w:vAlign w:val="center"/>
                </w:tcPr>
                <w:p w14:paraId="79E7B60E">
                  <w:pPr>
                    <w:widowControl/>
                    <w:jc w:val="center"/>
                    <w:textAlignment w:val="center"/>
                    <w:rPr>
                      <w:color w:val="auto"/>
                      <w:szCs w:val="21"/>
                    </w:rPr>
                  </w:pPr>
                  <w:r>
                    <w:rPr>
                      <w:color w:val="auto"/>
                      <w:kern w:val="0"/>
                      <w:szCs w:val="21"/>
                      <w:lang w:bidi="ar"/>
                    </w:rPr>
                    <w:t>0.0284</w:t>
                  </w:r>
                </w:p>
              </w:tc>
              <w:tc>
                <w:tcPr>
                  <w:tcW w:w="1437" w:type="dxa"/>
                  <w:vAlign w:val="center"/>
                </w:tcPr>
                <w:p w14:paraId="49402348">
                  <w:pPr>
                    <w:widowControl/>
                    <w:jc w:val="center"/>
                    <w:textAlignment w:val="center"/>
                    <w:rPr>
                      <w:color w:val="auto"/>
                      <w:szCs w:val="21"/>
                    </w:rPr>
                  </w:pPr>
                  <w:r>
                    <w:rPr>
                      <w:color w:val="auto"/>
                      <w:kern w:val="0"/>
                      <w:szCs w:val="21"/>
                      <w:lang w:bidi="ar"/>
                    </w:rPr>
                    <w:t>0.0595</w:t>
                  </w:r>
                </w:p>
              </w:tc>
            </w:tr>
            <w:tr w14:paraId="33D5C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70D7272A">
                  <w:pPr>
                    <w:jc w:val="center"/>
                    <w:rPr>
                      <w:color w:val="auto"/>
                      <w:szCs w:val="21"/>
                    </w:rPr>
                  </w:pPr>
                </w:p>
              </w:tc>
              <w:tc>
                <w:tcPr>
                  <w:tcW w:w="861" w:type="dxa"/>
                  <w:vAlign w:val="center"/>
                </w:tcPr>
                <w:p w14:paraId="090679E9">
                  <w:pPr>
                    <w:widowControl/>
                    <w:jc w:val="center"/>
                    <w:textAlignment w:val="center"/>
                    <w:rPr>
                      <w:color w:val="auto"/>
                      <w:kern w:val="0"/>
                      <w:szCs w:val="21"/>
                      <w:lang w:bidi="ar"/>
                    </w:rPr>
                  </w:pPr>
                  <w:r>
                    <w:rPr>
                      <w:color w:val="auto"/>
                      <w:kern w:val="0"/>
                      <w:szCs w:val="21"/>
                      <w:lang w:bidi="ar"/>
                    </w:rPr>
                    <w:t>前叉</w:t>
                  </w:r>
                </w:p>
              </w:tc>
              <w:tc>
                <w:tcPr>
                  <w:tcW w:w="777" w:type="dxa"/>
                  <w:vAlign w:val="center"/>
                </w:tcPr>
                <w:p w14:paraId="587F98AA">
                  <w:pPr>
                    <w:widowControl/>
                    <w:jc w:val="center"/>
                    <w:textAlignment w:val="center"/>
                    <w:rPr>
                      <w:color w:val="auto"/>
                      <w:szCs w:val="21"/>
                    </w:rPr>
                  </w:pPr>
                  <w:r>
                    <w:rPr>
                      <w:color w:val="auto"/>
                      <w:szCs w:val="21"/>
                    </w:rPr>
                    <w:t>18</w:t>
                  </w:r>
                </w:p>
              </w:tc>
              <w:tc>
                <w:tcPr>
                  <w:tcW w:w="956" w:type="dxa"/>
                  <w:vAlign w:val="center"/>
                </w:tcPr>
                <w:p w14:paraId="3210945D">
                  <w:pPr>
                    <w:widowControl/>
                    <w:jc w:val="center"/>
                    <w:textAlignment w:val="center"/>
                    <w:rPr>
                      <w:color w:val="auto"/>
                      <w:szCs w:val="21"/>
                    </w:rPr>
                  </w:pPr>
                  <w:r>
                    <w:rPr>
                      <w:color w:val="auto"/>
                      <w:szCs w:val="21"/>
                    </w:rPr>
                    <w:t>300</w:t>
                  </w:r>
                </w:p>
              </w:tc>
              <w:tc>
                <w:tcPr>
                  <w:tcW w:w="744" w:type="dxa"/>
                  <w:vAlign w:val="center"/>
                </w:tcPr>
                <w:p w14:paraId="41188F1F">
                  <w:pPr>
                    <w:widowControl/>
                    <w:jc w:val="center"/>
                    <w:textAlignment w:val="center"/>
                    <w:rPr>
                      <w:color w:val="auto"/>
                      <w:szCs w:val="21"/>
                    </w:rPr>
                  </w:pPr>
                  <w:r>
                    <w:rPr>
                      <w:color w:val="auto"/>
                      <w:szCs w:val="21"/>
                    </w:rPr>
                    <w:t>1.2</w:t>
                  </w:r>
                </w:p>
              </w:tc>
              <w:tc>
                <w:tcPr>
                  <w:tcW w:w="789" w:type="dxa"/>
                  <w:vAlign w:val="center"/>
                </w:tcPr>
                <w:p w14:paraId="66378235">
                  <w:pPr>
                    <w:widowControl/>
                    <w:jc w:val="center"/>
                    <w:textAlignment w:val="center"/>
                    <w:rPr>
                      <w:color w:val="auto"/>
                      <w:szCs w:val="21"/>
                    </w:rPr>
                  </w:pPr>
                  <w:r>
                    <w:rPr>
                      <w:rFonts w:hint="eastAsia"/>
                      <w:color w:val="auto"/>
                      <w:szCs w:val="21"/>
                    </w:rPr>
                    <w:t>2</w:t>
                  </w:r>
                </w:p>
              </w:tc>
              <w:tc>
                <w:tcPr>
                  <w:tcW w:w="1489" w:type="dxa"/>
                  <w:vAlign w:val="center"/>
                </w:tcPr>
                <w:p w14:paraId="7A8B254F">
                  <w:pPr>
                    <w:widowControl/>
                    <w:jc w:val="center"/>
                    <w:textAlignment w:val="center"/>
                    <w:rPr>
                      <w:color w:val="auto"/>
                      <w:szCs w:val="21"/>
                    </w:rPr>
                  </w:pPr>
                  <w:r>
                    <w:rPr>
                      <w:color w:val="auto"/>
                      <w:kern w:val="0"/>
                      <w:szCs w:val="21"/>
                      <w:lang w:bidi="ar"/>
                    </w:rPr>
                    <w:t>0.0339</w:t>
                  </w:r>
                </w:p>
              </w:tc>
              <w:tc>
                <w:tcPr>
                  <w:tcW w:w="1356" w:type="dxa"/>
                  <w:vAlign w:val="center"/>
                </w:tcPr>
                <w:p w14:paraId="472343C8">
                  <w:pPr>
                    <w:widowControl/>
                    <w:jc w:val="center"/>
                    <w:textAlignment w:val="center"/>
                    <w:rPr>
                      <w:color w:val="auto"/>
                      <w:szCs w:val="21"/>
                    </w:rPr>
                  </w:pPr>
                  <w:r>
                    <w:rPr>
                      <w:color w:val="auto"/>
                      <w:kern w:val="0"/>
                      <w:szCs w:val="21"/>
                      <w:lang w:bidi="ar"/>
                    </w:rPr>
                    <w:t>0.0294</w:t>
                  </w:r>
                </w:p>
              </w:tc>
              <w:tc>
                <w:tcPr>
                  <w:tcW w:w="1437" w:type="dxa"/>
                  <w:vAlign w:val="center"/>
                </w:tcPr>
                <w:p w14:paraId="2EEC21B4">
                  <w:pPr>
                    <w:widowControl/>
                    <w:jc w:val="center"/>
                    <w:textAlignment w:val="center"/>
                    <w:rPr>
                      <w:color w:val="auto"/>
                      <w:szCs w:val="21"/>
                    </w:rPr>
                  </w:pPr>
                  <w:r>
                    <w:rPr>
                      <w:color w:val="auto"/>
                      <w:kern w:val="0"/>
                      <w:szCs w:val="21"/>
                      <w:lang w:bidi="ar"/>
                    </w:rPr>
                    <w:t>0.0633</w:t>
                  </w:r>
                </w:p>
              </w:tc>
            </w:tr>
            <w:tr w14:paraId="46644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2C09DFF6">
                  <w:pPr>
                    <w:jc w:val="center"/>
                    <w:rPr>
                      <w:color w:val="auto"/>
                      <w:szCs w:val="21"/>
                    </w:rPr>
                  </w:pPr>
                </w:p>
              </w:tc>
              <w:tc>
                <w:tcPr>
                  <w:tcW w:w="861" w:type="dxa"/>
                  <w:vAlign w:val="center"/>
                </w:tcPr>
                <w:p w14:paraId="11E1ADFF">
                  <w:pPr>
                    <w:widowControl/>
                    <w:jc w:val="center"/>
                    <w:textAlignment w:val="center"/>
                    <w:rPr>
                      <w:rFonts w:eastAsiaTheme="minorEastAsia"/>
                      <w:color w:val="auto"/>
                      <w:kern w:val="0"/>
                      <w:szCs w:val="21"/>
                      <w:lang w:bidi="ar"/>
                    </w:rPr>
                  </w:pPr>
                  <w:r>
                    <w:rPr>
                      <w:color w:val="auto"/>
                      <w:kern w:val="0"/>
                      <w:szCs w:val="21"/>
                      <w:lang w:bidi="ar"/>
                    </w:rPr>
                    <w:t>后上叉</w:t>
                  </w:r>
                </w:p>
              </w:tc>
              <w:tc>
                <w:tcPr>
                  <w:tcW w:w="777" w:type="dxa"/>
                  <w:vAlign w:val="center"/>
                </w:tcPr>
                <w:p w14:paraId="19DCCA02">
                  <w:pPr>
                    <w:widowControl/>
                    <w:jc w:val="center"/>
                    <w:textAlignment w:val="center"/>
                    <w:rPr>
                      <w:color w:val="auto"/>
                      <w:szCs w:val="21"/>
                    </w:rPr>
                  </w:pPr>
                  <w:r>
                    <w:rPr>
                      <w:color w:val="auto"/>
                      <w:szCs w:val="21"/>
                    </w:rPr>
                    <w:t>18</w:t>
                  </w:r>
                </w:p>
              </w:tc>
              <w:tc>
                <w:tcPr>
                  <w:tcW w:w="956" w:type="dxa"/>
                  <w:vAlign w:val="center"/>
                </w:tcPr>
                <w:p w14:paraId="463E754F">
                  <w:pPr>
                    <w:widowControl/>
                    <w:jc w:val="center"/>
                    <w:textAlignment w:val="center"/>
                    <w:rPr>
                      <w:color w:val="auto"/>
                      <w:szCs w:val="21"/>
                    </w:rPr>
                  </w:pPr>
                  <w:r>
                    <w:rPr>
                      <w:color w:val="auto"/>
                      <w:szCs w:val="21"/>
                    </w:rPr>
                    <w:t>350</w:t>
                  </w:r>
                </w:p>
              </w:tc>
              <w:tc>
                <w:tcPr>
                  <w:tcW w:w="744" w:type="dxa"/>
                  <w:vAlign w:val="center"/>
                </w:tcPr>
                <w:p w14:paraId="65273595">
                  <w:pPr>
                    <w:widowControl/>
                    <w:jc w:val="center"/>
                    <w:textAlignment w:val="center"/>
                    <w:rPr>
                      <w:color w:val="auto"/>
                      <w:szCs w:val="21"/>
                    </w:rPr>
                  </w:pPr>
                  <w:r>
                    <w:rPr>
                      <w:color w:val="auto"/>
                      <w:szCs w:val="21"/>
                    </w:rPr>
                    <w:t>1.2</w:t>
                  </w:r>
                </w:p>
              </w:tc>
              <w:tc>
                <w:tcPr>
                  <w:tcW w:w="789" w:type="dxa"/>
                  <w:vAlign w:val="center"/>
                </w:tcPr>
                <w:p w14:paraId="2C3F85D3">
                  <w:pPr>
                    <w:widowControl/>
                    <w:jc w:val="center"/>
                    <w:textAlignment w:val="center"/>
                    <w:rPr>
                      <w:color w:val="auto"/>
                      <w:szCs w:val="21"/>
                    </w:rPr>
                  </w:pPr>
                  <w:r>
                    <w:rPr>
                      <w:rFonts w:hint="eastAsia"/>
                      <w:color w:val="auto"/>
                      <w:szCs w:val="21"/>
                    </w:rPr>
                    <w:t>2</w:t>
                  </w:r>
                </w:p>
              </w:tc>
              <w:tc>
                <w:tcPr>
                  <w:tcW w:w="1489" w:type="dxa"/>
                  <w:vAlign w:val="center"/>
                </w:tcPr>
                <w:p w14:paraId="1BFDAA53">
                  <w:pPr>
                    <w:widowControl/>
                    <w:jc w:val="center"/>
                    <w:textAlignment w:val="center"/>
                    <w:rPr>
                      <w:color w:val="auto"/>
                      <w:szCs w:val="21"/>
                    </w:rPr>
                  </w:pPr>
                  <w:r>
                    <w:rPr>
                      <w:color w:val="auto"/>
                      <w:kern w:val="0"/>
                      <w:szCs w:val="21"/>
                      <w:lang w:bidi="ar"/>
                    </w:rPr>
                    <w:t>0.0396</w:t>
                  </w:r>
                </w:p>
              </w:tc>
              <w:tc>
                <w:tcPr>
                  <w:tcW w:w="1356" w:type="dxa"/>
                  <w:vAlign w:val="center"/>
                </w:tcPr>
                <w:p w14:paraId="6D7BEE3E">
                  <w:pPr>
                    <w:widowControl/>
                    <w:jc w:val="center"/>
                    <w:textAlignment w:val="center"/>
                    <w:rPr>
                      <w:color w:val="auto"/>
                      <w:szCs w:val="21"/>
                    </w:rPr>
                  </w:pPr>
                  <w:r>
                    <w:rPr>
                      <w:color w:val="auto"/>
                      <w:kern w:val="0"/>
                      <w:szCs w:val="21"/>
                      <w:lang w:bidi="ar"/>
                    </w:rPr>
                    <w:t>0.0343</w:t>
                  </w:r>
                </w:p>
              </w:tc>
              <w:tc>
                <w:tcPr>
                  <w:tcW w:w="1437" w:type="dxa"/>
                  <w:vAlign w:val="center"/>
                </w:tcPr>
                <w:p w14:paraId="466FB44A">
                  <w:pPr>
                    <w:widowControl/>
                    <w:jc w:val="center"/>
                    <w:textAlignment w:val="center"/>
                    <w:rPr>
                      <w:color w:val="auto"/>
                      <w:szCs w:val="21"/>
                    </w:rPr>
                  </w:pPr>
                  <w:r>
                    <w:rPr>
                      <w:color w:val="auto"/>
                      <w:kern w:val="0"/>
                      <w:szCs w:val="21"/>
                      <w:lang w:bidi="ar"/>
                    </w:rPr>
                    <w:t>0.0739</w:t>
                  </w:r>
                </w:p>
              </w:tc>
            </w:tr>
            <w:tr w14:paraId="09BEF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0FFC66F0">
                  <w:pPr>
                    <w:jc w:val="center"/>
                    <w:rPr>
                      <w:color w:val="auto"/>
                      <w:szCs w:val="21"/>
                    </w:rPr>
                  </w:pPr>
                </w:p>
              </w:tc>
              <w:tc>
                <w:tcPr>
                  <w:tcW w:w="861" w:type="dxa"/>
                  <w:vAlign w:val="center"/>
                </w:tcPr>
                <w:p w14:paraId="6105B776">
                  <w:pPr>
                    <w:widowControl/>
                    <w:jc w:val="center"/>
                    <w:textAlignment w:val="center"/>
                    <w:rPr>
                      <w:rFonts w:eastAsiaTheme="minorEastAsia"/>
                      <w:color w:val="auto"/>
                      <w:kern w:val="0"/>
                      <w:szCs w:val="21"/>
                      <w:lang w:bidi="ar"/>
                    </w:rPr>
                  </w:pPr>
                  <w:r>
                    <w:rPr>
                      <w:color w:val="auto"/>
                      <w:kern w:val="0"/>
                      <w:szCs w:val="21"/>
                      <w:lang w:bidi="ar"/>
                    </w:rPr>
                    <w:t>后下叉</w:t>
                  </w:r>
                </w:p>
              </w:tc>
              <w:tc>
                <w:tcPr>
                  <w:tcW w:w="777" w:type="dxa"/>
                  <w:vAlign w:val="center"/>
                </w:tcPr>
                <w:p w14:paraId="335C2580">
                  <w:pPr>
                    <w:widowControl/>
                    <w:jc w:val="center"/>
                    <w:textAlignment w:val="center"/>
                    <w:rPr>
                      <w:color w:val="auto"/>
                      <w:szCs w:val="21"/>
                    </w:rPr>
                  </w:pPr>
                  <w:r>
                    <w:rPr>
                      <w:color w:val="auto"/>
                      <w:szCs w:val="21"/>
                    </w:rPr>
                    <w:t>18</w:t>
                  </w:r>
                </w:p>
              </w:tc>
              <w:tc>
                <w:tcPr>
                  <w:tcW w:w="956" w:type="dxa"/>
                  <w:vAlign w:val="center"/>
                </w:tcPr>
                <w:p w14:paraId="71176E19">
                  <w:pPr>
                    <w:widowControl/>
                    <w:jc w:val="center"/>
                    <w:textAlignment w:val="center"/>
                    <w:rPr>
                      <w:color w:val="auto"/>
                      <w:szCs w:val="21"/>
                    </w:rPr>
                  </w:pPr>
                  <w:r>
                    <w:rPr>
                      <w:color w:val="auto"/>
                      <w:szCs w:val="21"/>
                    </w:rPr>
                    <w:t>320</w:t>
                  </w:r>
                </w:p>
              </w:tc>
              <w:tc>
                <w:tcPr>
                  <w:tcW w:w="744" w:type="dxa"/>
                  <w:vAlign w:val="center"/>
                </w:tcPr>
                <w:p w14:paraId="2AE7A3AE">
                  <w:pPr>
                    <w:widowControl/>
                    <w:jc w:val="center"/>
                    <w:textAlignment w:val="center"/>
                    <w:rPr>
                      <w:color w:val="auto"/>
                      <w:szCs w:val="21"/>
                    </w:rPr>
                  </w:pPr>
                  <w:r>
                    <w:rPr>
                      <w:color w:val="auto"/>
                      <w:szCs w:val="21"/>
                    </w:rPr>
                    <w:t>1.2</w:t>
                  </w:r>
                </w:p>
              </w:tc>
              <w:tc>
                <w:tcPr>
                  <w:tcW w:w="789" w:type="dxa"/>
                  <w:vAlign w:val="center"/>
                </w:tcPr>
                <w:p w14:paraId="137F0196">
                  <w:pPr>
                    <w:widowControl/>
                    <w:jc w:val="center"/>
                    <w:textAlignment w:val="center"/>
                    <w:rPr>
                      <w:color w:val="auto"/>
                      <w:szCs w:val="21"/>
                    </w:rPr>
                  </w:pPr>
                  <w:r>
                    <w:rPr>
                      <w:rFonts w:hint="eastAsia"/>
                      <w:color w:val="auto"/>
                      <w:szCs w:val="21"/>
                    </w:rPr>
                    <w:t>2</w:t>
                  </w:r>
                </w:p>
              </w:tc>
              <w:tc>
                <w:tcPr>
                  <w:tcW w:w="1489" w:type="dxa"/>
                  <w:vAlign w:val="center"/>
                </w:tcPr>
                <w:p w14:paraId="0A6C93E3">
                  <w:pPr>
                    <w:widowControl/>
                    <w:jc w:val="center"/>
                    <w:textAlignment w:val="center"/>
                    <w:rPr>
                      <w:color w:val="auto"/>
                      <w:szCs w:val="21"/>
                    </w:rPr>
                  </w:pPr>
                  <w:r>
                    <w:rPr>
                      <w:color w:val="auto"/>
                      <w:kern w:val="0"/>
                      <w:szCs w:val="21"/>
                      <w:lang w:bidi="ar"/>
                    </w:rPr>
                    <w:t>0.0362</w:t>
                  </w:r>
                </w:p>
              </w:tc>
              <w:tc>
                <w:tcPr>
                  <w:tcW w:w="1356" w:type="dxa"/>
                  <w:vAlign w:val="center"/>
                </w:tcPr>
                <w:p w14:paraId="02722E61">
                  <w:pPr>
                    <w:widowControl/>
                    <w:jc w:val="center"/>
                    <w:textAlignment w:val="center"/>
                    <w:rPr>
                      <w:color w:val="auto"/>
                      <w:szCs w:val="21"/>
                    </w:rPr>
                  </w:pPr>
                  <w:r>
                    <w:rPr>
                      <w:color w:val="auto"/>
                      <w:kern w:val="0"/>
                      <w:szCs w:val="21"/>
                      <w:lang w:bidi="ar"/>
                    </w:rPr>
                    <w:t>0.0314</w:t>
                  </w:r>
                </w:p>
              </w:tc>
              <w:tc>
                <w:tcPr>
                  <w:tcW w:w="1437" w:type="dxa"/>
                  <w:vAlign w:val="center"/>
                </w:tcPr>
                <w:p w14:paraId="7169FA94">
                  <w:pPr>
                    <w:widowControl/>
                    <w:jc w:val="center"/>
                    <w:textAlignment w:val="center"/>
                    <w:rPr>
                      <w:color w:val="auto"/>
                      <w:szCs w:val="21"/>
                    </w:rPr>
                  </w:pPr>
                  <w:r>
                    <w:rPr>
                      <w:color w:val="auto"/>
                      <w:kern w:val="0"/>
                      <w:szCs w:val="21"/>
                      <w:lang w:bidi="ar"/>
                    </w:rPr>
                    <w:t>0.0676</w:t>
                  </w:r>
                </w:p>
              </w:tc>
            </w:tr>
            <w:tr w14:paraId="2017B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1" w:type="dxa"/>
                  <w:vMerge w:val="continue"/>
                  <w:vAlign w:val="center"/>
                </w:tcPr>
                <w:p w14:paraId="7E9FBF14">
                  <w:pPr>
                    <w:jc w:val="center"/>
                    <w:rPr>
                      <w:color w:val="auto"/>
                      <w:szCs w:val="21"/>
                    </w:rPr>
                  </w:pPr>
                </w:p>
              </w:tc>
              <w:tc>
                <w:tcPr>
                  <w:tcW w:w="4127" w:type="dxa"/>
                  <w:gridSpan w:val="5"/>
                  <w:vAlign w:val="center"/>
                </w:tcPr>
                <w:p w14:paraId="51724EC3">
                  <w:pPr>
                    <w:widowControl/>
                    <w:jc w:val="center"/>
                    <w:textAlignment w:val="center"/>
                    <w:rPr>
                      <w:color w:val="auto"/>
                      <w:szCs w:val="21"/>
                    </w:rPr>
                  </w:pPr>
                  <w:r>
                    <w:rPr>
                      <w:color w:val="auto"/>
                      <w:kern w:val="0"/>
                      <w:szCs w:val="21"/>
                      <w:lang w:bidi="ar"/>
                    </w:rPr>
                    <w:t>单件产品小计</w:t>
                  </w:r>
                </w:p>
              </w:tc>
              <w:tc>
                <w:tcPr>
                  <w:tcW w:w="1489" w:type="dxa"/>
                  <w:vAlign w:val="center"/>
                </w:tcPr>
                <w:p w14:paraId="29446948">
                  <w:pPr>
                    <w:widowControl/>
                    <w:jc w:val="center"/>
                    <w:textAlignment w:val="center"/>
                    <w:rPr>
                      <w:color w:val="auto"/>
                      <w:szCs w:val="21"/>
                    </w:rPr>
                  </w:pPr>
                  <w:r>
                    <w:rPr>
                      <w:color w:val="auto"/>
                      <w:kern w:val="0"/>
                      <w:szCs w:val="21"/>
                      <w:lang w:bidi="ar"/>
                    </w:rPr>
                    <w:t xml:space="preserve">0.242 </w:t>
                  </w:r>
                </w:p>
              </w:tc>
              <w:tc>
                <w:tcPr>
                  <w:tcW w:w="1356" w:type="dxa"/>
                  <w:vAlign w:val="center"/>
                </w:tcPr>
                <w:p w14:paraId="4087ABD9">
                  <w:pPr>
                    <w:widowControl/>
                    <w:jc w:val="center"/>
                    <w:textAlignment w:val="center"/>
                    <w:rPr>
                      <w:color w:val="auto"/>
                      <w:szCs w:val="21"/>
                    </w:rPr>
                  </w:pPr>
                  <w:r>
                    <w:rPr>
                      <w:color w:val="auto"/>
                      <w:kern w:val="0"/>
                      <w:szCs w:val="21"/>
                      <w:lang w:bidi="ar"/>
                    </w:rPr>
                    <w:t>0.2173</w:t>
                  </w:r>
                </w:p>
              </w:tc>
              <w:tc>
                <w:tcPr>
                  <w:tcW w:w="1437" w:type="dxa"/>
                  <w:vAlign w:val="center"/>
                </w:tcPr>
                <w:p w14:paraId="2FD8829E">
                  <w:pPr>
                    <w:widowControl/>
                    <w:jc w:val="center"/>
                    <w:textAlignment w:val="center"/>
                    <w:rPr>
                      <w:color w:val="auto"/>
                      <w:szCs w:val="21"/>
                    </w:rPr>
                  </w:pPr>
                  <w:r>
                    <w:rPr>
                      <w:color w:val="auto"/>
                      <w:kern w:val="0"/>
                      <w:szCs w:val="21"/>
                      <w:lang w:bidi="ar"/>
                    </w:rPr>
                    <w:t>0.4593</w:t>
                  </w:r>
                </w:p>
              </w:tc>
            </w:tr>
            <w:tr w14:paraId="53C89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9150" w:type="dxa"/>
                  <w:gridSpan w:val="9"/>
                  <w:vAlign w:val="center"/>
                </w:tcPr>
                <w:p w14:paraId="491281B4">
                  <w:pPr>
                    <w:widowControl/>
                    <w:jc w:val="left"/>
                    <w:textAlignment w:val="center"/>
                    <w:rPr>
                      <w:color w:val="auto"/>
                      <w:kern w:val="0"/>
                      <w:szCs w:val="21"/>
                      <w:lang w:bidi="ar"/>
                    </w:rPr>
                  </w:pPr>
                  <w:r>
                    <w:rPr>
                      <w:color w:val="auto"/>
                      <w:kern w:val="0"/>
                      <w:szCs w:val="21"/>
                      <w:lang w:bidi="ar"/>
                    </w:rPr>
                    <w:t>说明：自行车架为管件焊接而成，</w:t>
                  </w:r>
                  <w:r>
                    <w:rPr>
                      <w:rFonts w:hint="eastAsia"/>
                      <w:color w:val="auto"/>
                      <w:kern w:val="0"/>
                      <w:szCs w:val="21"/>
                      <w:lang w:bidi="ar"/>
                    </w:rPr>
                    <w:t>本项目加工时工件状态为焊接后的</w:t>
                  </w:r>
                  <w:r>
                    <w:rPr>
                      <w:color w:val="auto"/>
                      <w:kern w:val="0"/>
                      <w:szCs w:val="21"/>
                      <w:lang w:bidi="ar"/>
                    </w:rPr>
                    <w:t>自行车架</w:t>
                  </w:r>
                  <w:r>
                    <w:rPr>
                      <w:rFonts w:hint="eastAsia"/>
                      <w:color w:val="auto"/>
                      <w:kern w:val="0"/>
                      <w:szCs w:val="21"/>
                      <w:lang w:bidi="ar"/>
                    </w:rPr>
                    <w:t>，项目不从事</w:t>
                  </w:r>
                  <w:r>
                    <w:rPr>
                      <w:color w:val="auto"/>
                      <w:kern w:val="0"/>
                      <w:szCs w:val="21"/>
                      <w:lang w:bidi="ar"/>
                    </w:rPr>
                    <w:t>自行车架</w:t>
                  </w:r>
                  <w:r>
                    <w:rPr>
                      <w:rFonts w:hint="eastAsia"/>
                      <w:color w:val="auto"/>
                      <w:kern w:val="0"/>
                      <w:szCs w:val="21"/>
                      <w:lang w:bidi="ar"/>
                    </w:rPr>
                    <w:t>的焊接。</w:t>
                  </w:r>
                  <w:r>
                    <w:rPr>
                      <w:color w:val="auto"/>
                      <w:kern w:val="0"/>
                      <w:szCs w:val="21"/>
                      <w:lang w:bidi="ar"/>
                    </w:rPr>
                    <w:t>将所有管件近似为圆管，则管件表面积计算如下：</w:t>
                  </w:r>
                </w:p>
                <w:p w14:paraId="6606BD57">
                  <w:pPr>
                    <w:widowControl/>
                    <w:jc w:val="left"/>
                    <w:textAlignment w:val="center"/>
                    <w:rPr>
                      <w:color w:val="auto"/>
                      <w:kern w:val="0"/>
                      <w:szCs w:val="21"/>
                      <w:lang w:bidi="ar"/>
                    </w:rPr>
                  </w:pPr>
                  <w:r>
                    <w:rPr>
                      <w:rFonts w:eastAsia="微软雅黑"/>
                      <w:color w:val="auto"/>
                      <w:kern w:val="0"/>
                      <w:szCs w:val="21"/>
                      <w:lang w:bidi="ar"/>
                    </w:rPr>
                    <w:t>①</w:t>
                  </w:r>
                  <w:r>
                    <w:rPr>
                      <w:color w:val="auto"/>
                      <w:kern w:val="0"/>
                      <w:szCs w:val="21"/>
                      <w:lang w:bidi="ar"/>
                    </w:rPr>
                    <w:t>外表面积=π</w:t>
                  </w:r>
                  <w:r>
                    <w:rPr>
                      <w:color w:val="auto"/>
                    </w:rPr>
                    <w:t>×</w:t>
                  </w:r>
                  <w:r>
                    <w:rPr>
                      <w:color w:val="auto"/>
                      <w:kern w:val="0"/>
                      <w:szCs w:val="21"/>
                      <w:lang w:bidi="ar"/>
                    </w:rPr>
                    <w:t>直径</w:t>
                  </w:r>
                  <w:r>
                    <w:rPr>
                      <w:color w:val="auto"/>
                    </w:rPr>
                    <w:t>×</w:t>
                  </w:r>
                  <w:r>
                    <w:rPr>
                      <w:color w:val="auto"/>
                      <w:kern w:val="0"/>
                      <w:szCs w:val="21"/>
                      <w:lang w:bidi="ar"/>
                    </w:rPr>
                    <w:t>长度</w:t>
                  </w:r>
                  <w:r>
                    <w:rPr>
                      <w:color w:val="auto"/>
                    </w:rPr>
                    <w:t>×数量</w:t>
                  </w:r>
                  <w:r>
                    <w:rPr>
                      <w:color w:val="auto"/>
                      <w:kern w:val="0"/>
                      <w:szCs w:val="21"/>
                      <w:lang w:bidi="ar"/>
                    </w:rPr>
                    <w:t>÷1000000</w:t>
                  </w:r>
                </w:p>
                <w:p w14:paraId="2B9AA27A">
                  <w:pPr>
                    <w:widowControl/>
                    <w:jc w:val="left"/>
                    <w:textAlignment w:val="center"/>
                    <w:rPr>
                      <w:color w:val="auto"/>
                      <w:kern w:val="0"/>
                      <w:szCs w:val="21"/>
                      <w:lang w:bidi="ar"/>
                    </w:rPr>
                  </w:pPr>
                  <w:r>
                    <w:rPr>
                      <w:color w:val="auto"/>
                    </w:rPr>
                    <w:t>②内表面积=π×（直径-2×壁厚）×</w:t>
                  </w:r>
                  <w:r>
                    <w:rPr>
                      <w:color w:val="auto"/>
                      <w:kern w:val="0"/>
                      <w:szCs w:val="21"/>
                      <w:lang w:bidi="ar"/>
                    </w:rPr>
                    <w:t>长度</w:t>
                  </w:r>
                  <w:r>
                    <w:rPr>
                      <w:color w:val="auto"/>
                    </w:rPr>
                    <w:t>×数量</w:t>
                  </w:r>
                  <w:r>
                    <w:rPr>
                      <w:color w:val="auto"/>
                      <w:kern w:val="0"/>
                      <w:szCs w:val="21"/>
                      <w:lang w:bidi="ar"/>
                    </w:rPr>
                    <w:t>÷1000000</w:t>
                  </w:r>
                </w:p>
                <w:p w14:paraId="6657DD10">
                  <w:pPr>
                    <w:widowControl/>
                    <w:jc w:val="left"/>
                    <w:textAlignment w:val="center"/>
                    <w:rPr>
                      <w:color w:val="auto"/>
                    </w:rPr>
                  </w:pPr>
                  <w:r>
                    <w:rPr>
                      <w:color w:val="auto"/>
                    </w:rPr>
                    <w:t>③总表面积=外表面积+内表面积</w:t>
                  </w:r>
                </w:p>
              </w:tc>
            </w:tr>
          </w:tbl>
          <w:p w14:paraId="51852570">
            <w:pPr>
              <w:adjustRightInd w:val="0"/>
              <w:snapToGrid w:val="0"/>
              <w:rPr>
                <w:b/>
                <w:color w:val="auto"/>
                <w:szCs w:val="21"/>
              </w:rPr>
            </w:pPr>
          </w:p>
          <w:p w14:paraId="7BFA2C40">
            <w:pPr>
              <w:numPr>
                <w:ilvl w:val="0"/>
                <w:numId w:val="10"/>
              </w:numPr>
              <w:adjustRightInd w:val="0"/>
              <w:snapToGrid w:val="0"/>
              <w:jc w:val="center"/>
              <w:rPr>
                <w:b/>
                <w:color w:val="auto"/>
                <w:szCs w:val="21"/>
              </w:rPr>
            </w:pPr>
            <w:r>
              <w:rPr>
                <w:b/>
                <w:color w:val="auto"/>
                <w:szCs w:val="21"/>
              </w:rPr>
              <w:t>项目</w:t>
            </w:r>
            <w:r>
              <w:rPr>
                <w:rFonts w:hint="eastAsia"/>
                <w:b/>
                <w:color w:val="auto"/>
                <w:szCs w:val="21"/>
              </w:rPr>
              <w:t>电动助力车车架</w:t>
            </w:r>
            <w:r>
              <w:rPr>
                <w:b/>
                <w:color w:val="auto"/>
                <w:szCs w:val="21"/>
              </w:rPr>
              <w:t>规格参数一览表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1476"/>
              <w:gridCol w:w="967"/>
              <w:gridCol w:w="669"/>
              <w:gridCol w:w="857"/>
              <w:gridCol w:w="717"/>
              <w:gridCol w:w="717"/>
              <w:gridCol w:w="1098"/>
              <w:gridCol w:w="1109"/>
              <w:gridCol w:w="1087"/>
            </w:tblGrid>
            <w:tr w14:paraId="29160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0"/>
                  <w:vAlign w:val="center"/>
                </w:tcPr>
                <w:p w14:paraId="4780890A">
                  <w:pPr>
                    <w:widowControl/>
                    <w:jc w:val="center"/>
                    <w:textAlignment w:val="center"/>
                    <w:rPr>
                      <w:color w:val="auto"/>
                      <w:szCs w:val="21"/>
                    </w:rPr>
                  </w:pPr>
                  <w:r>
                    <w:rPr>
                      <w:b/>
                      <w:bCs/>
                      <w:color w:val="auto"/>
                      <w:kern w:val="0"/>
                      <w:szCs w:val="21"/>
                      <w:lang w:bidi="ar"/>
                    </w:rPr>
                    <w:t>产品-</w:t>
                  </w:r>
                  <w:r>
                    <w:rPr>
                      <w:rFonts w:hint="eastAsia"/>
                      <w:b/>
                      <w:bCs/>
                      <w:color w:val="auto"/>
                      <w:kern w:val="0"/>
                      <w:szCs w:val="21"/>
                      <w:lang w:bidi="ar"/>
                    </w:rPr>
                    <w:t>碳钢电动助力车车架</w:t>
                  </w:r>
                  <w:r>
                    <w:rPr>
                      <w:b/>
                      <w:bCs/>
                      <w:color w:val="auto"/>
                      <w:kern w:val="0"/>
                      <w:szCs w:val="21"/>
                      <w:lang w:bidi="ar"/>
                    </w:rPr>
                    <w:t>（</w:t>
                  </w:r>
                  <w:r>
                    <w:rPr>
                      <w:rFonts w:hint="eastAsia"/>
                      <w:b/>
                      <w:bCs/>
                      <w:color w:val="auto"/>
                      <w:kern w:val="0"/>
                      <w:szCs w:val="21"/>
                      <w:lang w:bidi="ar"/>
                    </w:rPr>
                    <w:t>6</w:t>
                  </w:r>
                  <w:r>
                    <w:rPr>
                      <w:b/>
                      <w:bCs/>
                      <w:color w:val="auto"/>
                      <w:kern w:val="0"/>
                      <w:szCs w:val="21"/>
                      <w:lang w:bidi="ar"/>
                    </w:rPr>
                    <w:t>kg）</w:t>
                  </w:r>
                </w:p>
              </w:tc>
            </w:tr>
            <w:tr w14:paraId="38172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80" w:type="pct"/>
                  <w:vMerge w:val="restart"/>
                  <w:vAlign w:val="center"/>
                </w:tcPr>
                <w:p w14:paraId="4DF57826">
                  <w:pPr>
                    <w:widowControl/>
                    <w:jc w:val="center"/>
                    <w:textAlignment w:val="center"/>
                    <w:rPr>
                      <w:b/>
                      <w:bCs/>
                      <w:color w:val="auto"/>
                      <w:szCs w:val="21"/>
                    </w:rPr>
                  </w:pPr>
                  <w:r>
                    <w:rPr>
                      <w:b/>
                      <w:bCs/>
                      <w:color w:val="auto"/>
                      <w:kern w:val="0"/>
                      <w:szCs w:val="21"/>
                      <w:lang w:bidi="ar"/>
                    </w:rPr>
                    <w:t>单位产品物料使用情况</w:t>
                  </w:r>
                </w:p>
              </w:tc>
              <w:tc>
                <w:tcPr>
                  <w:tcW w:w="801" w:type="pct"/>
                  <w:vMerge w:val="restart"/>
                  <w:vAlign w:val="center"/>
                </w:tcPr>
                <w:p w14:paraId="5D0F30AE">
                  <w:pPr>
                    <w:widowControl/>
                    <w:jc w:val="center"/>
                    <w:textAlignment w:val="center"/>
                    <w:rPr>
                      <w:b/>
                      <w:bCs/>
                      <w:color w:val="auto"/>
                      <w:szCs w:val="21"/>
                    </w:rPr>
                  </w:pPr>
                  <w:r>
                    <w:rPr>
                      <w:b/>
                      <w:bCs/>
                      <w:color w:val="auto"/>
                      <w:kern w:val="0"/>
                      <w:szCs w:val="21"/>
                      <w:lang w:bidi="ar"/>
                    </w:rPr>
                    <w:t>物料</w:t>
                  </w:r>
                </w:p>
              </w:tc>
              <w:tc>
                <w:tcPr>
                  <w:tcW w:w="1742" w:type="pct"/>
                  <w:gridSpan w:val="4"/>
                  <w:vAlign w:val="center"/>
                </w:tcPr>
                <w:p w14:paraId="2ACB6C1D">
                  <w:pPr>
                    <w:widowControl/>
                    <w:jc w:val="center"/>
                    <w:textAlignment w:val="center"/>
                    <w:rPr>
                      <w:b/>
                      <w:bCs/>
                      <w:color w:val="auto"/>
                      <w:szCs w:val="21"/>
                    </w:rPr>
                  </w:pPr>
                  <w:r>
                    <w:rPr>
                      <w:b/>
                      <w:bCs/>
                      <w:color w:val="auto"/>
                      <w:kern w:val="0"/>
                      <w:szCs w:val="21"/>
                      <w:lang w:bidi="ar"/>
                    </w:rPr>
                    <w:t>尺寸（</w:t>
                  </w:r>
                  <w:r>
                    <w:rPr>
                      <w:rFonts w:hint="eastAsia"/>
                      <w:b/>
                      <w:bCs/>
                      <w:color w:val="auto"/>
                      <w:kern w:val="0"/>
                      <w:szCs w:val="21"/>
                      <w:lang w:bidi="ar"/>
                    </w:rPr>
                    <w:t>m</w:t>
                  </w:r>
                  <w:r>
                    <w:rPr>
                      <w:b/>
                      <w:bCs/>
                      <w:color w:val="auto"/>
                      <w:kern w:val="0"/>
                      <w:szCs w:val="21"/>
                      <w:lang w:bidi="ar"/>
                    </w:rPr>
                    <w:t>m）</w:t>
                  </w:r>
                </w:p>
              </w:tc>
              <w:tc>
                <w:tcPr>
                  <w:tcW w:w="387" w:type="pct"/>
                  <w:vMerge w:val="restart"/>
                  <w:vAlign w:val="center"/>
                </w:tcPr>
                <w:p w14:paraId="58FF5366">
                  <w:pPr>
                    <w:widowControl/>
                    <w:jc w:val="center"/>
                    <w:textAlignment w:val="center"/>
                    <w:rPr>
                      <w:b/>
                      <w:bCs/>
                      <w:color w:val="auto"/>
                      <w:szCs w:val="21"/>
                    </w:rPr>
                  </w:pPr>
                  <w:r>
                    <w:rPr>
                      <w:b/>
                      <w:bCs/>
                      <w:color w:val="auto"/>
                      <w:kern w:val="0"/>
                      <w:szCs w:val="21"/>
                      <w:lang w:bidi="ar"/>
                    </w:rPr>
                    <w:t>数量</w:t>
                  </w:r>
                </w:p>
              </w:tc>
              <w:tc>
                <w:tcPr>
                  <w:tcW w:w="596" w:type="pct"/>
                  <w:vMerge w:val="restart"/>
                  <w:vAlign w:val="center"/>
                </w:tcPr>
                <w:p w14:paraId="562F591A">
                  <w:pPr>
                    <w:widowControl/>
                    <w:jc w:val="center"/>
                    <w:textAlignment w:val="center"/>
                    <w:rPr>
                      <w:b/>
                      <w:bCs/>
                      <w:color w:val="auto"/>
                      <w:szCs w:val="21"/>
                    </w:rPr>
                  </w:pPr>
                  <w:r>
                    <w:rPr>
                      <w:b/>
                      <w:bCs/>
                      <w:color w:val="auto"/>
                      <w:kern w:val="0"/>
                      <w:szCs w:val="21"/>
                      <w:lang w:bidi="ar"/>
                    </w:rPr>
                    <w:t>前处理外表面积（m</w:t>
                  </w:r>
                  <w:r>
                    <w:rPr>
                      <w:b/>
                      <w:bCs/>
                      <w:color w:val="auto"/>
                      <w:kern w:val="0"/>
                      <w:szCs w:val="21"/>
                      <w:vertAlign w:val="superscript"/>
                      <w:lang w:bidi="ar"/>
                    </w:rPr>
                    <w:t>2</w:t>
                  </w:r>
                  <w:r>
                    <w:rPr>
                      <w:b/>
                      <w:bCs/>
                      <w:color w:val="auto"/>
                      <w:kern w:val="0"/>
                      <w:szCs w:val="21"/>
                      <w:lang w:bidi="ar"/>
                    </w:rPr>
                    <w:t>）</w:t>
                  </w:r>
                </w:p>
              </w:tc>
              <w:tc>
                <w:tcPr>
                  <w:tcW w:w="602" w:type="pct"/>
                  <w:vMerge w:val="restart"/>
                  <w:vAlign w:val="center"/>
                </w:tcPr>
                <w:p w14:paraId="717A2D9B">
                  <w:pPr>
                    <w:widowControl/>
                    <w:jc w:val="center"/>
                    <w:textAlignment w:val="center"/>
                    <w:rPr>
                      <w:b/>
                      <w:bCs/>
                      <w:color w:val="auto"/>
                      <w:szCs w:val="21"/>
                    </w:rPr>
                  </w:pPr>
                  <w:r>
                    <w:rPr>
                      <w:b/>
                      <w:bCs/>
                      <w:color w:val="auto"/>
                      <w:kern w:val="0"/>
                      <w:szCs w:val="21"/>
                      <w:lang w:bidi="ar"/>
                    </w:rPr>
                    <w:t>前处理内表面积（m</w:t>
                  </w:r>
                  <w:r>
                    <w:rPr>
                      <w:b/>
                      <w:bCs/>
                      <w:color w:val="auto"/>
                      <w:kern w:val="0"/>
                      <w:szCs w:val="21"/>
                      <w:vertAlign w:val="superscript"/>
                      <w:lang w:bidi="ar"/>
                    </w:rPr>
                    <w:t>2</w:t>
                  </w:r>
                  <w:r>
                    <w:rPr>
                      <w:b/>
                      <w:bCs/>
                      <w:color w:val="auto"/>
                      <w:kern w:val="0"/>
                      <w:szCs w:val="21"/>
                      <w:lang w:bidi="ar"/>
                    </w:rPr>
                    <w:t>）</w:t>
                  </w:r>
                </w:p>
              </w:tc>
              <w:tc>
                <w:tcPr>
                  <w:tcW w:w="590" w:type="pct"/>
                  <w:vMerge w:val="restart"/>
                  <w:vAlign w:val="center"/>
                </w:tcPr>
                <w:p w14:paraId="77349A7A">
                  <w:pPr>
                    <w:widowControl/>
                    <w:jc w:val="center"/>
                    <w:textAlignment w:val="center"/>
                    <w:rPr>
                      <w:b/>
                      <w:bCs/>
                      <w:color w:val="auto"/>
                      <w:szCs w:val="21"/>
                    </w:rPr>
                  </w:pPr>
                  <w:r>
                    <w:rPr>
                      <w:b/>
                      <w:bCs/>
                      <w:color w:val="auto"/>
                      <w:kern w:val="0"/>
                      <w:szCs w:val="21"/>
                      <w:lang w:bidi="ar"/>
                    </w:rPr>
                    <w:t>前处理总表面积（m</w:t>
                  </w:r>
                  <w:r>
                    <w:rPr>
                      <w:b/>
                      <w:bCs/>
                      <w:color w:val="auto"/>
                      <w:kern w:val="0"/>
                      <w:szCs w:val="21"/>
                      <w:vertAlign w:val="superscript"/>
                      <w:lang w:bidi="ar"/>
                    </w:rPr>
                    <w:t>2</w:t>
                  </w:r>
                  <w:r>
                    <w:rPr>
                      <w:b/>
                      <w:bCs/>
                      <w:color w:val="auto"/>
                      <w:kern w:val="0"/>
                      <w:szCs w:val="21"/>
                      <w:lang w:bidi="ar"/>
                    </w:rPr>
                    <w:t>）</w:t>
                  </w:r>
                </w:p>
              </w:tc>
            </w:tr>
            <w:tr w14:paraId="4FADE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6C558DA2">
                  <w:pPr>
                    <w:jc w:val="center"/>
                    <w:rPr>
                      <w:b/>
                      <w:bCs/>
                      <w:color w:val="auto"/>
                      <w:szCs w:val="21"/>
                    </w:rPr>
                  </w:pPr>
                </w:p>
              </w:tc>
              <w:tc>
                <w:tcPr>
                  <w:tcW w:w="801" w:type="pct"/>
                  <w:vMerge w:val="continue"/>
                  <w:vAlign w:val="center"/>
                </w:tcPr>
                <w:p w14:paraId="292777E3">
                  <w:pPr>
                    <w:jc w:val="center"/>
                    <w:rPr>
                      <w:b/>
                      <w:bCs/>
                      <w:color w:val="auto"/>
                      <w:szCs w:val="21"/>
                    </w:rPr>
                  </w:pPr>
                </w:p>
              </w:tc>
              <w:tc>
                <w:tcPr>
                  <w:tcW w:w="525" w:type="pct"/>
                  <w:vAlign w:val="center"/>
                </w:tcPr>
                <w:p w14:paraId="6A2F1900">
                  <w:pPr>
                    <w:widowControl/>
                    <w:jc w:val="center"/>
                    <w:textAlignment w:val="center"/>
                    <w:rPr>
                      <w:b/>
                      <w:bCs/>
                      <w:color w:val="auto"/>
                      <w:szCs w:val="21"/>
                    </w:rPr>
                  </w:pPr>
                  <w:r>
                    <w:rPr>
                      <w:rFonts w:hint="eastAsia"/>
                      <w:b/>
                      <w:bCs/>
                      <w:color w:val="auto"/>
                      <w:kern w:val="0"/>
                      <w:szCs w:val="21"/>
                      <w:lang w:bidi="ar"/>
                    </w:rPr>
                    <w:t>管直径/支架</w:t>
                  </w:r>
                  <w:r>
                    <w:rPr>
                      <w:b/>
                      <w:bCs/>
                      <w:color w:val="auto"/>
                      <w:kern w:val="0"/>
                      <w:szCs w:val="21"/>
                      <w:lang w:bidi="ar"/>
                    </w:rPr>
                    <w:t>长</w:t>
                  </w:r>
                </w:p>
              </w:tc>
              <w:tc>
                <w:tcPr>
                  <w:tcW w:w="363" w:type="pct"/>
                  <w:vAlign w:val="center"/>
                </w:tcPr>
                <w:p w14:paraId="2BDF1787">
                  <w:pPr>
                    <w:widowControl/>
                    <w:jc w:val="center"/>
                    <w:textAlignment w:val="center"/>
                    <w:rPr>
                      <w:b/>
                      <w:bCs/>
                      <w:color w:val="auto"/>
                      <w:szCs w:val="21"/>
                    </w:rPr>
                  </w:pPr>
                  <w:r>
                    <w:rPr>
                      <w:rFonts w:hint="eastAsia"/>
                      <w:b/>
                      <w:bCs/>
                      <w:color w:val="auto"/>
                      <w:kern w:val="0"/>
                      <w:szCs w:val="21"/>
                      <w:lang w:bidi="ar"/>
                    </w:rPr>
                    <w:t>管长</w:t>
                  </w:r>
                </w:p>
              </w:tc>
              <w:tc>
                <w:tcPr>
                  <w:tcW w:w="465" w:type="pct"/>
                  <w:vAlign w:val="center"/>
                </w:tcPr>
                <w:p w14:paraId="2896598E">
                  <w:pPr>
                    <w:widowControl/>
                    <w:jc w:val="center"/>
                    <w:textAlignment w:val="center"/>
                    <w:rPr>
                      <w:b/>
                      <w:bCs/>
                      <w:color w:val="auto"/>
                      <w:szCs w:val="21"/>
                    </w:rPr>
                  </w:pPr>
                  <w:r>
                    <w:rPr>
                      <w:rFonts w:hint="eastAsia"/>
                      <w:b/>
                      <w:bCs/>
                      <w:color w:val="auto"/>
                      <w:kern w:val="0"/>
                      <w:szCs w:val="21"/>
                      <w:lang w:bidi="ar"/>
                    </w:rPr>
                    <w:t>支架宽</w:t>
                  </w:r>
                </w:p>
              </w:tc>
              <w:tc>
                <w:tcPr>
                  <w:tcW w:w="388" w:type="pct"/>
                  <w:vAlign w:val="center"/>
                </w:tcPr>
                <w:p w14:paraId="2AF66950">
                  <w:pPr>
                    <w:widowControl/>
                    <w:jc w:val="center"/>
                    <w:textAlignment w:val="center"/>
                    <w:rPr>
                      <w:b/>
                      <w:bCs/>
                      <w:color w:val="auto"/>
                      <w:szCs w:val="21"/>
                    </w:rPr>
                  </w:pPr>
                  <w:r>
                    <w:rPr>
                      <w:b/>
                      <w:bCs/>
                      <w:color w:val="auto"/>
                      <w:kern w:val="0"/>
                      <w:szCs w:val="21"/>
                      <w:lang w:bidi="ar"/>
                    </w:rPr>
                    <w:t>壁厚</w:t>
                  </w:r>
                </w:p>
              </w:tc>
              <w:tc>
                <w:tcPr>
                  <w:tcW w:w="387" w:type="pct"/>
                  <w:vMerge w:val="continue"/>
                  <w:vAlign w:val="center"/>
                </w:tcPr>
                <w:p w14:paraId="4A32FBE7">
                  <w:pPr>
                    <w:jc w:val="center"/>
                    <w:rPr>
                      <w:b/>
                      <w:bCs/>
                      <w:color w:val="auto"/>
                      <w:szCs w:val="21"/>
                    </w:rPr>
                  </w:pPr>
                </w:p>
              </w:tc>
              <w:tc>
                <w:tcPr>
                  <w:tcW w:w="596" w:type="pct"/>
                  <w:vMerge w:val="continue"/>
                  <w:vAlign w:val="center"/>
                </w:tcPr>
                <w:p w14:paraId="20F69E98">
                  <w:pPr>
                    <w:jc w:val="center"/>
                    <w:rPr>
                      <w:b/>
                      <w:bCs/>
                      <w:color w:val="auto"/>
                      <w:szCs w:val="21"/>
                    </w:rPr>
                  </w:pPr>
                </w:p>
              </w:tc>
              <w:tc>
                <w:tcPr>
                  <w:tcW w:w="602" w:type="pct"/>
                  <w:vMerge w:val="continue"/>
                  <w:vAlign w:val="center"/>
                </w:tcPr>
                <w:p w14:paraId="302EE03F">
                  <w:pPr>
                    <w:jc w:val="center"/>
                    <w:rPr>
                      <w:b/>
                      <w:bCs/>
                      <w:color w:val="auto"/>
                      <w:szCs w:val="21"/>
                    </w:rPr>
                  </w:pPr>
                </w:p>
              </w:tc>
              <w:tc>
                <w:tcPr>
                  <w:tcW w:w="590" w:type="pct"/>
                  <w:vMerge w:val="continue"/>
                  <w:vAlign w:val="center"/>
                </w:tcPr>
                <w:p w14:paraId="115D9F1D">
                  <w:pPr>
                    <w:jc w:val="center"/>
                    <w:rPr>
                      <w:b/>
                      <w:bCs/>
                      <w:color w:val="auto"/>
                      <w:szCs w:val="21"/>
                    </w:rPr>
                  </w:pPr>
                </w:p>
              </w:tc>
            </w:tr>
            <w:tr w14:paraId="3AFB2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5D8ECDDC">
                  <w:pPr>
                    <w:jc w:val="center"/>
                    <w:rPr>
                      <w:color w:val="auto"/>
                      <w:szCs w:val="21"/>
                    </w:rPr>
                  </w:pPr>
                </w:p>
              </w:tc>
              <w:tc>
                <w:tcPr>
                  <w:tcW w:w="801" w:type="pct"/>
                  <w:vAlign w:val="center"/>
                </w:tcPr>
                <w:p w14:paraId="4A7C51CE">
                  <w:pPr>
                    <w:widowControl/>
                    <w:jc w:val="center"/>
                    <w:textAlignment w:val="center"/>
                    <w:rPr>
                      <w:rFonts w:eastAsiaTheme="minorEastAsia"/>
                      <w:color w:val="auto"/>
                      <w:szCs w:val="21"/>
                    </w:rPr>
                  </w:pPr>
                  <w:r>
                    <w:rPr>
                      <w:rFonts w:hint="eastAsia"/>
                      <w:color w:val="auto"/>
                      <w:kern w:val="0"/>
                      <w:szCs w:val="21"/>
                      <w:lang w:bidi="ar"/>
                    </w:rPr>
                    <w:t>头管</w:t>
                  </w:r>
                </w:p>
              </w:tc>
              <w:tc>
                <w:tcPr>
                  <w:tcW w:w="525" w:type="pct"/>
                  <w:vAlign w:val="center"/>
                </w:tcPr>
                <w:p w14:paraId="1E5B205C">
                  <w:pPr>
                    <w:widowControl/>
                    <w:jc w:val="center"/>
                    <w:textAlignment w:val="center"/>
                    <w:rPr>
                      <w:color w:val="auto"/>
                      <w:szCs w:val="21"/>
                    </w:rPr>
                  </w:pPr>
                  <w:r>
                    <w:rPr>
                      <w:rFonts w:hint="eastAsia"/>
                      <w:color w:val="auto"/>
                      <w:szCs w:val="21"/>
                    </w:rPr>
                    <w:t>32</w:t>
                  </w:r>
                </w:p>
              </w:tc>
              <w:tc>
                <w:tcPr>
                  <w:tcW w:w="363" w:type="pct"/>
                  <w:vAlign w:val="center"/>
                </w:tcPr>
                <w:p w14:paraId="28F518B4">
                  <w:pPr>
                    <w:widowControl/>
                    <w:jc w:val="center"/>
                    <w:textAlignment w:val="center"/>
                    <w:rPr>
                      <w:color w:val="auto"/>
                      <w:szCs w:val="21"/>
                    </w:rPr>
                  </w:pPr>
                  <w:r>
                    <w:rPr>
                      <w:rFonts w:hint="eastAsia"/>
                      <w:color w:val="auto"/>
                      <w:szCs w:val="21"/>
                    </w:rPr>
                    <w:t>155</w:t>
                  </w:r>
                </w:p>
              </w:tc>
              <w:tc>
                <w:tcPr>
                  <w:tcW w:w="465" w:type="pct"/>
                  <w:vAlign w:val="center"/>
                </w:tcPr>
                <w:p w14:paraId="5DC17C78">
                  <w:pPr>
                    <w:widowControl/>
                    <w:jc w:val="center"/>
                    <w:textAlignment w:val="center"/>
                    <w:rPr>
                      <w:color w:val="auto"/>
                      <w:szCs w:val="21"/>
                    </w:rPr>
                  </w:pPr>
                  <w:r>
                    <w:rPr>
                      <w:rFonts w:hint="eastAsia"/>
                      <w:color w:val="auto"/>
                      <w:szCs w:val="21"/>
                    </w:rPr>
                    <w:t>/</w:t>
                  </w:r>
                </w:p>
              </w:tc>
              <w:tc>
                <w:tcPr>
                  <w:tcW w:w="388" w:type="pct"/>
                  <w:vAlign w:val="center"/>
                </w:tcPr>
                <w:p w14:paraId="62D0E195">
                  <w:pPr>
                    <w:widowControl/>
                    <w:jc w:val="center"/>
                    <w:textAlignment w:val="center"/>
                    <w:rPr>
                      <w:color w:val="auto"/>
                      <w:szCs w:val="21"/>
                    </w:rPr>
                  </w:pPr>
                  <w:r>
                    <w:rPr>
                      <w:rFonts w:hint="eastAsia"/>
                      <w:color w:val="auto"/>
                      <w:szCs w:val="21"/>
                    </w:rPr>
                    <w:t>1.2</w:t>
                  </w:r>
                </w:p>
              </w:tc>
              <w:tc>
                <w:tcPr>
                  <w:tcW w:w="387" w:type="pct"/>
                  <w:vAlign w:val="center"/>
                </w:tcPr>
                <w:p w14:paraId="026AF0BE">
                  <w:pPr>
                    <w:widowControl/>
                    <w:jc w:val="center"/>
                    <w:textAlignment w:val="center"/>
                    <w:rPr>
                      <w:color w:val="auto"/>
                      <w:szCs w:val="21"/>
                    </w:rPr>
                  </w:pPr>
                  <w:r>
                    <w:rPr>
                      <w:rFonts w:hint="eastAsia"/>
                      <w:color w:val="auto"/>
                      <w:szCs w:val="21"/>
                    </w:rPr>
                    <w:t>1</w:t>
                  </w:r>
                </w:p>
              </w:tc>
              <w:tc>
                <w:tcPr>
                  <w:tcW w:w="596" w:type="pct"/>
                  <w:vAlign w:val="center"/>
                </w:tcPr>
                <w:p w14:paraId="5BA253CE">
                  <w:pPr>
                    <w:widowControl/>
                    <w:jc w:val="center"/>
                    <w:textAlignment w:val="center"/>
                    <w:rPr>
                      <w:color w:val="auto"/>
                      <w:szCs w:val="21"/>
                    </w:rPr>
                  </w:pPr>
                  <w:r>
                    <w:rPr>
                      <w:color w:val="auto"/>
                      <w:kern w:val="0"/>
                      <w:szCs w:val="21"/>
                      <w:lang w:bidi="ar"/>
                    </w:rPr>
                    <w:t>0.0156</w:t>
                  </w:r>
                </w:p>
              </w:tc>
              <w:tc>
                <w:tcPr>
                  <w:tcW w:w="602" w:type="pct"/>
                  <w:vAlign w:val="center"/>
                </w:tcPr>
                <w:p w14:paraId="7D75FB2C">
                  <w:pPr>
                    <w:widowControl/>
                    <w:jc w:val="center"/>
                    <w:textAlignment w:val="center"/>
                    <w:rPr>
                      <w:color w:val="auto"/>
                      <w:szCs w:val="21"/>
                    </w:rPr>
                  </w:pPr>
                  <w:r>
                    <w:rPr>
                      <w:color w:val="auto"/>
                      <w:kern w:val="0"/>
                      <w:szCs w:val="21"/>
                      <w:lang w:bidi="ar"/>
                    </w:rPr>
                    <w:t>0.0144</w:t>
                  </w:r>
                </w:p>
              </w:tc>
              <w:tc>
                <w:tcPr>
                  <w:tcW w:w="590" w:type="pct"/>
                  <w:vAlign w:val="center"/>
                </w:tcPr>
                <w:p w14:paraId="3231C910">
                  <w:pPr>
                    <w:widowControl/>
                    <w:jc w:val="center"/>
                    <w:textAlignment w:val="center"/>
                    <w:rPr>
                      <w:color w:val="auto"/>
                      <w:szCs w:val="21"/>
                    </w:rPr>
                  </w:pPr>
                  <w:r>
                    <w:rPr>
                      <w:color w:val="auto"/>
                      <w:kern w:val="0"/>
                      <w:szCs w:val="21"/>
                      <w:lang w:bidi="ar"/>
                    </w:rPr>
                    <w:t>0.03</w:t>
                  </w:r>
                </w:p>
              </w:tc>
            </w:tr>
            <w:tr w14:paraId="6242D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0" w:type="pct"/>
                  <w:vMerge w:val="continue"/>
                  <w:vAlign w:val="center"/>
                </w:tcPr>
                <w:p w14:paraId="50A8B8D4">
                  <w:pPr>
                    <w:jc w:val="center"/>
                    <w:rPr>
                      <w:color w:val="auto"/>
                      <w:szCs w:val="21"/>
                    </w:rPr>
                  </w:pPr>
                </w:p>
              </w:tc>
              <w:tc>
                <w:tcPr>
                  <w:tcW w:w="801" w:type="pct"/>
                  <w:vAlign w:val="center"/>
                </w:tcPr>
                <w:p w14:paraId="73C7749B">
                  <w:pPr>
                    <w:jc w:val="center"/>
                    <w:rPr>
                      <w:rFonts w:eastAsiaTheme="minorEastAsia"/>
                      <w:color w:val="auto"/>
                      <w:szCs w:val="21"/>
                    </w:rPr>
                  </w:pPr>
                  <w:r>
                    <w:rPr>
                      <w:rFonts w:hint="eastAsia"/>
                      <w:color w:val="auto"/>
                      <w:szCs w:val="21"/>
                    </w:rPr>
                    <w:t>主梁管</w:t>
                  </w:r>
                </w:p>
              </w:tc>
              <w:tc>
                <w:tcPr>
                  <w:tcW w:w="525" w:type="pct"/>
                  <w:vAlign w:val="center"/>
                </w:tcPr>
                <w:p w14:paraId="45D1451C">
                  <w:pPr>
                    <w:widowControl/>
                    <w:jc w:val="center"/>
                    <w:textAlignment w:val="center"/>
                    <w:rPr>
                      <w:color w:val="auto"/>
                      <w:szCs w:val="21"/>
                    </w:rPr>
                  </w:pPr>
                  <w:r>
                    <w:rPr>
                      <w:rFonts w:hint="eastAsia"/>
                      <w:color w:val="auto"/>
                      <w:szCs w:val="21"/>
                    </w:rPr>
                    <w:t>50</w:t>
                  </w:r>
                </w:p>
              </w:tc>
              <w:tc>
                <w:tcPr>
                  <w:tcW w:w="363" w:type="pct"/>
                  <w:vAlign w:val="center"/>
                </w:tcPr>
                <w:p w14:paraId="0855251B">
                  <w:pPr>
                    <w:widowControl/>
                    <w:jc w:val="center"/>
                    <w:textAlignment w:val="center"/>
                    <w:rPr>
                      <w:color w:val="auto"/>
                      <w:szCs w:val="21"/>
                    </w:rPr>
                  </w:pPr>
                  <w:r>
                    <w:rPr>
                      <w:rFonts w:hint="eastAsia"/>
                      <w:color w:val="auto"/>
                      <w:szCs w:val="21"/>
                    </w:rPr>
                    <w:t>450</w:t>
                  </w:r>
                </w:p>
              </w:tc>
              <w:tc>
                <w:tcPr>
                  <w:tcW w:w="465" w:type="pct"/>
                  <w:vAlign w:val="center"/>
                </w:tcPr>
                <w:p w14:paraId="457D3FCB">
                  <w:pPr>
                    <w:widowControl/>
                    <w:jc w:val="center"/>
                    <w:textAlignment w:val="center"/>
                    <w:rPr>
                      <w:color w:val="auto"/>
                      <w:szCs w:val="21"/>
                    </w:rPr>
                  </w:pPr>
                  <w:r>
                    <w:rPr>
                      <w:rFonts w:hint="eastAsia"/>
                      <w:color w:val="auto"/>
                      <w:szCs w:val="21"/>
                    </w:rPr>
                    <w:t>/</w:t>
                  </w:r>
                </w:p>
              </w:tc>
              <w:tc>
                <w:tcPr>
                  <w:tcW w:w="388" w:type="pct"/>
                  <w:vAlign w:val="center"/>
                </w:tcPr>
                <w:p w14:paraId="7105376B">
                  <w:pPr>
                    <w:widowControl/>
                    <w:jc w:val="center"/>
                    <w:textAlignment w:val="center"/>
                    <w:rPr>
                      <w:color w:val="auto"/>
                      <w:szCs w:val="21"/>
                    </w:rPr>
                  </w:pPr>
                  <w:r>
                    <w:rPr>
                      <w:rFonts w:hint="eastAsia"/>
                      <w:color w:val="auto"/>
                      <w:szCs w:val="21"/>
                    </w:rPr>
                    <w:t>1.2</w:t>
                  </w:r>
                </w:p>
              </w:tc>
              <w:tc>
                <w:tcPr>
                  <w:tcW w:w="387" w:type="pct"/>
                  <w:vAlign w:val="center"/>
                </w:tcPr>
                <w:p w14:paraId="702BFA8E">
                  <w:pPr>
                    <w:widowControl/>
                    <w:jc w:val="center"/>
                    <w:textAlignment w:val="center"/>
                    <w:rPr>
                      <w:color w:val="auto"/>
                      <w:szCs w:val="21"/>
                    </w:rPr>
                  </w:pPr>
                  <w:r>
                    <w:rPr>
                      <w:rFonts w:hint="eastAsia"/>
                      <w:color w:val="auto"/>
                      <w:szCs w:val="21"/>
                    </w:rPr>
                    <w:t>1</w:t>
                  </w:r>
                </w:p>
              </w:tc>
              <w:tc>
                <w:tcPr>
                  <w:tcW w:w="596" w:type="pct"/>
                  <w:vAlign w:val="center"/>
                </w:tcPr>
                <w:p w14:paraId="62380EFF">
                  <w:pPr>
                    <w:widowControl/>
                    <w:jc w:val="center"/>
                    <w:textAlignment w:val="center"/>
                    <w:rPr>
                      <w:color w:val="auto"/>
                      <w:szCs w:val="21"/>
                    </w:rPr>
                  </w:pPr>
                  <w:r>
                    <w:rPr>
                      <w:color w:val="auto"/>
                      <w:kern w:val="0"/>
                      <w:szCs w:val="21"/>
                      <w:lang w:bidi="ar"/>
                    </w:rPr>
                    <w:t>0.0707</w:t>
                  </w:r>
                </w:p>
              </w:tc>
              <w:tc>
                <w:tcPr>
                  <w:tcW w:w="602" w:type="pct"/>
                  <w:vAlign w:val="center"/>
                </w:tcPr>
                <w:p w14:paraId="1BA43EC1">
                  <w:pPr>
                    <w:widowControl/>
                    <w:jc w:val="center"/>
                    <w:textAlignment w:val="center"/>
                    <w:rPr>
                      <w:color w:val="auto"/>
                      <w:szCs w:val="21"/>
                    </w:rPr>
                  </w:pPr>
                  <w:r>
                    <w:rPr>
                      <w:color w:val="auto"/>
                      <w:kern w:val="0"/>
                      <w:szCs w:val="21"/>
                      <w:lang w:bidi="ar"/>
                    </w:rPr>
                    <w:t>0.0673</w:t>
                  </w:r>
                </w:p>
              </w:tc>
              <w:tc>
                <w:tcPr>
                  <w:tcW w:w="590" w:type="pct"/>
                  <w:vAlign w:val="center"/>
                </w:tcPr>
                <w:p w14:paraId="07083E18">
                  <w:pPr>
                    <w:widowControl/>
                    <w:jc w:val="center"/>
                    <w:textAlignment w:val="center"/>
                    <w:rPr>
                      <w:color w:val="auto"/>
                      <w:szCs w:val="21"/>
                    </w:rPr>
                  </w:pPr>
                  <w:r>
                    <w:rPr>
                      <w:color w:val="auto"/>
                      <w:kern w:val="0"/>
                      <w:szCs w:val="21"/>
                      <w:lang w:bidi="ar"/>
                    </w:rPr>
                    <w:t>0.138</w:t>
                  </w:r>
                </w:p>
              </w:tc>
            </w:tr>
            <w:tr w14:paraId="27B92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3994CDAE">
                  <w:pPr>
                    <w:jc w:val="center"/>
                    <w:rPr>
                      <w:color w:val="auto"/>
                      <w:szCs w:val="21"/>
                    </w:rPr>
                  </w:pPr>
                </w:p>
              </w:tc>
              <w:tc>
                <w:tcPr>
                  <w:tcW w:w="801" w:type="pct"/>
                  <w:vAlign w:val="center"/>
                </w:tcPr>
                <w:p w14:paraId="1CA361DB">
                  <w:pPr>
                    <w:widowControl/>
                    <w:jc w:val="center"/>
                    <w:textAlignment w:val="center"/>
                    <w:rPr>
                      <w:rFonts w:eastAsiaTheme="minorEastAsia"/>
                      <w:color w:val="auto"/>
                      <w:szCs w:val="21"/>
                    </w:rPr>
                  </w:pPr>
                  <w:r>
                    <w:rPr>
                      <w:rFonts w:hint="eastAsia"/>
                      <w:color w:val="auto"/>
                      <w:kern w:val="0"/>
                      <w:szCs w:val="21"/>
                      <w:lang w:bidi="ar"/>
                    </w:rPr>
                    <w:t>边管</w:t>
                  </w:r>
                </w:p>
              </w:tc>
              <w:tc>
                <w:tcPr>
                  <w:tcW w:w="525" w:type="pct"/>
                  <w:vAlign w:val="center"/>
                </w:tcPr>
                <w:p w14:paraId="42EDD9A3">
                  <w:pPr>
                    <w:widowControl/>
                    <w:jc w:val="center"/>
                    <w:textAlignment w:val="center"/>
                    <w:rPr>
                      <w:color w:val="auto"/>
                      <w:szCs w:val="21"/>
                    </w:rPr>
                  </w:pPr>
                  <w:r>
                    <w:rPr>
                      <w:rFonts w:hint="eastAsia"/>
                      <w:color w:val="auto"/>
                      <w:szCs w:val="21"/>
                    </w:rPr>
                    <w:t>20</w:t>
                  </w:r>
                </w:p>
              </w:tc>
              <w:tc>
                <w:tcPr>
                  <w:tcW w:w="363" w:type="pct"/>
                  <w:vAlign w:val="center"/>
                </w:tcPr>
                <w:p w14:paraId="39C31C34">
                  <w:pPr>
                    <w:widowControl/>
                    <w:jc w:val="center"/>
                    <w:textAlignment w:val="center"/>
                    <w:rPr>
                      <w:color w:val="auto"/>
                      <w:szCs w:val="21"/>
                    </w:rPr>
                  </w:pPr>
                  <w:r>
                    <w:rPr>
                      <w:rFonts w:hint="eastAsia"/>
                      <w:color w:val="auto"/>
                      <w:szCs w:val="21"/>
                    </w:rPr>
                    <w:t>650</w:t>
                  </w:r>
                </w:p>
              </w:tc>
              <w:tc>
                <w:tcPr>
                  <w:tcW w:w="465" w:type="pct"/>
                  <w:vAlign w:val="center"/>
                </w:tcPr>
                <w:p w14:paraId="0D1DD681">
                  <w:pPr>
                    <w:widowControl/>
                    <w:jc w:val="center"/>
                    <w:textAlignment w:val="center"/>
                    <w:rPr>
                      <w:color w:val="auto"/>
                      <w:szCs w:val="21"/>
                    </w:rPr>
                  </w:pPr>
                  <w:r>
                    <w:rPr>
                      <w:rFonts w:hint="eastAsia"/>
                      <w:color w:val="auto"/>
                      <w:szCs w:val="21"/>
                    </w:rPr>
                    <w:t>/</w:t>
                  </w:r>
                </w:p>
              </w:tc>
              <w:tc>
                <w:tcPr>
                  <w:tcW w:w="388" w:type="pct"/>
                  <w:vAlign w:val="center"/>
                </w:tcPr>
                <w:p w14:paraId="4CBABDA6">
                  <w:pPr>
                    <w:widowControl/>
                    <w:jc w:val="center"/>
                    <w:textAlignment w:val="center"/>
                    <w:rPr>
                      <w:color w:val="auto"/>
                      <w:szCs w:val="21"/>
                    </w:rPr>
                  </w:pPr>
                  <w:r>
                    <w:rPr>
                      <w:rFonts w:hint="eastAsia"/>
                      <w:color w:val="auto"/>
                      <w:szCs w:val="21"/>
                    </w:rPr>
                    <w:t>1.2</w:t>
                  </w:r>
                </w:p>
              </w:tc>
              <w:tc>
                <w:tcPr>
                  <w:tcW w:w="387" w:type="pct"/>
                  <w:vAlign w:val="center"/>
                </w:tcPr>
                <w:p w14:paraId="330A5848">
                  <w:pPr>
                    <w:widowControl/>
                    <w:jc w:val="center"/>
                    <w:textAlignment w:val="center"/>
                    <w:rPr>
                      <w:color w:val="auto"/>
                      <w:szCs w:val="21"/>
                    </w:rPr>
                  </w:pPr>
                  <w:r>
                    <w:rPr>
                      <w:rFonts w:hint="eastAsia"/>
                      <w:color w:val="auto"/>
                      <w:szCs w:val="21"/>
                    </w:rPr>
                    <w:t>2</w:t>
                  </w:r>
                </w:p>
              </w:tc>
              <w:tc>
                <w:tcPr>
                  <w:tcW w:w="596" w:type="pct"/>
                  <w:vAlign w:val="center"/>
                </w:tcPr>
                <w:p w14:paraId="2EE986DE">
                  <w:pPr>
                    <w:widowControl/>
                    <w:jc w:val="center"/>
                    <w:textAlignment w:val="center"/>
                    <w:rPr>
                      <w:color w:val="auto"/>
                      <w:szCs w:val="21"/>
                    </w:rPr>
                  </w:pPr>
                  <w:r>
                    <w:rPr>
                      <w:color w:val="auto"/>
                      <w:kern w:val="0"/>
                      <w:szCs w:val="21"/>
                      <w:lang w:bidi="ar"/>
                    </w:rPr>
                    <w:t>0.0817</w:t>
                  </w:r>
                </w:p>
              </w:tc>
              <w:tc>
                <w:tcPr>
                  <w:tcW w:w="602" w:type="pct"/>
                  <w:vAlign w:val="center"/>
                </w:tcPr>
                <w:p w14:paraId="4FE7BBC7">
                  <w:pPr>
                    <w:widowControl/>
                    <w:jc w:val="center"/>
                    <w:textAlignment w:val="center"/>
                    <w:rPr>
                      <w:color w:val="auto"/>
                      <w:szCs w:val="21"/>
                    </w:rPr>
                  </w:pPr>
                  <w:r>
                    <w:rPr>
                      <w:color w:val="auto"/>
                      <w:kern w:val="0"/>
                      <w:szCs w:val="21"/>
                      <w:lang w:bidi="ar"/>
                    </w:rPr>
                    <w:t>0.0719</w:t>
                  </w:r>
                </w:p>
              </w:tc>
              <w:tc>
                <w:tcPr>
                  <w:tcW w:w="590" w:type="pct"/>
                  <w:vAlign w:val="center"/>
                </w:tcPr>
                <w:p w14:paraId="081BA5ED">
                  <w:pPr>
                    <w:widowControl/>
                    <w:jc w:val="center"/>
                    <w:textAlignment w:val="center"/>
                    <w:rPr>
                      <w:color w:val="auto"/>
                      <w:szCs w:val="21"/>
                    </w:rPr>
                  </w:pPr>
                  <w:r>
                    <w:rPr>
                      <w:color w:val="auto"/>
                      <w:kern w:val="0"/>
                      <w:szCs w:val="21"/>
                      <w:lang w:bidi="ar"/>
                    </w:rPr>
                    <w:t>0.1536</w:t>
                  </w:r>
                </w:p>
              </w:tc>
            </w:tr>
            <w:tr w14:paraId="743A3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050304D4">
                  <w:pPr>
                    <w:jc w:val="center"/>
                    <w:rPr>
                      <w:color w:val="auto"/>
                      <w:szCs w:val="21"/>
                    </w:rPr>
                  </w:pPr>
                </w:p>
              </w:tc>
              <w:tc>
                <w:tcPr>
                  <w:tcW w:w="801" w:type="pct"/>
                  <w:vAlign w:val="center"/>
                </w:tcPr>
                <w:p w14:paraId="5FDCF076">
                  <w:pPr>
                    <w:widowControl/>
                    <w:jc w:val="center"/>
                    <w:textAlignment w:val="center"/>
                    <w:rPr>
                      <w:color w:val="auto"/>
                      <w:kern w:val="0"/>
                      <w:szCs w:val="21"/>
                      <w:lang w:bidi="ar"/>
                    </w:rPr>
                  </w:pPr>
                  <w:r>
                    <w:rPr>
                      <w:rFonts w:hint="eastAsia"/>
                      <w:color w:val="auto"/>
                      <w:kern w:val="0"/>
                      <w:szCs w:val="21"/>
                      <w:lang w:bidi="ar"/>
                    </w:rPr>
                    <w:t>座管</w:t>
                  </w:r>
                </w:p>
              </w:tc>
              <w:tc>
                <w:tcPr>
                  <w:tcW w:w="525" w:type="pct"/>
                  <w:vAlign w:val="center"/>
                </w:tcPr>
                <w:p w14:paraId="3A01C897">
                  <w:pPr>
                    <w:widowControl/>
                    <w:jc w:val="center"/>
                    <w:textAlignment w:val="center"/>
                    <w:rPr>
                      <w:color w:val="auto"/>
                      <w:szCs w:val="21"/>
                    </w:rPr>
                  </w:pPr>
                  <w:r>
                    <w:rPr>
                      <w:rFonts w:hint="eastAsia"/>
                      <w:color w:val="auto"/>
                      <w:szCs w:val="21"/>
                    </w:rPr>
                    <w:t>30</w:t>
                  </w:r>
                </w:p>
              </w:tc>
              <w:tc>
                <w:tcPr>
                  <w:tcW w:w="363" w:type="pct"/>
                  <w:vAlign w:val="center"/>
                </w:tcPr>
                <w:p w14:paraId="71792E02">
                  <w:pPr>
                    <w:widowControl/>
                    <w:jc w:val="center"/>
                    <w:textAlignment w:val="center"/>
                    <w:rPr>
                      <w:color w:val="auto"/>
                      <w:szCs w:val="21"/>
                    </w:rPr>
                  </w:pPr>
                  <w:r>
                    <w:rPr>
                      <w:rFonts w:hint="eastAsia"/>
                      <w:color w:val="auto"/>
                      <w:szCs w:val="21"/>
                    </w:rPr>
                    <w:t>360</w:t>
                  </w:r>
                </w:p>
              </w:tc>
              <w:tc>
                <w:tcPr>
                  <w:tcW w:w="465" w:type="pct"/>
                  <w:vAlign w:val="center"/>
                </w:tcPr>
                <w:p w14:paraId="50E6E4CF">
                  <w:pPr>
                    <w:widowControl/>
                    <w:jc w:val="center"/>
                    <w:textAlignment w:val="center"/>
                    <w:rPr>
                      <w:color w:val="auto"/>
                      <w:szCs w:val="21"/>
                    </w:rPr>
                  </w:pPr>
                  <w:r>
                    <w:rPr>
                      <w:rFonts w:hint="eastAsia"/>
                      <w:color w:val="auto"/>
                      <w:szCs w:val="21"/>
                    </w:rPr>
                    <w:t>/</w:t>
                  </w:r>
                </w:p>
              </w:tc>
              <w:tc>
                <w:tcPr>
                  <w:tcW w:w="388" w:type="pct"/>
                  <w:vAlign w:val="center"/>
                </w:tcPr>
                <w:p w14:paraId="44E4AA32">
                  <w:pPr>
                    <w:widowControl/>
                    <w:jc w:val="center"/>
                    <w:textAlignment w:val="center"/>
                    <w:rPr>
                      <w:color w:val="auto"/>
                      <w:szCs w:val="21"/>
                    </w:rPr>
                  </w:pPr>
                  <w:r>
                    <w:rPr>
                      <w:rFonts w:hint="eastAsia"/>
                      <w:color w:val="auto"/>
                      <w:szCs w:val="21"/>
                    </w:rPr>
                    <w:t>1.2</w:t>
                  </w:r>
                </w:p>
              </w:tc>
              <w:tc>
                <w:tcPr>
                  <w:tcW w:w="387" w:type="pct"/>
                  <w:vAlign w:val="center"/>
                </w:tcPr>
                <w:p w14:paraId="13622791">
                  <w:pPr>
                    <w:widowControl/>
                    <w:jc w:val="center"/>
                    <w:textAlignment w:val="center"/>
                    <w:rPr>
                      <w:color w:val="auto"/>
                      <w:szCs w:val="21"/>
                    </w:rPr>
                  </w:pPr>
                  <w:r>
                    <w:rPr>
                      <w:rFonts w:hint="eastAsia"/>
                      <w:color w:val="auto"/>
                      <w:szCs w:val="21"/>
                    </w:rPr>
                    <w:t>1</w:t>
                  </w:r>
                </w:p>
              </w:tc>
              <w:tc>
                <w:tcPr>
                  <w:tcW w:w="596" w:type="pct"/>
                  <w:vAlign w:val="center"/>
                </w:tcPr>
                <w:p w14:paraId="3794B2A1">
                  <w:pPr>
                    <w:widowControl/>
                    <w:jc w:val="center"/>
                    <w:textAlignment w:val="center"/>
                    <w:rPr>
                      <w:color w:val="auto"/>
                      <w:szCs w:val="21"/>
                    </w:rPr>
                  </w:pPr>
                  <w:r>
                    <w:rPr>
                      <w:color w:val="auto"/>
                      <w:kern w:val="0"/>
                      <w:szCs w:val="21"/>
                      <w:lang w:bidi="ar"/>
                    </w:rPr>
                    <w:t>0.0339</w:t>
                  </w:r>
                </w:p>
              </w:tc>
              <w:tc>
                <w:tcPr>
                  <w:tcW w:w="602" w:type="pct"/>
                  <w:vAlign w:val="center"/>
                </w:tcPr>
                <w:p w14:paraId="5E9592DE">
                  <w:pPr>
                    <w:widowControl/>
                    <w:jc w:val="center"/>
                    <w:textAlignment w:val="center"/>
                    <w:rPr>
                      <w:color w:val="auto"/>
                      <w:szCs w:val="21"/>
                    </w:rPr>
                  </w:pPr>
                  <w:r>
                    <w:rPr>
                      <w:color w:val="auto"/>
                      <w:kern w:val="0"/>
                      <w:szCs w:val="21"/>
                      <w:lang w:bidi="ar"/>
                    </w:rPr>
                    <w:t>0.0312</w:t>
                  </w:r>
                </w:p>
              </w:tc>
              <w:tc>
                <w:tcPr>
                  <w:tcW w:w="590" w:type="pct"/>
                  <w:vAlign w:val="center"/>
                </w:tcPr>
                <w:p w14:paraId="2B303A52">
                  <w:pPr>
                    <w:widowControl/>
                    <w:jc w:val="center"/>
                    <w:textAlignment w:val="center"/>
                    <w:rPr>
                      <w:color w:val="auto"/>
                      <w:szCs w:val="21"/>
                    </w:rPr>
                  </w:pPr>
                  <w:r>
                    <w:rPr>
                      <w:color w:val="auto"/>
                      <w:kern w:val="0"/>
                      <w:szCs w:val="21"/>
                      <w:lang w:bidi="ar"/>
                    </w:rPr>
                    <w:t>0.0651</w:t>
                  </w:r>
                </w:p>
              </w:tc>
            </w:tr>
            <w:tr w14:paraId="60A6A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784211FE">
                  <w:pPr>
                    <w:jc w:val="center"/>
                    <w:rPr>
                      <w:color w:val="auto"/>
                      <w:szCs w:val="21"/>
                    </w:rPr>
                  </w:pPr>
                </w:p>
              </w:tc>
              <w:tc>
                <w:tcPr>
                  <w:tcW w:w="801" w:type="pct"/>
                  <w:vAlign w:val="center"/>
                </w:tcPr>
                <w:p w14:paraId="19B93E61">
                  <w:pPr>
                    <w:widowControl/>
                    <w:jc w:val="center"/>
                    <w:textAlignment w:val="center"/>
                    <w:rPr>
                      <w:color w:val="auto"/>
                      <w:kern w:val="0"/>
                      <w:szCs w:val="21"/>
                      <w:lang w:bidi="ar"/>
                    </w:rPr>
                  </w:pPr>
                  <w:r>
                    <w:rPr>
                      <w:rFonts w:hint="eastAsia"/>
                      <w:color w:val="auto"/>
                      <w:kern w:val="0"/>
                      <w:szCs w:val="21"/>
                      <w:lang w:bidi="ar"/>
                    </w:rPr>
                    <w:t>脚踏板支架</w:t>
                  </w:r>
                </w:p>
              </w:tc>
              <w:tc>
                <w:tcPr>
                  <w:tcW w:w="525" w:type="pct"/>
                  <w:vAlign w:val="center"/>
                </w:tcPr>
                <w:p w14:paraId="729AC183">
                  <w:pPr>
                    <w:widowControl/>
                    <w:jc w:val="center"/>
                    <w:textAlignment w:val="center"/>
                    <w:rPr>
                      <w:color w:val="auto"/>
                      <w:szCs w:val="21"/>
                    </w:rPr>
                  </w:pPr>
                  <w:r>
                    <w:rPr>
                      <w:rFonts w:hint="eastAsia"/>
                      <w:color w:val="auto"/>
                      <w:szCs w:val="21"/>
                    </w:rPr>
                    <w:t>30</w:t>
                  </w:r>
                </w:p>
              </w:tc>
              <w:tc>
                <w:tcPr>
                  <w:tcW w:w="363" w:type="pct"/>
                  <w:vAlign w:val="center"/>
                </w:tcPr>
                <w:p w14:paraId="35FEBA39">
                  <w:pPr>
                    <w:widowControl/>
                    <w:jc w:val="center"/>
                    <w:textAlignment w:val="center"/>
                    <w:rPr>
                      <w:color w:val="auto"/>
                      <w:szCs w:val="21"/>
                    </w:rPr>
                  </w:pPr>
                  <w:r>
                    <w:rPr>
                      <w:rFonts w:hint="eastAsia"/>
                      <w:color w:val="auto"/>
                      <w:szCs w:val="21"/>
                    </w:rPr>
                    <w:t>/</w:t>
                  </w:r>
                </w:p>
              </w:tc>
              <w:tc>
                <w:tcPr>
                  <w:tcW w:w="465" w:type="pct"/>
                  <w:vAlign w:val="center"/>
                </w:tcPr>
                <w:p w14:paraId="083AEB76">
                  <w:pPr>
                    <w:widowControl/>
                    <w:jc w:val="center"/>
                    <w:textAlignment w:val="center"/>
                    <w:rPr>
                      <w:color w:val="auto"/>
                      <w:szCs w:val="21"/>
                    </w:rPr>
                  </w:pPr>
                  <w:r>
                    <w:rPr>
                      <w:rFonts w:hint="eastAsia"/>
                      <w:color w:val="auto"/>
                      <w:szCs w:val="21"/>
                    </w:rPr>
                    <w:t>15</w:t>
                  </w:r>
                </w:p>
              </w:tc>
              <w:tc>
                <w:tcPr>
                  <w:tcW w:w="388" w:type="pct"/>
                  <w:vAlign w:val="center"/>
                </w:tcPr>
                <w:p w14:paraId="5767BDAC">
                  <w:pPr>
                    <w:widowControl/>
                    <w:jc w:val="center"/>
                    <w:textAlignment w:val="center"/>
                    <w:rPr>
                      <w:color w:val="auto"/>
                      <w:szCs w:val="21"/>
                    </w:rPr>
                  </w:pPr>
                  <w:r>
                    <w:rPr>
                      <w:rFonts w:hint="eastAsia"/>
                      <w:color w:val="auto"/>
                      <w:szCs w:val="21"/>
                    </w:rPr>
                    <w:t>1.2</w:t>
                  </w:r>
                </w:p>
              </w:tc>
              <w:tc>
                <w:tcPr>
                  <w:tcW w:w="387" w:type="pct"/>
                  <w:vAlign w:val="center"/>
                </w:tcPr>
                <w:p w14:paraId="41E444FA">
                  <w:pPr>
                    <w:widowControl/>
                    <w:jc w:val="center"/>
                    <w:textAlignment w:val="center"/>
                    <w:rPr>
                      <w:color w:val="auto"/>
                      <w:szCs w:val="21"/>
                    </w:rPr>
                  </w:pPr>
                  <w:r>
                    <w:rPr>
                      <w:rFonts w:hint="eastAsia"/>
                      <w:color w:val="auto"/>
                      <w:szCs w:val="21"/>
                    </w:rPr>
                    <w:t>2</w:t>
                  </w:r>
                </w:p>
              </w:tc>
              <w:tc>
                <w:tcPr>
                  <w:tcW w:w="596" w:type="pct"/>
                  <w:vAlign w:val="center"/>
                </w:tcPr>
                <w:p w14:paraId="6D370E53">
                  <w:pPr>
                    <w:widowControl/>
                    <w:jc w:val="center"/>
                    <w:textAlignment w:val="center"/>
                    <w:rPr>
                      <w:color w:val="auto"/>
                      <w:szCs w:val="21"/>
                    </w:rPr>
                  </w:pPr>
                  <w:r>
                    <w:rPr>
                      <w:color w:val="auto"/>
                      <w:kern w:val="0"/>
                      <w:szCs w:val="21"/>
                      <w:lang w:bidi="ar"/>
                    </w:rPr>
                    <w:t>0.0018</w:t>
                  </w:r>
                </w:p>
              </w:tc>
              <w:tc>
                <w:tcPr>
                  <w:tcW w:w="602" w:type="pct"/>
                  <w:vAlign w:val="center"/>
                </w:tcPr>
                <w:p w14:paraId="742D6861">
                  <w:pPr>
                    <w:widowControl/>
                    <w:jc w:val="center"/>
                    <w:textAlignment w:val="center"/>
                    <w:rPr>
                      <w:color w:val="auto"/>
                      <w:szCs w:val="21"/>
                    </w:rPr>
                  </w:pPr>
                  <w:r>
                    <w:rPr>
                      <w:color w:val="auto"/>
                      <w:kern w:val="0"/>
                      <w:szCs w:val="21"/>
                      <w:lang w:bidi="ar"/>
                    </w:rPr>
                    <w:t>0</w:t>
                  </w:r>
                </w:p>
              </w:tc>
              <w:tc>
                <w:tcPr>
                  <w:tcW w:w="590" w:type="pct"/>
                  <w:vAlign w:val="center"/>
                </w:tcPr>
                <w:p w14:paraId="0D0A568A">
                  <w:pPr>
                    <w:widowControl/>
                    <w:jc w:val="center"/>
                    <w:textAlignment w:val="center"/>
                    <w:rPr>
                      <w:color w:val="auto"/>
                      <w:szCs w:val="21"/>
                    </w:rPr>
                  </w:pPr>
                  <w:r>
                    <w:rPr>
                      <w:color w:val="auto"/>
                      <w:kern w:val="0"/>
                      <w:szCs w:val="21"/>
                      <w:lang w:bidi="ar"/>
                    </w:rPr>
                    <w:t>0.0018</w:t>
                  </w:r>
                </w:p>
              </w:tc>
            </w:tr>
            <w:tr w14:paraId="44947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7414EC08">
                  <w:pPr>
                    <w:jc w:val="center"/>
                    <w:rPr>
                      <w:color w:val="auto"/>
                      <w:szCs w:val="21"/>
                    </w:rPr>
                  </w:pPr>
                </w:p>
              </w:tc>
              <w:tc>
                <w:tcPr>
                  <w:tcW w:w="801" w:type="pct"/>
                  <w:vAlign w:val="center"/>
                </w:tcPr>
                <w:p w14:paraId="61AFD27C">
                  <w:pPr>
                    <w:widowControl/>
                    <w:jc w:val="center"/>
                    <w:textAlignment w:val="center"/>
                    <w:rPr>
                      <w:rFonts w:asciiTheme="minorHAnsi" w:hAnsiTheme="minorHAnsi" w:eastAsiaTheme="minorEastAsia" w:cstheme="minorBidi"/>
                      <w:color w:val="auto"/>
                      <w:kern w:val="0"/>
                      <w:szCs w:val="21"/>
                      <w:lang w:bidi="ar"/>
                    </w:rPr>
                  </w:pPr>
                  <w:r>
                    <w:rPr>
                      <w:rFonts w:hint="eastAsia"/>
                      <w:color w:val="auto"/>
                      <w:kern w:val="0"/>
                      <w:szCs w:val="21"/>
                      <w:lang w:bidi="ar"/>
                    </w:rPr>
                    <w:t>偏撑支架</w:t>
                  </w:r>
                </w:p>
              </w:tc>
              <w:tc>
                <w:tcPr>
                  <w:tcW w:w="525" w:type="pct"/>
                  <w:vAlign w:val="center"/>
                </w:tcPr>
                <w:p w14:paraId="312AC853">
                  <w:pPr>
                    <w:widowControl/>
                    <w:jc w:val="center"/>
                    <w:textAlignment w:val="center"/>
                    <w:rPr>
                      <w:color w:val="auto"/>
                      <w:szCs w:val="21"/>
                    </w:rPr>
                  </w:pPr>
                  <w:r>
                    <w:rPr>
                      <w:rFonts w:hint="eastAsia"/>
                      <w:color w:val="auto"/>
                      <w:szCs w:val="21"/>
                    </w:rPr>
                    <w:t>30</w:t>
                  </w:r>
                </w:p>
              </w:tc>
              <w:tc>
                <w:tcPr>
                  <w:tcW w:w="363" w:type="pct"/>
                  <w:vAlign w:val="center"/>
                </w:tcPr>
                <w:p w14:paraId="5153D37F">
                  <w:pPr>
                    <w:widowControl/>
                    <w:jc w:val="center"/>
                    <w:textAlignment w:val="center"/>
                    <w:rPr>
                      <w:color w:val="auto"/>
                      <w:szCs w:val="21"/>
                    </w:rPr>
                  </w:pPr>
                  <w:r>
                    <w:rPr>
                      <w:rFonts w:hint="eastAsia"/>
                      <w:color w:val="auto"/>
                      <w:szCs w:val="21"/>
                    </w:rPr>
                    <w:t>/</w:t>
                  </w:r>
                </w:p>
              </w:tc>
              <w:tc>
                <w:tcPr>
                  <w:tcW w:w="465" w:type="pct"/>
                  <w:vAlign w:val="center"/>
                </w:tcPr>
                <w:p w14:paraId="17E58395">
                  <w:pPr>
                    <w:widowControl/>
                    <w:jc w:val="center"/>
                    <w:textAlignment w:val="center"/>
                    <w:rPr>
                      <w:color w:val="auto"/>
                      <w:szCs w:val="21"/>
                    </w:rPr>
                  </w:pPr>
                  <w:r>
                    <w:rPr>
                      <w:rFonts w:hint="eastAsia"/>
                      <w:color w:val="auto"/>
                      <w:szCs w:val="21"/>
                    </w:rPr>
                    <w:t>20</w:t>
                  </w:r>
                </w:p>
              </w:tc>
              <w:tc>
                <w:tcPr>
                  <w:tcW w:w="388" w:type="pct"/>
                  <w:vAlign w:val="center"/>
                </w:tcPr>
                <w:p w14:paraId="5AF5B9CD">
                  <w:pPr>
                    <w:widowControl/>
                    <w:jc w:val="center"/>
                    <w:textAlignment w:val="center"/>
                    <w:rPr>
                      <w:color w:val="auto"/>
                      <w:szCs w:val="21"/>
                    </w:rPr>
                  </w:pPr>
                  <w:r>
                    <w:rPr>
                      <w:rFonts w:hint="eastAsia"/>
                      <w:color w:val="auto"/>
                      <w:szCs w:val="21"/>
                    </w:rPr>
                    <w:t>1.2</w:t>
                  </w:r>
                </w:p>
              </w:tc>
              <w:tc>
                <w:tcPr>
                  <w:tcW w:w="387" w:type="pct"/>
                  <w:vAlign w:val="center"/>
                </w:tcPr>
                <w:p w14:paraId="1FE5E30A">
                  <w:pPr>
                    <w:widowControl/>
                    <w:jc w:val="center"/>
                    <w:textAlignment w:val="center"/>
                    <w:rPr>
                      <w:color w:val="auto"/>
                      <w:szCs w:val="21"/>
                    </w:rPr>
                  </w:pPr>
                  <w:r>
                    <w:rPr>
                      <w:rFonts w:hint="eastAsia"/>
                      <w:color w:val="auto"/>
                      <w:szCs w:val="21"/>
                    </w:rPr>
                    <w:t>1</w:t>
                  </w:r>
                </w:p>
              </w:tc>
              <w:tc>
                <w:tcPr>
                  <w:tcW w:w="596" w:type="pct"/>
                  <w:vAlign w:val="center"/>
                </w:tcPr>
                <w:p w14:paraId="5143A9E2">
                  <w:pPr>
                    <w:widowControl/>
                    <w:jc w:val="center"/>
                    <w:textAlignment w:val="center"/>
                    <w:rPr>
                      <w:color w:val="auto"/>
                      <w:szCs w:val="21"/>
                    </w:rPr>
                  </w:pPr>
                  <w:r>
                    <w:rPr>
                      <w:color w:val="auto"/>
                      <w:kern w:val="0"/>
                      <w:szCs w:val="21"/>
                      <w:lang w:bidi="ar"/>
                    </w:rPr>
                    <w:t>0.0012</w:t>
                  </w:r>
                </w:p>
              </w:tc>
              <w:tc>
                <w:tcPr>
                  <w:tcW w:w="602" w:type="pct"/>
                  <w:vAlign w:val="center"/>
                </w:tcPr>
                <w:p w14:paraId="2BD9263C">
                  <w:pPr>
                    <w:widowControl/>
                    <w:jc w:val="center"/>
                    <w:textAlignment w:val="center"/>
                    <w:rPr>
                      <w:color w:val="auto"/>
                      <w:szCs w:val="21"/>
                    </w:rPr>
                  </w:pPr>
                  <w:r>
                    <w:rPr>
                      <w:color w:val="auto"/>
                      <w:kern w:val="0"/>
                      <w:szCs w:val="21"/>
                      <w:lang w:bidi="ar"/>
                    </w:rPr>
                    <w:t>0</w:t>
                  </w:r>
                </w:p>
              </w:tc>
              <w:tc>
                <w:tcPr>
                  <w:tcW w:w="590" w:type="pct"/>
                  <w:vAlign w:val="center"/>
                </w:tcPr>
                <w:p w14:paraId="449C8B30">
                  <w:pPr>
                    <w:widowControl/>
                    <w:jc w:val="center"/>
                    <w:textAlignment w:val="center"/>
                    <w:rPr>
                      <w:color w:val="auto"/>
                      <w:szCs w:val="21"/>
                    </w:rPr>
                  </w:pPr>
                  <w:r>
                    <w:rPr>
                      <w:color w:val="auto"/>
                      <w:kern w:val="0"/>
                      <w:szCs w:val="21"/>
                      <w:lang w:bidi="ar"/>
                    </w:rPr>
                    <w:t>0.0012</w:t>
                  </w:r>
                </w:p>
              </w:tc>
            </w:tr>
            <w:tr w14:paraId="59138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0FA0ED74">
                  <w:pPr>
                    <w:jc w:val="center"/>
                    <w:rPr>
                      <w:color w:val="auto"/>
                      <w:szCs w:val="21"/>
                    </w:rPr>
                  </w:pPr>
                </w:p>
              </w:tc>
              <w:tc>
                <w:tcPr>
                  <w:tcW w:w="801" w:type="pct"/>
                  <w:vAlign w:val="center"/>
                </w:tcPr>
                <w:p w14:paraId="2BC23835">
                  <w:pPr>
                    <w:widowControl/>
                    <w:jc w:val="center"/>
                    <w:textAlignment w:val="center"/>
                    <w:rPr>
                      <w:color w:val="auto"/>
                      <w:kern w:val="0"/>
                      <w:szCs w:val="21"/>
                      <w:lang w:bidi="ar"/>
                    </w:rPr>
                  </w:pPr>
                  <w:r>
                    <w:rPr>
                      <w:rFonts w:hint="eastAsia"/>
                      <w:color w:val="auto"/>
                      <w:kern w:val="0"/>
                      <w:szCs w:val="21"/>
                      <w:lang w:bidi="ar"/>
                    </w:rPr>
                    <w:t>后货架支架</w:t>
                  </w:r>
                </w:p>
              </w:tc>
              <w:tc>
                <w:tcPr>
                  <w:tcW w:w="525" w:type="pct"/>
                  <w:vAlign w:val="center"/>
                </w:tcPr>
                <w:p w14:paraId="54F32484">
                  <w:pPr>
                    <w:widowControl/>
                    <w:jc w:val="center"/>
                    <w:textAlignment w:val="center"/>
                    <w:rPr>
                      <w:color w:val="auto"/>
                      <w:szCs w:val="21"/>
                    </w:rPr>
                  </w:pPr>
                  <w:r>
                    <w:rPr>
                      <w:rFonts w:hint="eastAsia"/>
                      <w:color w:val="auto"/>
                      <w:szCs w:val="21"/>
                    </w:rPr>
                    <w:t>30</w:t>
                  </w:r>
                </w:p>
              </w:tc>
              <w:tc>
                <w:tcPr>
                  <w:tcW w:w="363" w:type="pct"/>
                  <w:vAlign w:val="center"/>
                </w:tcPr>
                <w:p w14:paraId="0ECCBEF0">
                  <w:pPr>
                    <w:widowControl/>
                    <w:jc w:val="center"/>
                    <w:textAlignment w:val="center"/>
                    <w:rPr>
                      <w:color w:val="auto"/>
                      <w:szCs w:val="21"/>
                    </w:rPr>
                  </w:pPr>
                  <w:r>
                    <w:rPr>
                      <w:rFonts w:hint="eastAsia"/>
                      <w:color w:val="auto"/>
                      <w:szCs w:val="21"/>
                    </w:rPr>
                    <w:t>/</w:t>
                  </w:r>
                </w:p>
              </w:tc>
              <w:tc>
                <w:tcPr>
                  <w:tcW w:w="465" w:type="pct"/>
                  <w:vAlign w:val="center"/>
                </w:tcPr>
                <w:p w14:paraId="5FC5AEA3">
                  <w:pPr>
                    <w:widowControl/>
                    <w:jc w:val="center"/>
                    <w:textAlignment w:val="center"/>
                    <w:rPr>
                      <w:color w:val="auto"/>
                      <w:szCs w:val="21"/>
                    </w:rPr>
                  </w:pPr>
                  <w:r>
                    <w:rPr>
                      <w:rFonts w:hint="eastAsia"/>
                      <w:color w:val="auto"/>
                      <w:szCs w:val="21"/>
                    </w:rPr>
                    <w:t>15</w:t>
                  </w:r>
                </w:p>
              </w:tc>
              <w:tc>
                <w:tcPr>
                  <w:tcW w:w="388" w:type="pct"/>
                  <w:vAlign w:val="center"/>
                </w:tcPr>
                <w:p w14:paraId="3DC99EEC">
                  <w:pPr>
                    <w:widowControl/>
                    <w:jc w:val="center"/>
                    <w:textAlignment w:val="center"/>
                    <w:rPr>
                      <w:color w:val="auto"/>
                      <w:szCs w:val="21"/>
                    </w:rPr>
                  </w:pPr>
                  <w:r>
                    <w:rPr>
                      <w:rFonts w:hint="eastAsia"/>
                      <w:color w:val="auto"/>
                      <w:szCs w:val="21"/>
                    </w:rPr>
                    <w:t>1.2</w:t>
                  </w:r>
                </w:p>
              </w:tc>
              <w:tc>
                <w:tcPr>
                  <w:tcW w:w="387" w:type="pct"/>
                  <w:vAlign w:val="center"/>
                </w:tcPr>
                <w:p w14:paraId="7AE2994D">
                  <w:pPr>
                    <w:widowControl/>
                    <w:jc w:val="center"/>
                    <w:textAlignment w:val="center"/>
                    <w:rPr>
                      <w:color w:val="auto"/>
                    </w:rPr>
                  </w:pPr>
                  <w:r>
                    <w:rPr>
                      <w:rFonts w:hint="eastAsia"/>
                      <w:color w:val="auto"/>
                      <w:szCs w:val="21"/>
                    </w:rPr>
                    <w:t>4</w:t>
                  </w:r>
                </w:p>
              </w:tc>
              <w:tc>
                <w:tcPr>
                  <w:tcW w:w="596" w:type="pct"/>
                  <w:vAlign w:val="center"/>
                </w:tcPr>
                <w:p w14:paraId="62200972">
                  <w:pPr>
                    <w:widowControl/>
                    <w:jc w:val="center"/>
                    <w:textAlignment w:val="center"/>
                    <w:rPr>
                      <w:color w:val="auto"/>
                      <w:szCs w:val="21"/>
                    </w:rPr>
                  </w:pPr>
                  <w:r>
                    <w:rPr>
                      <w:color w:val="auto"/>
                      <w:kern w:val="0"/>
                      <w:szCs w:val="21"/>
                      <w:lang w:bidi="ar"/>
                    </w:rPr>
                    <w:t>0.0036</w:t>
                  </w:r>
                </w:p>
              </w:tc>
              <w:tc>
                <w:tcPr>
                  <w:tcW w:w="602" w:type="pct"/>
                  <w:vAlign w:val="center"/>
                </w:tcPr>
                <w:p w14:paraId="0217389A">
                  <w:pPr>
                    <w:widowControl/>
                    <w:jc w:val="center"/>
                    <w:textAlignment w:val="center"/>
                    <w:rPr>
                      <w:color w:val="auto"/>
                      <w:szCs w:val="21"/>
                    </w:rPr>
                  </w:pPr>
                  <w:r>
                    <w:rPr>
                      <w:color w:val="auto"/>
                      <w:kern w:val="0"/>
                      <w:szCs w:val="21"/>
                      <w:lang w:bidi="ar"/>
                    </w:rPr>
                    <w:t>0</w:t>
                  </w:r>
                </w:p>
              </w:tc>
              <w:tc>
                <w:tcPr>
                  <w:tcW w:w="590" w:type="pct"/>
                  <w:vAlign w:val="center"/>
                </w:tcPr>
                <w:p w14:paraId="4FE32BC9">
                  <w:pPr>
                    <w:widowControl/>
                    <w:jc w:val="center"/>
                    <w:textAlignment w:val="center"/>
                    <w:rPr>
                      <w:color w:val="auto"/>
                      <w:szCs w:val="21"/>
                    </w:rPr>
                  </w:pPr>
                  <w:r>
                    <w:rPr>
                      <w:color w:val="auto"/>
                      <w:kern w:val="0"/>
                      <w:szCs w:val="21"/>
                      <w:lang w:bidi="ar"/>
                    </w:rPr>
                    <w:t>0.0036</w:t>
                  </w:r>
                </w:p>
              </w:tc>
            </w:tr>
            <w:tr w14:paraId="35C87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5E514BA2">
                  <w:pPr>
                    <w:jc w:val="center"/>
                    <w:rPr>
                      <w:color w:val="auto"/>
                      <w:szCs w:val="21"/>
                    </w:rPr>
                  </w:pPr>
                </w:p>
              </w:tc>
              <w:tc>
                <w:tcPr>
                  <w:tcW w:w="801" w:type="pct"/>
                  <w:vAlign w:val="center"/>
                </w:tcPr>
                <w:p w14:paraId="6FCF6276">
                  <w:pPr>
                    <w:widowControl/>
                    <w:jc w:val="center"/>
                    <w:textAlignment w:val="center"/>
                    <w:rPr>
                      <w:color w:val="auto"/>
                      <w:kern w:val="0"/>
                      <w:szCs w:val="21"/>
                      <w:lang w:bidi="ar"/>
                    </w:rPr>
                  </w:pPr>
                  <w:r>
                    <w:rPr>
                      <w:rFonts w:hint="eastAsia"/>
                      <w:color w:val="auto"/>
                      <w:kern w:val="0"/>
                      <w:szCs w:val="21"/>
                      <w:lang w:bidi="ar"/>
                    </w:rPr>
                    <w:t>后货架</w:t>
                  </w:r>
                </w:p>
              </w:tc>
              <w:tc>
                <w:tcPr>
                  <w:tcW w:w="525" w:type="pct"/>
                  <w:vAlign w:val="center"/>
                </w:tcPr>
                <w:p w14:paraId="02013631">
                  <w:pPr>
                    <w:widowControl/>
                    <w:jc w:val="center"/>
                    <w:textAlignment w:val="center"/>
                    <w:rPr>
                      <w:color w:val="auto"/>
                      <w:szCs w:val="21"/>
                    </w:rPr>
                  </w:pPr>
                  <w:r>
                    <w:rPr>
                      <w:rFonts w:hint="eastAsia"/>
                      <w:color w:val="auto"/>
                      <w:szCs w:val="21"/>
                    </w:rPr>
                    <w:t>240</w:t>
                  </w:r>
                </w:p>
              </w:tc>
              <w:tc>
                <w:tcPr>
                  <w:tcW w:w="363" w:type="pct"/>
                  <w:vAlign w:val="center"/>
                </w:tcPr>
                <w:p w14:paraId="0388A9E1">
                  <w:pPr>
                    <w:widowControl/>
                    <w:jc w:val="center"/>
                    <w:textAlignment w:val="center"/>
                    <w:rPr>
                      <w:color w:val="auto"/>
                      <w:szCs w:val="21"/>
                    </w:rPr>
                  </w:pPr>
                  <w:r>
                    <w:rPr>
                      <w:rFonts w:hint="eastAsia"/>
                      <w:color w:val="auto"/>
                      <w:szCs w:val="21"/>
                    </w:rPr>
                    <w:t>/</w:t>
                  </w:r>
                </w:p>
              </w:tc>
              <w:tc>
                <w:tcPr>
                  <w:tcW w:w="465" w:type="pct"/>
                  <w:vAlign w:val="center"/>
                </w:tcPr>
                <w:p w14:paraId="2CE9D96F">
                  <w:pPr>
                    <w:widowControl/>
                    <w:jc w:val="center"/>
                    <w:textAlignment w:val="center"/>
                    <w:rPr>
                      <w:color w:val="auto"/>
                      <w:szCs w:val="21"/>
                    </w:rPr>
                  </w:pPr>
                  <w:r>
                    <w:rPr>
                      <w:rFonts w:hint="eastAsia"/>
                      <w:color w:val="auto"/>
                      <w:szCs w:val="21"/>
                    </w:rPr>
                    <w:t>180</w:t>
                  </w:r>
                </w:p>
              </w:tc>
              <w:tc>
                <w:tcPr>
                  <w:tcW w:w="388" w:type="pct"/>
                  <w:vAlign w:val="center"/>
                </w:tcPr>
                <w:p w14:paraId="224746BE">
                  <w:pPr>
                    <w:widowControl/>
                    <w:jc w:val="center"/>
                    <w:textAlignment w:val="center"/>
                    <w:rPr>
                      <w:color w:val="auto"/>
                      <w:szCs w:val="21"/>
                    </w:rPr>
                  </w:pPr>
                  <w:r>
                    <w:rPr>
                      <w:rFonts w:hint="eastAsia"/>
                      <w:color w:val="auto"/>
                      <w:szCs w:val="21"/>
                    </w:rPr>
                    <w:t>1.2</w:t>
                  </w:r>
                </w:p>
              </w:tc>
              <w:tc>
                <w:tcPr>
                  <w:tcW w:w="387" w:type="pct"/>
                  <w:vAlign w:val="center"/>
                </w:tcPr>
                <w:p w14:paraId="23719FEF">
                  <w:pPr>
                    <w:widowControl/>
                    <w:jc w:val="center"/>
                    <w:textAlignment w:val="center"/>
                    <w:rPr>
                      <w:color w:val="auto"/>
                      <w:szCs w:val="21"/>
                    </w:rPr>
                  </w:pPr>
                  <w:r>
                    <w:rPr>
                      <w:rFonts w:hint="eastAsia"/>
                      <w:color w:val="auto"/>
                      <w:szCs w:val="21"/>
                    </w:rPr>
                    <w:t>1</w:t>
                  </w:r>
                </w:p>
              </w:tc>
              <w:tc>
                <w:tcPr>
                  <w:tcW w:w="596" w:type="pct"/>
                  <w:vAlign w:val="center"/>
                </w:tcPr>
                <w:p w14:paraId="591158CB">
                  <w:pPr>
                    <w:widowControl/>
                    <w:jc w:val="center"/>
                    <w:textAlignment w:val="center"/>
                    <w:rPr>
                      <w:color w:val="auto"/>
                      <w:szCs w:val="21"/>
                    </w:rPr>
                  </w:pPr>
                  <w:r>
                    <w:rPr>
                      <w:color w:val="auto"/>
                      <w:kern w:val="0"/>
                      <w:szCs w:val="21"/>
                      <w:lang w:bidi="ar"/>
                    </w:rPr>
                    <w:t>0.0864</w:t>
                  </w:r>
                </w:p>
              </w:tc>
              <w:tc>
                <w:tcPr>
                  <w:tcW w:w="602" w:type="pct"/>
                  <w:vAlign w:val="center"/>
                </w:tcPr>
                <w:p w14:paraId="09885873">
                  <w:pPr>
                    <w:widowControl/>
                    <w:jc w:val="center"/>
                    <w:textAlignment w:val="center"/>
                    <w:rPr>
                      <w:color w:val="auto"/>
                      <w:szCs w:val="21"/>
                    </w:rPr>
                  </w:pPr>
                  <w:r>
                    <w:rPr>
                      <w:color w:val="auto"/>
                      <w:kern w:val="0"/>
                      <w:szCs w:val="21"/>
                      <w:lang w:bidi="ar"/>
                    </w:rPr>
                    <w:t>0</w:t>
                  </w:r>
                </w:p>
              </w:tc>
              <w:tc>
                <w:tcPr>
                  <w:tcW w:w="590" w:type="pct"/>
                  <w:vAlign w:val="center"/>
                </w:tcPr>
                <w:p w14:paraId="4EB5F6C3">
                  <w:pPr>
                    <w:widowControl/>
                    <w:jc w:val="center"/>
                    <w:textAlignment w:val="center"/>
                    <w:rPr>
                      <w:color w:val="auto"/>
                      <w:szCs w:val="21"/>
                    </w:rPr>
                  </w:pPr>
                  <w:r>
                    <w:rPr>
                      <w:color w:val="auto"/>
                      <w:kern w:val="0"/>
                      <w:szCs w:val="21"/>
                      <w:lang w:bidi="ar"/>
                    </w:rPr>
                    <w:t>0.0864</w:t>
                  </w:r>
                </w:p>
              </w:tc>
            </w:tr>
            <w:tr w14:paraId="1F1F8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67D0BB46">
                  <w:pPr>
                    <w:jc w:val="center"/>
                    <w:rPr>
                      <w:color w:val="auto"/>
                      <w:szCs w:val="21"/>
                    </w:rPr>
                  </w:pPr>
                </w:p>
              </w:tc>
              <w:tc>
                <w:tcPr>
                  <w:tcW w:w="801" w:type="pct"/>
                  <w:vAlign w:val="center"/>
                </w:tcPr>
                <w:p w14:paraId="4DAD61D8">
                  <w:pPr>
                    <w:widowControl/>
                    <w:jc w:val="center"/>
                    <w:textAlignment w:val="center"/>
                    <w:rPr>
                      <w:color w:val="auto"/>
                      <w:kern w:val="0"/>
                      <w:szCs w:val="21"/>
                      <w:lang w:bidi="ar"/>
                    </w:rPr>
                  </w:pPr>
                  <w:r>
                    <w:rPr>
                      <w:rFonts w:hint="eastAsia"/>
                      <w:color w:val="auto"/>
                      <w:kern w:val="0"/>
                      <w:szCs w:val="21"/>
                      <w:lang w:bidi="ar"/>
                    </w:rPr>
                    <w:t>尾管</w:t>
                  </w:r>
                </w:p>
              </w:tc>
              <w:tc>
                <w:tcPr>
                  <w:tcW w:w="525" w:type="pct"/>
                  <w:vAlign w:val="center"/>
                </w:tcPr>
                <w:p w14:paraId="0F8F6726">
                  <w:pPr>
                    <w:widowControl/>
                    <w:jc w:val="center"/>
                    <w:textAlignment w:val="center"/>
                    <w:rPr>
                      <w:color w:val="auto"/>
                      <w:szCs w:val="21"/>
                    </w:rPr>
                  </w:pPr>
                  <w:r>
                    <w:rPr>
                      <w:rFonts w:hint="eastAsia"/>
                      <w:color w:val="auto"/>
                      <w:szCs w:val="21"/>
                    </w:rPr>
                    <w:t>20</w:t>
                  </w:r>
                </w:p>
              </w:tc>
              <w:tc>
                <w:tcPr>
                  <w:tcW w:w="363" w:type="pct"/>
                  <w:vAlign w:val="center"/>
                </w:tcPr>
                <w:p w14:paraId="0B74E1D1">
                  <w:pPr>
                    <w:widowControl/>
                    <w:jc w:val="center"/>
                    <w:textAlignment w:val="center"/>
                    <w:rPr>
                      <w:color w:val="auto"/>
                      <w:szCs w:val="21"/>
                    </w:rPr>
                  </w:pPr>
                  <w:r>
                    <w:rPr>
                      <w:rFonts w:hint="eastAsia"/>
                      <w:color w:val="auto"/>
                      <w:szCs w:val="21"/>
                    </w:rPr>
                    <w:t>600</w:t>
                  </w:r>
                </w:p>
              </w:tc>
              <w:tc>
                <w:tcPr>
                  <w:tcW w:w="465" w:type="pct"/>
                  <w:vAlign w:val="center"/>
                </w:tcPr>
                <w:p w14:paraId="1E07CD91">
                  <w:pPr>
                    <w:widowControl/>
                    <w:jc w:val="center"/>
                    <w:textAlignment w:val="center"/>
                    <w:rPr>
                      <w:color w:val="auto"/>
                      <w:szCs w:val="21"/>
                    </w:rPr>
                  </w:pPr>
                  <w:r>
                    <w:rPr>
                      <w:rFonts w:hint="eastAsia"/>
                      <w:color w:val="auto"/>
                      <w:szCs w:val="21"/>
                    </w:rPr>
                    <w:t>/</w:t>
                  </w:r>
                </w:p>
              </w:tc>
              <w:tc>
                <w:tcPr>
                  <w:tcW w:w="388" w:type="pct"/>
                  <w:vAlign w:val="center"/>
                </w:tcPr>
                <w:p w14:paraId="2C6607D2">
                  <w:pPr>
                    <w:widowControl/>
                    <w:jc w:val="center"/>
                    <w:textAlignment w:val="center"/>
                    <w:rPr>
                      <w:color w:val="auto"/>
                      <w:szCs w:val="21"/>
                    </w:rPr>
                  </w:pPr>
                  <w:r>
                    <w:rPr>
                      <w:rFonts w:hint="eastAsia"/>
                      <w:color w:val="auto"/>
                      <w:szCs w:val="21"/>
                    </w:rPr>
                    <w:t>1.2</w:t>
                  </w:r>
                </w:p>
              </w:tc>
              <w:tc>
                <w:tcPr>
                  <w:tcW w:w="387" w:type="pct"/>
                  <w:vAlign w:val="center"/>
                </w:tcPr>
                <w:p w14:paraId="6146DC74">
                  <w:pPr>
                    <w:widowControl/>
                    <w:jc w:val="center"/>
                    <w:textAlignment w:val="center"/>
                    <w:rPr>
                      <w:color w:val="auto"/>
                      <w:szCs w:val="21"/>
                    </w:rPr>
                  </w:pPr>
                  <w:r>
                    <w:rPr>
                      <w:rFonts w:hint="eastAsia"/>
                      <w:color w:val="auto"/>
                      <w:szCs w:val="21"/>
                    </w:rPr>
                    <w:t>2</w:t>
                  </w:r>
                </w:p>
              </w:tc>
              <w:tc>
                <w:tcPr>
                  <w:tcW w:w="596" w:type="pct"/>
                  <w:vAlign w:val="center"/>
                </w:tcPr>
                <w:p w14:paraId="76842DD2">
                  <w:pPr>
                    <w:widowControl/>
                    <w:jc w:val="center"/>
                    <w:textAlignment w:val="center"/>
                    <w:rPr>
                      <w:color w:val="auto"/>
                      <w:szCs w:val="21"/>
                    </w:rPr>
                  </w:pPr>
                  <w:r>
                    <w:rPr>
                      <w:color w:val="auto"/>
                      <w:kern w:val="0"/>
                      <w:szCs w:val="21"/>
                      <w:lang w:bidi="ar"/>
                    </w:rPr>
                    <w:t>0.0754</w:t>
                  </w:r>
                </w:p>
              </w:tc>
              <w:tc>
                <w:tcPr>
                  <w:tcW w:w="602" w:type="pct"/>
                  <w:vAlign w:val="center"/>
                </w:tcPr>
                <w:p w14:paraId="47DECFC5">
                  <w:pPr>
                    <w:widowControl/>
                    <w:jc w:val="center"/>
                    <w:textAlignment w:val="center"/>
                    <w:rPr>
                      <w:color w:val="auto"/>
                      <w:szCs w:val="21"/>
                    </w:rPr>
                  </w:pPr>
                  <w:r>
                    <w:rPr>
                      <w:color w:val="auto"/>
                      <w:kern w:val="0"/>
                      <w:szCs w:val="21"/>
                      <w:lang w:bidi="ar"/>
                    </w:rPr>
                    <w:t>0.0664</w:t>
                  </w:r>
                </w:p>
              </w:tc>
              <w:tc>
                <w:tcPr>
                  <w:tcW w:w="590" w:type="pct"/>
                  <w:vAlign w:val="center"/>
                </w:tcPr>
                <w:p w14:paraId="49D5836B">
                  <w:pPr>
                    <w:widowControl/>
                    <w:jc w:val="center"/>
                    <w:textAlignment w:val="center"/>
                    <w:rPr>
                      <w:color w:val="auto"/>
                      <w:szCs w:val="21"/>
                    </w:rPr>
                  </w:pPr>
                  <w:r>
                    <w:rPr>
                      <w:color w:val="auto"/>
                      <w:kern w:val="0"/>
                      <w:szCs w:val="21"/>
                      <w:lang w:bidi="ar"/>
                    </w:rPr>
                    <w:t>0.1418</w:t>
                  </w:r>
                </w:p>
              </w:tc>
            </w:tr>
            <w:tr w14:paraId="08642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18308E66">
                  <w:pPr>
                    <w:jc w:val="center"/>
                    <w:rPr>
                      <w:color w:val="auto"/>
                      <w:szCs w:val="21"/>
                    </w:rPr>
                  </w:pPr>
                </w:p>
              </w:tc>
              <w:tc>
                <w:tcPr>
                  <w:tcW w:w="2931" w:type="pct"/>
                  <w:gridSpan w:val="6"/>
                  <w:vAlign w:val="center"/>
                </w:tcPr>
                <w:p w14:paraId="19D3AF15">
                  <w:pPr>
                    <w:widowControl/>
                    <w:jc w:val="center"/>
                    <w:textAlignment w:val="center"/>
                    <w:rPr>
                      <w:color w:val="auto"/>
                      <w:szCs w:val="21"/>
                    </w:rPr>
                  </w:pPr>
                  <w:r>
                    <w:rPr>
                      <w:color w:val="auto"/>
                      <w:kern w:val="0"/>
                      <w:szCs w:val="21"/>
                      <w:lang w:bidi="ar"/>
                    </w:rPr>
                    <w:t>单件产品小计</w:t>
                  </w:r>
                </w:p>
              </w:tc>
              <w:tc>
                <w:tcPr>
                  <w:tcW w:w="596" w:type="pct"/>
                  <w:vAlign w:val="center"/>
                </w:tcPr>
                <w:p w14:paraId="68F06BCE">
                  <w:pPr>
                    <w:widowControl/>
                    <w:jc w:val="center"/>
                    <w:textAlignment w:val="center"/>
                    <w:rPr>
                      <w:color w:val="auto"/>
                      <w:szCs w:val="21"/>
                    </w:rPr>
                  </w:pPr>
                  <w:r>
                    <w:rPr>
                      <w:color w:val="auto"/>
                      <w:kern w:val="0"/>
                      <w:szCs w:val="21"/>
                      <w:lang w:bidi="ar"/>
                    </w:rPr>
                    <w:t>0.3703</w:t>
                  </w:r>
                </w:p>
              </w:tc>
              <w:tc>
                <w:tcPr>
                  <w:tcW w:w="602" w:type="pct"/>
                  <w:vAlign w:val="center"/>
                </w:tcPr>
                <w:p w14:paraId="6A6499FF">
                  <w:pPr>
                    <w:widowControl/>
                    <w:jc w:val="center"/>
                    <w:textAlignment w:val="center"/>
                    <w:rPr>
                      <w:color w:val="auto"/>
                      <w:szCs w:val="21"/>
                    </w:rPr>
                  </w:pPr>
                  <w:r>
                    <w:rPr>
                      <w:color w:val="auto"/>
                      <w:kern w:val="0"/>
                      <w:szCs w:val="21"/>
                      <w:lang w:bidi="ar"/>
                    </w:rPr>
                    <w:t>0.2512</w:t>
                  </w:r>
                </w:p>
              </w:tc>
              <w:tc>
                <w:tcPr>
                  <w:tcW w:w="590" w:type="pct"/>
                  <w:vAlign w:val="center"/>
                </w:tcPr>
                <w:p w14:paraId="3074B583">
                  <w:pPr>
                    <w:widowControl/>
                    <w:jc w:val="center"/>
                    <w:textAlignment w:val="center"/>
                    <w:rPr>
                      <w:color w:val="auto"/>
                      <w:szCs w:val="21"/>
                    </w:rPr>
                  </w:pPr>
                  <w:r>
                    <w:rPr>
                      <w:color w:val="auto"/>
                      <w:kern w:val="0"/>
                      <w:szCs w:val="21"/>
                      <w:lang w:bidi="ar"/>
                    </w:rPr>
                    <w:t>0.6215</w:t>
                  </w:r>
                </w:p>
              </w:tc>
            </w:tr>
            <w:tr w14:paraId="4714D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0"/>
                  <w:vAlign w:val="center"/>
                </w:tcPr>
                <w:p w14:paraId="06781045">
                  <w:pPr>
                    <w:widowControl/>
                    <w:jc w:val="center"/>
                    <w:textAlignment w:val="center"/>
                    <w:rPr>
                      <w:color w:val="auto"/>
                      <w:szCs w:val="21"/>
                    </w:rPr>
                  </w:pPr>
                  <w:r>
                    <w:rPr>
                      <w:b/>
                      <w:bCs/>
                      <w:color w:val="auto"/>
                      <w:kern w:val="0"/>
                      <w:szCs w:val="21"/>
                      <w:lang w:bidi="ar"/>
                    </w:rPr>
                    <w:t>产品-</w:t>
                  </w:r>
                  <w:r>
                    <w:rPr>
                      <w:rFonts w:hint="eastAsia"/>
                      <w:b/>
                      <w:bCs/>
                      <w:color w:val="auto"/>
                      <w:kern w:val="0"/>
                      <w:szCs w:val="21"/>
                      <w:lang w:bidi="ar"/>
                    </w:rPr>
                    <w:t>铝制电动助力车车架</w:t>
                  </w:r>
                  <w:r>
                    <w:rPr>
                      <w:b/>
                      <w:bCs/>
                      <w:color w:val="auto"/>
                      <w:kern w:val="0"/>
                      <w:szCs w:val="21"/>
                      <w:lang w:bidi="ar"/>
                    </w:rPr>
                    <w:t>（</w:t>
                  </w:r>
                  <w:r>
                    <w:rPr>
                      <w:rFonts w:hint="eastAsia"/>
                      <w:b/>
                      <w:bCs/>
                      <w:color w:val="auto"/>
                      <w:kern w:val="0"/>
                      <w:szCs w:val="21"/>
                      <w:lang w:bidi="ar"/>
                    </w:rPr>
                    <w:t>4</w:t>
                  </w:r>
                  <w:r>
                    <w:rPr>
                      <w:b/>
                      <w:bCs/>
                      <w:color w:val="auto"/>
                      <w:kern w:val="0"/>
                      <w:szCs w:val="21"/>
                      <w:lang w:bidi="ar"/>
                    </w:rPr>
                    <w:t>kg）</w:t>
                  </w:r>
                </w:p>
              </w:tc>
            </w:tr>
            <w:tr w14:paraId="2A52A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0" w:type="pct"/>
                  <w:vMerge w:val="restart"/>
                  <w:vAlign w:val="center"/>
                </w:tcPr>
                <w:p w14:paraId="04D78645">
                  <w:pPr>
                    <w:widowControl/>
                    <w:jc w:val="center"/>
                    <w:textAlignment w:val="center"/>
                    <w:rPr>
                      <w:b/>
                      <w:bCs/>
                      <w:color w:val="auto"/>
                      <w:szCs w:val="21"/>
                    </w:rPr>
                  </w:pPr>
                  <w:r>
                    <w:rPr>
                      <w:b/>
                      <w:bCs/>
                      <w:color w:val="auto"/>
                      <w:kern w:val="0"/>
                      <w:szCs w:val="21"/>
                      <w:lang w:bidi="ar"/>
                    </w:rPr>
                    <w:t>单位产品物料使用情况</w:t>
                  </w:r>
                </w:p>
              </w:tc>
              <w:tc>
                <w:tcPr>
                  <w:tcW w:w="801" w:type="pct"/>
                  <w:vMerge w:val="restart"/>
                  <w:vAlign w:val="center"/>
                </w:tcPr>
                <w:p w14:paraId="5B46ACED">
                  <w:pPr>
                    <w:widowControl/>
                    <w:jc w:val="center"/>
                    <w:textAlignment w:val="center"/>
                    <w:rPr>
                      <w:b/>
                      <w:bCs/>
                      <w:color w:val="auto"/>
                      <w:szCs w:val="21"/>
                    </w:rPr>
                  </w:pPr>
                  <w:r>
                    <w:rPr>
                      <w:b/>
                      <w:bCs/>
                      <w:color w:val="auto"/>
                      <w:kern w:val="0"/>
                      <w:szCs w:val="21"/>
                      <w:lang w:bidi="ar"/>
                    </w:rPr>
                    <w:t>物料</w:t>
                  </w:r>
                </w:p>
              </w:tc>
              <w:tc>
                <w:tcPr>
                  <w:tcW w:w="1742" w:type="pct"/>
                  <w:gridSpan w:val="4"/>
                  <w:vAlign w:val="center"/>
                </w:tcPr>
                <w:p w14:paraId="4164F237">
                  <w:pPr>
                    <w:widowControl/>
                    <w:jc w:val="center"/>
                    <w:textAlignment w:val="center"/>
                    <w:rPr>
                      <w:b/>
                      <w:bCs/>
                      <w:color w:val="auto"/>
                      <w:szCs w:val="21"/>
                    </w:rPr>
                  </w:pPr>
                  <w:r>
                    <w:rPr>
                      <w:b/>
                      <w:bCs/>
                      <w:color w:val="auto"/>
                      <w:kern w:val="0"/>
                      <w:szCs w:val="21"/>
                      <w:lang w:bidi="ar"/>
                    </w:rPr>
                    <w:t>尺寸（</w:t>
                  </w:r>
                  <w:r>
                    <w:rPr>
                      <w:rFonts w:hint="eastAsia"/>
                      <w:b/>
                      <w:bCs/>
                      <w:color w:val="auto"/>
                      <w:kern w:val="0"/>
                      <w:szCs w:val="21"/>
                      <w:lang w:bidi="ar"/>
                    </w:rPr>
                    <w:t>m</w:t>
                  </w:r>
                  <w:r>
                    <w:rPr>
                      <w:b/>
                      <w:bCs/>
                      <w:color w:val="auto"/>
                      <w:kern w:val="0"/>
                      <w:szCs w:val="21"/>
                      <w:lang w:bidi="ar"/>
                    </w:rPr>
                    <w:t>m）</w:t>
                  </w:r>
                </w:p>
              </w:tc>
              <w:tc>
                <w:tcPr>
                  <w:tcW w:w="387" w:type="pct"/>
                  <w:vMerge w:val="restart"/>
                  <w:vAlign w:val="center"/>
                </w:tcPr>
                <w:p w14:paraId="58ACF3F5">
                  <w:pPr>
                    <w:widowControl/>
                    <w:jc w:val="center"/>
                    <w:textAlignment w:val="center"/>
                    <w:rPr>
                      <w:b/>
                      <w:bCs/>
                      <w:color w:val="auto"/>
                      <w:szCs w:val="21"/>
                    </w:rPr>
                  </w:pPr>
                  <w:r>
                    <w:rPr>
                      <w:b/>
                      <w:bCs/>
                      <w:color w:val="auto"/>
                      <w:kern w:val="0"/>
                      <w:szCs w:val="21"/>
                      <w:lang w:bidi="ar"/>
                    </w:rPr>
                    <w:t>数量</w:t>
                  </w:r>
                </w:p>
              </w:tc>
              <w:tc>
                <w:tcPr>
                  <w:tcW w:w="596" w:type="pct"/>
                  <w:vMerge w:val="restart"/>
                  <w:vAlign w:val="center"/>
                </w:tcPr>
                <w:p w14:paraId="7E17DEE2">
                  <w:pPr>
                    <w:widowControl/>
                    <w:jc w:val="center"/>
                    <w:textAlignment w:val="center"/>
                    <w:rPr>
                      <w:b/>
                      <w:bCs/>
                      <w:color w:val="auto"/>
                      <w:szCs w:val="21"/>
                    </w:rPr>
                  </w:pPr>
                  <w:r>
                    <w:rPr>
                      <w:b/>
                      <w:bCs/>
                      <w:color w:val="auto"/>
                      <w:kern w:val="0"/>
                      <w:szCs w:val="21"/>
                      <w:lang w:bidi="ar"/>
                    </w:rPr>
                    <w:t>前处理外表面积（m</w:t>
                  </w:r>
                  <w:r>
                    <w:rPr>
                      <w:b/>
                      <w:bCs/>
                      <w:color w:val="auto"/>
                      <w:kern w:val="0"/>
                      <w:szCs w:val="21"/>
                      <w:vertAlign w:val="superscript"/>
                      <w:lang w:bidi="ar"/>
                    </w:rPr>
                    <w:t>2</w:t>
                  </w:r>
                  <w:r>
                    <w:rPr>
                      <w:b/>
                      <w:bCs/>
                      <w:color w:val="auto"/>
                      <w:kern w:val="0"/>
                      <w:szCs w:val="21"/>
                      <w:lang w:bidi="ar"/>
                    </w:rPr>
                    <w:t>）</w:t>
                  </w:r>
                </w:p>
              </w:tc>
              <w:tc>
                <w:tcPr>
                  <w:tcW w:w="602" w:type="pct"/>
                  <w:vMerge w:val="restart"/>
                  <w:vAlign w:val="center"/>
                </w:tcPr>
                <w:p w14:paraId="74CE7EFB">
                  <w:pPr>
                    <w:widowControl/>
                    <w:jc w:val="center"/>
                    <w:textAlignment w:val="center"/>
                    <w:rPr>
                      <w:b/>
                      <w:bCs/>
                      <w:color w:val="auto"/>
                      <w:szCs w:val="21"/>
                    </w:rPr>
                  </w:pPr>
                  <w:r>
                    <w:rPr>
                      <w:b/>
                      <w:bCs/>
                      <w:color w:val="auto"/>
                      <w:kern w:val="0"/>
                      <w:szCs w:val="21"/>
                      <w:lang w:bidi="ar"/>
                    </w:rPr>
                    <w:t>前处理内表面积（m</w:t>
                  </w:r>
                  <w:r>
                    <w:rPr>
                      <w:b/>
                      <w:bCs/>
                      <w:color w:val="auto"/>
                      <w:kern w:val="0"/>
                      <w:szCs w:val="21"/>
                      <w:vertAlign w:val="superscript"/>
                      <w:lang w:bidi="ar"/>
                    </w:rPr>
                    <w:t>2</w:t>
                  </w:r>
                  <w:r>
                    <w:rPr>
                      <w:b/>
                      <w:bCs/>
                      <w:color w:val="auto"/>
                      <w:kern w:val="0"/>
                      <w:szCs w:val="21"/>
                      <w:lang w:bidi="ar"/>
                    </w:rPr>
                    <w:t>）</w:t>
                  </w:r>
                </w:p>
              </w:tc>
              <w:tc>
                <w:tcPr>
                  <w:tcW w:w="590" w:type="pct"/>
                  <w:vMerge w:val="restart"/>
                  <w:vAlign w:val="center"/>
                </w:tcPr>
                <w:p w14:paraId="30EA5F31">
                  <w:pPr>
                    <w:widowControl/>
                    <w:jc w:val="center"/>
                    <w:textAlignment w:val="center"/>
                    <w:rPr>
                      <w:b/>
                      <w:bCs/>
                      <w:color w:val="auto"/>
                      <w:szCs w:val="21"/>
                    </w:rPr>
                  </w:pPr>
                  <w:r>
                    <w:rPr>
                      <w:b/>
                      <w:bCs/>
                      <w:color w:val="auto"/>
                      <w:kern w:val="0"/>
                      <w:szCs w:val="21"/>
                      <w:lang w:bidi="ar"/>
                    </w:rPr>
                    <w:t>前处理总表面积（m</w:t>
                  </w:r>
                  <w:r>
                    <w:rPr>
                      <w:b/>
                      <w:bCs/>
                      <w:color w:val="auto"/>
                      <w:kern w:val="0"/>
                      <w:szCs w:val="21"/>
                      <w:vertAlign w:val="superscript"/>
                      <w:lang w:bidi="ar"/>
                    </w:rPr>
                    <w:t>2</w:t>
                  </w:r>
                  <w:r>
                    <w:rPr>
                      <w:b/>
                      <w:bCs/>
                      <w:color w:val="auto"/>
                      <w:kern w:val="0"/>
                      <w:szCs w:val="21"/>
                      <w:lang w:bidi="ar"/>
                    </w:rPr>
                    <w:t>）</w:t>
                  </w:r>
                </w:p>
              </w:tc>
            </w:tr>
            <w:tr w14:paraId="5C380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3FB56299">
                  <w:pPr>
                    <w:jc w:val="center"/>
                    <w:rPr>
                      <w:b/>
                      <w:bCs/>
                      <w:color w:val="auto"/>
                      <w:szCs w:val="21"/>
                    </w:rPr>
                  </w:pPr>
                </w:p>
              </w:tc>
              <w:tc>
                <w:tcPr>
                  <w:tcW w:w="801" w:type="pct"/>
                  <w:vMerge w:val="continue"/>
                  <w:vAlign w:val="center"/>
                </w:tcPr>
                <w:p w14:paraId="2C946312">
                  <w:pPr>
                    <w:jc w:val="center"/>
                    <w:rPr>
                      <w:b/>
                      <w:bCs/>
                      <w:color w:val="auto"/>
                      <w:szCs w:val="21"/>
                    </w:rPr>
                  </w:pPr>
                </w:p>
              </w:tc>
              <w:tc>
                <w:tcPr>
                  <w:tcW w:w="525" w:type="pct"/>
                  <w:vAlign w:val="center"/>
                </w:tcPr>
                <w:p w14:paraId="53A97B0F">
                  <w:pPr>
                    <w:widowControl/>
                    <w:jc w:val="center"/>
                    <w:textAlignment w:val="center"/>
                    <w:rPr>
                      <w:b/>
                      <w:bCs/>
                      <w:color w:val="auto"/>
                      <w:szCs w:val="21"/>
                    </w:rPr>
                  </w:pPr>
                  <w:r>
                    <w:rPr>
                      <w:rFonts w:hint="eastAsia"/>
                      <w:b/>
                      <w:bCs/>
                      <w:color w:val="auto"/>
                      <w:kern w:val="0"/>
                      <w:szCs w:val="21"/>
                      <w:lang w:bidi="ar"/>
                    </w:rPr>
                    <w:t>管直径/支架</w:t>
                  </w:r>
                  <w:r>
                    <w:rPr>
                      <w:b/>
                      <w:bCs/>
                      <w:color w:val="auto"/>
                      <w:kern w:val="0"/>
                      <w:szCs w:val="21"/>
                      <w:lang w:bidi="ar"/>
                    </w:rPr>
                    <w:t>长</w:t>
                  </w:r>
                </w:p>
              </w:tc>
              <w:tc>
                <w:tcPr>
                  <w:tcW w:w="363" w:type="pct"/>
                  <w:vAlign w:val="center"/>
                </w:tcPr>
                <w:p w14:paraId="27E2E044">
                  <w:pPr>
                    <w:widowControl/>
                    <w:jc w:val="center"/>
                    <w:textAlignment w:val="center"/>
                    <w:rPr>
                      <w:b/>
                      <w:bCs/>
                      <w:color w:val="auto"/>
                      <w:szCs w:val="21"/>
                    </w:rPr>
                  </w:pPr>
                  <w:r>
                    <w:rPr>
                      <w:rFonts w:hint="eastAsia"/>
                      <w:b/>
                      <w:bCs/>
                      <w:color w:val="auto"/>
                      <w:kern w:val="0"/>
                      <w:szCs w:val="21"/>
                      <w:lang w:bidi="ar"/>
                    </w:rPr>
                    <w:t>管长</w:t>
                  </w:r>
                </w:p>
              </w:tc>
              <w:tc>
                <w:tcPr>
                  <w:tcW w:w="465" w:type="pct"/>
                  <w:vAlign w:val="center"/>
                </w:tcPr>
                <w:p w14:paraId="45C2672C">
                  <w:pPr>
                    <w:widowControl/>
                    <w:jc w:val="center"/>
                    <w:textAlignment w:val="center"/>
                    <w:rPr>
                      <w:b/>
                      <w:bCs/>
                      <w:color w:val="auto"/>
                      <w:szCs w:val="21"/>
                    </w:rPr>
                  </w:pPr>
                  <w:r>
                    <w:rPr>
                      <w:rFonts w:hint="eastAsia"/>
                      <w:b/>
                      <w:bCs/>
                      <w:color w:val="auto"/>
                      <w:kern w:val="0"/>
                      <w:szCs w:val="21"/>
                      <w:lang w:bidi="ar"/>
                    </w:rPr>
                    <w:t>支架宽</w:t>
                  </w:r>
                </w:p>
              </w:tc>
              <w:tc>
                <w:tcPr>
                  <w:tcW w:w="388" w:type="pct"/>
                  <w:vAlign w:val="center"/>
                </w:tcPr>
                <w:p w14:paraId="4DFCCDFD">
                  <w:pPr>
                    <w:widowControl/>
                    <w:jc w:val="center"/>
                    <w:textAlignment w:val="center"/>
                    <w:rPr>
                      <w:b/>
                      <w:bCs/>
                      <w:color w:val="auto"/>
                      <w:szCs w:val="21"/>
                    </w:rPr>
                  </w:pPr>
                  <w:r>
                    <w:rPr>
                      <w:b/>
                      <w:bCs/>
                      <w:color w:val="auto"/>
                      <w:kern w:val="0"/>
                      <w:szCs w:val="21"/>
                      <w:lang w:bidi="ar"/>
                    </w:rPr>
                    <w:t>壁厚</w:t>
                  </w:r>
                </w:p>
              </w:tc>
              <w:tc>
                <w:tcPr>
                  <w:tcW w:w="387" w:type="pct"/>
                  <w:vMerge w:val="continue"/>
                  <w:vAlign w:val="center"/>
                </w:tcPr>
                <w:p w14:paraId="767735ED">
                  <w:pPr>
                    <w:jc w:val="center"/>
                    <w:rPr>
                      <w:b/>
                      <w:bCs/>
                      <w:color w:val="auto"/>
                      <w:szCs w:val="21"/>
                    </w:rPr>
                  </w:pPr>
                </w:p>
              </w:tc>
              <w:tc>
                <w:tcPr>
                  <w:tcW w:w="596" w:type="pct"/>
                  <w:vMerge w:val="continue"/>
                  <w:vAlign w:val="center"/>
                </w:tcPr>
                <w:p w14:paraId="565CCF31">
                  <w:pPr>
                    <w:jc w:val="center"/>
                    <w:rPr>
                      <w:b/>
                      <w:bCs/>
                      <w:color w:val="auto"/>
                      <w:szCs w:val="21"/>
                    </w:rPr>
                  </w:pPr>
                </w:p>
              </w:tc>
              <w:tc>
                <w:tcPr>
                  <w:tcW w:w="602" w:type="pct"/>
                  <w:vMerge w:val="continue"/>
                  <w:vAlign w:val="center"/>
                </w:tcPr>
                <w:p w14:paraId="41855BA6">
                  <w:pPr>
                    <w:jc w:val="center"/>
                    <w:rPr>
                      <w:b/>
                      <w:bCs/>
                      <w:color w:val="auto"/>
                      <w:szCs w:val="21"/>
                    </w:rPr>
                  </w:pPr>
                </w:p>
              </w:tc>
              <w:tc>
                <w:tcPr>
                  <w:tcW w:w="590" w:type="pct"/>
                  <w:vMerge w:val="continue"/>
                  <w:vAlign w:val="center"/>
                </w:tcPr>
                <w:p w14:paraId="3419C8C5">
                  <w:pPr>
                    <w:jc w:val="center"/>
                    <w:rPr>
                      <w:b/>
                      <w:bCs/>
                      <w:color w:val="auto"/>
                      <w:szCs w:val="21"/>
                    </w:rPr>
                  </w:pPr>
                </w:p>
              </w:tc>
            </w:tr>
            <w:tr w14:paraId="6603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6BCEBA78">
                  <w:pPr>
                    <w:jc w:val="center"/>
                    <w:rPr>
                      <w:color w:val="auto"/>
                      <w:szCs w:val="21"/>
                    </w:rPr>
                  </w:pPr>
                </w:p>
              </w:tc>
              <w:tc>
                <w:tcPr>
                  <w:tcW w:w="801" w:type="pct"/>
                  <w:vAlign w:val="center"/>
                </w:tcPr>
                <w:p w14:paraId="74D4804E">
                  <w:pPr>
                    <w:widowControl/>
                    <w:jc w:val="center"/>
                    <w:textAlignment w:val="center"/>
                    <w:rPr>
                      <w:rFonts w:eastAsiaTheme="minorEastAsia"/>
                      <w:color w:val="auto"/>
                      <w:szCs w:val="21"/>
                    </w:rPr>
                  </w:pPr>
                  <w:r>
                    <w:rPr>
                      <w:rFonts w:hint="eastAsia"/>
                      <w:color w:val="auto"/>
                      <w:kern w:val="0"/>
                      <w:szCs w:val="21"/>
                      <w:lang w:bidi="ar"/>
                    </w:rPr>
                    <w:t>头管</w:t>
                  </w:r>
                </w:p>
              </w:tc>
              <w:tc>
                <w:tcPr>
                  <w:tcW w:w="525" w:type="pct"/>
                  <w:vAlign w:val="center"/>
                </w:tcPr>
                <w:p w14:paraId="174B3423">
                  <w:pPr>
                    <w:widowControl/>
                    <w:jc w:val="center"/>
                    <w:textAlignment w:val="center"/>
                    <w:rPr>
                      <w:color w:val="auto"/>
                      <w:szCs w:val="21"/>
                    </w:rPr>
                  </w:pPr>
                  <w:r>
                    <w:rPr>
                      <w:rFonts w:hint="eastAsia"/>
                      <w:color w:val="auto"/>
                      <w:szCs w:val="21"/>
                    </w:rPr>
                    <w:t>32</w:t>
                  </w:r>
                </w:p>
              </w:tc>
              <w:tc>
                <w:tcPr>
                  <w:tcW w:w="363" w:type="pct"/>
                  <w:vAlign w:val="center"/>
                </w:tcPr>
                <w:p w14:paraId="3B1BE9AC">
                  <w:pPr>
                    <w:widowControl/>
                    <w:jc w:val="center"/>
                    <w:textAlignment w:val="center"/>
                    <w:rPr>
                      <w:color w:val="auto"/>
                      <w:szCs w:val="21"/>
                    </w:rPr>
                  </w:pPr>
                  <w:r>
                    <w:rPr>
                      <w:rFonts w:hint="eastAsia"/>
                      <w:color w:val="auto"/>
                      <w:szCs w:val="21"/>
                    </w:rPr>
                    <w:t>115</w:t>
                  </w:r>
                </w:p>
              </w:tc>
              <w:tc>
                <w:tcPr>
                  <w:tcW w:w="465" w:type="pct"/>
                  <w:vAlign w:val="center"/>
                </w:tcPr>
                <w:p w14:paraId="38E045D9">
                  <w:pPr>
                    <w:widowControl/>
                    <w:jc w:val="center"/>
                    <w:textAlignment w:val="center"/>
                    <w:rPr>
                      <w:color w:val="auto"/>
                      <w:szCs w:val="21"/>
                    </w:rPr>
                  </w:pPr>
                  <w:r>
                    <w:rPr>
                      <w:rFonts w:hint="eastAsia"/>
                      <w:color w:val="auto"/>
                      <w:szCs w:val="21"/>
                    </w:rPr>
                    <w:t>/</w:t>
                  </w:r>
                </w:p>
              </w:tc>
              <w:tc>
                <w:tcPr>
                  <w:tcW w:w="388" w:type="pct"/>
                  <w:vAlign w:val="center"/>
                </w:tcPr>
                <w:p w14:paraId="0EE471EC">
                  <w:pPr>
                    <w:widowControl/>
                    <w:jc w:val="center"/>
                    <w:textAlignment w:val="center"/>
                    <w:rPr>
                      <w:color w:val="auto"/>
                      <w:szCs w:val="21"/>
                    </w:rPr>
                  </w:pPr>
                  <w:r>
                    <w:rPr>
                      <w:rFonts w:hint="eastAsia"/>
                      <w:color w:val="auto"/>
                      <w:szCs w:val="21"/>
                    </w:rPr>
                    <w:t>1.2</w:t>
                  </w:r>
                </w:p>
              </w:tc>
              <w:tc>
                <w:tcPr>
                  <w:tcW w:w="387" w:type="pct"/>
                  <w:vAlign w:val="center"/>
                </w:tcPr>
                <w:p w14:paraId="6CF32746">
                  <w:pPr>
                    <w:widowControl/>
                    <w:jc w:val="center"/>
                    <w:textAlignment w:val="center"/>
                    <w:rPr>
                      <w:color w:val="auto"/>
                      <w:szCs w:val="21"/>
                    </w:rPr>
                  </w:pPr>
                  <w:r>
                    <w:rPr>
                      <w:rFonts w:hint="eastAsia"/>
                      <w:color w:val="auto"/>
                      <w:szCs w:val="21"/>
                    </w:rPr>
                    <w:t>1</w:t>
                  </w:r>
                </w:p>
              </w:tc>
              <w:tc>
                <w:tcPr>
                  <w:tcW w:w="596" w:type="pct"/>
                  <w:vAlign w:val="center"/>
                </w:tcPr>
                <w:p w14:paraId="47369FA4">
                  <w:pPr>
                    <w:widowControl/>
                    <w:jc w:val="center"/>
                    <w:textAlignment w:val="center"/>
                    <w:rPr>
                      <w:color w:val="auto"/>
                      <w:szCs w:val="21"/>
                    </w:rPr>
                  </w:pPr>
                  <w:r>
                    <w:rPr>
                      <w:color w:val="auto"/>
                      <w:kern w:val="0"/>
                      <w:szCs w:val="21"/>
                      <w:lang w:bidi="ar"/>
                    </w:rPr>
                    <w:t>0.0116</w:t>
                  </w:r>
                </w:p>
              </w:tc>
              <w:tc>
                <w:tcPr>
                  <w:tcW w:w="602" w:type="pct"/>
                  <w:vAlign w:val="center"/>
                </w:tcPr>
                <w:p w14:paraId="1597301F">
                  <w:pPr>
                    <w:widowControl/>
                    <w:jc w:val="center"/>
                    <w:textAlignment w:val="center"/>
                    <w:rPr>
                      <w:color w:val="auto"/>
                      <w:szCs w:val="21"/>
                    </w:rPr>
                  </w:pPr>
                  <w:r>
                    <w:rPr>
                      <w:color w:val="auto"/>
                      <w:kern w:val="0"/>
                      <w:szCs w:val="21"/>
                      <w:lang w:bidi="ar"/>
                    </w:rPr>
                    <w:t>0.0107</w:t>
                  </w:r>
                </w:p>
              </w:tc>
              <w:tc>
                <w:tcPr>
                  <w:tcW w:w="590" w:type="pct"/>
                  <w:vAlign w:val="center"/>
                </w:tcPr>
                <w:p w14:paraId="641DCB0F">
                  <w:pPr>
                    <w:widowControl/>
                    <w:jc w:val="center"/>
                    <w:textAlignment w:val="center"/>
                    <w:rPr>
                      <w:color w:val="auto"/>
                      <w:szCs w:val="21"/>
                    </w:rPr>
                  </w:pPr>
                  <w:r>
                    <w:rPr>
                      <w:color w:val="auto"/>
                      <w:kern w:val="0"/>
                      <w:szCs w:val="21"/>
                      <w:lang w:bidi="ar"/>
                    </w:rPr>
                    <w:t>0.0223</w:t>
                  </w:r>
                </w:p>
              </w:tc>
            </w:tr>
            <w:tr w14:paraId="542A9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0" w:type="pct"/>
                  <w:vMerge w:val="continue"/>
                  <w:vAlign w:val="center"/>
                </w:tcPr>
                <w:p w14:paraId="3EF484E1">
                  <w:pPr>
                    <w:jc w:val="center"/>
                    <w:rPr>
                      <w:color w:val="auto"/>
                      <w:szCs w:val="21"/>
                    </w:rPr>
                  </w:pPr>
                </w:p>
              </w:tc>
              <w:tc>
                <w:tcPr>
                  <w:tcW w:w="801" w:type="pct"/>
                  <w:vAlign w:val="center"/>
                </w:tcPr>
                <w:p w14:paraId="459A8594">
                  <w:pPr>
                    <w:jc w:val="center"/>
                    <w:rPr>
                      <w:rFonts w:eastAsiaTheme="minorEastAsia"/>
                      <w:color w:val="auto"/>
                      <w:szCs w:val="21"/>
                    </w:rPr>
                  </w:pPr>
                  <w:r>
                    <w:rPr>
                      <w:rFonts w:hint="eastAsia"/>
                      <w:color w:val="auto"/>
                      <w:szCs w:val="21"/>
                    </w:rPr>
                    <w:t>主梁管</w:t>
                  </w:r>
                </w:p>
              </w:tc>
              <w:tc>
                <w:tcPr>
                  <w:tcW w:w="525" w:type="pct"/>
                  <w:vAlign w:val="center"/>
                </w:tcPr>
                <w:p w14:paraId="54035070">
                  <w:pPr>
                    <w:widowControl/>
                    <w:jc w:val="center"/>
                    <w:textAlignment w:val="center"/>
                    <w:rPr>
                      <w:color w:val="auto"/>
                      <w:szCs w:val="21"/>
                    </w:rPr>
                  </w:pPr>
                  <w:r>
                    <w:rPr>
                      <w:rFonts w:hint="eastAsia"/>
                      <w:color w:val="auto"/>
                      <w:szCs w:val="21"/>
                    </w:rPr>
                    <w:t>50</w:t>
                  </w:r>
                </w:p>
              </w:tc>
              <w:tc>
                <w:tcPr>
                  <w:tcW w:w="363" w:type="pct"/>
                  <w:vAlign w:val="center"/>
                </w:tcPr>
                <w:p w14:paraId="1E31B214">
                  <w:pPr>
                    <w:widowControl/>
                    <w:jc w:val="center"/>
                    <w:textAlignment w:val="center"/>
                    <w:rPr>
                      <w:color w:val="auto"/>
                      <w:szCs w:val="21"/>
                    </w:rPr>
                  </w:pPr>
                  <w:r>
                    <w:rPr>
                      <w:rFonts w:hint="eastAsia"/>
                      <w:color w:val="auto"/>
                      <w:szCs w:val="21"/>
                    </w:rPr>
                    <w:t>450</w:t>
                  </w:r>
                </w:p>
              </w:tc>
              <w:tc>
                <w:tcPr>
                  <w:tcW w:w="465" w:type="pct"/>
                  <w:vAlign w:val="center"/>
                </w:tcPr>
                <w:p w14:paraId="7389777D">
                  <w:pPr>
                    <w:widowControl/>
                    <w:jc w:val="center"/>
                    <w:textAlignment w:val="center"/>
                    <w:rPr>
                      <w:color w:val="auto"/>
                      <w:szCs w:val="21"/>
                    </w:rPr>
                  </w:pPr>
                  <w:r>
                    <w:rPr>
                      <w:rFonts w:hint="eastAsia"/>
                      <w:color w:val="auto"/>
                      <w:szCs w:val="21"/>
                    </w:rPr>
                    <w:t>/</w:t>
                  </w:r>
                </w:p>
              </w:tc>
              <w:tc>
                <w:tcPr>
                  <w:tcW w:w="388" w:type="pct"/>
                  <w:vAlign w:val="center"/>
                </w:tcPr>
                <w:p w14:paraId="7BB9E886">
                  <w:pPr>
                    <w:widowControl/>
                    <w:jc w:val="center"/>
                    <w:textAlignment w:val="center"/>
                    <w:rPr>
                      <w:color w:val="auto"/>
                      <w:szCs w:val="21"/>
                    </w:rPr>
                  </w:pPr>
                  <w:r>
                    <w:rPr>
                      <w:rFonts w:hint="eastAsia"/>
                      <w:color w:val="auto"/>
                      <w:szCs w:val="21"/>
                    </w:rPr>
                    <w:t>1.2</w:t>
                  </w:r>
                </w:p>
              </w:tc>
              <w:tc>
                <w:tcPr>
                  <w:tcW w:w="387" w:type="pct"/>
                  <w:vAlign w:val="center"/>
                </w:tcPr>
                <w:p w14:paraId="261A4F19">
                  <w:pPr>
                    <w:widowControl/>
                    <w:jc w:val="center"/>
                    <w:textAlignment w:val="center"/>
                    <w:rPr>
                      <w:color w:val="auto"/>
                      <w:szCs w:val="21"/>
                    </w:rPr>
                  </w:pPr>
                  <w:r>
                    <w:rPr>
                      <w:rFonts w:hint="eastAsia"/>
                      <w:color w:val="auto"/>
                      <w:szCs w:val="21"/>
                    </w:rPr>
                    <w:t>1</w:t>
                  </w:r>
                </w:p>
              </w:tc>
              <w:tc>
                <w:tcPr>
                  <w:tcW w:w="596" w:type="pct"/>
                  <w:vAlign w:val="center"/>
                </w:tcPr>
                <w:p w14:paraId="5A5933A5">
                  <w:pPr>
                    <w:widowControl/>
                    <w:jc w:val="center"/>
                    <w:textAlignment w:val="center"/>
                    <w:rPr>
                      <w:color w:val="auto"/>
                      <w:szCs w:val="21"/>
                    </w:rPr>
                  </w:pPr>
                  <w:r>
                    <w:rPr>
                      <w:color w:val="auto"/>
                      <w:kern w:val="0"/>
                      <w:szCs w:val="21"/>
                      <w:lang w:bidi="ar"/>
                    </w:rPr>
                    <w:t>0.0707</w:t>
                  </w:r>
                </w:p>
              </w:tc>
              <w:tc>
                <w:tcPr>
                  <w:tcW w:w="602" w:type="pct"/>
                  <w:vAlign w:val="center"/>
                </w:tcPr>
                <w:p w14:paraId="2B1F184F">
                  <w:pPr>
                    <w:widowControl/>
                    <w:jc w:val="center"/>
                    <w:textAlignment w:val="center"/>
                    <w:rPr>
                      <w:color w:val="auto"/>
                      <w:szCs w:val="21"/>
                    </w:rPr>
                  </w:pPr>
                  <w:r>
                    <w:rPr>
                      <w:color w:val="auto"/>
                      <w:kern w:val="0"/>
                      <w:szCs w:val="21"/>
                      <w:lang w:bidi="ar"/>
                    </w:rPr>
                    <w:t>0.0673</w:t>
                  </w:r>
                </w:p>
              </w:tc>
              <w:tc>
                <w:tcPr>
                  <w:tcW w:w="590" w:type="pct"/>
                  <w:vAlign w:val="center"/>
                </w:tcPr>
                <w:p w14:paraId="62F46098">
                  <w:pPr>
                    <w:widowControl/>
                    <w:jc w:val="center"/>
                    <w:textAlignment w:val="center"/>
                    <w:rPr>
                      <w:color w:val="auto"/>
                      <w:szCs w:val="21"/>
                    </w:rPr>
                  </w:pPr>
                  <w:r>
                    <w:rPr>
                      <w:color w:val="auto"/>
                      <w:kern w:val="0"/>
                      <w:szCs w:val="21"/>
                      <w:lang w:bidi="ar"/>
                    </w:rPr>
                    <w:t>0.138</w:t>
                  </w:r>
                </w:p>
              </w:tc>
            </w:tr>
            <w:tr w14:paraId="5A565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00B6AAD2">
                  <w:pPr>
                    <w:jc w:val="center"/>
                    <w:rPr>
                      <w:color w:val="auto"/>
                      <w:szCs w:val="21"/>
                    </w:rPr>
                  </w:pPr>
                </w:p>
              </w:tc>
              <w:tc>
                <w:tcPr>
                  <w:tcW w:w="801" w:type="pct"/>
                  <w:vAlign w:val="center"/>
                </w:tcPr>
                <w:p w14:paraId="7AC3E0CD">
                  <w:pPr>
                    <w:widowControl/>
                    <w:jc w:val="center"/>
                    <w:textAlignment w:val="center"/>
                    <w:rPr>
                      <w:rFonts w:eastAsiaTheme="minorEastAsia"/>
                      <w:color w:val="auto"/>
                      <w:szCs w:val="21"/>
                    </w:rPr>
                  </w:pPr>
                  <w:r>
                    <w:rPr>
                      <w:rFonts w:hint="eastAsia"/>
                      <w:color w:val="auto"/>
                      <w:kern w:val="0"/>
                      <w:szCs w:val="21"/>
                      <w:lang w:bidi="ar"/>
                    </w:rPr>
                    <w:t>中管</w:t>
                  </w:r>
                </w:p>
              </w:tc>
              <w:tc>
                <w:tcPr>
                  <w:tcW w:w="525" w:type="pct"/>
                  <w:vAlign w:val="center"/>
                </w:tcPr>
                <w:p w14:paraId="47940040">
                  <w:pPr>
                    <w:widowControl/>
                    <w:jc w:val="center"/>
                    <w:textAlignment w:val="center"/>
                    <w:rPr>
                      <w:color w:val="auto"/>
                      <w:szCs w:val="21"/>
                    </w:rPr>
                  </w:pPr>
                  <w:r>
                    <w:rPr>
                      <w:rFonts w:hint="eastAsia"/>
                      <w:color w:val="auto"/>
                      <w:szCs w:val="21"/>
                    </w:rPr>
                    <w:t>27.5</w:t>
                  </w:r>
                </w:p>
              </w:tc>
              <w:tc>
                <w:tcPr>
                  <w:tcW w:w="363" w:type="pct"/>
                  <w:vAlign w:val="center"/>
                </w:tcPr>
                <w:p w14:paraId="13DA6C4C">
                  <w:pPr>
                    <w:widowControl/>
                    <w:jc w:val="center"/>
                    <w:textAlignment w:val="center"/>
                    <w:rPr>
                      <w:color w:val="auto"/>
                      <w:szCs w:val="21"/>
                    </w:rPr>
                  </w:pPr>
                  <w:r>
                    <w:rPr>
                      <w:rFonts w:hint="eastAsia"/>
                      <w:color w:val="auto"/>
                      <w:szCs w:val="21"/>
                    </w:rPr>
                    <w:t>380</w:t>
                  </w:r>
                </w:p>
              </w:tc>
              <w:tc>
                <w:tcPr>
                  <w:tcW w:w="465" w:type="pct"/>
                  <w:vAlign w:val="center"/>
                </w:tcPr>
                <w:p w14:paraId="3D79594E">
                  <w:pPr>
                    <w:widowControl/>
                    <w:jc w:val="center"/>
                    <w:textAlignment w:val="center"/>
                    <w:rPr>
                      <w:color w:val="auto"/>
                      <w:szCs w:val="21"/>
                    </w:rPr>
                  </w:pPr>
                  <w:r>
                    <w:rPr>
                      <w:rFonts w:hint="eastAsia"/>
                      <w:color w:val="auto"/>
                      <w:szCs w:val="21"/>
                    </w:rPr>
                    <w:t>/</w:t>
                  </w:r>
                </w:p>
              </w:tc>
              <w:tc>
                <w:tcPr>
                  <w:tcW w:w="388" w:type="pct"/>
                  <w:vAlign w:val="center"/>
                </w:tcPr>
                <w:p w14:paraId="7363D9ED">
                  <w:pPr>
                    <w:widowControl/>
                    <w:jc w:val="center"/>
                    <w:textAlignment w:val="center"/>
                    <w:rPr>
                      <w:color w:val="auto"/>
                      <w:szCs w:val="21"/>
                    </w:rPr>
                  </w:pPr>
                  <w:r>
                    <w:rPr>
                      <w:rFonts w:hint="eastAsia"/>
                      <w:color w:val="auto"/>
                      <w:szCs w:val="21"/>
                    </w:rPr>
                    <w:t>1.2</w:t>
                  </w:r>
                </w:p>
              </w:tc>
              <w:tc>
                <w:tcPr>
                  <w:tcW w:w="387" w:type="pct"/>
                  <w:vAlign w:val="center"/>
                </w:tcPr>
                <w:p w14:paraId="58AC5C12">
                  <w:pPr>
                    <w:widowControl/>
                    <w:jc w:val="center"/>
                    <w:textAlignment w:val="center"/>
                    <w:rPr>
                      <w:color w:val="auto"/>
                      <w:szCs w:val="21"/>
                    </w:rPr>
                  </w:pPr>
                  <w:r>
                    <w:rPr>
                      <w:rFonts w:hint="eastAsia"/>
                      <w:color w:val="auto"/>
                      <w:szCs w:val="21"/>
                    </w:rPr>
                    <w:t>1</w:t>
                  </w:r>
                </w:p>
              </w:tc>
              <w:tc>
                <w:tcPr>
                  <w:tcW w:w="596" w:type="pct"/>
                  <w:vAlign w:val="center"/>
                </w:tcPr>
                <w:p w14:paraId="67550BDB">
                  <w:pPr>
                    <w:widowControl/>
                    <w:jc w:val="center"/>
                    <w:textAlignment w:val="center"/>
                    <w:rPr>
                      <w:color w:val="auto"/>
                      <w:szCs w:val="21"/>
                    </w:rPr>
                  </w:pPr>
                  <w:r>
                    <w:rPr>
                      <w:color w:val="auto"/>
                      <w:kern w:val="0"/>
                      <w:szCs w:val="21"/>
                      <w:lang w:bidi="ar"/>
                    </w:rPr>
                    <w:t>0.0328</w:t>
                  </w:r>
                </w:p>
              </w:tc>
              <w:tc>
                <w:tcPr>
                  <w:tcW w:w="602" w:type="pct"/>
                  <w:vAlign w:val="center"/>
                </w:tcPr>
                <w:p w14:paraId="44B4D149">
                  <w:pPr>
                    <w:widowControl/>
                    <w:jc w:val="center"/>
                    <w:textAlignment w:val="center"/>
                    <w:rPr>
                      <w:color w:val="auto"/>
                      <w:szCs w:val="21"/>
                    </w:rPr>
                  </w:pPr>
                  <w:r>
                    <w:rPr>
                      <w:color w:val="auto"/>
                      <w:kern w:val="0"/>
                      <w:szCs w:val="21"/>
                      <w:lang w:bidi="ar"/>
                    </w:rPr>
                    <w:t>0.03</w:t>
                  </w:r>
                </w:p>
              </w:tc>
              <w:tc>
                <w:tcPr>
                  <w:tcW w:w="590" w:type="pct"/>
                  <w:vAlign w:val="center"/>
                </w:tcPr>
                <w:p w14:paraId="67CDB99B">
                  <w:pPr>
                    <w:widowControl/>
                    <w:jc w:val="center"/>
                    <w:textAlignment w:val="center"/>
                    <w:rPr>
                      <w:color w:val="auto"/>
                      <w:szCs w:val="21"/>
                    </w:rPr>
                  </w:pPr>
                  <w:r>
                    <w:rPr>
                      <w:color w:val="auto"/>
                      <w:kern w:val="0"/>
                      <w:szCs w:val="21"/>
                      <w:lang w:bidi="ar"/>
                    </w:rPr>
                    <w:t>0.0628</w:t>
                  </w:r>
                </w:p>
              </w:tc>
            </w:tr>
            <w:tr w14:paraId="6F77A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3C9CD8D4">
                  <w:pPr>
                    <w:jc w:val="center"/>
                    <w:rPr>
                      <w:color w:val="auto"/>
                      <w:szCs w:val="21"/>
                    </w:rPr>
                  </w:pPr>
                </w:p>
              </w:tc>
              <w:tc>
                <w:tcPr>
                  <w:tcW w:w="801" w:type="pct"/>
                  <w:vAlign w:val="center"/>
                </w:tcPr>
                <w:p w14:paraId="6837167A">
                  <w:pPr>
                    <w:widowControl/>
                    <w:jc w:val="center"/>
                    <w:textAlignment w:val="center"/>
                    <w:rPr>
                      <w:color w:val="auto"/>
                      <w:kern w:val="0"/>
                      <w:szCs w:val="21"/>
                      <w:lang w:bidi="ar"/>
                    </w:rPr>
                  </w:pPr>
                  <w:r>
                    <w:rPr>
                      <w:rFonts w:hint="eastAsia"/>
                      <w:color w:val="auto"/>
                      <w:kern w:val="0"/>
                      <w:szCs w:val="21"/>
                      <w:lang w:bidi="ar"/>
                    </w:rPr>
                    <w:t>货架</w:t>
                  </w:r>
                </w:p>
              </w:tc>
              <w:tc>
                <w:tcPr>
                  <w:tcW w:w="525" w:type="pct"/>
                  <w:vAlign w:val="center"/>
                </w:tcPr>
                <w:p w14:paraId="246641E1">
                  <w:pPr>
                    <w:widowControl/>
                    <w:jc w:val="center"/>
                    <w:textAlignment w:val="center"/>
                    <w:rPr>
                      <w:color w:val="auto"/>
                      <w:szCs w:val="21"/>
                    </w:rPr>
                  </w:pPr>
                  <w:r>
                    <w:rPr>
                      <w:rFonts w:hint="eastAsia"/>
                      <w:color w:val="auto"/>
                      <w:szCs w:val="21"/>
                    </w:rPr>
                    <w:t>600</w:t>
                  </w:r>
                </w:p>
              </w:tc>
              <w:tc>
                <w:tcPr>
                  <w:tcW w:w="363" w:type="pct"/>
                  <w:vAlign w:val="center"/>
                </w:tcPr>
                <w:p w14:paraId="01FA1C60">
                  <w:pPr>
                    <w:widowControl/>
                    <w:jc w:val="center"/>
                    <w:textAlignment w:val="center"/>
                    <w:rPr>
                      <w:color w:val="auto"/>
                      <w:szCs w:val="21"/>
                    </w:rPr>
                  </w:pPr>
                  <w:r>
                    <w:rPr>
                      <w:rFonts w:hint="eastAsia"/>
                      <w:color w:val="auto"/>
                      <w:szCs w:val="21"/>
                    </w:rPr>
                    <w:t>/</w:t>
                  </w:r>
                </w:p>
              </w:tc>
              <w:tc>
                <w:tcPr>
                  <w:tcW w:w="465" w:type="pct"/>
                  <w:vAlign w:val="center"/>
                </w:tcPr>
                <w:p w14:paraId="731F34DC">
                  <w:pPr>
                    <w:widowControl/>
                    <w:jc w:val="center"/>
                    <w:textAlignment w:val="center"/>
                    <w:rPr>
                      <w:color w:val="auto"/>
                      <w:szCs w:val="21"/>
                    </w:rPr>
                  </w:pPr>
                  <w:r>
                    <w:rPr>
                      <w:rFonts w:hint="eastAsia"/>
                      <w:color w:val="auto"/>
                      <w:szCs w:val="21"/>
                    </w:rPr>
                    <w:t>100</w:t>
                  </w:r>
                </w:p>
              </w:tc>
              <w:tc>
                <w:tcPr>
                  <w:tcW w:w="388" w:type="pct"/>
                  <w:vAlign w:val="center"/>
                </w:tcPr>
                <w:p w14:paraId="0F3BDFA7">
                  <w:pPr>
                    <w:widowControl/>
                    <w:jc w:val="center"/>
                    <w:textAlignment w:val="center"/>
                    <w:rPr>
                      <w:color w:val="auto"/>
                      <w:szCs w:val="21"/>
                    </w:rPr>
                  </w:pPr>
                  <w:r>
                    <w:rPr>
                      <w:rFonts w:hint="eastAsia"/>
                      <w:color w:val="auto"/>
                      <w:szCs w:val="21"/>
                    </w:rPr>
                    <w:t>1.2</w:t>
                  </w:r>
                </w:p>
              </w:tc>
              <w:tc>
                <w:tcPr>
                  <w:tcW w:w="387" w:type="pct"/>
                  <w:vAlign w:val="center"/>
                </w:tcPr>
                <w:p w14:paraId="06FFBA4D">
                  <w:pPr>
                    <w:widowControl/>
                    <w:jc w:val="center"/>
                    <w:textAlignment w:val="center"/>
                    <w:rPr>
                      <w:color w:val="auto"/>
                      <w:szCs w:val="21"/>
                    </w:rPr>
                  </w:pPr>
                  <w:r>
                    <w:rPr>
                      <w:rFonts w:hint="eastAsia"/>
                      <w:color w:val="auto"/>
                      <w:szCs w:val="21"/>
                    </w:rPr>
                    <w:t>1</w:t>
                  </w:r>
                </w:p>
              </w:tc>
              <w:tc>
                <w:tcPr>
                  <w:tcW w:w="596" w:type="pct"/>
                  <w:vAlign w:val="center"/>
                </w:tcPr>
                <w:p w14:paraId="1B9ACB08">
                  <w:pPr>
                    <w:widowControl/>
                    <w:jc w:val="center"/>
                    <w:textAlignment w:val="center"/>
                    <w:rPr>
                      <w:color w:val="auto"/>
                      <w:szCs w:val="21"/>
                    </w:rPr>
                  </w:pPr>
                  <w:r>
                    <w:rPr>
                      <w:color w:val="auto"/>
                      <w:kern w:val="0"/>
                      <w:szCs w:val="21"/>
                      <w:lang w:bidi="ar"/>
                    </w:rPr>
                    <w:t>0.12</w:t>
                  </w:r>
                </w:p>
              </w:tc>
              <w:tc>
                <w:tcPr>
                  <w:tcW w:w="602" w:type="pct"/>
                  <w:vAlign w:val="center"/>
                </w:tcPr>
                <w:p w14:paraId="1C6BA815">
                  <w:pPr>
                    <w:widowControl/>
                    <w:jc w:val="center"/>
                    <w:textAlignment w:val="center"/>
                    <w:rPr>
                      <w:color w:val="auto"/>
                      <w:szCs w:val="21"/>
                    </w:rPr>
                  </w:pPr>
                  <w:r>
                    <w:rPr>
                      <w:color w:val="auto"/>
                      <w:kern w:val="0"/>
                      <w:szCs w:val="21"/>
                      <w:lang w:bidi="ar"/>
                    </w:rPr>
                    <w:t>0</w:t>
                  </w:r>
                </w:p>
              </w:tc>
              <w:tc>
                <w:tcPr>
                  <w:tcW w:w="590" w:type="pct"/>
                  <w:vAlign w:val="center"/>
                </w:tcPr>
                <w:p w14:paraId="691BED9E">
                  <w:pPr>
                    <w:widowControl/>
                    <w:jc w:val="center"/>
                    <w:textAlignment w:val="center"/>
                    <w:rPr>
                      <w:color w:val="auto"/>
                      <w:szCs w:val="21"/>
                    </w:rPr>
                  </w:pPr>
                  <w:r>
                    <w:rPr>
                      <w:color w:val="auto"/>
                      <w:kern w:val="0"/>
                      <w:szCs w:val="21"/>
                      <w:lang w:bidi="ar"/>
                    </w:rPr>
                    <w:t>0.12</w:t>
                  </w:r>
                </w:p>
              </w:tc>
            </w:tr>
            <w:tr w14:paraId="2D9AC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5BFD4DD0">
                  <w:pPr>
                    <w:jc w:val="center"/>
                    <w:rPr>
                      <w:color w:val="auto"/>
                      <w:szCs w:val="21"/>
                    </w:rPr>
                  </w:pPr>
                </w:p>
              </w:tc>
              <w:tc>
                <w:tcPr>
                  <w:tcW w:w="801" w:type="pct"/>
                  <w:vAlign w:val="center"/>
                </w:tcPr>
                <w:p w14:paraId="1F9F0AFE">
                  <w:pPr>
                    <w:widowControl/>
                    <w:jc w:val="center"/>
                    <w:textAlignment w:val="center"/>
                    <w:rPr>
                      <w:color w:val="auto"/>
                      <w:kern w:val="0"/>
                      <w:szCs w:val="21"/>
                      <w:lang w:bidi="ar"/>
                    </w:rPr>
                  </w:pPr>
                  <w:r>
                    <w:rPr>
                      <w:rFonts w:hint="eastAsia"/>
                      <w:color w:val="auto"/>
                      <w:kern w:val="0"/>
                      <w:szCs w:val="21"/>
                      <w:lang w:bidi="ar"/>
                    </w:rPr>
                    <w:t>后上叉</w:t>
                  </w:r>
                </w:p>
              </w:tc>
              <w:tc>
                <w:tcPr>
                  <w:tcW w:w="525" w:type="pct"/>
                  <w:vAlign w:val="center"/>
                </w:tcPr>
                <w:p w14:paraId="3375715D">
                  <w:pPr>
                    <w:widowControl/>
                    <w:jc w:val="center"/>
                    <w:textAlignment w:val="center"/>
                    <w:rPr>
                      <w:color w:val="auto"/>
                      <w:szCs w:val="21"/>
                    </w:rPr>
                  </w:pPr>
                  <w:r>
                    <w:rPr>
                      <w:rFonts w:hint="eastAsia"/>
                      <w:color w:val="auto"/>
                      <w:szCs w:val="21"/>
                    </w:rPr>
                    <w:t>18</w:t>
                  </w:r>
                </w:p>
              </w:tc>
              <w:tc>
                <w:tcPr>
                  <w:tcW w:w="363" w:type="pct"/>
                  <w:vAlign w:val="center"/>
                </w:tcPr>
                <w:p w14:paraId="3B8AD460">
                  <w:pPr>
                    <w:widowControl/>
                    <w:jc w:val="center"/>
                    <w:textAlignment w:val="center"/>
                    <w:rPr>
                      <w:color w:val="auto"/>
                      <w:szCs w:val="21"/>
                    </w:rPr>
                  </w:pPr>
                  <w:r>
                    <w:rPr>
                      <w:rFonts w:hint="eastAsia"/>
                      <w:color w:val="auto"/>
                      <w:szCs w:val="21"/>
                    </w:rPr>
                    <w:t>380</w:t>
                  </w:r>
                </w:p>
              </w:tc>
              <w:tc>
                <w:tcPr>
                  <w:tcW w:w="465" w:type="pct"/>
                  <w:vAlign w:val="center"/>
                </w:tcPr>
                <w:p w14:paraId="58024DAD">
                  <w:pPr>
                    <w:widowControl/>
                    <w:jc w:val="center"/>
                    <w:textAlignment w:val="center"/>
                    <w:rPr>
                      <w:color w:val="auto"/>
                      <w:szCs w:val="21"/>
                    </w:rPr>
                  </w:pPr>
                  <w:r>
                    <w:rPr>
                      <w:rFonts w:hint="eastAsia"/>
                      <w:color w:val="auto"/>
                      <w:szCs w:val="21"/>
                    </w:rPr>
                    <w:t>/</w:t>
                  </w:r>
                </w:p>
              </w:tc>
              <w:tc>
                <w:tcPr>
                  <w:tcW w:w="388" w:type="pct"/>
                  <w:vAlign w:val="center"/>
                </w:tcPr>
                <w:p w14:paraId="6B6AC7C7">
                  <w:pPr>
                    <w:widowControl/>
                    <w:jc w:val="center"/>
                    <w:textAlignment w:val="center"/>
                    <w:rPr>
                      <w:color w:val="auto"/>
                      <w:szCs w:val="21"/>
                    </w:rPr>
                  </w:pPr>
                  <w:r>
                    <w:rPr>
                      <w:rFonts w:hint="eastAsia"/>
                      <w:color w:val="auto"/>
                      <w:szCs w:val="21"/>
                    </w:rPr>
                    <w:t>1.2</w:t>
                  </w:r>
                </w:p>
              </w:tc>
              <w:tc>
                <w:tcPr>
                  <w:tcW w:w="387" w:type="pct"/>
                  <w:vAlign w:val="center"/>
                </w:tcPr>
                <w:p w14:paraId="7A7F06A4">
                  <w:pPr>
                    <w:widowControl/>
                    <w:jc w:val="center"/>
                    <w:textAlignment w:val="center"/>
                    <w:rPr>
                      <w:color w:val="auto"/>
                      <w:szCs w:val="21"/>
                    </w:rPr>
                  </w:pPr>
                  <w:r>
                    <w:rPr>
                      <w:rFonts w:hint="eastAsia"/>
                      <w:color w:val="auto"/>
                      <w:szCs w:val="21"/>
                    </w:rPr>
                    <w:t>2</w:t>
                  </w:r>
                </w:p>
              </w:tc>
              <w:tc>
                <w:tcPr>
                  <w:tcW w:w="596" w:type="pct"/>
                  <w:vAlign w:val="center"/>
                </w:tcPr>
                <w:p w14:paraId="762EAA66">
                  <w:pPr>
                    <w:widowControl/>
                    <w:jc w:val="center"/>
                    <w:textAlignment w:val="center"/>
                    <w:rPr>
                      <w:color w:val="auto"/>
                      <w:szCs w:val="21"/>
                    </w:rPr>
                  </w:pPr>
                  <w:r>
                    <w:rPr>
                      <w:color w:val="auto"/>
                      <w:kern w:val="0"/>
                      <w:szCs w:val="21"/>
                      <w:lang w:bidi="ar"/>
                    </w:rPr>
                    <w:t>0.043</w:t>
                  </w:r>
                </w:p>
              </w:tc>
              <w:tc>
                <w:tcPr>
                  <w:tcW w:w="602" w:type="pct"/>
                  <w:vAlign w:val="center"/>
                </w:tcPr>
                <w:p w14:paraId="774C0FC0">
                  <w:pPr>
                    <w:widowControl/>
                    <w:jc w:val="center"/>
                    <w:textAlignment w:val="center"/>
                    <w:rPr>
                      <w:color w:val="auto"/>
                      <w:szCs w:val="21"/>
                    </w:rPr>
                  </w:pPr>
                  <w:r>
                    <w:rPr>
                      <w:color w:val="auto"/>
                      <w:kern w:val="0"/>
                      <w:szCs w:val="21"/>
                      <w:lang w:bidi="ar"/>
                    </w:rPr>
                    <w:t>0.0372</w:t>
                  </w:r>
                </w:p>
              </w:tc>
              <w:tc>
                <w:tcPr>
                  <w:tcW w:w="590" w:type="pct"/>
                  <w:vAlign w:val="center"/>
                </w:tcPr>
                <w:p w14:paraId="3C052CF7">
                  <w:pPr>
                    <w:widowControl/>
                    <w:jc w:val="center"/>
                    <w:textAlignment w:val="center"/>
                    <w:rPr>
                      <w:color w:val="auto"/>
                      <w:szCs w:val="21"/>
                    </w:rPr>
                  </w:pPr>
                  <w:r>
                    <w:rPr>
                      <w:color w:val="auto"/>
                      <w:kern w:val="0"/>
                      <w:szCs w:val="21"/>
                      <w:lang w:bidi="ar"/>
                    </w:rPr>
                    <w:t>0.0802</w:t>
                  </w:r>
                </w:p>
              </w:tc>
            </w:tr>
            <w:tr w14:paraId="50327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270719D2">
                  <w:pPr>
                    <w:jc w:val="center"/>
                    <w:rPr>
                      <w:color w:val="auto"/>
                      <w:szCs w:val="21"/>
                    </w:rPr>
                  </w:pPr>
                </w:p>
              </w:tc>
              <w:tc>
                <w:tcPr>
                  <w:tcW w:w="801" w:type="pct"/>
                  <w:vAlign w:val="center"/>
                </w:tcPr>
                <w:p w14:paraId="567641D0">
                  <w:pPr>
                    <w:widowControl/>
                    <w:jc w:val="center"/>
                    <w:textAlignment w:val="center"/>
                    <w:rPr>
                      <w:color w:val="auto"/>
                      <w:kern w:val="0"/>
                      <w:szCs w:val="21"/>
                      <w:lang w:bidi="ar"/>
                    </w:rPr>
                  </w:pPr>
                  <w:r>
                    <w:rPr>
                      <w:color w:val="auto"/>
                      <w:kern w:val="0"/>
                      <w:szCs w:val="21"/>
                      <w:lang w:bidi="ar"/>
                    </w:rPr>
                    <w:t>后下叉</w:t>
                  </w:r>
                </w:p>
              </w:tc>
              <w:tc>
                <w:tcPr>
                  <w:tcW w:w="525" w:type="pct"/>
                  <w:vAlign w:val="center"/>
                </w:tcPr>
                <w:p w14:paraId="11C7AF11">
                  <w:pPr>
                    <w:widowControl/>
                    <w:jc w:val="center"/>
                    <w:textAlignment w:val="center"/>
                    <w:rPr>
                      <w:color w:val="auto"/>
                      <w:szCs w:val="21"/>
                    </w:rPr>
                  </w:pPr>
                  <w:r>
                    <w:rPr>
                      <w:rFonts w:hint="eastAsia"/>
                      <w:color w:val="auto"/>
                      <w:szCs w:val="21"/>
                    </w:rPr>
                    <w:t>18</w:t>
                  </w:r>
                </w:p>
              </w:tc>
              <w:tc>
                <w:tcPr>
                  <w:tcW w:w="363" w:type="pct"/>
                  <w:vAlign w:val="center"/>
                </w:tcPr>
                <w:p w14:paraId="3493E53C">
                  <w:pPr>
                    <w:widowControl/>
                    <w:jc w:val="center"/>
                    <w:textAlignment w:val="center"/>
                    <w:rPr>
                      <w:color w:val="auto"/>
                      <w:szCs w:val="21"/>
                    </w:rPr>
                  </w:pPr>
                  <w:r>
                    <w:rPr>
                      <w:rFonts w:hint="eastAsia"/>
                      <w:color w:val="auto"/>
                      <w:szCs w:val="21"/>
                    </w:rPr>
                    <w:t>350</w:t>
                  </w:r>
                </w:p>
              </w:tc>
              <w:tc>
                <w:tcPr>
                  <w:tcW w:w="465" w:type="pct"/>
                  <w:vAlign w:val="center"/>
                </w:tcPr>
                <w:p w14:paraId="28CE0245">
                  <w:pPr>
                    <w:widowControl/>
                    <w:jc w:val="center"/>
                    <w:textAlignment w:val="center"/>
                    <w:rPr>
                      <w:color w:val="auto"/>
                      <w:szCs w:val="21"/>
                    </w:rPr>
                  </w:pPr>
                  <w:r>
                    <w:rPr>
                      <w:rFonts w:hint="eastAsia"/>
                      <w:color w:val="auto"/>
                      <w:szCs w:val="21"/>
                    </w:rPr>
                    <w:t>/</w:t>
                  </w:r>
                </w:p>
              </w:tc>
              <w:tc>
                <w:tcPr>
                  <w:tcW w:w="388" w:type="pct"/>
                  <w:vAlign w:val="center"/>
                </w:tcPr>
                <w:p w14:paraId="0239D1E2">
                  <w:pPr>
                    <w:widowControl/>
                    <w:jc w:val="center"/>
                    <w:textAlignment w:val="center"/>
                    <w:rPr>
                      <w:color w:val="auto"/>
                      <w:szCs w:val="21"/>
                    </w:rPr>
                  </w:pPr>
                  <w:r>
                    <w:rPr>
                      <w:rFonts w:hint="eastAsia"/>
                      <w:color w:val="auto"/>
                      <w:szCs w:val="21"/>
                    </w:rPr>
                    <w:t>1.2</w:t>
                  </w:r>
                </w:p>
              </w:tc>
              <w:tc>
                <w:tcPr>
                  <w:tcW w:w="387" w:type="pct"/>
                  <w:vAlign w:val="center"/>
                </w:tcPr>
                <w:p w14:paraId="7F358325">
                  <w:pPr>
                    <w:widowControl/>
                    <w:jc w:val="center"/>
                    <w:textAlignment w:val="center"/>
                    <w:rPr>
                      <w:color w:val="auto"/>
                      <w:szCs w:val="21"/>
                    </w:rPr>
                  </w:pPr>
                  <w:r>
                    <w:rPr>
                      <w:rFonts w:hint="eastAsia"/>
                      <w:color w:val="auto"/>
                      <w:szCs w:val="21"/>
                    </w:rPr>
                    <w:t>2</w:t>
                  </w:r>
                </w:p>
              </w:tc>
              <w:tc>
                <w:tcPr>
                  <w:tcW w:w="596" w:type="pct"/>
                  <w:vAlign w:val="center"/>
                </w:tcPr>
                <w:p w14:paraId="42F51D8D">
                  <w:pPr>
                    <w:widowControl/>
                    <w:jc w:val="center"/>
                    <w:textAlignment w:val="center"/>
                    <w:rPr>
                      <w:color w:val="auto"/>
                      <w:szCs w:val="21"/>
                    </w:rPr>
                  </w:pPr>
                  <w:r>
                    <w:rPr>
                      <w:color w:val="auto"/>
                      <w:kern w:val="0"/>
                      <w:szCs w:val="21"/>
                      <w:lang w:bidi="ar"/>
                    </w:rPr>
                    <w:t>0.0396</w:t>
                  </w:r>
                </w:p>
              </w:tc>
              <w:tc>
                <w:tcPr>
                  <w:tcW w:w="602" w:type="pct"/>
                  <w:vAlign w:val="center"/>
                </w:tcPr>
                <w:p w14:paraId="507B8569">
                  <w:pPr>
                    <w:widowControl/>
                    <w:jc w:val="center"/>
                    <w:textAlignment w:val="center"/>
                    <w:rPr>
                      <w:color w:val="auto"/>
                      <w:szCs w:val="21"/>
                    </w:rPr>
                  </w:pPr>
                  <w:r>
                    <w:rPr>
                      <w:color w:val="auto"/>
                      <w:kern w:val="0"/>
                      <w:szCs w:val="21"/>
                      <w:lang w:bidi="ar"/>
                    </w:rPr>
                    <w:t>0.0343</w:t>
                  </w:r>
                </w:p>
              </w:tc>
              <w:tc>
                <w:tcPr>
                  <w:tcW w:w="590" w:type="pct"/>
                  <w:vAlign w:val="center"/>
                </w:tcPr>
                <w:p w14:paraId="2DB9E928">
                  <w:pPr>
                    <w:widowControl/>
                    <w:jc w:val="center"/>
                    <w:textAlignment w:val="center"/>
                    <w:rPr>
                      <w:color w:val="auto"/>
                      <w:szCs w:val="21"/>
                    </w:rPr>
                  </w:pPr>
                  <w:r>
                    <w:rPr>
                      <w:color w:val="auto"/>
                      <w:kern w:val="0"/>
                      <w:szCs w:val="21"/>
                      <w:lang w:bidi="ar"/>
                    </w:rPr>
                    <w:t>0.0739</w:t>
                  </w:r>
                </w:p>
              </w:tc>
            </w:tr>
            <w:tr w14:paraId="64DF6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3C50F390">
                  <w:pPr>
                    <w:jc w:val="center"/>
                    <w:rPr>
                      <w:color w:val="auto"/>
                      <w:szCs w:val="21"/>
                    </w:rPr>
                  </w:pPr>
                </w:p>
              </w:tc>
              <w:tc>
                <w:tcPr>
                  <w:tcW w:w="801" w:type="pct"/>
                  <w:vAlign w:val="center"/>
                </w:tcPr>
                <w:p w14:paraId="089CB468">
                  <w:pPr>
                    <w:widowControl/>
                    <w:jc w:val="center"/>
                    <w:textAlignment w:val="center"/>
                    <w:rPr>
                      <w:rFonts w:asciiTheme="minorHAnsi" w:hAnsiTheme="minorHAnsi" w:eastAsiaTheme="minorEastAsia" w:cstheme="minorBidi"/>
                      <w:color w:val="auto"/>
                      <w:kern w:val="0"/>
                      <w:szCs w:val="21"/>
                      <w:lang w:bidi="ar"/>
                    </w:rPr>
                  </w:pPr>
                  <w:r>
                    <w:rPr>
                      <w:rFonts w:hint="eastAsia"/>
                      <w:color w:val="auto"/>
                      <w:kern w:val="0"/>
                      <w:szCs w:val="21"/>
                      <w:lang w:bidi="ar"/>
                    </w:rPr>
                    <w:t>上支管</w:t>
                  </w:r>
                </w:p>
              </w:tc>
              <w:tc>
                <w:tcPr>
                  <w:tcW w:w="525" w:type="pct"/>
                  <w:vAlign w:val="center"/>
                </w:tcPr>
                <w:p w14:paraId="7EC1AC21">
                  <w:pPr>
                    <w:widowControl/>
                    <w:jc w:val="center"/>
                    <w:textAlignment w:val="center"/>
                    <w:rPr>
                      <w:color w:val="auto"/>
                      <w:szCs w:val="21"/>
                    </w:rPr>
                  </w:pPr>
                  <w:r>
                    <w:rPr>
                      <w:rFonts w:hint="eastAsia"/>
                      <w:color w:val="auto"/>
                      <w:szCs w:val="21"/>
                    </w:rPr>
                    <w:t>18</w:t>
                  </w:r>
                </w:p>
              </w:tc>
              <w:tc>
                <w:tcPr>
                  <w:tcW w:w="363" w:type="pct"/>
                  <w:vAlign w:val="center"/>
                </w:tcPr>
                <w:p w14:paraId="66F57096">
                  <w:pPr>
                    <w:widowControl/>
                    <w:jc w:val="center"/>
                    <w:textAlignment w:val="center"/>
                    <w:rPr>
                      <w:color w:val="auto"/>
                      <w:szCs w:val="21"/>
                    </w:rPr>
                  </w:pPr>
                  <w:r>
                    <w:rPr>
                      <w:rFonts w:hint="eastAsia"/>
                      <w:color w:val="auto"/>
                      <w:szCs w:val="21"/>
                    </w:rPr>
                    <w:t>200</w:t>
                  </w:r>
                </w:p>
              </w:tc>
              <w:tc>
                <w:tcPr>
                  <w:tcW w:w="465" w:type="pct"/>
                  <w:vAlign w:val="center"/>
                </w:tcPr>
                <w:p w14:paraId="70ED1B68">
                  <w:pPr>
                    <w:widowControl/>
                    <w:jc w:val="center"/>
                    <w:textAlignment w:val="center"/>
                    <w:rPr>
                      <w:color w:val="auto"/>
                      <w:szCs w:val="21"/>
                    </w:rPr>
                  </w:pPr>
                  <w:r>
                    <w:rPr>
                      <w:rFonts w:hint="eastAsia"/>
                      <w:color w:val="auto"/>
                      <w:szCs w:val="21"/>
                    </w:rPr>
                    <w:t>/</w:t>
                  </w:r>
                </w:p>
              </w:tc>
              <w:tc>
                <w:tcPr>
                  <w:tcW w:w="388" w:type="pct"/>
                  <w:vAlign w:val="center"/>
                </w:tcPr>
                <w:p w14:paraId="53415AB8">
                  <w:pPr>
                    <w:widowControl/>
                    <w:jc w:val="center"/>
                    <w:textAlignment w:val="center"/>
                    <w:rPr>
                      <w:color w:val="auto"/>
                      <w:szCs w:val="21"/>
                    </w:rPr>
                  </w:pPr>
                  <w:r>
                    <w:rPr>
                      <w:rFonts w:hint="eastAsia"/>
                      <w:color w:val="auto"/>
                      <w:szCs w:val="21"/>
                    </w:rPr>
                    <w:t>1.2</w:t>
                  </w:r>
                </w:p>
              </w:tc>
              <w:tc>
                <w:tcPr>
                  <w:tcW w:w="387" w:type="pct"/>
                  <w:vAlign w:val="center"/>
                </w:tcPr>
                <w:p w14:paraId="0D421B17">
                  <w:pPr>
                    <w:widowControl/>
                    <w:jc w:val="center"/>
                    <w:textAlignment w:val="center"/>
                    <w:rPr>
                      <w:color w:val="auto"/>
                      <w:szCs w:val="21"/>
                    </w:rPr>
                  </w:pPr>
                  <w:r>
                    <w:rPr>
                      <w:rFonts w:hint="eastAsia"/>
                      <w:color w:val="auto"/>
                      <w:szCs w:val="21"/>
                    </w:rPr>
                    <w:t>2</w:t>
                  </w:r>
                </w:p>
              </w:tc>
              <w:tc>
                <w:tcPr>
                  <w:tcW w:w="596" w:type="pct"/>
                  <w:vAlign w:val="center"/>
                </w:tcPr>
                <w:p w14:paraId="3C15F774">
                  <w:pPr>
                    <w:widowControl/>
                    <w:jc w:val="center"/>
                    <w:textAlignment w:val="center"/>
                    <w:rPr>
                      <w:color w:val="auto"/>
                      <w:szCs w:val="21"/>
                    </w:rPr>
                  </w:pPr>
                  <w:r>
                    <w:rPr>
                      <w:color w:val="auto"/>
                      <w:kern w:val="0"/>
                      <w:szCs w:val="21"/>
                      <w:lang w:bidi="ar"/>
                    </w:rPr>
                    <w:t>0.0226</w:t>
                  </w:r>
                </w:p>
              </w:tc>
              <w:tc>
                <w:tcPr>
                  <w:tcW w:w="602" w:type="pct"/>
                  <w:vAlign w:val="center"/>
                </w:tcPr>
                <w:p w14:paraId="31C2FC87">
                  <w:pPr>
                    <w:widowControl/>
                    <w:jc w:val="center"/>
                    <w:textAlignment w:val="center"/>
                    <w:rPr>
                      <w:color w:val="auto"/>
                      <w:szCs w:val="21"/>
                    </w:rPr>
                  </w:pPr>
                  <w:r>
                    <w:rPr>
                      <w:color w:val="auto"/>
                      <w:kern w:val="0"/>
                      <w:szCs w:val="21"/>
                      <w:lang w:bidi="ar"/>
                    </w:rPr>
                    <w:t>0.0196</w:t>
                  </w:r>
                </w:p>
              </w:tc>
              <w:tc>
                <w:tcPr>
                  <w:tcW w:w="590" w:type="pct"/>
                  <w:vAlign w:val="center"/>
                </w:tcPr>
                <w:p w14:paraId="205E834A">
                  <w:pPr>
                    <w:widowControl/>
                    <w:jc w:val="center"/>
                    <w:textAlignment w:val="center"/>
                    <w:rPr>
                      <w:color w:val="auto"/>
                      <w:szCs w:val="21"/>
                    </w:rPr>
                  </w:pPr>
                  <w:r>
                    <w:rPr>
                      <w:color w:val="auto"/>
                      <w:kern w:val="0"/>
                      <w:szCs w:val="21"/>
                      <w:lang w:bidi="ar"/>
                    </w:rPr>
                    <w:t>0.0422</w:t>
                  </w:r>
                </w:p>
              </w:tc>
            </w:tr>
            <w:tr w14:paraId="527A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68E05581">
                  <w:pPr>
                    <w:jc w:val="center"/>
                    <w:rPr>
                      <w:color w:val="auto"/>
                      <w:szCs w:val="21"/>
                    </w:rPr>
                  </w:pPr>
                </w:p>
              </w:tc>
              <w:tc>
                <w:tcPr>
                  <w:tcW w:w="801" w:type="pct"/>
                  <w:vAlign w:val="center"/>
                </w:tcPr>
                <w:p w14:paraId="013D2FED">
                  <w:pPr>
                    <w:widowControl/>
                    <w:jc w:val="center"/>
                    <w:textAlignment w:val="center"/>
                    <w:rPr>
                      <w:rFonts w:asciiTheme="minorHAnsi" w:hAnsiTheme="minorHAnsi" w:eastAsiaTheme="minorEastAsia" w:cstheme="minorBidi"/>
                      <w:color w:val="auto"/>
                      <w:kern w:val="0"/>
                      <w:szCs w:val="21"/>
                      <w:lang w:bidi="ar"/>
                    </w:rPr>
                  </w:pPr>
                  <w:r>
                    <w:rPr>
                      <w:rFonts w:hint="eastAsia"/>
                      <w:color w:val="auto"/>
                      <w:kern w:val="0"/>
                      <w:szCs w:val="21"/>
                      <w:lang w:bidi="ar"/>
                    </w:rPr>
                    <w:t>下支管</w:t>
                  </w:r>
                </w:p>
              </w:tc>
              <w:tc>
                <w:tcPr>
                  <w:tcW w:w="525" w:type="pct"/>
                  <w:vAlign w:val="center"/>
                </w:tcPr>
                <w:p w14:paraId="23644674">
                  <w:pPr>
                    <w:widowControl/>
                    <w:jc w:val="center"/>
                    <w:textAlignment w:val="center"/>
                    <w:rPr>
                      <w:color w:val="auto"/>
                      <w:szCs w:val="21"/>
                    </w:rPr>
                  </w:pPr>
                  <w:r>
                    <w:rPr>
                      <w:rFonts w:hint="eastAsia"/>
                      <w:color w:val="auto"/>
                      <w:szCs w:val="21"/>
                    </w:rPr>
                    <w:t>20</w:t>
                  </w:r>
                </w:p>
              </w:tc>
              <w:tc>
                <w:tcPr>
                  <w:tcW w:w="363" w:type="pct"/>
                  <w:vAlign w:val="center"/>
                </w:tcPr>
                <w:p w14:paraId="58EFA230">
                  <w:pPr>
                    <w:widowControl/>
                    <w:jc w:val="center"/>
                    <w:textAlignment w:val="center"/>
                    <w:rPr>
                      <w:color w:val="auto"/>
                      <w:szCs w:val="21"/>
                    </w:rPr>
                  </w:pPr>
                  <w:r>
                    <w:rPr>
                      <w:rFonts w:hint="eastAsia"/>
                      <w:color w:val="auto"/>
                      <w:szCs w:val="21"/>
                    </w:rPr>
                    <w:t>260</w:t>
                  </w:r>
                </w:p>
              </w:tc>
              <w:tc>
                <w:tcPr>
                  <w:tcW w:w="465" w:type="pct"/>
                  <w:vAlign w:val="center"/>
                </w:tcPr>
                <w:p w14:paraId="7C2DECCE">
                  <w:pPr>
                    <w:widowControl/>
                    <w:jc w:val="center"/>
                    <w:textAlignment w:val="center"/>
                    <w:rPr>
                      <w:color w:val="auto"/>
                      <w:szCs w:val="21"/>
                    </w:rPr>
                  </w:pPr>
                  <w:r>
                    <w:rPr>
                      <w:rFonts w:hint="eastAsia"/>
                      <w:color w:val="auto"/>
                      <w:szCs w:val="21"/>
                    </w:rPr>
                    <w:t>/</w:t>
                  </w:r>
                </w:p>
              </w:tc>
              <w:tc>
                <w:tcPr>
                  <w:tcW w:w="388" w:type="pct"/>
                  <w:vAlign w:val="center"/>
                </w:tcPr>
                <w:p w14:paraId="08E2896F">
                  <w:pPr>
                    <w:widowControl/>
                    <w:jc w:val="center"/>
                    <w:textAlignment w:val="center"/>
                    <w:rPr>
                      <w:color w:val="auto"/>
                      <w:szCs w:val="21"/>
                    </w:rPr>
                  </w:pPr>
                  <w:r>
                    <w:rPr>
                      <w:rFonts w:hint="eastAsia"/>
                      <w:color w:val="auto"/>
                      <w:szCs w:val="21"/>
                    </w:rPr>
                    <w:t>1.2</w:t>
                  </w:r>
                </w:p>
              </w:tc>
              <w:tc>
                <w:tcPr>
                  <w:tcW w:w="387" w:type="pct"/>
                  <w:vAlign w:val="center"/>
                </w:tcPr>
                <w:p w14:paraId="75BF1EB1">
                  <w:pPr>
                    <w:widowControl/>
                    <w:jc w:val="center"/>
                    <w:textAlignment w:val="center"/>
                    <w:rPr>
                      <w:color w:val="auto"/>
                      <w:szCs w:val="21"/>
                    </w:rPr>
                  </w:pPr>
                  <w:r>
                    <w:rPr>
                      <w:rFonts w:hint="eastAsia"/>
                      <w:color w:val="auto"/>
                      <w:szCs w:val="21"/>
                    </w:rPr>
                    <w:t>2</w:t>
                  </w:r>
                </w:p>
              </w:tc>
              <w:tc>
                <w:tcPr>
                  <w:tcW w:w="596" w:type="pct"/>
                  <w:vAlign w:val="center"/>
                </w:tcPr>
                <w:p w14:paraId="4009756B">
                  <w:pPr>
                    <w:widowControl/>
                    <w:jc w:val="center"/>
                    <w:textAlignment w:val="center"/>
                    <w:rPr>
                      <w:color w:val="auto"/>
                      <w:szCs w:val="21"/>
                    </w:rPr>
                  </w:pPr>
                  <w:r>
                    <w:rPr>
                      <w:color w:val="auto"/>
                      <w:kern w:val="0"/>
                      <w:szCs w:val="21"/>
                      <w:lang w:bidi="ar"/>
                    </w:rPr>
                    <w:t>0.0327</w:t>
                  </w:r>
                </w:p>
              </w:tc>
              <w:tc>
                <w:tcPr>
                  <w:tcW w:w="602" w:type="pct"/>
                  <w:vAlign w:val="center"/>
                </w:tcPr>
                <w:p w14:paraId="45EA734C">
                  <w:pPr>
                    <w:widowControl/>
                    <w:jc w:val="center"/>
                    <w:textAlignment w:val="center"/>
                    <w:rPr>
                      <w:color w:val="auto"/>
                      <w:szCs w:val="21"/>
                    </w:rPr>
                  </w:pPr>
                  <w:r>
                    <w:rPr>
                      <w:color w:val="auto"/>
                      <w:kern w:val="0"/>
                      <w:szCs w:val="21"/>
                      <w:lang w:bidi="ar"/>
                    </w:rPr>
                    <w:t>0.0288</w:t>
                  </w:r>
                </w:p>
              </w:tc>
              <w:tc>
                <w:tcPr>
                  <w:tcW w:w="590" w:type="pct"/>
                  <w:vAlign w:val="center"/>
                </w:tcPr>
                <w:p w14:paraId="4E55F3E4">
                  <w:pPr>
                    <w:widowControl/>
                    <w:jc w:val="center"/>
                    <w:textAlignment w:val="center"/>
                    <w:rPr>
                      <w:color w:val="auto"/>
                      <w:szCs w:val="21"/>
                    </w:rPr>
                  </w:pPr>
                  <w:r>
                    <w:rPr>
                      <w:color w:val="auto"/>
                      <w:kern w:val="0"/>
                      <w:szCs w:val="21"/>
                      <w:lang w:bidi="ar"/>
                    </w:rPr>
                    <w:t>0.0614</w:t>
                  </w:r>
                </w:p>
              </w:tc>
            </w:tr>
            <w:tr w14:paraId="2A55B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0" w:type="pct"/>
                  <w:vMerge w:val="continue"/>
                  <w:vAlign w:val="center"/>
                </w:tcPr>
                <w:p w14:paraId="36AA8855">
                  <w:pPr>
                    <w:jc w:val="center"/>
                    <w:rPr>
                      <w:color w:val="auto"/>
                      <w:szCs w:val="21"/>
                    </w:rPr>
                  </w:pPr>
                </w:p>
              </w:tc>
              <w:tc>
                <w:tcPr>
                  <w:tcW w:w="2931" w:type="pct"/>
                  <w:gridSpan w:val="6"/>
                  <w:vAlign w:val="center"/>
                </w:tcPr>
                <w:p w14:paraId="473CED09">
                  <w:pPr>
                    <w:widowControl/>
                    <w:jc w:val="center"/>
                    <w:textAlignment w:val="center"/>
                    <w:rPr>
                      <w:color w:val="auto"/>
                      <w:szCs w:val="21"/>
                    </w:rPr>
                  </w:pPr>
                  <w:r>
                    <w:rPr>
                      <w:color w:val="auto"/>
                      <w:kern w:val="0"/>
                      <w:szCs w:val="21"/>
                      <w:lang w:bidi="ar"/>
                    </w:rPr>
                    <w:t>单件产品小计</w:t>
                  </w:r>
                </w:p>
              </w:tc>
              <w:tc>
                <w:tcPr>
                  <w:tcW w:w="596" w:type="pct"/>
                  <w:vAlign w:val="center"/>
                </w:tcPr>
                <w:p w14:paraId="075E490A">
                  <w:pPr>
                    <w:widowControl/>
                    <w:jc w:val="center"/>
                    <w:textAlignment w:val="center"/>
                    <w:rPr>
                      <w:color w:val="auto"/>
                      <w:szCs w:val="21"/>
                    </w:rPr>
                  </w:pPr>
                  <w:r>
                    <w:rPr>
                      <w:color w:val="auto"/>
                      <w:kern w:val="0"/>
                      <w:szCs w:val="21"/>
                      <w:lang w:bidi="ar"/>
                    </w:rPr>
                    <w:t>0.373</w:t>
                  </w:r>
                </w:p>
              </w:tc>
              <w:tc>
                <w:tcPr>
                  <w:tcW w:w="602" w:type="pct"/>
                  <w:vAlign w:val="center"/>
                </w:tcPr>
                <w:p w14:paraId="4724C525">
                  <w:pPr>
                    <w:widowControl/>
                    <w:jc w:val="center"/>
                    <w:textAlignment w:val="center"/>
                    <w:rPr>
                      <w:color w:val="auto"/>
                      <w:szCs w:val="21"/>
                    </w:rPr>
                  </w:pPr>
                  <w:r>
                    <w:rPr>
                      <w:color w:val="auto"/>
                      <w:kern w:val="0"/>
                      <w:szCs w:val="21"/>
                      <w:lang w:bidi="ar"/>
                    </w:rPr>
                    <w:t>0.2279</w:t>
                  </w:r>
                </w:p>
              </w:tc>
              <w:tc>
                <w:tcPr>
                  <w:tcW w:w="590" w:type="pct"/>
                  <w:vAlign w:val="center"/>
                </w:tcPr>
                <w:p w14:paraId="68AC0557">
                  <w:pPr>
                    <w:widowControl/>
                    <w:jc w:val="center"/>
                    <w:textAlignment w:val="center"/>
                    <w:rPr>
                      <w:color w:val="auto"/>
                      <w:szCs w:val="21"/>
                    </w:rPr>
                  </w:pPr>
                  <w:r>
                    <w:rPr>
                      <w:color w:val="auto"/>
                      <w:kern w:val="0"/>
                      <w:szCs w:val="21"/>
                      <w:lang w:bidi="ar"/>
                    </w:rPr>
                    <w:t>0.6008</w:t>
                  </w:r>
                </w:p>
              </w:tc>
            </w:tr>
            <w:tr w14:paraId="12A65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000" w:type="pct"/>
                  <w:gridSpan w:val="10"/>
                  <w:vAlign w:val="center"/>
                </w:tcPr>
                <w:p w14:paraId="36AD376E">
                  <w:pPr>
                    <w:widowControl/>
                    <w:jc w:val="left"/>
                    <w:textAlignment w:val="center"/>
                    <w:rPr>
                      <w:color w:val="auto"/>
                      <w:kern w:val="0"/>
                      <w:szCs w:val="21"/>
                      <w:lang w:bidi="ar"/>
                    </w:rPr>
                  </w:pPr>
                  <w:r>
                    <w:rPr>
                      <w:rFonts w:hint="eastAsia"/>
                      <w:color w:val="auto"/>
                      <w:kern w:val="0"/>
                      <w:szCs w:val="21"/>
                      <w:lang w:bidi="ar"/>
                    </w:rPr>
                    <w:t>说明：电动助力车架为管件和支架焊接而成</w:t>
                  </w:r>
                  <w:r>
                    <w:rPr>
                      <w:color w:val="auto"/>
                      <w:kern w:val="0"/>
                      <w:szCs w:val="21"/>
                      <w:lang w:bidi="ar"/>
                    </w:rPr>
                    <w:t>，</w:t>
                  </w:r>
                  <w:r>
                    <w:rPr>
                      <w:rFonts w:hint="eastAsia"/>
                      <w:color w:val="auto"/>
                      <w:kern w:val="0"/>
                      <w:szCs w:val="21"/>
                      <w:lang w:bidi="ar"/>
                    </w:rPr>
                    <w:t>本项目加工时工件状态为焊接后的电动助力车架，项目不从事电动助力车架的焊接。</w:t>
                  </w:r>
                  <w:r>
                    <w:rPr>
                      <w:color w:val="auto"/>
                      <w:kern w:val="0"/>
                      <w:szCs w:val="21"/>
                      <w:lang w:bidi="ar"/>
                    </w:rPr>
                    <w:t>将所有管件近似为圆管，</w:t>
                  </w:r>
                  <w:r>
                    <w:rPr>
                      <w:rFonts w:hint="eastAsia"/>
                      <w:color w:val="auto"/>
                      <w:kern w:val="0"/>
                      <w:szCs w:val="21"/>
                      <w:lang w:bidi="ar"/>
                    </w:rPr>
                    <w:t>支架近似为规则形状，</w:t>
                  </w:r>
                  <w:r>
                    <w:rPr>
                      <w:color w:val="auto"/>
                      <w:kern w:val="0"/>
                      <w:szCs w:val="21"/>
                      <w:lang w:bidi="ar"/>
                    </w:rPr>
                    <w:t>则表面积计算如下：</w:t>
                  </w:r>
                </w:p>
                <w:p w14:paraId="2E3443C4">
                  <w:pPr>
                    <w:widowControl/>
                    <w:textAlignment w:val="center"/>
                    <w:rPr>
                      <w:color w:val="auto"/>
                    </w:rPr>
                  </w:pPr>
                  <w:r>
                    <w:rPr>
                      <w:rFonts w:eastAsia="微软雅黑"/>
                      <w:color w:val="auto"/>
                      <w:kern w:val="0"/>
                      <w:szCs w:val="21"/>
                      <w:lang w:bidi="ar"/>
                    </w:rPr>
                    <w:t>①</w:t>
                  </w:r>
                  <w:r>
                    <w:rPr>
                      <w:color w:val="auto"/>
                      <w:kern w:val="0"/>
                      <w:szCs w:val="21"/>
                      <w:lang w:bidi="ar"/>
                    </w:rPr>
                    <w:t>管件</w:t>
                  </w:r>
                  <w:r>
                    <w:rPr>
                      <w:rFonts w:hint="eastAsia"/>
                      <w:color w:val="auto"/>
                      <w:kern w:val="0"/>
                      <w:szCs w:val="21"/>
                      <w:lang w:bidi="ar"/>
                    </w:rPr>
                    <w:t>类：</w:t>
                  </w:r>
                  <w:r>
                    <w:rPr>
                      <w:color w:val="auto"/>
                      <w:kern w:val="0"/>
                      <w:szCs w:val="21"/>
                      <w:lang w:bidi="ar"/>
                    </w:rPr>
                    <w:t>外表面积=π</w:t>
                  </w:r>
                  <w:r>
                    <w:rPr>
                      <w:color w:val="auto"/>
                    </w:rPr>
                    <w:t>×</w:t>
                  </w:r>
                  <w:r>
                    <w:rPr>
                      <w:color w:val="auto"/>
                      <w:kern w:val="0"/>
                      <w:szCs w:val="21"/>
                      <w:lang w:bidi="ar"/>
                    </w:rPr>
                    <w:t>直径</w:t>
                  </w:r>
                  <w:r>
                    <w:rPr>
                      <w:color w:val="auto"/>
                    </w:rPr>
                    <w:t>×</w:t>
                  </w:r>
                  <w:r>
                    <w:rPr>
                      <w:color w:val="auto"/>
                      <w:kern w:val="0"/>
                      <w:szCs w:val="21"/>
                      <w:lang w:bidi="ar"/>
                    </w:rPr>
                    <w:t>长度</w:t>
                  </w:r>
                  <w:r>
                    <w:rPr>
                      <w:color w:val="auto"/>
                    </w:rPr>
                    <w:t>×数量</w:t>
                  </w:r>
                  <w:r>
                    <w:rPr>
                      <w:color w:val="auto"/>
                      <w:kern w:val="0"/>
                      <w:szCs w:val="21"/>
                      <w:lang w:bidi="ar"/>
                    </w:rPr>
                    <w:t>÷1000000</w:t>
                  </w:r>
                  <w:r>
                    <w:rPr>
                      <w:rFonts w:hint="eastAsia"/>
                      <w:color w:val="auto"/>
                      <w:kern w:val="0"/>
                      <w:szCs w:val="21"/>
                      <w:lang w:bidi="ar"/>
                    </w:rPr>
                    <w:t>；</w:t>
                  </w:r>
                  <w:r>
                    <w:rPr>
                      <w:color w:val="auto"/>
                    </w:rPr>
                    <w:t>内表面积=π×（直径-2×壁厚）×</w:t>
                  </w:r>
                  <w:r>
                    <w:rPr>
                      <w:color w:val="auto"/>
                      <w:kern w:val="0"/>
                      <w:szCs w:val="21"/>
                      <w:lang w:bidi="ar"/>
                    </w:rPr>
                    <w:t>长度</w:t>
                  </w:r>
                  <w:r>
                    <w:rPr>
                      <w:color w:val="auto"/>
                    </w:rPr>
                    <w:t>×数量</w:t>
                  </w:r>
                  <w:r>
                    <w:rPr>
                      <w:color w:val="auto"/>
                      <w:kern w:val="0"/>
                      <w:szCs w:val="21"/>
                      <w:lang w:bidi="ar"/>
                    </w:rPr>
                    <w:t>÷1000000</w:t>
                  </w:r>
                  <w:r>
                    <w:rPr>
                      <w:rFonts w:hint="eastAsia"/>
                      <w:color w:val="auto"/>
                      <w:kern w:val="0"/>
                      <w:szCs w:val="21"/>
                      <w:lang w:bidi="ar"/>
                    </w:rPr>
                    <w:t>；</w:t>
                  </w:r>
                  <w:r>
                    <w:rPr>
                      <w:color w:val="auto"/>
                    </w:rPr>
                    <w:t>总表面积=外表面积+内表面积</w:t>
                  </w:r>
                </w:p>
                <w:p w14:paraId="261870A6">
                  <w:pPr>
                    <w:widowControl/>
                    <w:textAlignment w:val="center"/>
                    <w:rPr>
                      <w:color w:val="auto"/>
                    </w:rPr>
                  </w:pPr>
                  <w:r>
                    <w:rPr>
                      <w:rFonts w:hint="eastAsia" w:ascii="宋体" w:hAnsi="宋体" w:cs="宋体"/>
                      <w:color w:val="auto"/>
                    </w:rPr>
                    <w:t>②支架类：表面积=支架长</w:t>
                  </w:r>
                  <w:r>
                    <w:rPr>
                      <w:color w:val="auto"/>
                    </w:rPr>
                    <w:t>×</w:t>
                  </w:r>
                  <w:r>
                    <w:rPr>
                      <w:rFonts w:hint="eastAsia"/>
                      <w:color w:val="auto"/>
                    </w:rPr>
                    <w:t>支架宽</w:t>
                  </w:r>
                  <w:r>
                    <w:rPr>
                      <w:color w:val="auto"/>
                    </w:rPr>
                    <w:t>×</w:t>
                  </w:r>
                  <w:r>
                    <w:rPr>
                      <w:rFonts w:hint="eastAsia"/>
                      <w:color w:val="auto"/>
                    </w:rPr>
                    <w:t>数量</w:t>
                  </w:r>
                  <w:r>
                    <w:rPr>
                      <w:color w:val="auto"/>
                    </w:rPr>
                    <w:t>×</w:t>
                  </w:r>
                  <w:r>
                    <w:rPr>
                      <w:rFonts w:hint="eastAsia"/>
                      <w:color w:val="auto"/>
                    </w:rPr>
                    <w:t>2</w:t>
                  </w:r>
                </w:p>
              </w:tc>
            </w:tr>
          </w:tbl>
          <w:p w14:paraId="136B7453">
            <w:pPr>
              <w:adjustRightInd w:val="0"/>
              <w:snapToGrid w:val="0"/>
              <w:jc w:val="center"/>
              <w:rPr>
                <w:color w:val="auto"/>
              </w:rPr>
            </w:pPr>
          </w:p>
          <w:p w14:paraId="1C5A5EDC">
            <w:pPr>
              <w:numPr>
                <w:ilvl w:val="0"/>
                <w:numId w:val="10"/>
              </w:numPr>
              <w:adjustRightInd w:val="0"/>
              <w:snapToGrid w:val="0"/>
              <w:jc w:val="center"/>
              <w:rPr>
                <w:b/>
                <w:color w:val="auto"/>
                <w:szCs w:val="21"/>
              </w:rPr>
            </w:pPr>
            <w:r>
              <w:rPr>
                <w:b/>
                <w:color w:val="auto"/>
                <w:szCs w:val="21"/>
              </w:rPr>
              <w:t>项目</w:t>
            </w:r>
            <w:r>
              <w:rPr>
                <w:rFonts w:hint="eastAsia"/>
                <w:b/>
                <w:color w:val="auto"/>
                <w:szCs w:val="21"/>
              </w:rPr>
              <w:t>家私配件</w:t>
            </w:r>
            <w:r>
              <w:rPr>
                <w:b/>
                <w:color w:val="auto"/>
                <w:szCs w:val="21"/>
              </w:rPr>
              <w:t>规格参数一览表</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110"/>
              <w:gridCol w:w="1121"/>
              <w:gridCol w:w="737"/>
              <w:gridCol w:w="722"/>
              <w:gridCol w:w="775"/>
              <w:gridCol w:w="1289"/>
              <w:gridCol w:w="1293"/>
              <w:gridCol w:w="1462"/>
            </w:tblGrid>
            <w:tr w14:paraId="5EFBE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vAlign w:val="center"/>
                </w:tcPr>
                <w:p w14:paraId="51F5D511">
                  <w:pPr>
                    <w:widowControl/>
                    <w:jc w:val="center"/>
                    <w:textAlignment w:val="center"/>
                    <w:rPr>
                      <w:color w:val="auto"/>
                      <w:szCs w:val="21"/>
                    </w:rPr>
                  </w:pPr>
                  <w:r>
                    <w:rPr>
                      <w:b/>
                      <w:bCs/>
                      <w:color w:val="auto"/>
                      <w:kern w:val="0"/>
                      <w:szCs w:val="21"/>
                      <w:lang w:bidi="ar"/>
                    </w:rPr>
                    <w:t>产品-</w:t>
                  </w:r>
                  <w:r>
                    <w:rPr>
                      <w:rFonts w:hint="eastAsia"/>
                      <w:b/>
                      <w:bCs/>
                      <w:color w:val="auto"/>
                      <w:kern w:val="0"/>
                      <w:szCs w:val="21"/>
                      <w:lang w:bidi="ar"/>
                    </w:rPr>
                    <w:t>碳钢家私配件</w:t>
                  </w:r>
                  <w:r>
                    <w:rPr>
                      <w:b/>
                      <w:bCs/>
                      <w:color w:val="auto"/>
                      <w:kern w:val="0"/>
                      <w:szCs w:val="21"/>
                      <w:lang w:bidi="ar"/>
                    </w:rPr>
                    <w:t>（</w:t>
                  </w:r>
                  <w:r>
                    <w:rPr>
                      <w:rFonts w:hint="eastAsia"/>
                      <w:b/>
                      <w:bCs/>
                      <w:color w:val="auto"/>
                      <w:kern w:val="0"/>
                      <w:szCs w:val="21"/>
                      <w:lang w:bidi="ar"/>
                    </w:rPr>
                    <w:t>7</w:t>
                  </w:r>
                  <w:r>
                    <w:rPr>
                      <w:b/>
                      <w:bCs/>
                      <w:color w:val="auto"/>
                      <w:kern w:val="0"/>
                      <w:szCs w:val="21"/>
                      <w:lang w:bidi="ar"/>
                    </w:rPr>
                    <w:t>kg）</w:t>
                  </w:r>
                </w:p>
              </w:tc>
            </w:tr>
            <w:tr w14:paraId="174A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9" w:type="pct"/>
                  <w:vMerge w:val="restart"/>
                  <w:vAlign w:val="center"/>
                </w:tcPr>
                <w:p w14:paraId="0002889B">
                  <w:pPr>
                    <w:widowControl/>
                    <w:jc w:val="center"/>
                    <w:textAlignment w:val="center"/>
                    <w:rPr>
                      <w:b/>
                      <w:bCs/>
                      <w:color w:val="auto"/>
                      <w:szCs w:val="21"/>
                    </w:rPr>
                  </w:pPr>
                  <w:r>
                    <w:rPr>
                      <w:b/>
                      <w:bCs/>
                      <w:color w:val="auto"/>
                      <w:kern w:val="0"/>
                      <w:szCs w:val="21"/>
                      <w:lang w:bidi="ar"/>
                    </w:rPr>
                    <w:t>单位产品物料使用情况</w:t>
                  </w:r>
                </w:p>
              </w:tc>
              <w:tc>
                <w:tcPr>
                  <w:tcW w:w="603" w:type="pct"/>
                  <w:vMerge w:val="restart"/>
                  <w:vAlign w:val="center"/>
                </w:tcPr>
                <w:p w14:paraId="7C3F5C86">
                  <w:pPr>
                    <w:widowControl/>
                    <w:jc w:val="center"/>
                    <w:textAlignment w:val="center"/>
                    <w:rPr>
                      <w:b/>
                      <w:bCs/>
                      <w:color w:val="auto"/>
                      <w:szCs w:val="21"/>
                    </w:rPr>
                  </w:pPr>
                  <w:r>
                    <w:rPr>
                      <w:b/>
                      <w:bCs/>
                      <w:color w:val="auto"/>
                      <w:kern w:val="0"/>
                      <w:szCs w:val="21"/>
                      <w:lang w:bidi="ar"/>
                    </w:rPr>
                    <w:t>物料</w:t>
                  </w:r>
                </w:p>
              </w:tc>
              <w:tc>
                <w:tcPr>
                  <w:tcW w:w="1401" w:type="pct"/>
                  <w:gridSpan w:val="3"/>
                  <w:vAlign w:val="center"/>
                </w:tcPr>
                <w:p w14:paraId="25CD860E">
                  <w:pPr>
                    <w:widowControl/>
                    <w:jc w:val="center"/>
                    <w:textAlignment w:val="center"/>
                    <w:rPr>
                      <w:b/>
                      <w:bCs/>
                      <w:color w:val="auto"/>
                      <w:szCs w:val="21"/>
                    </w:rPr>
                  </w:pPr>
                  <w:r>
                    <w:rPr>
                      <w:b/>
                      <w:bCs/>
                      <w:color w:val="auto"/>
                      <w:kern w:val="0"/>
                      <w:szCs w:val="21"/>
                      <w:lang w:bidi="ar"/>
                    </w:rPr>
                    <w:t>尺寸（</w:t>
                  </w:r>
                  <w:r>
                    <w:rPr>
                      <w:rFonts w:hint="eastAsia"/>
                      <w:b/>
                      <w:bCs/>
                      <w:color w:val="auto"/>
                      <w:kern w:val="0"/>
                      <w:szCs w:val="21"/>
                      <w:lang w:bidi="ar"/>
                    </w:rPr>
                    <w:t>m</w:t>
                  </w:r>
                  <w:r>
                    <w:rPr>
                      <w:b/>
                      <w:bCs/>
                      <w:color w:val="auto"/>
                      <w:kern w:val="0"/>
                      <w:szCs w:val="21"/>
                      <w:lang w:bidi="ar"/>
                    </w:rPr>
                    <w:t>m）</w:t>
                  </w:r>
                </w:p>
              </w:tc>
              <w:tc>
                <w:tcPr>
                  <w:tcW w:w="420" w:type="pct"/>
                  <w:vMerge w:val="restart"/>
                  <w:vAlign w:val="center"/>
                </w:tcPr>
                <w:p w14:paraId="589C94C9">
                  <w:pPr>
                    <w:widowControl/>
                    <w:jc w:val="center"/>
                    <w:textAlignment w:val="center"/>
                    <w:rPr>
                      <w:b/>
                      <w:bCs/>
                      <w:color w:val="auto"/>
                      <w:szCs w:val="21"/>
                    </w:rPr>
                  </w:pPr>
                  <w:r>
                    <w:rPr>
                      <w:b/>
                      <w:bCs/>
                      <w:color w:val="auto"/>
                      <w:kern w:val="0"/>
                      <w:szCs w:val="21"/>
                      <w:lang w:bidi="ar"/>
                    </w:rPr>
                    <w:t>数量</w:t>
                  </w:r>
                </w:p>
              </w:tc>
              <w:tc>
                <w:tcPr>
                  <w:tcW w:w="700" w:type="pct"/>
                  <w:vMerge w:val="restart"/>
                  <w:vAlign w:val="center"/>
                </w:tcPr>
                <w:p w14:paraId="0A04CAB9">
                  <w:pPr>
                    <w:widowControl/>
                    <w:jc w:val="center"/>
                    <w:textAlignment w:val="center"/>
                    <w:rPr>
                      <w:b/>
                      <w:bCs/>
                      <w:color w:val="auto"/>
                      <w:szCs w:val="21"/>
                    </w:rPr>
                  </w:pPr>
                  <w:r>
                    <w:rPr>
                      <w:b/>
                      <w:bCs/>
                      <w:color w:val="auto"/>
                      <w:kern w:val="0"/>
                      <w:szCs w:val="21"/>
                      <w:lang w:bidi="ar"/>
                    </w:rPr>
                    <w:t>前处理外表面积（m</w:t>
                  </w:r>
                  <w:r>
                    <w:rPr>
                      <w:b/>
                      <w:bCs/>
                      <w:color w:val="auto"/>
                      <w:kern w:val="0"/>
                      <w:szCs w:val="21"/>
                      <w:vertAlign w:val="superscript"/>
                      <w:lang w:bidi="ar"/>
                    </w:rPr>
                    <w:t>2</w:t>
                  </w:r>
                  <w:r>
                    <w:rPr>
                      <w:b/>
                      <w:bCs/>
                      <w:color w:val="auto"/>
                      <w:kern w:val="0"/>
                      <w:szCs w:val="21"/>
                      <w:lang w:bidi="ar"/>
                    </w:rPr>
                    <w:t>）</w:t>
                  </w:r>
                </w:p>
              </w:tc>
              <w:tc>
                <w:tcPr>
                  <w:tcW w:w="702" w:type="pct"/>
                  <w:vMerge w:val="restart"/>
                  <w:vAlign w:val="center"/>
                </w:tcPr>
                <w:p w14:paraId="74E1DDAA">
                  <w:pPr>
                    <w:widowControl/>
                    <w:jc w:val="center"/>
                    <w:textAlignment w:val="center"/>
                    <w:rPr>
                      <w:b/>
                      <w:bCs/>
                      <w:color w:val="auto"/>
                      <w:szCs w:val="21"/>
                    </w:rPr>
                  </w:pPr>
                  <w:r>
                    <w:rPr>
                      <w:b/>
                      <w:bCs/>
                      <w:color w:val="auto"/>
                      <w:kern w:val="0"/>
                      <w:szCs w:val="21"/>
                      <w:lang w:bidi="ar"/>
                    </w:rPr>
                    <w:t>前处理内表面积（m</w:t>
                  </w:r>
                  <w:r>
                    <w:rPr>
                      <w:b/>
                      <w:bCs/>
                      <w:color w:val="auto"/>
                      <w:kern w:val="0"/>
                      <w:szCs w:val="21"/>
                      <w:vertAlign w:val="superscript"/>
                      <w:lang w:bidi="ar"/>
                    </w:rPr>
                    <w:t>2</w:t>
                  </w:r>
                  <w:r>
                    <w:rPr>
                      <w:b/>
                      <w:bCs/>
                      <w:color w:val="auto"/>
                      <w:kern w:val="0"/>
                      <w:szCs w:val="21"/>
                      <w:lang w:bidi="ar"/>
                    </w:rPr>
                    <w:t>）</w:t>
                  </w:r>
                </w:p>
              </w:tc>
              <w:tc>
                <w:tcPr>
                  <w:tcW w:w="792" w:type="pct"/>
                  <w:vMerge w:val="restart"/>
                  <w:vAlign w:val="center"/>
                </w:tcPr>
                <w:p w14:paraId="1801C762">
                  <w:pPr>
                    <w:widowControl/>
                    <w:jc w:val="center"/>
                    <w:textAlignment w:val="center"/>
                    <w:rPr>
                      <w:b/>
                      <w:bCs/>
                      <w:color w:val="auto"/>
                      <w:szCs w:val="21"/>
                    </w:rPr>
                  </w:pPr>
                  <w:r>
                    <w:rPr>
                      <w:b/>
                      <w:bCs/>
                      <w:color w:val="auto"/>
                      <w:kern w:val="0"/>
                      <w:szCs w:val="21"/>
                      <w:lang w:bidi="ar"/>
                    </w:rPr>
                    <w:t>前处理总表面积（m</w:t>
                  </w:r>
                  <w:r>
                    <w:rPr>
                      <w:b/>
                      <w:bCs/>
                      <w:color w:val="auto"/>
                      <w:kern w:val="0"/>
                      <w:szCs w:val="21"/>
                      <w:vertAlign w:val="superscript"/>
                      <w:lang w:bidi="ar"/>
                    </w:rPr>
                    <w:t>2</w:t>
                  </w:r>
                  <w:r>
                    <w:rPr>
                      <w:b/>
                      <w:bCs/>
                      <w:color w:val="auto"/>
                      <w:kern w:val="0"/>
                      <w:szCs w:val="21"/>
                      <w:lang w:bidi="ar"/>
                    </w:rPr>
                    <w:t>）</w:t>
                  </w:r>
                </w:p>
              </w:tc>
            </w:tr>
            <w:tr w14:paraId="473F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79" w:type="pct"/>
                  <w:vMerge w:val="continue"/>
                  <w:vAlign w:val="center"/>
                </w:tcPr>
                <w:p w14:paraId="29F06550">
                  <w:pPr>
                    <w:jc w:val="center"/>
                    <w:rPr>
                      <w:b/>
                      <w:bCs/>
                      <w:color w:val="auto"/>
                      <w:szCs w:val="21"/>
                    </w:rPr>
                  </w:pPr>
                </w:p>
              </w:tc>
              <w:tc>
                <w:tcPr>
                  <w:tcW w:w="603" w:type="pct"/>
                  <w:vMerge w:val="continue"/>
                  <w:vAlign w:val="center"/>
                </w:tcPr>
                <w:p w14:paraId="066B8A27">
                  <w:pPr>
                    <w:jc w:val="center"/>
                    <w:rPr>
                      <w:b/>
                      <w:bCs/>
                      <w:color w:val="auto"/>
                      <w:szCs w:val="21"/>
                    </w:rPr>
                  </w:pPr>
                </w:p>
              </w:tc>
              <w:tc>
                <w:tcPr>
                  <w:tcW w:w="609" w:type="pct"/>
                  <w:vAlign w:val="center"/>
                </w:tcPr>
                <w:p w14:paraId="669FB6B5">
                  <w:pPr>
                    <w:widowControl/>
                    <w:jc w:val="center"/>
                    <w:textAlignment w:val="center"/>
                    <w:rPr>
                      <w:b/>
                      <w:bCs/>
                      <w:color w:val="auto"/>
                      <w:szCs w:val="21"/>
                    </w:rPr>
                  </w:pPr>
                  <w:r>
                    <w:rPr>
                      <w:rFonts w:hint="eastAsia"/>
                      <w:b/>
                      <w:bCs/>
                      <w:color w:val="auto"/>
                      <w:kern w:val="0"/>
                      <w:szCs w:val="21"/>
                      <w:lang w:bidi="ar"/>
                    </w:rPr>
                    <w:t>截面边长</w:t>
                  </w:r>
                </w:p>
              </w:tc>
              <w:tc>
                <w:tcPr>
                  <w:tcW w:w="400" w:type="pct"/>
                  <w:vAlign w:val="center"/>
                </w:tcPr>
                <w:p w14:paraId="183134F8">
                  <w:pPr>
                    <w:widowControl/>
                    <w:jc w:val="center"/>
                    <w:textAlignment w:val="center"/>
                    <w:rPr>
                      <w:b/>
                      <w:bCs/>
                      <w:color w:val="auto"/>
                      <w:szCs w:val="21"/>
                    </w:rPr>
                  </w:pPr>
                  <w:r>
                    <w:rPr>
                      <w:rFonts w:hint="eastAsia"/>
                      <w:b/>
                      <w:bCs/>
                      <w:color w:val="auto"/>
                      <w:kern w:val="0"/>
                      <w:szCs w:val="21"/>
                      <w:lang w:bidi="ar"/>
                    </w:rPr>
                    <w:t>长度</w:t>
                  </w:r>
                </w:p>
              </w:tc>
              <w:tc>
                <w:tcPr>
                  <w:tcW w:w="392" w:type="pct"/>
                  <w:vAlign w:val="center"/>
                </w:tcPr>
                <w:p w14:paraId="32C9C132">
                  <w:pPr>
                    <w:widowControl/>
                    <w:jc w:val="center"/>
                    <w:textAlignment w:val="center"/>
                    <w:rPr>
                      <w:b/>
                      <w:bCs/>
                      <w:color w:val="auto"/>
                      <w:szCs w:val="21"/>
                    </w:rPr>
                  </w:pPr>
                  <w:r>
                    <w:rPr>
                      <w:b/>
                      <w:bCs/>
                      <w:color w:val="auto"/>
                      <w:kern w:val="0"/>
                      <w:szCs w:val="21"/>
                      <w:lang w:bidi="ar"/>
                    </w:rPr>
                    <w:t>壁厚</w:t>
                  </w:r>
                </w:p>
              </w:tc>
              <w:tc>
                <w:tcPr>
                  <w:tcW w:w="420" w:type="pct"/>
                  <w:vMerge w:val="continue"/>
                  <w:vAlign w:val="center"/>
                </w:tcPr>
                <w:p w14:paraId="0105705D">
                  <w:pPr>
                    <w:jc w:val="center"/>
                    <w:rPr>
                      <w:b/>
                      <w:bCs/>
                      <w:color w:val="auto"/>
                      <w:szCs w:val="21"/>
                    </w:rPr>
                  </w:pPr>
                </w:p>
              </w:tc>
              <w:tc>
                <w:tcPr>
                  <w:tcW w:w="700" w:type="pct"/>
                  <w:vMerge w:val="continue"/>
                  <w:vAlign w:val="center"/>
                </w:tcPr>
                <w:p w14:paraId="48B4410E">
                  <w:pPr>
                    <w:jc w:val="center"/>
                    <w:rPr>
                      <w:b/>
                      <w:bCs/>
                      <w:color w:val="auto"/>
                      <w:szCs w:val="21"/>
                    </w:rPr>
                  </w:pPr>
                </w:p>
              </w:tc>
              <w:tc>
                <w:tcPr>
                  <w:tcW w:w="702" w:type="pct"/>
                  <w:vMerge w:val="continue"/>
                  <w:vAlign w:val="center"/>
                </w:tcPr>
                <w:p w14:paraId="46308270">
                  <w:pPr>
                    <w:jc w:val="center"/>
                    <w:rPr>
                      <w:b/>
                      <w:bCs/>
                      <w:color w:val="auto"/>
                      <w:szCs w:val="21"/>
                    </w:rPr>
                  </w:pPr>
                </w:p>
              </w:tc>
              <w:tc>
                <w:tcPr>
                  <w:tcW w:w="792" w:type="pct"/>
                  <w:vMerge w:val="continue"/>
                  <w:vAlign w:val="center"/>
                </w:tcPr>
                <w:p w14:paraId="4E08EB83">
                  <w:pPr>
                    <w:jc w:val="center"/>
                    <w:rPr>
                      <w:b/>
                      <w:bCs/>
                      <w:color w:val="auto"/>
                      <w:szCs w:val="21"/>
                    </w:rPr>
                  </w:pPr>
                </w:p>
              </w:tc>
            </w:tr>
            <w:tr w14:paraId="09648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79" w:type="pct"/>
                  <w:vMerge w:val="continue"/>
                  <w:vAlign w:val="center"/>
                </w:tcPr>
                <w:p w14:paraId="78551800">
                  <w:pPr>
                    <w:jc w:val="center"/>
                    <w:rPr>
                      <w:color w:val="auto"/>
                      <w:szCs w:val="21"/>
                    </w:rPr>
                  </w:pPr>
                </w:p>
              </w:tc>
              <w:tc>
                <w:tcPr>
                  <w:tcW w:w="603" w:type="pct"/>
                  <w:vAlign w:val="center"/>
                </w:tcPr>
                <w:p w14:paraId="7386AACA">
                  <w:pPr>
                    <w:widowControl/>
                    <w:jc w:val="center"/>
                    <w:textAlignment w:val="center"/>
                    <w:rPr>
                      <w:rFonts w:eastAsiaTheme="minorEastAsia"/>
                      <w:color w:val="auto"/>
                      <w:szCs w:val="21"/>
                    </w:rPr>
                  </w:pPr>
                  <w:r>
                    <w:rPr>
                      <w:rFonts w:hint="eastAsia"/>
                      <w:color w:val="auto"/>
                      <w:kern w:val="0"/>
                      <w:szCs w:val="21"/>
                      <w:lang w:bidi="ar"/>
                    </w:rPr>
                    <w:t>桌腿</w:t>
                  </w:r>
                </w:p>
              </w:tc>
              <w:tc>
                <w:tcPr>
                  <w:tcW w:w="609" w:type="pct"/>
                  <w:vAlign w:val="center"/>
                </w:tcPr>
                <w:p w14:paraId="1052EBB7">
                  <w:pPr>
                    <w:widowControl/>
                    <w:jc w:val="center"/>
                    <w:textAlignment w:val="center"/>
                    <w:rPr>
                      <w:rFonts w:eastAsiaTheme="minorEastAsia"/>
                      <w:color w:val="auto"/>
                      <w:szCs w:val="21"/>
                    </w:rPr>
                  </w:pPr>
                  <w:r>
                    <w:rPr>
                      <w:rFonts w:hint="eastAsia"/>
                      <w:color w:val="auto"/>
                      <w:szCs w:val="21"/>
                    </w:rPr>
                    <w:t>10/30</w:t>
                  </w:r>
                </w:p>
              </w:tc>
              <w:tc>
                <w:tcPr>
                  <w:tcW w:w="400" w:type="pct"/>
                  <w:vAlign w:val="center"/>
                </w:tcPr>
                <w:p w14:paraId="58298759">
                  <w:pPr>
                    <w:widowControl/>
                    <w:jc w:val="center"/>
                    <w:textAlignment w:val="center"/>
                    <w:rPr>
                      <w:color w:val="auto"/>
                      <w:szCs w:val="21"/>
                    </w:rPr>
                  </w:pPr>
                  <w:r>
                    <w:rPr>
                      <w:rFonts w:hint="eastAsia"/>
                      <w:color w:val="auto"/>
                      <w:szCs w:val="21"/>
                    </w:rPr>
                    <w:t>800</w:t>
                  </w:r>
                </w:p>
              </w:tc>
              <w:tc>
                <w:tcPr>
                  <w:tcW w:w="392" w:type="pct"/>
                  <w:vAlign w:val="center"/>
                </w:tcPr>
                <w:p w14:paraId="4C3A4031">
                  <w:pPr>
                    <w:widowControl/>
                    <w:jc w:val="center"/>
                    <w:textAlignment w:val="center"/>
                    <w:rPr>
                      <w:rFonts w:eastAsiaTheme="minorEastAsia"/>
                      <w:color w:val="auto"/>
                      <w:szCs w:val="21"/>
                    </w:rPr>
                  </w:pPr>
                  <w:r>
                    <w:rPr>
                      <w:rFonts w:hint="eastAsia"/>
                      <w:color w:val="auto"/>
                      <w:szCs w:val="21"/>
                    </w:rPr>
                    <w:t>1.0</w:t>
                  </w:r>
                </w:p>
              </w:tc>
              <w:tc>
                <w:tcPr>
                  <w:tcW w:w="420" w:type="pct"/>
                  <w:vAlign w:val="center"/>
                </w:tcPr>
                <w:p w14:paraId="71BD6FFD">
                  <w:pPr>
                    <w:widowControl/>
                    <w:jc w:val="center"/>
                    <w:textAlignment w:val="center"/>
                    <w:rPr>
                      <w:rFonts w:eastAsiaTheme="minorEastAsia"/>
                      <w:color w:val="auto"/>
                      <w:szCs w:val="21"/>
                    </w:rPr>
                  </w:pPr>
                  <w:r>
                    <w:rPr>
                      <w:rFonts w:hint="eastAsia"/>
                      <w:color w:val="auto"/>
                      <w:szCs w:val="21"/>
                    </w:rPr>
                    <w:t>4</w:t>
                  </w:r>
                </w:p>
              </w:tc>
              <w:tc>
                <w:tcPr>
                  <w:tcW w:w="1280" w:type="dxa"/>
                  <w:vAlign w:val="center"/>
                </w:tcPr>
                <w:p w14:paraId="0B7E3519">
                  <w:pPr>
                    <w:widowControl/>
                    <w:jc w:val="center"/>
                    <w:textAlignment w:val="center"/>
                    <w:rPr>
                      <w:rFonts w:eastAsiaTheme="minorEastAsia"/>
                      <w:color w:val="auto"/>
                      <w:szCs w:val="21"/>
                    </w:rPr>
                  </w:pPr>
                  <w:r>
                    <w:rPr>
                      <w:color w:val="auto"/>
                      <w:kern w:val="0"/>
                      <w:szCs w:val="21"/>
                      <w:lang w:bidi="ar"/>
                    </w:rPr>
                    <w:t>0.256</w:t>
                  </w:r>
                </w:p>
              </w:tc>
              <w:tc>
                <w:tcPr>
                  <w:tcW w:w="1284" w:type="dxa"/>
                  <w:vAlign w:val="center"/>
                </w:tcPr>
                <w:p w14:paraId="03C7C10D">
                  <w:pPr>
                    <w:widowControl/>
                    <w:jc w:val="center"/>
                    <w:textAlignment w:val="center"/>
                    <w:rPr>
                      <w:rFonts w:eastAsiaTheme="minorEastAsia"/>
                      <w:color w:val="auto"/>
                      <w:szCs w:val="21"/>
                    </w:rPr>
                  </w:pPr>
                  <w:r>
                    <w:rPr>
                      <w:color w:val="auto"/>
                      <w:kern w:val="0"/>
                      <w:szCs w:val="21"/>
                      <w:lang w:bidi="ar"/>
                    </w:rPr>
                    <w:t>0.2432</w:t>
                  </w:r>
                </w:p>
              </w:tc>
              <w:tc>
                <w:tcPr>
                  <w:tcW w:w="1452" w:type="dxa"/>
                  <w:vAlign w:val="center"/>
                </w:tcPr>
                <w:p w14:paraId="2145AF58">
                  <w:pPr>
                    <w:widowControl/>
                    <w:jc w:val="center"/>
                    <w:textAlignment w:val="center"/>
                    <w:rPr>
                      <w:rFonts w:eastAsiaTheme="minorEastAsia"/>
                      <w:color w:val="auto"/>
                      <w:szCs w:val="21"/>
                    </w:rPr>
                  </w:pPr>
                  <w:r>
                    <w:rPr>
                      <w:color w:val="auto"/>
                      <w:kern w:val="0"/>
                      <w:szCs w:val="21"/>
                      <w:lang w:bidi="ar"/>
                    </w:rPr>
                    <w:t>0.4992</w:t>
                  </w:r>
                </w:p>
              </w:tc>
            </w:tr>
            <w:tr w14:paraId="5503E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79" w:type="pct"/>
                  <w:vMerge w:val="continue"/>
                  <w:vAlign w:val="center"/>
                </w:tcPr>
                <w:p w14:paraId="71E0D9E3">
                  <w:pPr>
                    <w:jc w:val="center"/>
                    <w:rPr>
                      <w:color w:val="auto"/>
                      <w:szCs w:val="21"/>
                    </w:rPr>
                  </w:pPr>
                </w:p>
              </w:tc>
              <w:tc>
                <w:tcPr>
                  <w:tcW w:w="603" w:type="pct"/>
                  <w:vAlign w:val="center"/>
                </w:tcPr>
                <w:p w14:paraId="5A13DDDD">
                  <w:pPr>
                    <w:jc w:val="center"/>
                    <w:rPr>
                      <w:rFonts w:eastAsiaTheme="minorEastAsia"/>
                      <w:color w:val="auto"/>
                      <w:szCs w:val="21"/>
                    </w:rPr>
                  </w:pPr>
                  <w:r>
                    <w:rPr>
                      <w:rFonts w:hint="eastAsia"/>
                      <w:color w:val="auto"/>
                      <w:szCs w:val="21"/>
                    </w:rPr>
                    <w:t>台撑长管</w:t>
                  </w:r>
                </w:p>
              </w:tc>
              <w:tc>
                <w:tcPr>
                  <w:tcW w:w="609" w:type="pct"/>
                  <w:vAlign w:val="center"/>
                </w:tcPr>
                <w:p w14:paraId="47333FA0">
                  <w:pPr>
                    <w:widowControl/>
                    <w:jc w:val="center"/>
                    <w:textAlignment w:val="center"/>
                    <w:rPr>
                      <w:rFonts w:eastAsiaTheme="minorEastAsia"/>
                      <w:color w:val="auto"/>
                      <w:szCs w:val="21"/>
                    </w:rPr>
                  </w:pPr>
                  <w:r>
                    <w:rPr>
                      <w:rFonts w:hint="eastAsia"/>
                      <w:color w:val="auto"/>
                      <w:szCs w:val="21"/>
                    </w:rPr>
                    <w:t>30</w:t>
                  </w:r>
                </w:p>
              </w:tc>
              <w:tc>
                <w:tcPr>
                  <w:tcW w:w="400" w:type="pct"/>
                  <w:vAlign w:val="center"/>
                </w:tcPr>
                <w:p w14:paraId="141CBCE3">
                  <w:pPr>
                    <w:widowControl/>
                    <w:jc w:val="center"/>
                    <w:textAlignment w:val="center"/>
                    <w:rPr>
                      <w:rFonts w:eastAsiaTheme="minorEastAsia"/>
                      <w:color w:val="auto"/>
                      <w:szCs w:val="21"/>
                    </w:rPr>
                  </w:pPr>
                  <w:r>
                    <w:rPr>
                      <w:rFonts w:hint="eastAsia"/>
                      <w:color w:val="auto"/>
                      <w:szCs w:val="21"/>
                    </w:rPr>
                    <w:t>700</w:t>
                  </w:r>
                </w:p>
              </w:tc>
              <w:tc>
                <w:tcPr>
                  <w:tcW w:w="392" w:type="pct"/>
                  <w:vAlign w:val="center"/>
                </w:tcPr>
                <w:p w14:paraId="2D870930">
                  <w:pPr>
                    <w:widowControl/>
                    <w:jc w:val="center"/>
                    <w:textAlignment w:val="center"/>
                    <w:rPr>
                      <w:rFonts w:eastAsiaTheme="minorEastAsia"/>
                      <w:color w:val="auto"/>
                      <w:szCs w:val="21"/>
                    </w:rPr>
                  </w:pPr>
                  <w:r>
                    <w:rPr>
                      <w:rFonts w:hint="eastAsia"/>
                      <w:color w:val="auto"/>
                      <w:szCs w:val="21"/>
                    </w:rPr>
                    <w:t>1.0</w:t>
                  </w:r>
                </w:p>
              </w:tc>
              <w:tc>
                <w:tcPr>
                  <w:tcW w:w="420" w:type="pct"/>
                  <w:vAlign w:val="center"/>
                </w:tcPr>
                <w:p w14:paraId="30783D2C">
                  <w:pPr>
                    <w:widowControl/>
                    <w:jc w:val="center"/>
                    <w:textAlignment w:val="center"/>
                    <w:rPr>
                      <w:rFonts w:eastAsiaTheme="minorEastAsia"/>
                      <w:color w:val="auto"/>
                      <w:szCs w:val="21"/>
                    </w:rPr>
                  </w:pPr>
                  <w:r>
                    <w:rPr>
                      <w:rFonts w:hint="eastAsia"/>
                      <w:color w:val="auto"/>
                      <w:szCs w:val="21"/>
                    </w:rPr>
                    <w:t>2</w:t>
                  </w:r>
                </w:p>
              </w:tc>
              <w:tc>
                <w:tcPr>
                  <w:tcW w:w="1280" w:type="dxa"/>
                  <w:vAlign w:val="center"/>
                </w:tcPr>
                <w:p w14:paraId="0FCF8672">
                  <w:pPr>
                    <w:widowControl/>
                    <w:jc w:val="center"/>
                    <w:textAlignment w:val="center"/>
                    <w:rPr>
                      <w:rFonts w:eastAsiaTheme="minorEastAsia"/>
                      <w:color w:val="auto"/>
                      <w:szCs w:val="21"/>
                    </w:rPr>
                  </w:pPr>
                  <w:r>
                    <w:rPr>
                      <w:color w:val="auto"/>
                      <w:kern w:val="0"/>
                      <w:szCs w:val="21"/>
                      <w:lang w:bidi="ar"/>
                    </w:rPr>
                    <w:t>0.168</w:t>
                  </w:r>
                </w:p>
              </w:tc>
              <w:tc>
                <w:tcPr>
                  <w:tcW w:w="1284" w:type="dxa"/>
                  <w:vAlign w:val="center"/>
                </w:tcPr>
                <w:p w14:paraId="27658581">
                  <w:pPr>
                    <w:widowControl/>
                    <w:jc w:val="center"/>
                    <w:textAlignment w:val="center"/>
                    <w:rPr>
                      <w:rFonts w:eastAsiaTheme="minorEastAsia"/>
                      <w:color w:val="auto"/>
                      <w:szCs w:val="21"/>
                    </w:rPr>
                  </w:pPr>
                  <w:r>
                    <w:rPr>
                      <w:color w:val="auto"/>
                      <w:kern w:val="0"/>
                      <w:szCs w:val="21"/>
                      <w:lang w:bidi="ar"/>
                    </w:rPr>
                    <w:t>0.1568</w:t>
                  </w:r>
                </w:p>
              </w:tc>
              <w:tc>
                <w:tcPr>
                  <w:tcW w:w="1452" w:type="dxa"/>
                  <w:vAlign w:val="center"/>
                </w:tcPr>
                <w:p w14:paraId="7CBF6147">
                  <w:pPr>
                    <w:widowControl/>
                    <w:jc w:val="center"/>
                    <w:textAlignment w:val="center"/>
                    <w:rPr>
                      <w:rFonts w:eastAsiaTheme="minorEastAsia"/>
                      <w:color w:val="auto"/>
                      <w:szCs w:val="21"/>
                    </w:rPr>
                  </w:pPr>
                  <w:r>
                    <w:rPr>
                      <w:color w:val="auto"/>
                      <w:kern w:val="0"/>
                      <w:szCs w:val="21"/>
                      <w:lang w:bidi="ar"/>
                    </w:rPr>
                    <w:t>0.3248</w:t>
                  </w:r>
                </w:p>
              </w:tc>
            </w:tr>
            <w:tr w14:paraId="016AE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79" w:type="pct"/>
                  <w:vMerge w:val="continue"/>
                  <w:vAlign w:val="center"/>
                </w:tcPr>
                <w:p w14:paraId="1117C599">
                  <w:pPr>
                    <w:jc w:val="center"/>
                    <w:rPr>
                      <w:color w:val="auto"/>
                      <w:szCs w:val="21"/>
                    </w:rPr>
                  </w:pPr>
                </w:p>
              </w:tc>
              <w:tc>
                <w:tcPr>
                  <w:tcW w:w="603" w:type="pct"/>
                  <w:vAlign w:val="center"/>
                </w:tcPr>
                <w:p w14:paraId="580427CB">
                  <w:pPr>
                    <w:jc w:val="center"/>
                    <w:rPr>
                      <w:color w:val="auto"/>
                      <w:szCs w:val="21"/>
                    </w:rPr>
                  </w:pPr>
                  <w:r>
                    <w:rPr>
                      <w:rFonts w:hint="eastAsia"/>
                      <w:color w:val="auto"/>
                      <w:szCs w:val="21"/>
                    </w:rPr>
                    <w:t>台撑短管</w:t>
                  </w:r>
                </w:p>
              </w:tc>
              <w:tc>
                <w:tcPr>
                  <w:tcW w:w="609" w:type="pct"/>
                  <w:vAlign w:val="center"/>
                </w:tcPr>
                <w:p w14:paraId="32776CD7">
                  <w:pPr>
                    <w:widowControl/>
                    <w:jc w:val="center"/>
                    <w:textAlignment w:val="center"/>
                    <w:rPr>
                      <w:rFonts w:eastAsiaTheme="minorEastAsia"/>
                      <w:color w:val="auto"/>
                      <w:szCs w:val="21"/>
                    </w:rPr>
                  </w:pPr>
                  <w:r>
                    <w:rPr>
                      <w:rFonts w:hint="eastAsia"/>
                      <w:color w:val="auto"/>
                      <w:szCs w:val="21"/>
                    </w:rPr>
                    <w:t>30</w:t>
                  </w:r>
                </w:p>
              </w:tc>
              <w:tc>
                <w:tcPr>
                  <w:tcW w:w="400" w:type="pct"/>
                  <w:vAlign w:val="center"/>
                </w:tcPr>
                <w:p w14:paraId="2A9742A2">
                  <w:pPr>
                    <w:widowControl/>
                    <w:jc w:val="center"/>
                    <w:textAlignment w:val="center"/>
                    <w:rPr>
                      <w:rFonts w:eastAsiaTheme="minorEastAsia"/>
                      <w:color w:val="auto"/>
                      <w:szCs w:val="21"/>
                    </w:rPr>
                  </w:pPr>
                  <w:r>
                    <w:rPr>
                      <w:rFonts w:hint="eastAsia"/>
                      <w:color w:val="auto"/>
                      <w:szCs w:val="21"/>
                    </w:rPr>
                    <w:t>550</w:t>
                  </w:r>
                </w:p>
              </w:tc>
              <w:tc>
                <w:tcPr>
                  <w:tcW w:w="392" w:type="pct"/>
                  <w:vAlign w:val="center"/>
                </w:tcPr>
                <w:p w14:paraId="07E4021E">
                  <w:pPr>
                    <w:widowControl/>
                    <w:jc w:val="center"/>
                    <w:textAlignment w:val="center"/>
                    <w:rPr>
                      <w:rFonts w:eastAsiaTheme="minorEastAsia"/>
                      <w:color w:val="auto"/>
                      <w:szCs w:val="21"/>
                    </w:rPr>
                  </w:pPr>
                  <w:r>
                    <w:rPr>
                      <w:rFonts w:hint="eastAsia"/>
                      <w:color w:val="auto"/>
                      <w:szCs w:val="21"/>
                    </w:rPr>
                    <w:t>1.0</w:t>
                  </w:r>
                </w:p>
              </w:tc>
              <w:tc>
                <w:tcPr>
                  <w:tcW w:w="420" w:type="pct"/>
                  <w:vAlign w:val="center"/>
                </w:tcPr>
                <w:p w14:paraId="5131F464">
                  <w:pPr>
                    <w:widowControl/>
                    <w:jc w:val="center"/>
                    <w:textAlignment w:val="center"/>
                    <w:rPr>
                      <w:rFonts w:eastAsiaTheme="minorEastAsia"/>
                      <w:color w:val="auto"/>
                      <w:szCs w:val="21"/>
                    </w:rPr>
                  </w:pPr>
                  <w:r>
                    <w:rPr>
                      <w:rFonts w:hint="eastAsia"/>
                      <w:color w:val="auto"/>
                      <w:szCs w:val="21"/>
                    </w:rPr>
                    <w:t>2</w:t>
                  </w:r>
                </w:p>
              </w:tc>
              <w:tc>
                <w:tcPr>
                  <w:tcW w:w="1280" w:type="dxa"/>
                  <w:vAlign w:val="center"/>
                </w:tcPr>
                <w:p w14:paraId="047982B7">
                  <w:pPr>
                    <w:widowControl/>
                    <w:jc w:val="center"/>
                    <w:textAlignment w:val="center"/>
                    <w:rPr>
                      <w:rFonts w:eastAsiaTheme="minorEastAsia"/>
                      <w:color w:val="auto"/>
                      <w:szCs w:val="21"/>
                    </w:rPr>
                  </w:pPr>
                  <w:r>
                    <w:rPr>
                      <w:color w:val="auto"/>
                      <w:kern w:val="0"/>
                      <w:szCs w:val="21"/>
                      <w:lang w:bidi="ar"/>
                    </w:rPr>
                    <w:t>0.132</w:t>
                  </w:r>
                </w:p>
              </w:tc>
              <w:tc>
                <w:tcPr>
                  <w:tcW w:w="1284" w:type="dxa"/>
                  <w:vAlign w:val="center"/>
                </w:tcPr>
                <w:p w14:paraId="4498468D">
                  <w:pPr>
                    <w:widowControl/>
                    <w:jc w:val="center"/>
                    <w:textAlignment w:val="center"/>
                    <w:rPr>
                      <w:rFonts w:eastAsiaTheme="minorEastAsia"/>
                      <w:color w:val="auto"/>
                      <w:szCs w:val="21"/>
                    </w:rPr>
                  </w:pPr>
                  <w:r>
                    <w:rPr>
                      <w:color w:val="auto"/>
                      <w:kern w:val="0"/>
                      <w:szCs w:val="21"/>
                      <w:lang w:bidi="ar"/>
                    </w:rPr>
                    <w:t>0.1232</w:t>
                  </w:r>
                </w:p>
              </w:tc>
              <w:tc>
                <w:tcPr>
                  <w:tcW w:w="1452" w:type="dxa"/>
                  <w:vAlign w:val="center"/>
                </w:tcPr>
                <w:p w14:paraId="20D75F2C">
                  <w:pPr>
                    <w:widowControl/>
                    <w:jc w:val="center"/>
                    <w:textAlignment w:val="center"/>
                    <w:rPr>
                      <w:rFonts w:eastAsiaTheme="minorEastAsia"/>
                      <w:color w:val="auto"/>
                      <w:szCs w:val="21"/>
                    </w:rPr>
                  </w:pPr>
                  <w:r>
                    <w:rPr>
                      <w:color w:val="auto"/>
                      <w:kern w:val="0"/>
                      <w:szCs w:val="21"/>
                      <w:lang w:bidi="ar"/>
                    </w:rPr>
                    <w:t>0.2552</w:t>
                  </w:r>
                </w:p>
              </w:tc>
            </w:tr>
            <w:tr w14:paraId="64DAD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79" w:type="pct"/>
                  <w:vMerge w:val="continue"/>
                  <w:vAlign w:val="center"/>
                </w:tcPr>
                <w:p w14:paraId="7E2840DE">
                  <w:pPr>
                    <w:jc w:val="center"/>
                    <w:rPr>
                      <w:color w:val="auto"/>
                      <w:szCs w:val="21"/>
                    </w:rPr>
                  </w:pPr>
                </w:p>
              </w:tc>
              <w:tc>
                <w:tcPr>
                  <w:tcW w:w="2425" w:type="pct"/>
                  <w:gridSpan w:val="5"/>
                  <w:vAlign w:val="center"/>
                </w:tcPr>
                <w:p w14:paraId="694D6E25">
                  <w:pPr>
                    <w:widowControl/>
                    <w:jc w:val="center"/>
                    <w:textAlignment w:val="center"/>
                    <w:rPr>
                      <w:color w:val="auto"/>
                      <w:szCs w:val="21"/>
                    </w:rPr>
                  </w:pPr>
                  <w:r>
                    <w:rPr>
                      <w:color w:val="auto"/>
                      <w:kern w:val="0"/>
                      <w:szCs w:val="21"/>
                      <w:lang w:bidi="ar"/>
                    </w:rPr>
                    <w:t>单件产品小计</w:t>
                  </w:r>
                </w:p>
              </w:tc>
              <w:tc>
                <w:tcPr>
                  <w:tcW w:w="1280" w:type="dxa"/>
                  <w:vAlign w:val="center"/>
                </w:tcPr>
                <w:p w14:paraId="5A878397">
                  <w:pPr>
                    <w:widowControl/>
                    <w:jc w:val="center"/>
                    <w:textAlignment w:val="center"/>
                    <w:rPr>
                      <w:color w:val="auto"/>
                      <w:szCs w:val="21"/>
                    </w:rPr>
                  </w:pPr>
                  <w:r>
                    <w:rPr>
                      <w:color w:val="auto"/>
                      <w:kern w:val="0"/>
                      <w:szCs w:val="21"/>
                      <w:lang w:bidi="ar"/>
                    </w:rPr>
                    <w:t>0.556</w:t>
                  </w:r>
                </w:p>
              </w:tc>
              <w:tc>
                <w:tcPr>
                  <w:tcW w:w="1284" w:type="dxa"/>
                  <w:vAlign w:val="center"/>
                </w:tcPr>
                <w:p w14:paraId="1BD02541">
                  <w:pPr>
                    <w:widowControl/>
                    <w:jc w:val="center"/>
                    <w:textAlignment w:val="center"/>
                    <w:rPr>
                      <w:color w:val="auto"/>
                      <w:szCs w:val="21"/>
                    </w:rPr>
                  </w:pPr>
                  <w:r>
                    <w:rPr>
                      <w:color w:val="auto"/>
                      <w:kern w:val="0"/>
                      <w:szCs w:val="21"/>
                      <w:lang w:bidi="ar"/>
                    </w:rPr>
                    <w:t>0.5232</w:t>
                  </w:r>
                </w:p>
              </w:tc>
              <w:tc>
                <w:tcPr>
                  <w:tcW w:w="1452" w:type="dxa"/>
                  <w:vAlign w:val="center"/>
                </w:tcPr>
                <w:p w14:paraId="1B31E996">
                  <w:pPr>
                    <w:widowControl/>
                    <w:jc w:val="center"/>
                    <w:textAlignment w:val="center"/>
                    <w:rPr>
                      <w:color w:val="auto"/>
                      <w:szCs w:val="21"/>
                    </w:rPr>
                  </w:pPr>
                  <w:r>
                    <w:rPr>
                      <w:color w:val="auto"/>
                      <w:kern w:val="0"/>
                      <w:szCs w:val="21"/>
                      <w:lang w:bidi="ar"/>
                    </w:rPr>
                    <w:t>1.0792</w:t>
                  </w:r>
                </w:p>
              </w:tc>
            </w:tr>
            <w:tr w14:paraId="0D8CF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vAlign w:val="center"/>
                </w:tcPr>
                <w:p w14:paraId="39946900">
                  <w:pPr>
                    <w:widowControl/>
                    <w:jc w:val="center"/>
                    <w:textAlignment w:val="center"/>
                    <w:rPr>
                      <w:color w:val="auto"/>
                      <w:szCs w:val="21"/>
                    </w:rPr>
                  </w:pPr>
                  <w:r>
                    <w:rPr>
                      <w:b/>
                      <w:bCs/>
                      <w:color w:val="auto"/>
                      <w:kern w:val="0"/>
                      <w:szCs w:val="21"/>
                      <w:lang w:bidi="ar"/>
                    </w:rPr>
                    <w:t>产品-</w:t>
                  </w:r>
                  <w:r>
                    <w:rPr>
                      <w:rFonts w:hint="eastAsia"/>
                      <w:b/>
                      <w:bCs/>
                      <w:color w:val="auto"/>
                      <w:kern w:val="0"/>
                      <w:szCs w:val="21"/>
                      <w:lang w:bidi="ar"/>
                    </w:rPr>
                    <w:t>铝制家私配件</w:t>
                  </w:r>
                  <w:r>
                    <w:rPr>
                      <w:b/>
                      <w:bCs/>
                      <w:color w:val="auto"/>
                      <w:kern w:val="0"/>
                      <w:szCs w:val="21"/>
                      <w:lang w:bidi="ar"/>
                    </w:rPr>
                    <w:t>（</w:t>
                  </w:r>
                  <w:r>
                    <w:rPr>
                      <w:rFonts w:hint="eastAsia"/>
                      <w:b/>
                      <w:bCs/>
                      <w:color w:val="auto"/>
                      <w:kern w:val="0"/>
                      <w:szCs w:val="21"/>
                      <w:lang w:bidi="ar"/>
                    </w:rPr>
                    <w:t>6.5</w:t>
                  </w:r>
                  <w:r>
                    <w:rPr>
                      <w:b/>
                      <w:bCs/>
                      <w:color w:val="auto"/>
                      <w:kern w:val="0"/>
                      <w:szCs w:val="21"/>
                      <w:lang w:bidi="ar"/>
                    </w:rPr>
                    <w:t>kg）</w:t>
                  </w:r>
                </w:p>
              </w:tc>
            </w:tr>
            <w:tr w14:paraId="3F4EE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9" w:type="pct"/>
                  <w:vMerge w:val="restart"/>
                  <w:vAlign w:val="center"/>
                </w:tcPr>
                <w:p w14:paraId="7339455F">
                  <w:pPr>
                    <w:widowControl/>
                    <w:jc w:val="center"/>
                    <w:textAlignment w:val="center"/>
                    <w:rPr>
                      <w:b/>
                      <w:bCs/>
                      <w:color w:val="auto"/>
                      <w:szCs w:val="21"/>
                    </w:rPr>
                  </w:pPr>
                  <w:r>
                    <w:rPr>
                      <w:b/>
                      <w:bCs/>
                      <w:color w:val="auto"/>
                      <w:kern w:val="0"/>
                      <w:szCs w:val="21"/>
                      <w:lang w:bidi="ar"/>
                    </w:rPr>
                    <w:t>单位产品物料使用情况</w:t>
                  </w:r>
                </w:p>
              </w:tc>
              <w:tc>
                <w:tcPr>
                  <w:tcW w:w="603" w:type="pct"/>
                  <w:vMerge w:val="restart"/>
                  <w:vAlign w:val="center"/>
                </w:tcPr>
                <w:p w14:paraId="77274AF0">
                  <w:pPr>
                    <w:widowControl/>
                    <w:jc w:val="center"/>
                    <w:textAlignment w:val="center"/>
                    <w:rPr>
                      <w:b/>
                      <w:bCs/>
                      <w:color w:val="auto"/>
                      <w:szCs w:val="21"/>
                    </w:rPr>
                  </w:pPr>
                  <w:r>
                    <w:rPr>
                      <w:b/>
                      <w:bCs/>
                      <w:color w:val="auto"/>
                      <w:kern w:val="0"/>
                      <w:szCs w:val="21"/>
                      <w:lang w:bidi="ar"/>
                    </w:rPr>
                    <w:t>物料</w:t>
                  </w:r>
                </w:p>
              </w:tc>
              <w:tc>
                <w:tcPr>
                  <w:tcW w:w="1401" w:type="pct"/>
                  <w:gridSpan w:val="3"/>
                  <w:vAlign w:val="center"/>
                </w:tcPr>
                <w:p w14:paraId="3972DC17">
                  <w:pPr>
                    <w:widowControl/>
                    <w:jc w:val="center"/>
                    <w:textAlignment w:val="center"/>
                    <w:rPr>
                      <w:b/>
                      <w:bCs/>
                      <w:color w:val="auto"/>
                      <w:szCs w:val="21"/>
                    </w:rPr>
                  </w:pPr>
                  <w:r>
                    <w:rPr>
                      <w:b/>
                      <w:bCs/>
                      <w:color w:val="auto"/>
                      <w:kern w:val="0"/>
                      <w:szCs w:val="21"/>
                      <w:lang w:bidi="ar"/>
                    </w:rPr>
                    <w:t>尺寸（cm）</w:t>
                  </w:r>
                </w:p>
              </w:tc>
              <w:tc>
                <w:tcPr>
                  <w:tcW w:w="420" w:type="pct"/>
                  <w:vMerge w:val="restart"/>
                  <w:vAlign w:val="center"/>
                </w:tcPr>
                <w:p w14:paraId="06721E6C">
                  <w:pPr>
                    <w:widowControl/>
                    <w:jc w:val="center"/>
                    <w:textAlignment w:val="center"/>
                    <w:rPr>
                      <w:b/>
                      <w:bCs/>
                      <w:color w:val="auto"/>
                      <w:szCs w:val="21"/>
                    </w:rPr>
                  </w:pPr>
                  <w:r>
                    <w:rPr>
                      <w:b/>
                      <w:bCs/>
                      <w:color w:val="auto"/>
                      <w:kern w:val="0"/>
                      <w:szCs w:val="21"/>
                      <w:lang w:bidi="ar"/>
                    </w:rPr>
                    <w:t>数量</w:t>
                  </w:r>
                </w:p>
              </w:tc>
              <w:tc>
                <w:tcPr>
                  <w:tcW w:w="700" w:type="pct"/>
                  <w:vMerge w:val="restart"/>
                  <w:vAlign w:val="center"/>
                </w:tcPr>
                <w:p w14:paraId="6305D452">
                  <w:pPr>
                    <w:widowControl/>
                    <w:jc w:val="center"/>
                    <w:textAlignment w:val="center"/>
                    <w:rPr>
                      <w:b/>
                      <w:bCs/>
                      <w:color w:val="auto"/>
                      <w:szCs w:val="21"/>
                    </w:rPr>
                  </w:pPr>
                  <w:r>
                    <w:rPr>
                      <w:b/>
                      <w:bCs/>
                      <w:color w:val="auto"/>
                      <w:kern w:val="0"/>
                      <w:szCs w:val="21"/>
                      <w:lang w:bidi="ar"/>
                    </w:rPr>
                    <w:t>前处理外表面积（m</w:t>
                  </w:r>
                  <w:r>
                    <w:rPr>
                      <w:b/>
                      <w:bCs/>
                      <w:color w:val="auto"/>
                      <w:kern w:val="0"/>
                      <w:szCs w:val="21"/>
                      <w:vertAlign w:val="superscript"/>
                      <w:lang w:bidi="ar"/>
                    </w:rPr>
                    <w:t>2</w:t>
                  </w:r>
                  <w:r>
                    <w:rPr>
                      <w:b/>
                      <w:bCs/>
                      <w:color w:val="auto"/>
                      <w:kern w:val="0"/>
                      <w:szCs w:val="21"/>
                      <w:lang w:bidi="ar"/>
                    </w:rPr>
                    <w:t>）</w:t>
                  </w:r>
                </w:p>
              </w:tc>
              <w:tc>
                <w:tcPr>
                  <w:tcW w:w="702" w:type="pct"/>
                  <w:vMerge w:val="restart"/>
                  <w:vAlign w:val="center"/>
                </w:tcPr>
                <w:p w14:paraId="71AF4BBE">
                  <w:pPr>
                    <w:widowControl/>
                    <w:jc w:val="center"/>
                    <w:textAlignment w:val="center"/>
                    <w:rPr>
                      <w:b/>
                      <w:bCs/>
                      <w:color w:val="auto"/>
                      <w:szCs w:val="21"/>
                    </w:rPr>
                  </w:pPr>
                  <w:r>
                    <w:rPr>
                      <w:b/>
                      <w:bCs/>
                      <w:color w:val="auto"/>
                      <w:kern w:val="0"/>
                      <w:szCs w:val="21"/>
                      <w:lang w:bidi="ar"/>
                    </w:rPr>
                    <w:t>前处理内表面积（m</w:t>
                  </w:r>
                  <w:r>
                    <w:rPr>
                      <w:b/>
                      <w:bCs/>
                      <w:color w:val="auto"/>
                      <w:kern w:val="0"/>
                      <w:szCs w:val="21"/>
                      <w:vertAlign w:val="superscript"/>
                      <w:lang w:bidi="ar"/>
                    </w:rPr>
                    <w:t>2</w:t>
                  </w:r>
                  <w:r>
                    <w:rPr>
                      <w:b/>
                      <w:bCs/>
                      <w:color w:val="auto"/>
                      <w:kern w:val="0"/>
                      <w:szCs w:val="21"/>
                      <w:lang w:bidi="ar"/>
                    </w:rPr>
                    <w:t>）</w:t>
                  </w:r>
                </w:p>
              </w:tc>
              <w:tc>
                <w:tcPr>
                  <w:tcW w:w="792" w:type="pct"/>
                  <w:vMerge w:val="restart"/>
                  <w:vAlign w:val="center"/>
                </w:tcPr>
                <w:p w14:paraId="6CF99ED3">
                  <w:pPr>
                    <w:widowControl/>
                    <w:jc w:val="center"/>
                    <w:textAlignment w:val="center"/>
                    <w:rPr>
                      <w:b/>
                      <w:bCs/>
                      <w:color w:val="auto"/>
                      <w:szCs w:val="21"/>
                    </w:rPr>
                  </w:pPr>
                  <w:r>
                    <w:rPr>
                      <w:b/>
                      <w:bCs/>
                      <w:color w:val="auto"/>
                      <w:kern w:val="0"/>
                      <w:szCs w:val="21"/>
                      <w:lang w:bidi="ar"/>
                    </w:rPr>
                    <w:t>前处理总表面积（m</w:t>
                  </w:r>
                  <w:r>
                    <w:rPr>
                      <w:b/>
                      <w:bCs/>
                      <w:color w:val="auto"/>
                      <w:kern w:val="0"/>
                      <w:szCs w:val="21"/>
                      <w:vertAlign w:val="superscript"/>
                      <w:lang w:bidi="ar"/>
                    </w:rPr>
                    <w:t>2</w:t>
                  </w:r>
                  <w:r>
                    <w:rPr>
                      <w:b/>
                      <w:bCs/>
                      <w:color w:val="auto"/>
                      <w:kern w:val="0"/>
                      <w:szCs w:val="21"/>
                      <w:lang w:bidi="ar"/>
                    </w:rPr>
                    <w:t>）</w:t>
                  </w:r>
                </w:p>
              </w:tc>
            </w:tr>
            <w:tr w14:paraId="0B837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79" w:type="pct"/>
                  <w:vMerge w:val="continue"/>
                  <w:vAlign w:val="center"/>
                </w:tcPr>
                <w:p w14:paraId="50F0CB8D">
                  <w:pPr>
                    <w:jc w:val="center"/>
                    <w:rPr>
                      <w:b/>
                      <w:bCs/>
                      <w:color w:val="auto"/>
                      <w:szCs w:val="21"/>
                    </w:rPr>
                  </w:pPr>
                </w:p>
              </w:tc>
              <w:tc>
                <w:tcPr>
                  <w:tcW w:w="603" w:type="pct"/>
                  <w:vMerge w:val="continue"/>
                  <w:vAlign w:val="center"/>
                </w:tcPr>
                <w:p w14:paraId="40BDCFDE">
                  <w:pPr>
                    <w:jc w:val="center"/>
                    <w:rPr>
                      <w:b/>
                      <w:bCs/>
                      <w:color w:val="auto"/>
                      <w:szCs w:val="21"/>
                    </w:rPr>
                  </w:pPr>
                </w:p>
              </w:tc>
              <w:tc>
                <w:tcPr>
                  <w:tcW w:w="609" w:type="pct"/>
                  <w:vAlign w:val="center"/>
                </w:tcPr>
                <w:p w14:paraId="4CDC43DA">
                  <w:pPr>
                    <w:widowControl/>
                    <w:jc w:val="center"/>
                    <w:textAlignment w:val="center"/>
                    <w:rPr>
                      <w:b/>
                      <w:bCs/>
                      <w:color w:val="auto"/>
                      <w:szCs w:val="21"/>
                    </w:rPr>
                  </w:pPr>
                  <w:r>
                    <w:rPr>
                      <w:rFonts w:hint="eastAsia"/>
                      <w:b/>
                      <w:bCs/>
                      <w:color w:val="auto"/>
                      <w:kern w:val="0"/>
                      <w:szCs w:val="21"/>
                      <w:lang w:bidi="ar"/>
                    </w:rPr>
                    <w:t>截面边长</w:t>
                  </w:r>
                </w:p>
              </w:tc>
              <w:tc>
                <w:tcPr>
                  <w:tcW w:w="400" w:type="pct"/>
                  <w:vAlign w:val="center"/>
                </w:tcPr>
                <w:p w14:paraId="3923D19F">
                  <w:pPr>
                    <w:widowControl/>
                    <w:jc w:val="center"/>
                    <w:textAlignment w:val="center"/>
                    <w:rPr>
                      <w:b/>
                      <w:bCs/>
                      <w:color w:val="auto"/>
                      <w:szCs w:val="21"/>
                    </w:rPr>
                  </w:pPr>
                  <w:r>
                    <w:rPr>
                      <w:rFonts w:hint="eastAsia"/>
                      <w:b/>
                      <w:bCs/>
                      <w:color w:val="auto"/>
                      <w:kern w:val="0"/>
                      <w:szCs w:val="21"/>
                      <w:lang w:bidi="ar"/>
                    </w:rPr>
                    <w:t>长度</w:t>
                  </w:r>
                </w:p>
              </w:tc>
              <w:tc>
                <w:tcPr>
                  <w:tcW w:w="392" w:type="pct"/>
                  <w:vAlign w:val="center"/>
                </w:tcPr>
                <w:p w14:paraId="2E2D88EB">
                  <w:pPr>
                    <w:widowControl/>
                    <w:jc w:val="center"/>
                    <w:textAlignment w:val="center"/>
                    <w:rPr>
                      <w:b/>
                      <w:bCs/>
                      <w:color w:val="auto"/>
                      <w:szCs w:val="21"/>
                    </w:rPr>
                  </w:pPr>
                  <w:r>
                    <w:rPr>
                      <w:b/>
                      <w:bCs/>
                      <w:color w:val="auto"/>
                      <w:kern w:val="0"/>
                      <w:szCs w:val="21"/>
                      <w:lang w:bidi="ar"/>
                    </w:rPr>
                    <w:t>壁厚</w:t>
                  </w:r>
                </w:p>
              </w:tc>
              <w:tc>
                <w:tcPr>
                  <w:tcW w:w="420" w:type="pct"/>
                  <w:vMerge w:val="continue"/>
                  <w:vAlign w:val="center"/>
                </w:tcPr>
                <w:p w14:paraId="23EA7624">
                  <w:pPr>
                    <w:jc w:val="center"/>
                    <w:rPr>
                      <w:b/>
                      <w:bCs/>
                      <w:color w:val="auto"/>
                      <w:szCs w:val="21"/>
                    </w:rPr>
                  </w:pPr>
                </w:p>
              </w:tc>
              <w:tc>
                <w:tcPr>
                  <w:tcW w:w="700" w:type="pct"/>
                  <w:vMerge w:val="continue"/>
                  <w:vAlign w:val="center"/>
                </w:tcPr>
                <w:p w14:paraId="74C30397">
                  <w:pPr>
                    <w:jc w:val="center"/>
                    <w:rPr>
                      <w:b/>
                      <w:bCs/>
                      <w:color w:val="auto"/>
                      <w:szCs w:val="21"/>
                    </w:rPr>
                  </w:pPr>
                </w:p>
              </w:tc>
              <w:tc>
                <w:tcPr>
                  <w:tcW w:w="702" w:type="pct"/>
                  <w:vMerge w:val="continue"/>
                  <w:vAlign w:val="center"/>
                </w:tcPr>
                <w:p w14:paraId="786DA0C1">
                  <w:pPr>
                    <w:jc w:val="center"/>
                    <w:rPr>
                      <w:b/>
                      <w:bCs/>
                      <w:color w:val="auto"/>
                      <w:szCs w:val="21"/>
                    </w:rPr>
                  </w:pPr>
                </w:p>
              </w:tc>
              <w:tc>
                <w:tcPr>
                  <w:tcW w:w="792" w:type="pct"/>
                  <w:vMerge w:val="continue"/>
                  <w:vAlign w:val="center"/>
                </w:tcPr>
                <w:p w14:paraId="20BCF158">
                  <w:pPr>
                    <w:jc w:val="center"/>
                    <w:rPr>
                      <w:b/>
                      <w:bCs/>
                      <w:color w:val="auto"/>
                      <w:szCs w:val="21"/>
                    </w:rPr>
                  </w:pPr>
                </w:p>
              </w:tc>
            </w:tr>
            <w:tr w14:paraId="57E38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79" w:type="pct"/>
                  <w:vMerge w:val="continue"/>
                  <w:vAlign w:val="center"/>
                </w:tcPr>
                <w:p w14:paraId="4EC7FCB4">
                  <w:pPr>
                    <w:jc w:val="center"/>
                    <w:rPr>
                      <w:color w:val="auto"/>
                      <w:szCs w:val="21"/>
                    </w:rPr>
                  </w:pPr>
                </w:p>
              </w:tc>
              <w:tc>
                <w:tcPr>
                  <w:tcW w:w="603" w:type="pct"/>
                  <w:vAlign w:val="center"/>
                </w:tcPr>
                <w:p w14:paraId="69366213">
                  <w:pPr>
                    <w:widowControl/>
                    <w:jc w:val="center"/>
                    <w:textAlignment w:val="center"/>
                    <w:rPr>
                      <w:rFonts w:eastAsiaTheme="minorEastAsia"/>
                      <w:color w:val="auto"/>
                      <w:szCs w:val="21"/>
                    </w:rPr>
                  </w:pPr>
                  <w:r>
                    <w:rPr>
                      <w:rFonts w:hint="eastAsia"/>
                      <w:color w:val="auto"/>
                      <w:kern w:val="0"/>
                      <w:szCs w:val="21"/>
                      <w:lang w:bidi="ar"/>
                    </w:rPr>
                    <w:t>铝制长管</w:t>
                  </w:r>
                </w:p>
              </w:tc>
              <w:tc>
                <w:tcPr>
                  <w:tcW w:w="609" w:type="pct"/>
                  <w:vAlign w:val="center"/>
                </w:tcPr>
                <w:p w14:paraId="665D6730">
                  <w:pPr>
                    <w:widowControl/>
                    <w:jc w:val="center"/>
                    <w:textAlignment w:val="center"/>
                    <w:rPr>
                      <w:rFonts w:eastAsiaTheme="minorEastAsia"/>
                      <w:color w:val="auto"/>
                      <w:szCs w:val="21"/>
                    </w:rPr>
                  </w:pPr>
                  <w:r>
                    <w:rPr>
                      <w:rFonts w:hint="eastAsia"/>
                      <w:color w:val="auto"/>
                      <w:szCs w:val="21"/>
                    </w:rPr>
                    <w:t>40</w:t>
                  </w:r>
                </w:p>
              </w:tc>
              <w:tc>
                <w:tcPr>
                  <w:tcW w:w="400" w:type="pct"/>
                  <w:vAlign w:val="center"/>
                </w:tcPr>
                <w:p w14:paraId="284C990C">
                  <w:pPr>
                    <w:widowControl/>
                    <w:jc w:val="center"/>
                    <w:textAlignment w:val="center"/>
                    <w:rPr>
                      <w:rFonts w:eastAsiaTheme="minorEastAsia"/>
                      <w:color w:val="auto"/>
                      <w:szCs w:val="21"/>
                    </w:rPr>
                  </w:pPr>
                  <w:r>
                    <w:rPr>
                      <w:rFonts w:hint="eastAsia"/>
                      <w:color w:val="auto"/>
                      <w:szCs w:val="21"/>
                    </w:rPr>
                    <w:t>650</w:t>
                  </w:r>
                </w:p>
              </w:tc>
              <w:tc>
                <w:tcPr>
                  <w:tcW w:w="392" w:type="pct"/>
                  <w:vAlign w:val="center"/>
                </w:tcPr>
                <w:p w14:paraId="1D981776">
                  <w:pPr>
                    <w:widowControl/>
                    <w:jc w:val="center"/>
                    <w:textAlignment w:val="center"/>
                    <w:rPr>
                      <w:rFonts w:eastAsiaTheme="minorEastAsia"/>
                      <w:color w:val="auto"/>
                      <w:szCs w:val="21"/>
                    </w:rPr>
                  </w:pPr>
                  <w:r>
                    <w:rPr>
                      <w:rFonts w:hint="eastAsia"/>
                      <w:color w:val="auto"/>
                      <w:szCs w:val="21"/>
                    </w:rPr>
                    <w:t>1.2</w:t>
                  </w:r>
                </w:p>
              </w:tc>
              <w:tc>
                <w:tcPr>
                  <w:tcW w:w="420" w:type="pct"/>
                  <w:vAlign w:val="center"/>
                </w:tcPr>
                <w:p w14:paraId="6EC8C2E3">
                  <w:pPr>
                    <w:widowControl/>
                    <w:jc w:val="center"/>
                    <w:textAlignment w:val="center"/>
                    <w:rPr>
                      <w:rFonts w:eastAsiaTheme="minorEastAsia"/>
                      <w:color w:val="auto"/>
                      <w:szCs w:val="21"/>
                    </w:rPr>
                  </w:pPr>
                  <w:r>
                    <w:rPr>
                      <w:rFonts w:hint="eastAsia"/>
                      <w:color w:val="auto"/>
                      <w:szCs w:val="21"/>
                    </w:rPr>
                    <w:t>4</w:t>
                  </w:r>
                </w:p>
              </w:tc>
              <w:tc>
                <w:tcPr>
                  <w:tcW w:w="700" w:type="pct"/>
                  <w:vAlign w:val="center"/>
                </w:tcPr>
                <w:p w14:paraId="26E96113">
                  <w:pPr>
                    <w:widowControl/>
                    <w:jc w:val="center"/>
                    <w:textAlignment w:val="center"/>
                    <w:rPr>
                      <w:rFonts w:eastAsiaTheme="minorEastAsia"/>
                      <w:color w:val="auto"/>
                      <w:szCs w:val="21"/>
                    </w:rPr>
                  </w:pPr>
                  <w:r>
                    <w:rPr>
                      <w:color w:val="auto"/>
                      <w:kern w:val="0"/>
                      <w:szCs w:val="21"/>
                      <w:lang w:bidi="ar"/>
                    </w:rPr>
                    <w:t>0.416</w:t>
                  </w:r>
                </w:p>
              </w:tc>
              <w:tc>
                <w:tcPr>
                  <w:tcW w:w="702" w:type="pct"/>
                  <w:vAlign w:val="center"/>
                </w:tcPr>
                <w:p w14:paraId="623DCAE0">
                  <w:pPr>
                    <w:widowControl/>
                    <w:jc w:val="center"/>
                    <w:textAlignment w:val="center"/>
                    <w:rPr>
                      <w:color w:val="auto"/>
                      <w:szCs w:val="21"/>
                    </w:rPr>
                  </w:pPr>
                  <w:r>
                    <w:rPr>
                      <w:color w:val="auto"/>
                      <w:kern w:val="0"/>
                      <w:szCs w:val="21"/>
                      <w:lang w:bidi="ar"/>
                    </w:rPr>
                    <w:t>0.391</w:t>
                  </w:r>
                </w:p>
              </w:tc>
              <w:tc>
                <w:tcPr>
                  <w:tcW w:w="792" w:type="pct"/>
                  <w:vAlign w:val="center"/>
                </w:tcPr>
                <w:p w14:paraId="779CDD52">
                  <w:pPr>
                    <w:widowControl/>
                    <w:jc w:val="center"/>
                    <w:textAlignment w:val="center"/>
                    <w:rPr>
                      <w:rFonts w:eastAsiaTheme="minorEastAsia"/>
                      <w:color w:val="auto"/>
                      <w:szCs w:val="21"/>
                    </w:rPr>
                  </w:pPr>
                  <w:r>
                    <w:rPr>
                      <w:color w:val="auto"/>
                      <w:kern w:val="0"/>
                      <w:szCs w:val="21"/>
                      <w:lang w:bidi="ar"/>
                    </w:rPr>
                    <w:t>0.807</w:t>
                  </w:r>
                </w:p>
              </w:tc>
            </w:tr>
            <w:tr w14:paraId="5BBAF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9" w:type="pct"/>
                  <w:vMerge w:val="continue"/>
                  <w:vAlign w:val="center"/>
                </w:tcPr>
                <w:p w14:paraId="4F9F36A0">
                  <w:pPr>
                    <w:jc w:val="center"/>
                    <w:rPr>
                      <w:color w:val="auto"/>
                      <w:szCs w:val="21"/>
                    </w:rPr>
                  </w:pPr>
                </w:p>
              </w:tc>
              <w:tc>
                <w:tcPr>
                  <w:tcW w:w="603" w:type="pct"/>
                  <w:vAlign w:val="center"/>
                </w:tcPr>
                <w:p w14:paraId="29FF7124">
                  <w:pPr>
                    <w:widowControl/>
                    <w:jc w:val="center"/>
                    <w:textAlignment w:val="center"/>
                    <w:rPr>
                      <w:color w:val="auto"/>
                      <w:kern w:val="0"/>
                      <w:szCs w:val="21"/>
                      <w:lang w:bidi="ar"/>
                    </w:rPr>
                  </w:pPr>
                  <w:r>
                    <w:rPr>
                      <w:rFonts w:hint="eastAsia"/>
                      <w:color w:val="auto"/>
                      <w:kern w:val="0"/>
                      <w:szCs w:val="21"/>
                      <w:lang w:bidi="ar"/>
                    </w:rPr>
                    <w:t>铝制短管</w:t>
                  </w:r>
                </w:p>
              </w:tc>
              <w:tc>
                <w:tcPr>
                  <w:tcW w:w="609" w:type="pct"/>
                  <w:vAlign w:val="center"/>
                </w:tcPr>
                <w:p w14:paraId="47A443D3">
                  <w:pPr>
                    <w:widowControl/>
                    <w:jc w:val="center"/>
                    <w:textAlignment w:val="center"/>
                    <w:rPr>
                      <w:rFonts w:eastAsiaTheme="minorEastAsia"/>
                      <w:color w:val="auto"/>
                      <w:szCs w:val="21"/>
                    </w:rPr>
                  </w:pPr>
                  <w:r>
                    <w:rPr>
                      <w:rFonts w:hint="eastAsia"/>
                      <w:color w:val="auto"/>
                      <w:szCs w:val="21"/>
                    </w:rPr>
                    <w:t>40</w:t>
                  </w:r>
                </w:p>
              </w:tc>
              <w:tc>
                <w:tcPr>
                  <w:tcW w:w="400" w:type="pct"/>
                  <w:vAlign w:val="center"/>
                </w:tcPr>
                <w:p w14:paraId="03CAD604">
                  <w:pPr>
                    <w:widowControl/>
                    <w:jc w:val="center"/>
                    <w:textAlignment w:val="center"/>
                    <w:rPr>
                      <w:rFonts w:eastAsiaTheme="minorEastAsia"/>
                      <w:color w:val="auto"/>
                      <w:szCs w:val="21"/>
                    </w:rPr>
                  </w:pPr>
                  <w:r>
                    <w:rPr>
                      <w:rFonts w:hint="eastAsia"/>
                      <w:color w:val="auto"/>
                      <w:szCs w:val="21"/>
                    </w:rPr>
                    <w:t>480</w:t>
                  </w:r>
                </w:p>
              </w:tc>
              <w:tc>
                <w:tcPr>
                  <w:tcW w:w="392" w:type="pct"/>
                  <w:vAlign w:val="center"/>
                </w:tcPr>
                <w:p w14:paraId="1780FB32">
                  <w:pPr>
                    <w:widowControl/>
                    <w:jc w:val="center"/>
                    <w:textAlignment w:val="center"/>
                    <w:rPr>
                      <w:rFonts w:eastAsiaTheme="minorEastAsia"/>
                      <w:color w:val="auto"/>
                      <w:szCs w:val="21"/>
                    </w:rPr>
                  </w:pPr>
                  <w:r>
                    <w:rPr>
                      <w:rFonts w:hint="eastAsia"/>
                      <w:color w:val="auto"/>
                      <w:szCs w:val="21"/>
                    </w:rPr>
                    <w:t>1.2</w:t>
                  </w:r>
                </w:p>
              </w:tc>
              <w:tc>
                <w:tcPr>
                  <w:tcW w:w="420" w:type="pct"/>
                  <w:vAlign w:val="center"/>
                </w:tcPr>
                <w:p w14:paraId="4A31794A">
                  <w:pPr>
                    <w:widowControl/>
                    <w:jc w:val="center"/>
                    <w:textAlignment w:val="center"/>
                    <w:rPr>
                      <w:rFonts w:eastAsiaTheme="minorEastAsia"/>
                      <w:color w:val="auto"/>
                      <w:szCs w:val="21"/>
                    </w:rPr>
                  </w:pPr>
                  <w:r>
                    <w:rPr>
                      <w:rFonts w:hint="eastAsia"/>
                      <w:color w:val="auto"/>
                      <w:szCs w:val="21"/>
                    </w:rPr>
                    <w:t>6</w:t>
                  </w:r>
                </w:p>
              </w:tc>
              <w:tc>
                <w:tcPr>
                  <w:tcW w:w="700" w:type="pct"/>
                  <w:vAlign w:val="center"/>
                </w:tcPr>
                <w:p w14:paraId="6706FAB3">
                  <w:pPr>
                    <w:widowControl/>
                    <w:jc w:val="center"/>
                    <w:textAlignment w:val="center"/>
                    <w:rPr>
                      <w:rFonts w:eastAsiaTheme="minorEastAsia"/>
                      <w:color w:val="auto"/>
                      <w:szCs w:val="21"/>
                    </w:rPr>
                  </w:pPr>
                  <w:r>
                    <w:rPr>
                      <w:color w:val="auto"/>
                      <w:kern w:val="0"/>
                      <w:szCs w:val="21"/>
                      <w:lang w:bidi="ar"/>
                    </w:rPr>
                    <w:t>0.4608</w:t>
                  </w:r>
                </w:p>
              </w:tc>
              <w:tc>
                <w:tcPr>
                  <w:tcW w:w="702" w:type="pct"/>
                  <w:vAlign w:val="center"/>
                </w:tcPr>
                <w:p w14:paraId="11CC97AC">
                  <w:pPr>
                    <w:widowControl/>
                    <w:jc w:val="center"/>
                    <w:textAlignment w:val="center"/>
                    <w:rPr>
                      <w:color w:val="auto"/>
                      <w:szCs w:val="21"/>
                    </w:rPr>
                  </w:pPr>
                  <w:r>
                    <w:rPr>
                      <w:color w:val="auto"/>
                      <w:kern w:val="0"/>
                      <w:szCs w:val="21"/>
                      <w:lang w:bidi="ar"/>
                    </w:rPr>
                    <w:t>0.4332</w:t>
                  </w:r>
                </w:p>
              </w:tc>
              <w:tc>
                <w:tcPr>
                  <w:tcW w:w="792" w:type="pct"/>
                  <w:vAlign w:val="center"/>
                </w:tcPr>
                <w:p w14:paraId="70E35183">
                  <w:pPr>
                    <w:widowControl/>
                    <w:jc w:val="center"/>
                    <w:textAlignment w:val="center"/>
                    <w:rPr>
                      <w:rFonts w:eastAsiaTheme="minorEastAsia"/>
                      <w:color w:val="auto"/>
                      <w:szCs w:val="21"/>
                    </w:rPr>
                  </w:pPr>
                  <w:r>
                    <w:rPr>
                      <w:color w:val="auto"/>
                      <w:kern w:val="0"/>
                      <w:szCs w:val="21"/>
                      <w:lang w:bidi="ar"/>
                    </w:rPr>
                    <w:t>0.894</w:t>
                  </w:r>
                </w:p>
              </w:tc>
            </w:tr>
            <w:tr w14:paraId="68298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79" w:type="pct"/>
                  <w:vMerge w:val="continue"/>
                  <w:vAlign w:val="center"/>
                </w:tcPr>
                <w:p w14:paraId="2EEED90E">
                  <w:pPr>
                    <w:jc w:val="center"/>
                    <w:rPr>
                      <w:color w:val="auto"/>
                      <w:szCs w:val="21"/>
                    </w:rPr>
                  </w:pPr>
                </w:p>
              </w:tc>
              <w:tc>
                <w:tcPr>
                  <w:tcW w:w="603" w:type="pct"/>
                  <w:vAlign w:val="center"/>
                </w:tcPr>
                <w:p w14:paraId="1C09AB15">
                  <w:pPr>
                    <w:widowControl/>
                    <w:jc w:val="center"/>
                    <w:textAlignment w:val="center"/>
                    <w:rPr>
                      <w:color w:val="auto"/>
                      <w:kern w:val="0"/>
                      <w:szCs w:val="21"/>
                      <w:lang w:bidi="ar"/>
                    </w:rPr>
                  </w:pPr>
                  <w:r>
                    <w:rPr>
                      <w:rFonts w:hint="eastAsia"/>
                      <w:color w:val="auto"/>
                      <w:kern w:val="0"/>
                      <w:szCs w:val="21"/>
                      <w:lang w:bidi="ar"/>
                    </w:rPr>
                    <w:t>边管</w:t>
                  </w:r>
                </w:p>
              </w:tc>
              <w:tc>
                <w:tcPr>
                  <w:tcW w:w="609" w:type="pct"/>
                  <w:vAlign w:val="center"/>
                </w:tcPr>
                <w:p w14:paraId="39F4F290">
                  <w:pPr>
                    <w:widowControl/>
                    <w:jc w:val="center"/>
                    <w:textAlignment w:val="center"/>
                    <w:rPr>
                      <w:rFonts w:eastAsiaTheme="minorEastAsia"/>
                      <w:color w:val="auto"/>
                      <w:szCs w:val="21"/>
                    </w:rPr>
                  </w:pPr>
                  <w:r>
                    <w:rPr>
                      <w:rFonts w:hint="eastAsia"/>
                      <w:color w:val="auto"/>
                      <w:szCs w:val="21"/>
                    </w:rPr>
                    <w:t>40</w:t>
                  </w:r>
                </w:p>
              </w:tc>
              <w:tc>
                <w:tcPr>
                  <w:tcW w:w="400" w:type="pct"/>
                  <w:vAlign w:val="center"/>
                </w:tcPr>
                <w:p w14:paraId="050A3F0E">
                  <w:pPr>
                    <w:widowControl/>
                    <w:jc w:val="center"/>
                    <w:textAlignment w:val="center"/>
                    <w:rPr>
                      <w:rFonts w:eastAsiaTheme="minorEastAsia"/>
                      <w:color w:val="auto"/>
                      <w:szCs w:val="21"/>
                    </w:rPr>
                  </w:pPr>
                  <w:r>
                    <w:rPr>
                      <w:rFonts w:hint="eastAsia"/>
                      <w:color w:val="auto"/>
                      <w:szCs w:val="21"/>
                    </w:rPr>
                    <w:t>520</w:t>
                  </w:r>
                </w:p>
              </w:tc>
              <w:tc>
                <w:tcPr>
                  <w:tcW w:w="392" w:type="pct"/>
                  <w:vAlign w:val="center"/>
                </w:tcPr>
                <w:p w14:paraId="7521AD29">
                  <w:pPr>
                    <w:widowControl/>
                    <w:jc w:val="center"/>
                    <w:textAlignment w:val="center"/>
                    <w:rPr>
                      <w:rFonts w:eastAsiaTheme="minorEastAsia"/>
                      <w:color w:val="auto"/>
                      <w:szCs w:val="21"/>
                    </w:rPr>
                  </w:pPr>
                  <w:r>
                    <w:rPr>
                      <w:rFonts w:hint="eastAsia"/>
                      <w:color w:val="auto"/>
                      <w:szCs w:val="21"/>
                    </w:rPr>
                    <w:t>1.2</w:t>
                  </w:r>
                </w:p>
              </w:tc>
              <w:tc>
                <w:tcPr>
                  <w:tcW w:w="420" w:type="pct"/>
                  <w:vAlign w:val="center"/>
                </w:tcPr>
                <w:p w14:paraId="27FCFD20">
                  <w:pPr>
                    <w:widowControl/>
                    <w:jc w:val="center"/>
                    <w:textAlignment w:val="center"/>
                    <w:rPr>
                      <w:rFonts w:eastAsiaTheme="minorEastAsia"/>
                      <w:color w:val="auto"/>
                      <w:szCs w:val="21"/>
                    </w:rPr>
                  </w:pPr>
                  <w:r>
                    <w:rPr>
                      <w:rFonts w:hint="eastAsia"/>
                      <w:color w:val="auto"/>
                      <w:szCs w:val="21"/>
                    </w:rPr>
                    <w:t>4</w:t>
                  </w:r>
                </w:p>
              </w:tc>
              <w:tc>
                <w:tcPr>
                  <w:tcW w:w="700" w:type="pct"/>
                  <w:vAlign w:val="center"/>
                </w:tcPr>
                <w:p w14:paraId="2F877896">
                  <w:pPr>
                    <w:widowControl/>
                    <w:jc w:val="center"/>
                    <w:textAlignment w:val="center"/>
                    <w:rPr>
                      <w:rFonts w:eastAsiaTheme="minorEastAsia"/>
                      <w:color w:val="auto"/>
                      <w:szCs w:val="21"/>
                    </w:rPr>
                  </w:pPr>
                  <w:r>
                    <w:rPr>
                      <w:color w:val="auto"/>
                      <w:kern w:val="0"/>
                      <w:szCs w:val="21"/>
                      <w:lang w:bidi="ar"/>
                    </w:rPr>
                    <w:t>0.3328</w:t>
                  </w:r>
                </w:p>
              </w:tc>
              <w:tc>
                <w:tcPr>
                  <w:tcW w:w="702" w:type="pct"/>
                  <w:vAlign w:val="center"/>
                </w:tcPr>
                <w:p w14:paraId="7B29E2AA">
                  <w:pPr>
                    <w:widowControl/>
                    <w:jc w:val="center"/>
                    <w:textAlignment w:val="center"/>
                    <w:rPr>
                      <w:color w:val="auto"/>
                      <w:szCs w:val="21"/>
                    </w:rPr>
                  </w:pPr>
                  <w:r>
                    <w:rPr>
                      <w:color w:val="auto"/>
                      <w:kern w:val="0"/>
                      <w:szCs w:val="21"/>
                      <w:lang w:bidi="ar"/>
                    </w:rPr>
                    <w:t>0.3128</w:t>
                  </w:r>
                </w:p>
              </w:tc>
              <w:tc>
                <w:tcPr>
                  <w:tcW w:w="792" w:type="pct"/>
                  <w:vAlign w:val="center"/>
                </w:tcPr>
                <w:p w14:paraId="10E97B3D">
                  <w:pPr>
                    <w:widowControl/>
                    <w:jc w:val="center"/>
                    <w:textAlignment w:val="center"/>
                    <w:rPr>
                      <w:rFonts w:eastAsiaTheme="minorEastAsia"/>
                      <w:color w:val="auto"/>
                      <w:szCs w:val="21"/>
                    </w:rPr>
                  </w:pPr>
                  <w:r>
                    <w:rPr>
                      <w:color w:val="auto"/>
                      <w:kern w:val="0"/>
                      <w:szCs w:val="21"/>
                      <w:lang w:bidi="ar"/>
                    </w:rPr>
                    <w:t>0.6456</w:t>
                  </w:r>
                </w:p>
              </w:tc>
            </w:tr>
            <w:tr w14:paraId="6BA4F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79" w:type="pct"/>
                  <w:vMerge w:val="continue"/>
                  <w:vAlign w:val="center"/>
                </w:tcPr>
                <w:p w14:paraId="1B3EB6FA">
                  <w:pPr>
                    <w:jc w:val="center"/>
                    <w:rPr>
                      <w:color w:val="auto"/>
                      <w:szCs w:val="21"/>
                    </w:rPr>
                  </w:pPr>
                </w:p>
              </w:tc>
              <w:tc>
                <w:tcPr>
                  <w:tcW w:w="2425" w:type="pct"/>
                  <w:gridSpan w:val="5"/>
                  <w:vAlign w:val="center"/>
                </w:tcPr>
                <w:p w14:paraId="4FFE5662">
                  <w:pPr>
                    <w:widowControl/>
                    <w:jc w:val="center"/>
                    <w:textAlignment w:val="center"/>
                    <w:rPr>
                      <w:color w:val="auto"/>
                      <w:szCs w:val="21"/>
                    </w:rPr>
                  </w:pPr>
                  <w:r>
                    <w:rPr>
                      <w:color w:val="auto"/>
                      <w:kern w:val="0"/>
                      <w:szCs w:val="21"/>
                      <w:lang w:bidi="ar"/>
                    </w:rPr>
                    <w:t>单件产品小计</w:t>
                  </w:r>
                </w:p>
              </w:tc>
              <w:tc>
                <w:tcPr>
                  <w:tcW w:w="700" w:type="pct"/>
                  <w:vAlign w:val="center"/>
                </w:tcPr>
                <w:p w14:paraId="6B44C4F7">
                  <w:pPr>
                    <w:widowControl/>
                    <w:jc w:val="center"/>
                    <w:textAlignment w:val="center"/>
                    <w:rPr>
                      <w:color w:val="auto"/>
                      <w:szCs w:val="21"/>
                    </w:rPr>
                  </w:pPr>
                  <w:r>
                    <w:rPr>
                      <w:color w:val="auto"/>
                      <w:kern w:val="0"/>
                      <w:szCs w:val="21"/>
                      <w:lang w:bidi="ar"/>
                    </w:rPr>
                    <w:t>1.2096</w:t>
                  </w:r>
                </w:p>
              </w:tc>
              <w:tc>
                <w:tcPr>
                  <w:tcW w:w="702" w:type="pct"/>
                  <w:vAlign w:val="center"/>
                </w:tcPr>
                <w:p w14:paraId="48452FFD">
                  <w:pPr>
                    <w:widowControl/>
                    <w:jc w:val="center"/>
                    <w:textAlignment w:val="center"/>
                    <w:rPr>
                      <w:color w:val="auto"/>
                      <w:szCs w:val="21"/>
                    </w:rPr>
                  </w:pPr>
                  <w:r>
                    <w:rPr>
                      <w:color w:val="auto"/>
                      <w:kern w:val="0"/>
                      <w:szCs w:val="21"/>
                      <w:lang w:bidi="ar"/>
                    </w:rPr>
                    <w:t>1.137</w:t>
                  </w:r>
                </w:p>
              </w:tc>
              <w:tc>
                <w:tcPr>
                  <w:tcW w:w="792" w:type="pct"/>
                  <w:vAlign w:val="center"/>
                </w:tcPr>
                <w:p w14:paraId="214EEB48">
                  <w:pPr>
                    <w:widowControl/>
                    <w:jc w:val="center"/>
                    <w:textAlignment w:val="center"/>
                    <w:rPr>
                      <w:color w:val="auto"/>
                      <w:szCs w:val="21"/>
                    </w:rPr>
                  </w:pPr>
                  <w:r>
                    <w:rPr>
                      <w:color w:val="auto"/>
                      <w:kern w:val="0"/>
                      <w:szCs w:val="21"/>
                      <w:lang w:bidi="ar"/>
                    </w:rPr>
                    <w:t>2.3466</w:t>
                  </w:r>
                </w:p>
              </w:tc>
            </w:tr>
            <w:tr w14:paraId="2A660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000" w:type="pct"/>
                  <w:gridSpan w:val="9"/>
                  <w:vAlign w:val="center"/>
                </w:tcPr>
                <w:p w14:paraId="31E43FAB">
                  <w:pPr>
                    <w:widowControl/>
                    <w:textAlignment w:val="center"/>
                    <w:rPr>
                      <w:color w:val="auto"/>
                      <w:kern w:val="0"/>
                      <w:szCs w:val="21"/>
                      <w:lang w:bidi="ar"/>
                    </w:rPr>
                  </w:pPr>
                  <w:r>
                    <w:rPr>
                      <w:rFonts w:hint="eastAsia"/>
                      <w:color w:val="auto"/>
                      <w:kern w:val="0"/>
                      <w:szCs w:val="21"/>
                      <w:lang w:bidi="ar"/>
                    </w:rPr>
                    <w:t>说明：</w:t>
                  </w:r>
                </w:p>
                <w:p w14:paraId="1C6B44FC">
                  <w:pPr>
                    <w:widowControl/>
                    <w:textAlignment w:val="center"/>
                    <w:rPr>
                      <w:color w:val="auto"/>
                      <w:kern w:val="0"/>
                      <w:szCs w:val="21"/>
                      <w:lang w:bidi="ar"/>
                    </w:rPr>
                  </w:pPr>
                  <w:r>
                    <w:rPr>
                      <w:rFonts w:eastAsia="微软雅黑"/>
                      <w:color w:val="auto"/>
                      <w:kern w:val="0"/>
                      <w:szCs w:val="21"/>
                      <w:lang w:bidi="ar"/>
                    </w:rPr>
                    <w:t>①</w:t>
                  </w:r>
                  <w:r>
                    <w:rPr>
                      <w:rFonts w:hint="eastAsia"/>
                      <w:color w:val="auto"/>
                      <w:kern w:val="0"/>
                      <w:szCs w:val="21"/>
                      <w:lang w:bidi="ar"/>
                    </w:rPr>
                    <w:t>碳钢家私配件主要为桌台支架，由桌腿、台撑长管和台撑短管通过螺丝配件组装而成，项目加工时工件状态为组装前的配件，各配件表面积计算如下：</w:t>
                  </w:r>
                </w:p>
                <w:p w14:paraId="5A42446C">
                  <w:pPr>
                    <w:widowControl/>
                    <w:textAlignment w:val="center"/>
                    <w:rPr>
                      <w:color w:val="auto"/>
                    </w:rPr>
                  </w:pPr>
                  <w:r>
                    <w:rPr>
                      <w:rFonts w:hint="eastAsia"/>
                      <w:color w:val="auto"/>
                      <w:kern w:val="0"/>
                      <w:szCs w:val="21"/>
                      <w:lang w:bidi="ar"/>
                    </w:rPr>
                    <w:t>桌腿由4个等边梯形组成，外表面积=（短边长+长边长）</w:t>
                  </w:r>
                  <w:r>
                    <w:rPr>
                      <w:color w:val="auto"/>
                    </w:rPr>
                    <w:t>×</w:t>
                  </w:r>
                  <w:r>
                    <w:rPr>
                      <w:rFonts w:hint="eastAsia"/>
                      <w:color w:val="auto"/>
                    </w:rPr>
                    <w:t>长度</w:t>
                  </w:r>
                  <w:r>
                    <w:rPr>
                      <w:color w:val="auto"/>
                    </w:rPr>
                    <w:t>×</w:t>
                  </w:r>
                  <w:r>
                    <w:rPr>
                      <w:rFonts w:hint="eastAsia"/>
                      <w:color w:val="auto"/>
                    </w:rPr>
                    <w:t>4</w:t>
                  </w:r>
                  <w:r>
                    <w:rPr>
                      <w:color w:val="auto"/>
                    </w:rPr>
                    <w:t>×</w:t>
                  </w:r>
                  <w:r>
                    <w:rPr>
                      <w:rFonts w:hint="eastAsia"/>
                      <w:color w:val="auto"/>
                    </w:rPr>
                    <w:t>数量；内表面积=</w:t>
                  </w:r>
                  <w:r>
                    <w:rPr>
                      <w:rFonts w:hint="eastAsia"/>
                      <w:color w:val="auto"/>
                      <w:kern w:val="0"/>
                      <w:szCs w:val="21"/>
                      <w:lang w:bidi="ar"/>
                    </w:rPr>
                    <w:t>（短边长-壁厚+长边长-壁厚）</w:t>
                  </w:r>
                  <w:r>
                    <w:rPr>
                      <w:color w:val="auto"/>
                    </w:rPr>
                    <w:t>×</w:t>
                  </w:r>
                  <w:r>
                    <w:rPr>
                      <w:rFonts w:hint="eastAsia"/>
                      <w:color w:val="auto"/>
                    </w:rPr>
                    <w:t>长度</w:t>
                  </w:r>
                  <w:r>
                    <w:rPr>
                      <w:color w:val="auto"/>
                    </w:rPr>
                    <w:t>×</w:t>
                  </w:r>
                  <w:r>
                    <w:rPr>
                      <w:rFonts w:hint="eastAsia"/>
                      <w:color w:val="auto"/>
                    </w:rPr>
                    <w:t>4</w:t>
                  </w:r>
                  <w:r>
                    <w:rPr>
                      <w:color w:val="auto"/>
                    </w:rPr>
                    <w:t>×</w:t>
                  </w:r>
                  <w:r>
                    <w:rPr>
                      <w:rFonts w:hint="eastAsia"/>
                      <w:color w:val="auto"/>
                    </w:rPr>
                    <w:t>数量；总表面积=外表面积+内表面积</w:t>
                  </w:r>
                </w:p>
                <w:p w14:paraId="3B47CB03">
                  <w:pPr>
                    <w:widowControl/>
                    <w:textAlignment w:val="center"/>
                    <w:rPr>
                      <w:color w:val="auto"/>
                      <w:kern w:val="0"/>
                      <w:szCs w:val="21"/>
                      <w:lang w:bidi="ar"/>
                    </w:rPr>
                  </w:pPr>
                  <w:r>
                    <w:rPr>
                      <w:rFonts w:hint="eastAsia"/>
                      <w:color w:val="auto"/>
                      <w:kern w:val="0"/>
                      <w:szCs w:val="21"/>
                      <w:lang w:bidi="ar"/>
                    </w:rPr>
                    <w:t>台撑长管/台撑短管均由4个长方形组成，外表面积=边长</w:t>
                  </w:r>
                  <w:r>
                    <w:rPr>
                      <w:color w:val="auto"/>
                    </w:rPr>
                    <w:t>×</w:t>
                  </w:r>
                  <w:r>
                    <w:rPr>
                      <w:rFonts w:hint="eastAsia"/>
                      <w:color w:val="auto"/>
                    </w:rPr>
                    <w:t>长度</w:t>
                  </w:r>
                  <w:r>
                    <w:rPr>
                      <w:color w:val="auto"/>
                    </w:rPr>
                    <w:t>×</w:t>
                  </w:r>
                  <w:r>
                    <w:rPr>
                      <w:rFonts w:hint="eastAsia"/>
                      <w:color w:val="auto"/>
                    </w:rPr>
                    <w:t>4</w:t>
                  </w:r>
                  <w:r>
                    <w:rPr>
                      <w:color w:val="auto"/>
                    </w:rPr>
                    <w:t>×</w:t>
                  </w:r>
                  <w:r>
                    <w:rPr>
                      <w:rFonts w:hint="eastAsia"/>
                      <w:color w:val="auto"/>
                    </w:rPr>
                    <w:t>数量；内表面积=</w:t>
                  </w:r>
                  <w:r>
                    <w:rPr>
                      <w:rFonts w:hint="eastAsia"/>
                      <w:color w:val="auto"/>
                      <w:kern w:val="0"/>
                      <w:szCs w:val="21"/>
                      <w:lang w:bidi="ar"/>
                    </w:rPr>
                    <w:t>（边长-2</w:t>
                  </w:r>
                  <w:r>
                    <w:rPr>
                      <w:color w:val="auto"/>
                    </w:rPr>
                    <w:t>×</w:t>
                  </w:r>
                  <w:r>
                    <w:rPr>
                      <w:rFonts w:hint="eastAsia"/>
                      <w:color w:val="auto"/>
                      <w:kern w:val="0"/>
                      <w:szCs w:val="21"/>
                      <w:lang w:bidi="ar"/>
                    </w:rPr>
                    <w:t>壁厚）</w:t>
                  </w:r>
                  <w:r>
                    <w:rPr>
                      <w:color w:val="auto"/>
                    </w:rPr>
                    <w:t>×</w:t>
                  </w:r>
                  <w:r>
                    <w:rPr>
                      <w:rFonts w:hint="eastAsia"/>
                      <w:color w:val="auto"/>
                    </w:rPr>
                    <w:t>长度</w:t>
                  </w:r>
                  <w:r>
                    <w:rPr>
                      <w:color w:val="auto"/>
                    </w:rPr>
                    <w:t>×</w:t>
                  </w:r>
                  <w:r>
                    <w:rPr>
                      <w:rFonts w:hint="eastAsia"/>
                      <w:color w:val="auto"/>
                    </w:rPr>
                    <w:t>4</w:t>
                  </w:r>
                  <w:r>
                    <w:rPr>
                      <w:color w:val="auto"/>
                    </w:rPr>
                    <w:t>×</w:t>
                  </w:r>
                  <w:r>
                    <w:rPr>
                      <w:rFonts w:hint="eastAsia"/>
                      <w:color w:val="auto"/>
                    </w:rPr>
                    <w:t>数量；总表面积=外表面积+内表面积</w:t>
                  </w:r>
                </w:p>
                <w:p w14:paraId="4C43FB85">
                  <w:pPr>
                    <w:widowControl/>
                    <w:textAlignment w:val="center"/>
                    <w:rPr>
                      <w:color w:val="auto"/>
                      <w:kern w:val="0"/>
                      <w:szCs w:val="21"/>
                      <w:lang w:bidi="ar"/>
                    </w:rPr>
                  </w:pPr>
                  <w:r>
                    <w:rPr>
                      <w:rFonts w:hint="eastAsia" w:ascii="宋体" w:hAnsi="宋体" w:cs="宋体"/>
                      <w:color w:val="auto"/>
                      <w:kern w:val="0"/>
                      <w:szCs w:val="21"/>
                      <w:lang w:bidi="ar"/>
                    </w:rPr>
                    <w:t>②</w:t>
                  </w:r>
                  <w:r>
                    <w:rPr>
                      <w:rFonts w:hint="eastAsia"/>
                      <w:color w:val="auto"/>
                      <w:kern w:val="0"/>
                      <w:szCs w:val="21"/>
                      <w:lang w:bidi="ar"/>
                    </w:rPr>
                    <w:t>铝制家私配件主要为柜子框架，由长管、短管和边管通过螺丝配件组装而成，本项目不从事组装工序，各配件表面积计算如下：</w:t>
                  </w:r>
                </w:p>
                <w:p w14:paraId="6714F774">
                  <w:pPr>
                    <w:widowControl/>
                    <w:textAlignment w:val="center"/>
                    <w:rPr>
                      <w:color w:val="auto"/>
                    </w:rPr>
                  </w:pPr>
                  <w:r>
                    <w:rPr>
                      <w:rFonts w:hint="eastAsia"/>
                      <w:color w:val="auto"/>
                      <w:kern w:val="0"/>
                      <w:szCs w:val="21"/>
                      <w:lang w:bidi="ar"/>
                    </w:rPr>
                    <w:t>外表面积=边长</w:t>
                  </w:r>
                  <w:r>
                    <w:rPr>
                      <w:color w:val="auto"/>
                    </w:rPr>
                    <w:t>×</w:t>
                  </w:r>
                  <w:r>
                    <w:rPr>
                      <w:rFonts w:hint="eastAsia"/>
                      <w:color w:val="auto"/>
                    </w:rPr>
                    <w:t>长度</w:t>
                  </w:r>
                  <w:r>
                    <w:rPr>
                      <w:color w:val="auto"/>
                    </w:rPr>
                    <w:t>×</w:t>
                  </w:r>
                  <w:r>
                    <w:rPr>
                      <w:rFonts w:hint="eastAsia"/>
                      <w:color w:val="auto"/>
                    </w:rPr>
                    <w:t>4</w:t>
                  </w:r>
                  <w:r>
                    <w:rPr>
                      <w:color w:val="auto"/>
                    </w:rPr>
                    <w:t>×</w:t>
                  </w:r>
                  <w:r>
                    <w:rPr>
                      <w:rFonts w:hint="eastAsia"/>
                      <w:color w:val="auto"/>
                    </w:rPr>
                    <w:t>数量；内表面积=</w:t>
                  </w:r>
                  <w:r>
                    <w:rPr>
                      <w:rFonts w:hint="eastAsia"/>
                      <w:color w:val="auto"/>
                      <w:kern w:val="0"/>
                      <w:szCs w:val="21"/>
                      <w:lang w:bidi="ar"/>
                    </w:rPr>
                    <w:t>（边长-2</w:t>
                  </w:r>
                  <w:r>
                    <w:rPr>
                      <w:color w:val="auto"/>
                    </w:rPr>
                    <w:t>×</w:t>
                  </w:r>
                  <w:r>
                    <w:rPr>
                      <w:rFonts w:hint="eastAsia"/>
                      <w:color w:val="auto"/>
                      <w:kern w:val="0"/>
                      <w:szCs w:val="21"/>
                      <w:lang w:bidi="ar"/>
                    </w:rPr>
                    <w:t>壁厚）</w:t>
                  </w:r>
                  <w:r>
                    <w:rPr>
                      <w:color w:val="auto"/>
                    </w:rPr>
                    <w:t>×</w:t>
                  </w:r>
                  <w:r>
                    <w:rPr>
                      <w:rFonts w:hint="eastAsia"/>
                      <w:color w:val="auto"/>
                    </w:rPr>
                    <w:t>长度</w:t>
                  </w:r>
                  <w:r>
                    <w:rPr>
                      <w:color w:val="auto"/>
                    </w:rPr>
                    <w:t>×</w:t>
                  </w:r>
                  <w:r>
                    <w:rPr>
                      <w:rFonts w:hint="eastAsia"/>
                      <w:color w:val="auto"/>
                    </w:rPr>
                    <w:t>4</w:t>
                  </w:r>
                  <w:r>
                    <w:rPr>
                      <w:color w:val="auto"/>
                    </w:rPr>
                    <w:t>×</w:t>
                  </w:r>
                  <w:r>
                    <w:rPr>
                      <w:rFonts w:hint="eastAsia"/>
                      <w:color w:val="auto"/>
                    </w:rPr>
                    <w:t>数量；总表面积=外表面积+内表面积</w:t>
                  </w:r>
                </w:p>
              </w:tc>
            </w:tr>
          </w:tbl>
          <w:p w14:paraId="27B4CAD8">
            <w:pPr>
              <w:pStyle w:val="2"/>
              <w:spacing w:before="0" w:after="0" w:line="240" w:lineRule="auto"/>
              <w:rPr>
                <w:color w:val="auto"/>
              </w:rPr>
            </w:pPr>
          </w:p>
          <w:p w14:paraId="5DD69031">
            <w:pPr>
              <w:numPr>
                <w:ilvl w:val="0"/>
                <w:numId w:val="10"/>
              </w:numPr>
              <w:adjustRightInd w:val="0"/>
              <w:snapToGrid w:val="0"/>
              <w:jc w:val="center"/>
              <w:rPr>
                <w:b/>
                <w:color w:val="auto"/>
                <w:szCs w:val="21"/>
              </w:rPr>
            </w:pPr>
            <w:r>
              <w:rPr>
                <w:b/>
                <w:color w:val="auto"/>
                <w:szCs w:val="21"/>
              </w:rPr>
              <w:t>项目</w:t>
            </w:r>
            <w:r>
              <w:rPr>
                <w:rFonts w:hint="eastAsia"/>
                <w:b/>
                <w:color w:val="auto"/>
                <w:szCs w:val="21"/>
              </w:rPr>
              <w:t>表面处理面积</w:t>
            </w:r>
            <w:r>
              <w:rPr>
                <w:b/>
                <w:color w:val="auto"/>
                <w:szCs w:val="21"/>
              </w:rPr>
              <w:t>一览表</w:t>
            </w:r>
          </w:p>
          <w:tbl>
            <w:tblPr>
              <w:tblStyle w:val="3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6"/>
              <w:gridCol w:w="689"/>
              <w:gridCol w:w="923"/>
              <w:gridCol w:w="879"/>
              <w:gridCol w:w="645"/>
              <w:gridCol w:w="956"/>
              <w:gridCol w:w="1054"/>
              <w:gridCol w:w="1035"/>
              <w:gridCol w:w="859"/>
              <w:gridCol w:w="860"/>
            </w:tblGrid>
            <w:tr w14:paraId="5C358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9" w:type="pct"/>
                  <w:vAlign w:val="center"/>
                </w:tcPr>
                <w:p w14:paraId="0B668BD5">
                  <w:pPr>
                    <w:adjustRightInd w:val="0"/>
                    <w:snapToGrid w:val="0"/>
                    <w:jc w:val="center"/>
                    <w:rPr>
                      <w:b/>
                      <w:color w:val="auto"/>
                      <w:szCs w:val="21"/>
                    </w:rPr>
                  </w:pPr>
                  <w:r>
                    <w:rPr>
                      <w:rFonts w:hint="eastAsia"/>
                      <w:b/>
                      <w:color w:val="auto"/>
                      <w:szCs w:val="21"/>
                    </w:rPr>
                    <w:t>产品名称</w:t>
                  </w:r>
                </w:p>
              </w:tc>
              <w:tc>
                <w:tcPr>
                  <w:tcW w:w="374" w:type="pct"/>
                  <w:vAlign w:val="center"/>
                </w:tcPr>
                <w:p w14:paraId="780F30A9">
                  <w:pPr>
                    <w:adjustRightInd w:val="0"/>
                    <w:snapToGrid w:val="0"/>
                    <w:jc w:val="center"/>
                    <w:rPr>
                      <w:b/>
                      <w:color w:val="auto"/>
                      <w:szCs w:val="21"/>
                    </w:rPr>
                  </w:pPr>
                  <w:r>
                    <w:rPr>
                      <w:rFonts w:hint="eastAsia"/>
                      <w:b/>
                      <w:color w:val="auto"/>
                      <w:szCs w:val="21"/>
                    </w:rPr>
                    <w:t>材质</w:t>
                  </w:r>
                </w:p>
              </w:tc>
              <w:tc>
                <w:tcPr>
                  <w:tcW w:w="501" w:type="pct"/>
                  <w:vAlign w:val="center"/>
                </w:tcPr>
                <w:p w14:paraId="79CAABC4">
                  <w:pPr>
                    <w:adjustRightInd w:val="0"/>
                    <w:snapToGrid w:val="0"/>
                    <w:jc w:val="center"/>
                    <w:rPr>
                      <w:b/>
                      <w:color w:val="auto"/>
                      <w:szCs w:val="21"/>
                    </w:rPr>
                  </w:pPr>
                  <w:r>
                    <w:rPr>
                      <w:rFonts w:hint="eastAsia"/>
                      <w:b/>
                      <w:color w:val="auto"/>
                      <w:szCs w:val="21"/>
                    </w:rPr>
                    <w:t>外表面积</w:t>
                  </w:r>
                  <w:r>
                    <w:rPr>
                      <w:b/>
                      <w:bCs/>
                      <w:color w:val="auto"/>
                      <w:kern w:val="0"/>
                      <w:szCs w:val="21"/>
                      <w:lang w:bidi="ar"/>
                    </w:rPr>
                    <w:t>m</w:t>
                  </w:r>
                  <w:r>
                    <w:rPr>
                      <w:b/>
                      <w:bCs/>
                      <w:color w:val="auto"/>
                      <w:kern w:val="0"/>
                      <w:szCs w:val="21"/>
                      <w:vertAlign w:val="superscript"/>
                      <w:lang w:bidi="ar"/>
                    </w:rPr>
                    <w:t>2</w:t>
                  </w:r>
                </w:p>
              </w:tc>
              <w:tc>
                <w:tcPr>
                  <w:tcW w:w="477" w:type="pct"/>
                  <w:vAlign w:val="center"/>
                </w:tcPr>
                <w:p w14:paraId="6F2C7F74">
                  <w:pPr>
                    <w:adjustRightInd w:val="0"/>
                    <w:snapToGrid w:val="0"/>
                    <w:jc w:val="center"/>
                    <w:rPr>
                      <w:b/>
                      <w:color w:val="auto"/>
                      <w:szCs w:val="21"/>
                    </w:rPr>
                  </w:pPr>
                  <w:r>
                    <w:rPr>
                      <w:rFonts w:hint="eastAsia"/>
                      <w:b/>
                      <w:color w:val="auto"/>
                      <w:szCs w:val="21"/>
                    </w:rPr>
                    <w:t>内表面积</w:t>
                  </w:r>
                  <w:r>
                    <w:rPr>
                      <w:b/>
                      <w:bCs/>
                      <w:color w:val="auto"/>
                      <w:kern w:val="0"/>
                      <w:szCs w:val="21"/>
                      <w:lang w:bidi="ar"/>
                    </w:rPr>
                    <w:t>m</w:t>
                  </w:r>
                  <w:r>
                    <w:rPr>
                      <w:b/>
                      <w:bCs/>
                      <w:color w:val="auto"/>
                      <w:kern w:val="0"/>
                      <w:szCs w:val="21"/>
                      <w:vertAlign w:val="superscript"/>
                      <w:lang w:bidi="ar"/>
                    </w:rPr>
                    <w:t>2</w:t>
                  </w:r>
                </w:p>
              </w:tc>
              <w:tc>
                <w:tcPr>
                  <w:tcW w:w="350" w:type="pct"/>
                  <w:vAlign w:val="center"/>
                </w:tcPr>
                <w:p w14:paraId="19226BB8">
                  <w:pPr>
                    <w:adjustRightInd w:val="0"/>
                    <w:snapToGrid w:val="0"/>
                    <w:jc w:val="center"/>
                    <w:rPr>
                      <w:b/>
                      <w:color w:val="auto"/>
                      <w:szCs w:val="21"/>
                    </w:rPr>
                  </w:pPr>
                  <w:r>
                    <w:rPr>
                      <w:rFonts w:hint="eastAsia"/>
                      <w:b/>
                      <w:color w:val="auto"/>
                      <w:szCs w:val="21"/>
                    </w:rPr>
                    <w:t>单重kg</w:t>
                  </w:r>
                </w:p>
              </w:tc>
              <w:tc>
                <w:tcPr>
                  <w:tcW w:w="519" w:type="pct"/>
                  <w:vAlign w:val="center"/>
                </w:tcPr>
                <w:p w14:paraId="588B3EF2">
                  <w:pPr>
                    <w:adjustRightInd w:val="0"/>
                    <w:snapToGrid w:val="0"/>
                    <w:jc w:val="center"/>
                    <w:rPr>
                      <w:b/>
                      <w:color w:val="auto"/>
                      <w:szCs w:val="21"/>
                    </w:rPr>
                  </w:pPr>
                  <w:r>
                    <w:rPr>
                      <w:rFonts w:hint="eastAsia"/>
                      <w:b/>
                      <w:color w:val="auto"/>
                      <w:szCs w:val="21"/>
                    </w:rPr>
                    <w:t>年产量（件）</w:t>
                  </w:r>
                </w:p>
              </w:tc>
              <w:tc>
                <w:tcPr>
                  <w:tcW w:w="572" w:type="pct"/>
                  <w:vAlign w:val="center"/>
                </w:tcPr>
                <w:p w14:paraId="70FAA03B">
                  <w:pPr>
                    <w:adjustRightInd w:val="0"/>
                    <w:snapToGrid w:val="0"/>
                    <w:jc w:val="center"/>
                    <w:rPr>
                      <w:b/>
                      <w:color w:val="auto"/>
                      <w:szCs w:val="21"/>
                    </w:rPr>
                  </w:pPr>
                  <w:r>
                    <w:rPr>
                      <w:rFonts w:hint="eastAsia"/>
                      <w:b/>
                      <w:color w:val="auto"/>
                      <w:szCs w:val="21"/>
                    </w:rPr>
                    <w:t>前处理面积</w:t>
                  </w:r>
                  <w:r>
                    <w:rPr>
                      <w:b/>
                      <w:bCs/>
                      <w:color w:val="auto"/>
                      <w:kern w:val="0"/>
                      <w:szCs w:val="21"/>
                      <w:lang w:bidi="ar"/>
                    </w:rPr>
                    <w:t>m</w:t>
                  </w:r>
                  <w:r>
                    <w:rPr>
                      <w:b/>
                      <w:bCs/>
                      <w:color w:val="auto"/>
                      <w:kern w:val="0"/>
                      <w:szCs w:val="21"/>
                      <w:vertAlign w:val="superscript"/>
                      <w:lang w:bidi="ar"/>
                    </w:rPr>
                    <w:t>2</w:t>
                  </w:r>
                </w:p>
              </w:tc>
              <w:tc>
                <w:tcPr>
                  <w:tcW w:w="562" w:type="pct"/>
                  <w:vAlign w:val="center"/>
                </w:tcPr>
                <w:p w14:paraId="59E1DADD">
                  <w:pPr>
                    <w:adjustRightInd w:val="0"/>
                    <w:snapToGrid w:val="0"/>
                    <w:jc w:val="center"/>
                    <w:rPr>
                      <w:b/>
                      <w:color w:val="auto"/>
                      <w:szCs w:val="21"/>
                    </w:rPr>
                  </w:pPr>
                  <w:r>
                    <w:rPr>
                      <w:rFonts w:hint="eastAsia"/>
                      <w:b/>
                      <w:color w:val="auto"/>
                      <w:szCs w:val="21"/>
                    </w:rPr>
                    <w:t>喷粉面积</w:t>
                  </w:r>
                  <w:r>
                    <w:rPr>
                      <w:b/>
                      <w:bCs/>
                      <w:color w:val="auto"/>
                      <w:kern w:val="0"/>
                      <w:szCs w:val="21"/>
                      <w:lang w:bidi="ar"/>
                    </w:rPr>
                    <w:t>m</w:t>
                  </w:r>
                  <w:r>
                    <w:rPr>
                      <w:b/>
                      <w:bCs/>
                      <w:color w:val="auto"/>
                      <w:kern w:val="0"/>
                      <w:szCs w:val="21"/>
                      <w:vertAlign w:val="superscript"/>
                      <w:lang w:bidi="ar"/>
                    </w:rPr>
                    <w:t>2</w:t>
                  </w:r>
                </w:p>
              </w:tc>
              <w:tc>
                <w:tcPr>
                  <w:tcW w:w="466" w:type="pct"/>
                  <w:vAlign w:val="center"/>
                </w:tcPr>
                <w:p w14:paraId="48962B9F">
                  <w:pPr>
                    <w:adjustRightInd w:val="0"/>
                    <w:snapToGrid w:val="0"/>
                    <w:jc w:val="center"/>
                    <w:rPr>
                      <w:b/>
                      <w:color w:val="auto"/>
                      <w:szCs w:val="21"/>
                    </w:rPr>
                  </w:pPr>
                  <w:r>
                    <w:rPr>
                      <w:rFonts w:hint="eastAsia"/>
                      <w:b/>
                      <w:color w:val="auto"/>
                      <w:szCs w:val="21"/>
                    </w:rPr>
                    <w:t>喷漆面积</w:t>
                  </w:r>
                  <w:r>
                    <w:rPr>
                      <w:b/>
                      <w:bCs/>
                      <w:color w:val="auto"/>
                      <w:kern w:val="0"/>
                      <w:szCs w:val="21"/>
                      <w:lang w:bidi="ar"/>
                    </w:rPr>
                    <w:t>m</w:t>
                  </w:r>
                  <w:r>
                    <w:rPr>
                      <w:b/>
                      <w:bCs/>
                      <w:color w:val="auto"/>
                      <w:kern w:val="0"/>
                      <w:szCs w:val="21"/>
                      <w:vertAlign w:val="superscript"/>
                      <w:lang w:bidi="ar"/>
                    </w:rPr>
                    <w:t>2</w:t>
                  </w:r>
                </w:p>
              </w:tc>
              <w:tc>
                <w:tcPr>
                  <w:tcW w:w="467" w:type="pct"/>
                  <w:vAlign w:val="center"/>
                </w:tcPr>
                <w:p w14:paraId="44145CB6">
                  <w:pPr>
                    <w:adjustRightInd w:val="0"/>
                    <w:snapToGrid w:val="0"/>
                    <w:jc w:val="center"/>
                    <w:rPr>
                      <w:b/>
                      <w:color w:val="auto"/>
                      <w:szCs w:val="21"/>
                    </w:rPr>
                  </w:pPr>
                  <w:r>
                    <w:rPr>
                      <w:rFonts w:hint="eastAsia"/>
                      <w:b/>
                      <w:color w:val="auto"/>
                      <w:szCs w:val="21"/>
                    </w:rPr>
                    <w:t>总质量t</w:t>
                  </w:r>
                </w:p>
              </w:tc>
            </w:tr>
            <w:tr w14:paraId="233D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Align w:val="center"/>
                </w:tcPr>
                <w:p w14:paraId="0C5B5249">
                  <w:pPr>
                    <w:pStyle w:val="127"/>
                    <w:rPr>
                      <w:color w:val="auto"/>
                    </w:rPr>
                  </w:pPr>
                  <w:r>
                    <w:rPr>
                      <w:rFonts w:hint="eastAsia"/>
                      <w:color w:val="auto"/>
                    </w:rPr>
                    <w:t>自行车车架</w:t>
                  </w:r>
                </w:p>
              </w:tc>
              <w:tc>
                <w:tcPr>
                  <w:tcW w:w="374" w:type="pct"/>
                  <w:vAlign w:val="center"/>
                </w:tcPr>
                <w:p w14:paraId="26706634">
                  <w:pPr>
                    <w:pStyle w:val="127"/>
                    <w:rPr>
                      <w:color w:val="auto"/>
                    </w:rPr>
                  </w:pPr>
                  <w:r>
                    <w:rPr>
                      <w:rFonts w:hint="eastAsia"/>
                      <w:color w:val="auto"/>
                    </w:rPr>
                    <w:t>碳钢</w:t>
                  </w:r>
                </w:p>
              </w:tc>
              <w:tc>
                <w:tcPr>
                  <w:tcW w:w="501" w:type="pct"/>
                  <w:vAlign w:val="center"/>
                </w:tcPr>
                <w:p w14:paraId="410DAEC2">
                  <w:pPr>
                    <w:widowControl/>
                    <w:jc w:val="center"/>
                    <w:textAlignment w:val="center"/>
                    <w:rPr>
                      <w:bCs/>
                      <w:color w:val="auto"/>
                      <w:szCs w:val="21"/>
                    </w:rPr>
                  </w:pPr>
                  <w:r>
                    <w:rPr>
                      <w:color w:val="auto"/>
                      <w:kern w:val="0"/>
                      <w:szCs w:val="21"/>
                      <w:lang w:bidi="ar"/>
                    </w:rPr>
                    <w:t>0.2674</w:t>
                  </w:r>
                </w:p>
              </w:tc>
              <w:tc>
                <w:tcPr>
                  <w:tcW w:w="477" w:type="pct"/>
                  <w:vAlign w:val="center"/>
                </w:tcPr>
                <w:p w14:paraId="44F62876">
                  <w:pPr>
                    <w:widowControl/>
                    <w:jc w:val="center"/>
                    <w:textAlignment w:val="center"/>
                    <w:rPr>
                      <w:bCs/>
                      <w:color w:val="auto"/>
                      <w:szCs w:val="21"/>
                    </w:rPr>
                  </w:pPr>
                  <w:r>
                    <w:rPr>
                      <w:color w:val="auto"/>
                      <w:kern w:val="0"/>
                      <w:szCs w:val="21"/>
                      <w:lang w:bidi="ar"/>
                    </w:rPr>
                    <w:t>0.2409</w:t>
                  </w:r>
                </w:p>
              </w:tc>
              <w:tc>
                <w:tcPr>
                  <w:tcW w:w="350" w:type="pct"/>
                  <w:vAlign w:val="center"/>
                </w:tcPr>
                <w:p w14:paraId="327B047E">
                  <w:pPr>
                    <w:widowControl/>
                    <w:jc w:val="center"/>
                    <w:textAlignment w:val="center"/>
                    <w:rPr>
                      <w:color w:val="auto"/>
                      <w:kern w:val="0"/>
                      <w:szCs w:val="21"/>
                      <w:lang w:bidi="ar"/>
                    </w:rPr>
                  </w:pPr>
                  <w:r>
                    <w:rPr>
                      <w:rFonts w:hint="eastAsia"/>
                      <w:color w:val="auto"/>
                      <w:kern w:val="0"/>
                      <w:szCs w:val="21"/>
                      <w:lang w:bidi="ar"/>
                    </w:rPr>
                    <w:t>4.5</w:t>
                  </w:r>
                </w:p>
              </w:tc>
              <w:tc>
                <w:tcPr>
                  <w:tcW w:w="519" w:type="pct"/>
                  <w:vAlign w:val="center"/>
                </w:tcPr>
                <w:p w14:paraId="34683682">
                  <w:pPr>
                    <w:widowControl/>
                    <w:jc w:val="center"/>
                    <w:textAlignment w:val="center"/>
                    <w:rPr>
                      <w:bCs/>
                      <w:color w:val="auto"/>
                      <w:szCs w:val="21"/>
                    </w:rPr>
                  </w:pPr>
                  <w:r>
                    <w:rPr>
                      <w:color w:val="auto"/>
                      <w:kern w:val="0"/>
                      <w:szCs w:val="21"/>
                      <w:lang w:bidi="ar"/>
                    </w:rPr>
                    <w:t>90000</w:t>
                  </w:r>
                </w:p>
              </w:tc>
              <w:tc>
                <w:tcPr>
                  <w:tcW w:w="572" w:type="pct"/>
                </w:tcPr>
                <w:p w14:paraId="1CFFDFD0">
                  <w:pPr>
                    <w:widowControl/>
                    <w:jc w:val="center"/>
                    <w:textAlignment w:val="top"/>
                    <w:rPr>
                      <w:bCs/>
                      <w:color w:val="auto"/>
                      <w:szCs w:val="21"/>
                    </w:rPr>
                  </w:pPr>
                  <w:r>
                    <w:rPr>
                      <w:color w:val="auto"/>
                      <w:kern w:val="0"/>
                      <w:szCs w:val="21"/>
                      <w:lang w:bidi="ar"/>
                    </w:rPr>
                    <w:t>45747</w:t>
                  </w:r>
                </w:p>
              </w:tc>
              <w:tc>
                <w:tcPr>
                  <w:tcW w:w="562" w:type="pct"/>
                </w:tcPr>
                <w:p w14:paraId="1F39E616">
                  <w:pPr>
                    <w:widowControl/>
                    <w:jc w:val="center"/>
                    <w:textAlignment w:val="top"/>
                    <w:rPr>
                      <w:color w:val="auto"/>
                      <w:kern w:val="0"/>
                      <w:szCs w:val="21"/>
                      <w:lang w:bidi="ar"/>
                    </w:rPr>
                  </w:pPr>
                  <w:r>
                    <w:rPr>
                      <w:color w:val="auto"/>
                      <w:kern w:val="0"/>
                      <w:szCs w:val="21"/>
                      <w:lang w:bidi="ar"/>
                    </w:rPr>
                    <w:t>24066</w:t>
                  </w:r>
                </w:p>
              </w:tc>
              <w:tc>
                <w:tcPr>
                  <w:tcW w:w="466" w:type="pct"/>
                  <w:vAlign w:val="center"/>
                </w:tcPr>
                <w:p w14:paraId="0B3CA453">
                  <w:pPr>
                    <w:widowControl/>
                    <w:jc w:val="center"/>
                    <w:textAlignment w:val="top"/>
                    <w:rPr>
                      <w:color w:val="auto"/>
                      <w:kern w:val="0"/>
                      <w:szCs w:val="21"/>
                      <w:lang w:bidi="ar"/>
                    </w:rPr>
                  </w:pPr>
                  <w:r>
                    <w:rPr>
                      <w:color w:val="auto"/>
                      <w:kern w:val="0"/>
                      <w:szCs w:val="21"/>
                      <w:lang w:bidi="ar"/>
                    </w:rPr>
                    <w:t>0</w:t>
                  </w:r>
                </w:p>
              </w:tc>
              <w:tc>
                <w:tcPr>
                  <w:tcW w:w="860" w:type="dxa"/>
                </w:tcPr>
                <w:p w14:paraId="3078BED3">
                  <w:pPr>
                    <w:widowControl/>
                    <w:jc w:val="center"/>
                    <w:textAlignment w:val="top"/>
                    <w:rPr>
                      <w:color w:val="auto"/>
                      <w:kern w:val="0"/>
                      <w:szCs w:val="21"/>
                      <w:lang w:bidi="ar"/>
                    </w:rPr>
                  </w:pPr>
                  <w:r>
                    <w:rPr>
                      <w:color w:val="auto"/>
                      <w:kern w:val="0"/>
                      <w:szCs w:val="21"/>
                      <w:lang w:bidi="ar"/>
                    </w:rPr>
                    <w:t>405</w:t>
                  </w:r>
                </w:p>
              </w:tc>
            </w:tr>
            <w:tr w14:paraId="73DE1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Align w:val="center"/>
                </w:tcPr>
                <w:p w14:paraId="04B54CCB">
                  <w:pPr>
                    <w:pStyle w:val="127"/>
                    <w:rPr>
                      <w:color w:val="auto"/>
                    </w:rPr>
                  </w:pPr>
                  <w:r>
                    <w:rPr>
                      <w:rFonts w:hint="eastAsia"/>
                      <w:color w:val="auto"/>
                    </w:rPr>
                    <w:t>自行车车架</w:t>
                  </w:r>
                </w:p>
              </w:tc>
              <w:tc>
                <w:tcPr>
                  <w:tcW w:w="374" w:type="pct"/>
                  <w:vAlign w:val="center"/>
                </w:tcPr>
                <w:p w14:paraId="3A4FAD36">
                  <w:pPr>
                    <w:pStyle w:val="127"/>
                    <w:rPr>
                      <w:color w:val="auto"/>
                    </w:rPr>
                  </w:pPr>
                  <w:r>
                    <w:rPr>
                      <w:rFonts w:hint="eastAsia"/>
                      <w:color w:val="auto"/>
                    </w:rPr>
                    <w:t>铝制</w:t>
                  </w:r>
                </w:p>
              </w:tc>
              <w:tc>
                <w:tcPr>
                  <w:tcW w:w="501" w:type="pct"/>
                  <w:vAlign w:val="center"/>
                </w:tcPr>
                <w:p w14:paraId="1DB4C391">
                  <w:pPr>
                    <w:widowControl/>
                    <w:jc w:val="center"/>
                    <w:textAlignment w:val="center"/>
                    <w:rPr>
                      <w:color w:val="auto"/>
                      <w:szCs w:val="21"/>
                    </w:rPr>
                  </w:pPr>
                  <w:r>
                    <w:rPr>
                      <w:color w:val="auto"/>
                      <w:kern w:val="0"/>
                      <w:szCs w:val="21"/>
                      <w:lang w:bidi="ar"/>
                    </w:rPr>
                    <w:t xml:space="preserve">0.242 </w:t>
                  </w:r>
                </w:p>
              </w:tc>
              <w:tc>
                <w:tcPr>
                  <w:tcW w:w="477" w:type="pct"/>
                  <w:vAlign w:val="center"/>
                </w:tcPr>
                <w:p w14:paraId="3ABF4813">
                  <w:pPr>
                    <w:widowControl/>
                    <w:jc w:val="center"/>
                    <w:textAlignment w:val="center"/>
                    <w:rPr>
                      <w:color w:val="auto"/>
                      <w:szCs w:val="21"/>
                    </w:rPr>
                  </w:pPr>
                  <w:r>
                    <w:rPr>
                      <w:color w:val="auto"/>
                      <w:kern w:val="0"/>
                      <w:szCs w:val="21"/>
                      <w:lang w:bidi="ar"/>
                    </w:rPr>
                    <w:t>0.2173</w:t>
                  </w:r>
                </w:p>
              </w:tc>
              <w:tc>
                <w:tcPr>
                  <w:tcW w:w="350" w:type="pct"/>
                  <w:vAlign w:val="center"/>
                </w:tcPr>
                <w:p w14:paraId="573CD5CC">
                  <w:pPr>
                    <w:widowControl/>
                    <w:jc w:val="center"/>
                    <w:textAlignment w:val="center"/>
                    <w:rPr>
                      <w:color w:val="auto"/>
                      <w:kern w:val="0"/>
                      <w:szCs w:val="21"/>
                      <w:lang w:bidi="ar"/>
                    </w:rPr>
                  </w:pPr>
                  <w:r>
                    <w:rPr>
                      <w:rFonts w:hint="eastAsia"/>
                      <w:color w:val="auto"/>
                      <w:kern w:val="0"/>
                      <w:szCs w:val="21"/>
                      <w:lang w:bidi="ar"/>
                    </w:rPr>
                    <w:t>3</w:t>
                  </w:r>
                </w:p>
              </w:tc>
              <w:tc>
                <w:tcPr>
                  <w:tcW w:w="519" w:type="pct"/>
                  <w:vAlign w:val="center"/>
                </w:tcPr>
                <w:p w14:paraId="53E2C53B">
                  <w:pPr>
                    <w:widowControl/>
                    <w:jc w:val="center"/>
                    <w:textAlignment w:val="center"/>
                    <w:rPr>
                      <w:bCs/>
                      <w:color w:val="auto"/>
                      <w:szCs w:val="21"/>
                    </w:rPr>
                  </w:pPr>
                  <w:r>
                    <w:rPr>
                      <w:color w:val="auto"/>
                      <w:kern w:val="0"/>
                      <w:szCs w:val="21"/>
                      <w:lang w:bidi="ar"/>
                    </w:rPr>
                    <w:t>36000</w:t>
                  </w:r>
                </w:p>
              </w:tc>
              <w:tc>
                <w:tcPr>
                  <w:tcW w:w="572" w:type="pct"/>
                </w:tcPr>
                <w:p w14:paraId="3DB54545">
                  <w:pPr>
                    <w:widowControl/>
                    <w:jc w:val="center"/>
                    <w:textAlignment w:val="top"/>
                    <w:rPr>
                      <w:bCs/>
                      <w:color w:val="auto"/>
                      <w:szCs w:val="21"/>
                    </w:rPr>
                  </w:pPr>
                  <w:r>
                    <w:rPr>
                      <w:color w:val="auto"/>
                      <w:kern w:val="0"/>
                      <w:szCs w:val="21"/>
                      <w:lang w:bidi="ar"/>
                    </w:rPr>
                    <w:t>16534.8</w:t>
                  </w:r>
                </w:p>
              </w:tc>
              <w:tc>
                <w:tcPr>
                  <w:tcW w:w="562" w:type="pct"/>
                </w:tcPr>
                <w:p w14:paraId="6E2F43ED">
                  <w:pPr>
                    <w:widowControl/>
                    <w:jc w:val="center"/>
                    <w:textAlignment w:val="top"/>
                    <w:rPr>
                      <w:color w:val="auto"/>
                      <w:kern w:val="0"/>
                      <w:szCs w:val="21"/>
                      <w:lang w:bidi="ar"/>
                    </w:rPr>
                  </w:pPr>
                  <w:r>
                    <w:rPr>
                      <w:color w:val="auto"/>
                      <w:kern w:val="0"/>
                      <w:szCs w:val="21"/>
                      <w:lang w:bidi="ar"/>
                    </w:rPr>
                    <w:t>0</w:t>
                  </w:r>
                </w:p>
              </w:tc>
              <w:tc>
                <w:tcPr>
                  <w:tcW w:w="466" w:type="pct"/>
                  <w:vAlign w:val="center"/>
                </w:tcPr>
                <w:p w14:paraId="264DCF77">
                  <w:pPr>
                    <w:widowControl/>
                    <w:jc w:val="center"/>
                    <w:textAlignment w:val="top"/>
                    <w:rPr>
                      <w:color w:val="auto"/>
                      <w:kern w:val="0"/>
                      <w:szCs w:val="21"/>
                      <w:lang w:bidi="ar"/>
                    </w:rPr>
                  </w:pPr>
                  <w:r>
                    <w:rPr>
                      <w:color w:val="auto"/>
                      <w:kern w:val="0"/>
                      <w:szCs w:val="21"/>
                      <w:lang w:bidi="ar"/>
                    </w:rPr>
                    <w:t>8712</w:t>
                  </w:r>
                </w:p>
              </w:tc>
              <w:tc>
                <w:tcPr>
                  <w:tcW w:w="860" w:type="dxa"/>
                </w:tcPr>
                <w:p w14:paraId="121CBF28">
                  <w:pPr>
                    <w:widowControl/>
                    <w:jc w:val="center"/>
                    <w:textAlignment w:val="top"/>
                    <w:rPr>
                      <w:color w:val="auto"/>
                      <w:kern w:val="0"/>
                      <w:szCs w:val="21"/>
                      <w:lang w:bidi="ar"/>
                    </w:rPr>
                  </w:pPr>
                  <w:r>
                    <w:rPr>
                      <w:color w:val="auto"/>
                      <w:kern w:val="0"/>
                      <w:szCs w:val="21"/>
                      <w:lang w:bidi="ar"/>
                    </w:rPr>
                    <w:t>108</w:t>
                  </w:r>
                </w:p>
              </w:tc>
            </w:tr>
            <w:tr w14:paraId="73C18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Align w:val="center"/>
                </w:tcPr>
                <w:p w14:paraId="2AAA95F6">
                  <w:pPr>
                    <w:pStyle w:val="127"/>
                    <w:rPr>
                      <w:color w:val="auto"/>
                    </w:rPr>
                  </w:pPr>
                  <w:r>
                    <w:rPr>
                      <w:rFonts w:hint="eastAsia"/>
                      <w:color w:val="auto"/>
                    </w:rPr>
                    <w:t>电动助力车车架</w:t>
                  </w:r>
                </w:p>
              </w:tc>
              <w:tc>
                <w:tcPr>
                  <w:tcW w:w="374" w:type="pct"/>
                  <w:vAlign w:val="center"/>
                </w:tcPr>
                <w:p w14:paraId="6D47B789">
                  <w:pPr>
                    <w:pStyle w:val="127"/>
                    <w:rPr>
                      <w:color w:val="auto"/>
                    </w:rPr>
                  </w:pPr>
                  <w:r>
                    <w:rPr>
                      <w:rFonts w:hint="eastAsia"/>
                      <w:color w:val="auto"/>
                    </w:rPr>
                    <w:t>碳钢</w:t>
                  </w:r>
                </w:p>
              </w:tc>
              <w:tc>
                <w:tcPr>
                  <w:tcW w:w="501" w:type="pct"/>
                  <w:vAlign w:val="center"/>
                </w:tcPr>
                <w:p w14:paraId="7358F34F">
                  <w:pPr>
                    <w:widowControl/>
                    <w:jc w:val="center"/>
                    <w:textAlignment w:val="center"/>
                    <w:rPr>
                      <w:color w:val="auto"/>
                      <w:szCs w:val="21"/>
                    </w:rPr>
                  </w:pPr>
                  <w:r>
                    <w:rPr>
                      <w:color w:val="auto"/>
                      <w:kern w:val="0"/>
                      <w:szCs w:val="21"/>
                      <w:lang w:bidi="ar"/>
                    </w:rPr>
                    <w:t>0.3703</w:t>
                  </w:r>
                </w:p>
              </w:tc>
              <w:tc>
                <w:tcPr>
                  <w:tcW w:w="477" w:type="pct"/>
                  <w:vAlign w:val="center"/>
                </w:tcPr>
                <w:p w14:paraId="367B174F">
                  <w:pPr>
                    <w:widowControl/>
                    <w:jc w:val="center"/>
                    <w:textAlignment w:val="center"/>
                    <w:rPr>
                      <w:color w:val="auto"/>
                      <w:szCs w:val="21"/>
                    </w:rPr>
                  </w:pPr>
                  <w:r>
                    <w:rPr>
                      <w:color w:val="auto"/>
                      <w:kern w:val="0"/>
                      <w:szCs w:val="21"/>
                      <w:lang w:bidi="ar"/>
                    </w:rPr>
                    <w:t>0.2512</w:t>
                  </w:r>
                </w:p>
              </w:tc>
              <w:tc>
                <w:tcPr>
                  <w:tcW w:w="350" w:type="pct"/>
                  <w:vAlign w:val="center"/>
                </w:tcPr>
                <w:p w14:paraId="2B3A040C">
                  <w:pPr>
                    <w:widowControl/>
                    <w:jc w:val="center"/>
                    <w:textAlignment w:val="center"/>
                    <w:rPr>
                      <w:color w:val="auto"/>
                      <w:kern w:val="0"/>
                      <w:szCs w:val="21"/>
                      <w:lang w:bidi="ar"/>
                    </w:rPr>
                  </w:pPr>
                  <w:r>
                    <w:rPr>
                      <w:rFonts w:hint="eastAsia"/>
                      <w:color w:val="auto"/>
                      <w:kern w:val="0"/>
                      <w:szCs w:val="21"/>
                      <w:lang w:bidi="ar"/>
                    </w:rPr>
                    <w:t>6</w:t>
                  </w:r>
                </w:p>
              </w:tc>
              <w:tc>
                <w:tcPr>
                  <w:tcW w:w="519" w:type="pct"/>
                  <w:vAlign w:val="center"/>
                </w:tcPr>
                <w:p w14:paraId="6BBA0BBC">
                  <w:pPr>
                    <w:widowControl/>
                    <w:jc w:val="center"/>
                    <w:textAlignment w:val="center"/>
                    <w:rPr>
                      <w:bCs/>
                      <w:color w:val="auto"/>
                      <w:szCs w:val="21"/>
                    </w:rPr>
                  </w:pPr>
                  <w:r>
                    <w:rPr>
                      <w:color w:val="auto"/>
                      <w:kern w:val="0"/>
                      <w:szCs w:val="21"/>
                      <w:lang w:bidi="ar"/>
                    </w:rPr>
                    <w:t>84000</w:t>
                  </w:r>
                </w:p>
              </w:tc>
              <w:tc>
                <w:tcPr>
                  <w:tcW w:w="572" w:type="pct"/>
                  <w:vAlign w:val="center"/>
                </w:tcPr>
                <w:p w14:paraId="5B612128">
                  <w:pPr>
                    <w:widowControl/>
                    <w:jc w:val="center"/>
                    <w:textAlignment w:val="top"/>
                    <w:rPr>
                      <w:bCs/>
                      <w:color w:val="auto"/>
                      <w:szCs w:val="21"/>
                    </w:rPr>
                  </w:pPr>
                  <w:r>
                    <w:rPr>
                      <w:color w:val="auto"/>
                      <w:kern w:val="0"/>
                      <w:szCs w:val="21"/>
                      <w:lang w:bidi="ar"/>
                    </w:rPr>
                    <w:t>52206</w:t>
                  </w:r>
                </w:p>
              </w:tc>
              <w:tc>
                <w:tcPr>
                  <w:tcW w:w="562" w:type="pct"/>
                  <w:vAlign w:val="center"/>
                </w:tcPr>
                <w:p w14:paraId="3841F118">
                  <w:pPr>
                    <w:widowControl/>
                    <w:jc w:val="center"/>
                    <w:textAlignment w:val="top"/>
                    <w:rPr>
                      <w:color w:val="auto"/>
                      <w:kern w:val="0"/>
                      <w:szCs w:val="21"/>
                      <w:lang w:bidi="ar"/>
                    </w:rPr>
                  </w:pPr>
                  <w:r>
                    <w:rPr>
                      <w:color w:val="auto"/>
                      <w:kern w:val="0"/>
                      <w:szCs w:val="21"/>
                      <w:lang w:bidi="ar"/>
                    </w:rPr>
                    <w:t>31105.2</w:t>
                  </w:r>
                </w:p>
              </w:tc>
              <w:tc>
                <w:tcPr>
                  <w:tcW w:w="466" w:type="pct"/>
                  <w:vAlign w:val="center"/>
                </w:tcPr>
                <w:p w14:paraId="54CAFF55">
                  <w:pPr>
                    <w:widowControl/>
                    <w:jc w:val="center"/>
                    <w:textAlignment w:val="top"/>
                    <w:rPr>
                      <w:color w:val="auto"/>
                      <w:kern w:val="0"/>
                      <w:szCs w:val="21"/>
                      <w:lang w:bidi="ar"/>
                    </w:rPr>
                  </w:pPr>
                  <w:r>
                    <w:rPr>
                      <w:color w:val="auto"/>
                      <w:kern w:val="0"/>
                      <w:szCs w:val="21"/>
                      <w:lang w:bidi="ar"/>
                    </w:rPr>
                    <w:t>0</w:t>
                  </w:r>
                </w:p>
              </w:tc>
              <w:tc>
                <w:tcPr>
                  <w:tcW w:w="860" w:type="dxa"/>
                  <w:vAlign w:val="center"/>
                </w:tcPr>
                <w:p w14:paraId="0AB24303">
                  <w:pPr>
                    <w:widowControl/>
                    <w:jc w:val="center"/>
                    <w:textAlignment w:val="top"/>
                    <w:rPr>
                      <w:color w:val="auto"/>
                      <w:kern w:val="0"/>
                      <w:szCs w:val="21"/>
                      <w:lang w:bidi="ar"/>
                    </w:rPr>
                  </w:pPr>
                  <w:r>
                    <w:rPr>
                      <w:color w:val="auto"/>
                      <w:kern w:val="0"/>
                      <w:szCs w:val="21"/>
                      <w:lang w:bidi="ar"/>
                    </w:rPr>
                    <w:t>504</w:t>
                  </w:r>
                </w:p>
              </w:tc>
            </w:tr>
            <w:tr w14:paraId="537C2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Align w:val="center"/>
                </w:tcPr>
                <w:p w14:paraId="62C400C8">
                  <w:pPr>
                    <w:pStyle w:val="127"/>
                    <w:rPr>
                      <w:color w:val="auto"/>
                    </w:rPr>
                  </w:pPr>
                  <w:r>
                    <w:rPr>
                      <w:rFonts w:hint="eastAsia"/>
                      <w:color w:val="auto"/>
                    </w:rPr>
                    <w:t>电动助力车车架</w:t>
                  </w:r>
                </w:p>
              </w:tc>
              <w:tc>
                <w:tcPr>
                  <w:tcW w:w="374" w:type="pct"/>
                  <w:vAlign w:val="center"/>
                </w:tcPr>
                <w:p w14:paraId="145EF56A">
                  <w:pPr>
                    <w:pStyle w:val="127"/>
                    <w:rPr>
                      <w:color w:val="auto"/>
                    </w:rPr>
                  </w:pPr>
                  <w:r>
                    <w:rPr>
                      <w:rFonts w:hint="eastAsia"/>
                      <w:color w:val="auto"/>
                    </w:rPr>
                    <w:t>铝制</w:t>
                  </w:r>
                </w:p>
              </w:tc>
              <w:tc>
                <w:tcPr>
                  <w:tcW w:w="501" w:type="pct"/>
                  <w:vAlign w:val="center"/>
                </w:tcPr>
                <w:p w14:paraId="19F9A78C">
                  <w:pPr>
                    <w:widowControl/>
                    <w:jc w:val="center"/>
                    <w:textAlignment w:val="center"/>
                    <w:rPr>
                      <w:color w:val="auto"/>
                      <w:szCs w:val="21"/>
                    </w:rPr>
                  </w:pPr>
                  <w:r>
                    <w:rPr>
                      <w:color w:val="auto"/>
                      <w:kern w:val="0"/>
                      <w:szCs w:val="21"/>
                      <w:lang w:bidi="ar"/>
                    </w:rPr>
                    <w:t>0.373</w:t>
                  </w:r>
                </w:p>
              </w:tc>
              <w:tc>
                <w:tcPr>
                  <w:tcW w:w="477" w:type="pct"/>
                  <w:vAlign w:val="center"/>
                </w:tcPr>
                <w:p w14:paraId="199D56A4">
                  <w:pPr>
                    <w:widowControl/>
                    <w:jc w:val="center"/>
                    <w:textAlignment w:val="center"/>
                    <w:rPr>
                      <w:color w:val="auto"/>
                      <w:szCs w:val="21"/>
                    </w:rPr>
                  </w:pPr>
                  <w:r>
                    <w:rPr>
                      <w:color w:val="auto"/>
                      <w:kern w:val="0"/>
                      <w:szCs w:val="21"/>
                      <w:lang w:bidi="ar"/>
                    </w:rPr>
                    <w:t>0.2279</w:t>
                  </w:r>
                </w:p>
              </w:tc>
              <w:tc>
                <w:tcPr>
                  <w:tcW w:w="350" w:type="pct"/>
                  <w:vAlign w:val="center"/>
                </w:tcPr>
                <w:p w14:paraId="44118E92">
                  <w:pPr>
                    <w:widowControl/>
                    <w:jc w:val="center"/>
                    <w:textAlignment w:val="center"/>
                    <w:rPr>
                      <w:color w:val="auto"/>
                      <w:kern w:val="0"/>
                      <w:szCs w:val="21"/>
                      <w:lang w:bidi="ar"/>
                    </w:rPr>
                  </w:pPr>
                  <w:r>
                    <w:rPr>
                      <w:rFonts w:hint="eastAsia"/>
                      <w:color w:val="auto"/>
                      <w:kern w:val="0"/>
                      <w:szCs w:val="21"/>
                      <w:lang w:bidi="ar"/>
                    </w:rPr>
                    <w:t>4</w:t>
                  </w:r>
                </w:p>
              </w:tc>
              <w:tc>
                <w:tcPr>
                  <w:tcW w:w="519" w:type="pct"/>
                  <w:vAlign w:val="center"/>
                </w:tcPr>
                <w:p w14:paraId="70974B55">
                  <w:pPr>
                    <w:widowControl/>
                    <w:jc w:val="center"/>
                    <w:textAlignment w:val="center"/>
                    <w:rPr>
                      <w:bCs/>
                      <w:color w:val="auto"/>
                      <w:szCs w:val="21"/>
                    </w:rPr>
                  </w:pPr>
                  <w:r>
                    <w:rPr>
                      <w:color w:val="auto"/>
                      <w:kern w:val="0"/>
                      <w:szCs w:val="21"/>
                      <w:lang w:bidi="ar"/>
                    </w:rPr>
                    <w:t>36000</w:t>
                  </w:r>
                </w:p>
              </w:tc>
              <w:tc>
                <w:tcPr>
                  <w:tcW w:w="572" w:type="pct"/>
                  <w:vAlign w:val="center"/>
                </w:tcPr>
                <w:p w14:paraId="7731E2FA">
                  <w:pPr>
                    <w:widowControl/>
                    <w:jc w:val="center"/>
                    <w:textAlignment w:val="top"/>
                    <w:rPr>
                      <w:bCs/>
                      <w:color w:val="auto"/>
                      <w:szCs w:val="21"/>
                    </w:rPr>
                  </w:pPr>
                  <w:r>
                    <w:rPr>
                      <w:color w:val="auto"/>
                      <w:kern w:val="0"/>
                      <w:szCs w:val="21"/>
                      <w:lang w:bidi="ar"/>
                    </w:rPr>
                    <w:t>21632.4</w:t>
                  </w:r>
                </w:p>
              </w:tc>
              <w:tc>
                <w:tcPr>
                  <w:tcW w:w="562" w:type="pct"/>
                  <w:vAlign w:val="center"/>
                </w:tcPr>
                <w:p w14:paraId="4FDD8EA0">
                  <w:pPr>
                    <w:widowControl/>
                    <w:jc w:val="center"/>
                    <w:textAlignment w:val="top"/>
                    <w:rPr>
                      <w:color w:val="auto"/>
                      <w:kern w:val="0"/>
                      <w:szCs w:val="21"/>
                      <w:lang w:bidi="ar"/>
                    </w:rPr>
                  </w:pPr>
                  <w:r>
                    <w:rPr>
                      <w:color w:val="auto"/>
                      <w:kern w:val="0"/>
                      <w:szCs w:val="21"/>
                      <w:lang w:bidi="ar"/>
                    </w:rPr>
                    <w:t>0</w:t>
                  </w:r>
                </w:p>
              </w:tc>
              <w:tc>
                <w:tcPr>
                  <w:tcW w:w="466" w:type="pct"/>
                  <w:vAlign w:val="center"/>
                </w:tcPr>
                <w:p w14:paraId="01B56912">
                  <w:pPr>
                    <w:widowControl/>
                    <w:jc w:val="center"/>
                    <w:textAlignment w:val="top"/>
                    <w:rPr>
                      <w:color w:val="auto"/>
                      <w:kern w:val="0"/>
                      <w:szCs w:val="21"/>
                      <w:lang w:bidi="ar"/>
                    </w:rPr>
                  </w:pPr>
                  <w:r>
                    <w:rPr>
                      <w:color w:val="auto"/>
                      <w:kern w:val="0"/>
                      <w:szCs w:val="21"/>
                      <w:lang w:bidi="ar"/>
                    </w:rPr>
                    <w:t>13428</w:t>
                  </w:r>
                </w:p>
              </w:tc>
              <w:tc>
                <w:tcPr>
                  <w:tcW w:w="860" w:type="dxa"/>
                  <w:vAlign w:val="center"/>
                </w:tcPr>
                <w:p w14:paraId="278C7BF5">
                  <w:pPr>
                    <w:widowControl/>
                    <w:jc w:val="center"/>
                    <w:textAlignment w:val="top"/>
                    <w:rPr>
                      <w:color w:val="auto"/>
                      <w:kern w:val="0"/>
                      <w:szCs w:val="21"/>
                      <w:lang w:bidi="ar"/>
                    </w:rPr>
                  </w:pPr>
                  <w:r>
                    <w:rPr>
                      <w:color w:val="auto"/>
                      <w:kern w:val="0"/>
                      <w:szCs w:val="21"/>
                      <w:lang w:bidi="ar"/>
                    </w:rPr>
                    <w:t>144</w:t>
                  </w:r>
                </w:p>
              </w:tc>
            </w:tr>
            <w:tr w14:paraId="7035C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Align w:val="center"/>
                </w:tcPr>
                <w:p w14:paraId="5C8299FE">
                  <w:pPr>
                    <w:pStyle w:val="127"/>
                    <w:rPr>
                      <w:color w:val="auto"/>
                    </w:rPr>
                  </w:pPr>
                  <w:r>
                    <w:rPr>
                      <w:rFonts w:hint="eastAsia"/>
                      <w:color w:val="auto"/>
                    </w:rPr>
                    <w:t>家私配件</w:t>
                  </w:r>
                </w:p>
              </w:tc>
              <w:tc>
                <w:tcPr>
                  <w:tcW w:w="374" w:type="pct"/>
                  <w:vAlign w:val="center"/>
                </w:tcPr>
                <w:p w14:paraId="195A9239">
                  <w:pPr>
                    <w:pStyle w:val="127"/>
                    <w:rPr>
                      <w:color w:val="auto"/>
                    </w:rPr>
                  </w:pPr>
                  <w:r>
                    <w:rPr>
                      <w:rFonts w:hint="eastAsia"/>
                      <w:color w:val="auto"/>
                    </w:rPr>
                    <w:t>碳钢</w:t>
                  </w:r>
                </w:p>
              </w:tc>
              <w:tc>
                <w:tcPr>
                  <w:tcW w:w="501" w:type="pct"/>
                  <w:vAlign w:val="center"/>
                </w:tcPr>
                <w:p w14:paraId="42A84C3B">
                  <w:pPr>
                    <w:widowControl/>
                    <w:jc w:val="center"/>
                    <w:textAlignment w:val="center"/>
                    <w:rPr>
                      <w:color w:val="auto"/>
                      <w:szCs w:val="21"/>
                    </w:rPr>
                  </w:pPr>
                  <w:r>
                    <w:rPr>
                      <w:rFonts w:hint="eastAsia"/>
                      <w:color w:val="auto"/>
                      <w:kern w:val="0"/>
                      <w:szCs w:val="21"/>
                      <w:lang w:bidi="ar"/>
                    </w:rPr>
                    <w:t>0.556</w:t>
                  </w:r>
                </w:p>
              </w:tc>
              <w:tc>
                <w:tcPr>
                  <w:tcW w:w="477" w:type="pct"/>
                  <w:vAlign w:val="center"/>
                </w:tcPr>
                <w:p w14:paraId="4D813DC3">
                  <w:pPr>
                    <w:widowControl/>
                    <w:jc w:val="center"/>
                    <w:textAlignment w:val="center"/>
                    <w:rPr>
                      <w:color w:val="auto"/>
                      <w:szCs w:val="21"/>
                    </w:rPr>
                  </w:pPr>
                  <w:r>
                    <w:rPr>
                      <w:rFonts w:hint="eastAsia"/>
                      <w:color w:val="auto"/>
                      <w:kern w:val="0"/>
                      <w:szCs w:val="21"/>
                      <w:lang w:bidi="ar"/>
                    </w:rPr>
                    <w:t>0.5232</w:t>
                  </w:r>
                </w:p>
              </w:tc>
              <w:tc>
                <w:tcPr>
                  <w:tcW w:w="350" w:type="pct"/>
                  <w:vAlign w:val="center"/>
                </w:tcPr>
                <w:p w14:paraId="722B42DF">
                  <w:pPr>
                    <w:widowControl/>
                    <w:jc w:val="center"/>
                    <w:textAlignment w:val="center"/>
                    <w:rPr>
                      <w:color w:val="auto"/>
                      <w:kern w:val="0"/>
                      <w:szCs w:val="21"/>
                      <w:lang w:bidi="ar"/>
                    </w:rPr>
                  </w:pPr>
                  <w:r>
                    <w:rPr>
                      <w:rFonts w:hint="eastAsia"/>
                      <w:color w:val="auto"/>
                      <w:kern w:val="0"/>
                      <w:szCs w:val="21"/>
                      <w:lang w:bidi="ar"/>
                    </w:rPr>
                    <w:t>7</w:t>
                  </w:r>
                </w:p>
              </w:tc>
              <w:tc>
                <w:tcPr>
                  <w:tcW w:w="519" w:type="pct"/>
                  <w:vAlign w:val="center"/>
                </w:tcPr>
                <w:p w14:paraId="00B14779">
                  <w:pPr>
                    <w:widowControl/>
                    <w:jc w:val="center"/>
                    <w:textAlignment w:val="center"/>
                    <w:rPr>
                      <w:bCs/>
                      <w:color w:val="auto"/>
                      <w:szCs w:val="21"/>
                    </w:rPr>
                  </w:pPr>
                  <w:r>
                    <w:rPr>
                      <w:color w:val="auto"/>
                      <w:kern w:val="0"/>
                      <w:szCs w:val="21"/>
                      <w:lang w:bidi="ar"/>
                    </w:rPr>
                    <w:t>84000</w:t>
                  </w:r>
                </w:p>
              </w:tc>
              <w:tc>
                <w:tcPr>
                  <w:tcW w:w="572" w:type="pct"/>
                  <w:vAlign w:val="center"/>
                </w:tcPr>
                <w:p w14:paraId="2C0F9425">
                  <w:pPr>
                    <w:widowControl/>
                    <w:jc w:val="center"/>
                    <w:textAlignment w:val="top"/>
                    <w:rPr>
                      <w:bCs/>
                      <w:color w:val="auto"/>
                      <w:szCs w:val="21"/>
                    </w:rPr>
                  </w:pPr>
                  <w:r>
                    <w:rPr>
                      <w:color w:val="auto"/>
                      <w:kern w:val="0"/>
                      <w:szCs w:val="21"/>
                      <w:lang w:bidi="ar"/>
                    </w:rPr>
                    <w:t>90652.8</w:t>
                  </w:r>
                </w:p>
              </w:tc>
              <w:tc>
                <w:tcPr>
                  <w:tcW w:w="562" w:type="pct"/>
                  <w:vAlign w:val="center"/>
                </w:tcPr>
                <w:p w14:paraId="6CB32934">
                  <w:pPr>
                    <w:widowControl/>
                    <w:jc w:val="center"/>
                    <w:textAlignment w:val="top"/>
                    <w:rPr>
                      <w:color w:val="auto"/>
                      <w:kern w:val="0"/>
                      <w:szCs w:val="21"/>
                      <w:lang w:bidi="ar"/>
                    </w:rPr>
                  </w:pPr>
                  <w:r>
                    <w:rPr>
                      <w:color w:val="auto"/>
                      <w:kern w:val="0"/>
                      <w:szCs w:val="21"/>
                      <w:lang w:bidi="ar"/>
                    </w:rPr>
                    <w:t>46704</w:t>
                  </w:r>
                </w:p>
              </w:tc>
              <w:tc>
                <w:tcPr>
                  <w:tcW w:w="466" w:type="pct"/>
                  <w:vAlign w:val="center"/>
                </w:tcPr>
                <w:p w14:paraId="3040AC76">
                  <w:pPr>
                    <w:widowControl/>
                    <w:jc w:val="center"/>
                    <w:textAlignment w:val="top"/>
                    <w:rPr>
                      <w:color w:val="auto"/>
                      <w:kern w:val="0"/>
                      <w:szCs w:val="21"/>
                      <w:lang w:bidi="ar"/>
                    </w:rPr>
                  </w:pPr>
                  <w:r>
                    <w:rPr>
                      <w:color w:val="auto"/>
                      <w:kern w:val="0"/>
                      <w:szCs w:val="21"/>
                      <w:lang w:bidi="ar"/>
                    </w:rPr>
                    <w:t>0</w:t>
                  </w:r>
                </w:p>
              </w:tc>
              <w:tc>
                <w:tcPr>
                  <w:tcW w:w="860" w:type="dxa"/>
                </w:tcPr>
                <w:p w14:paraId="3C24F0C7">
                  <w:pPr>
                    <w:widowControl/>
                    <w:jc w:val="center"/>
                    <w:textAlignment w:val="top"/>
                    <w:rPr>
                      <w:color w:val="auto"/>
                      <w:kern w:val="0"/>
                      <w:szCs w:val="21"/>
                      <w:lang w:bidi="ar"/>
                    </w:rPr>
                  </w:pPr>
                  <w:r>
                    <w:rPr>
                      <w:color w:val="auto"/>
                      <w:kern w:val="0"/>
                      <w:szCs w:val="21"/>
                      <w:lang w:bidi="ar"/>
                    </w:rPr>
                    <w:t>588</w:t>
                  </w:r>
                </w:p>
              </w:tc>
            </w:tr>
            <w:tr w14:paraId="53DE5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Align w:val="center"/>
                </w:tcPr>
                <w:p w14:paraId="5A3FD912">
                  <w:pPr>
                    <w:pStyle w:val="127"/>
                    <w:rPr>
                      <w:color w:val="auto"/>
                    </w:rPr>
                  </w:pPr>
                  <w:r>
                    <w:rPr>
                      <w:rFonts w:hint="eastAsia"/>
                      <w:color w:val="auto"/>
                    </w:rPr>
                    <w:t>家私配件</w:t>
                  </w:r>
                </w:p>
              </w:tc>
              <w:tc>
                <w:tcPr>
                  <w:tcW w:w="374" w:type="pct"/>
                  <w:vAlign w:val="center"/>
                </w:tcPr>
                <w:p w14:paraId="5E776546">
                  <w:pPr>
                    <w:pStyle w:val="127"/>
                    <w:rPr>
                      <w:color w:val="auto"/>
                    </w:rPr>
                  </w:pPr>
                  <w:r>
                    <w:rPr>
                      <w:rFonts w:hint="eastAsia"/>
                      <w:color w:val="auto"/>
                    </w:rPr>
                    <w:t>铝制</w:t>
                  </w:r>
                </w:p>
              </w:tc>
              <w:tc>
                <w:tcPr>
                  <w:tcW w:w="501" w:type="pct"/>
                  <w:vAlign w:val="center"/>
                </w:tcPr>
                <w:p w14:paraId="25751130">
                  <w:pPr>
                    <w:widowControl/>
                    <w:jc w:val="center"/>
                    <w:textAlignment w:val="center"/>
                    <w:rPr>
                      <w:bCs/>
                      <w:color w:val="auto"/>
                      <w:szCs w:val="21"/>
                    </w:rPr>
                  </w:pPr>
                  <w:r>
                    <w:rPr>
                      <w:color w:val="auto"/>
                      <w:kern w:val="0"/>
                      <w:szCs w:val="21"/>
                      <w:lang w:bidi="ar"/>
                    </w:rPr>
                    <w:t>1.2096</w:t>
                  </w:r>
                </w:p>
              </w:tc>
              <w:tc>
                <w:tcPr>
                  <w:tcW w:w="477" w:type="pct"/>
                  <w:vAlign w:val="center"/>
                </w:tcPr>
                <w:p w14:paraId="1721215A">
                  <w:pPr>
                    <w:widowControl/>
                    <w:jc w:val="center"/>
                    <w:textAlignment w:val="center"/>
                    <w:rPr>
                      <w:bCs/>
                      <w:color w:val="auto"/>
                      <w:szCs w:val="21"/>
                    </w:rPr>
                  </w:pPr>
                  <w:r>
                    <w:rPr>
                      <w:color w:val="auto"/>
                      <w:kern w:val="0"/>
                      <w:szCs w:val="21"/>
                      <w:lang w:bidi="ar"/>
                    </w:rPr>
                    <w:t>1.137</w:t>
                  </w:r>
                </w:p>
              </w:tc>
              <w:tc>
                <w:tcPr>
                  <w:tcW w:w="350" w:type="pct"/>
                  <w:vAlign w:val="center"/>
                </w:tcPr>
                <w:p w14:paraId="6D093509">
                  <w:pPr>
                    <w:widowControl/>
                    <w:jc w:val="center"/>
                    <w:textAlignment w:val="center"/>
                    <w:rPr>
                      <w:color w:val="auto"/>
                      <w:kern w:val="0"/>
                      <w:szCs w:val="21"/>
                      <w:lang w:bidi="ar"/>
                    </w:rPr>
                  </w:pPr>
                  <w:r>
                    <w:rPr>
                      <w:rFonts w:hint="eastAsia"/>
                      <w:color w:val="auto"/>
                      <w:kern w:val="0"/>
                      <w:szCs w:val="21"/>
                      <w:lang w:bidi="ar"/>
                    </w:rPr>
                    <w:t>6.5</w:t>
                  </w:r>
                </w:p>
              </w:tc>
              <w:tc>
                <w:tcPr>
                  <w:tcW w:w="519" w:type="pct"/>
                  <w:vAlign w:val="center"/>
                </w:tcPr>
                <w:p w14:paraId="15449514">
                  <w:pPr>
                    <w:widowControl/>
                    <w:jc w:val="center"/>
                    <w:textAlignment w:val="center"/>
                    <w:rPr>
                      <w:bCs/>
                      <w:color w:val="auto"/>
                      <w:szCs w:val="21"/>
                    </w:rPr>
                  </w:pPr>
                  <w:r>
                    <w:rPr>
                      <w:color w:val="auto"/>
                      <w:kern w:val="0"/>
                      <w:szCs w:val="21"/>
                      <w:lang w:bidi="ar"/>
                    </w:rPr>
                    <w:t>30000</w:t>
                  </w:r>
                </w:p>
              </w:tc>
              <w:tc>
                <w:tcPr>
                  <w:tcW w:w="572" w:type="pct"/>
                  <w:vAlign w:val="center"/>
                </w:tcPr>
                <w:p w14:paraId="0317EF05">
                  <w:pPr>
                    <w:widowControl/>
                    <w:jc w:val="center"/>
                    <w:textAlignment w:val="top"/>
                    <w:rPr>
                      <w:bCs/>
                      <w:color w:val="auto"/>
                      <w:szCs w:val="21"/>
                    </w:rPr>
                  </w:pPr>
                  <w:r>
                    <w:rPr>
                      <w:color w:val="auto"/>
                      <w:kern w:val="0"/>
                      <w:szCs w:val="21"/>
                      <w:lang w:bidi="ar"/>
                    </w:rPr>
                    <w:t>70398</w:t>
                  </w:r>
                </w:p>
              </w:tc>
              <w:tc>
                <w:tcPr>
                  <w:tcW w:w="562" w:type="pct"/>
                  <w:vAlign w:val="center"/>
                </w:tcPr>
                <w:p w14:paraId="4839429F">
                  <w:pPr>
                    <w:widowControl/>
                    <w:jc w:val="center"/>
                    <w:textAlignment w:val="top"/>
                    <w:rPr>
                      <w:color w:val="auto"/>
                      <w:kern w:val="0"/>
                      <w:szCs w:val="21"/>
                      <w:lang w:bidi="ar"/>
                    </w:rPr>
                  </w:pPr>
                  <w:r>
                    <w:rPr>
                      <w:color w:val="auto"/>
                      <w:kern w:val="0"/>
                      <w:szCs w:val="21"/>
                      <w:lang w:bidi="ar"/>
                    </w:rPr>
                    <w:t>0</w:t>
                  </w:r>
                </w:p>
              </w:tc>
              <w:tc>
                <w:tcPr>
                  <w:tcW w:w="466" w:type="pct"/>
                  <w:vAlign w:val="center"/>
                </w:tcPr>
                <w:p w14:paraId="57BDA342">
                  <w:pPr>
                    <w:widowControl/>
                    <w:jc w:val="center"/>
                    <w:textAlignment w:val="top"/>
                    <w:rPr>
                      <w:color w:val="auto"/>
                      <w:kern w:val="0"/>
                      <w:szCs w:val="21"/>
                      <w:lang w:bidi="ar"/>
                    </w:rPr>
                  </w:pPr>
                  <w:r>
                    <w:rPr>
                      <w:color w:val="auto"/>
                      <w:kern w:val="0"/>
                      <w:szCs w:val="21"/>
                      <w:lang w:bidi="ar"/>
                    </w:rPr>
                    <w:t>36288</w:t>
                  </w:r>
                </w:p>
              </w:tc>
              <w:tc>
                <w:tcPr>
                  <w:tcW w:w="860" w:type="dxa"/>
                </w:tcPr>
                <w:p w14:paraId="212CEF20">
                  <w:pPr>
                    <w:widowControl/>
                    <w:jc w:val="center"/>
                    <w:textAlignment w:val="top"/>
                    <w:rPr>
                      <w:color w:val="auto"/>
                      <w:kern w:val="0"/>
                      <w:szCs w:val="21"/>
                      <w:lang w:bidi="ar"/>
                    </w:rPr>
                  </w:pPr>
                  <w:r>
                    <w:rPr>
                      <w:color w:val="auto"/>
                      <w:kern w:val="0"/>
                      <w:szCs w:val="21"/>
                      <w:lang w:bidi="ar"/>
                    </w:rPr>
                    <w:t>195</w:t>
                  </w:r>
                </w:p>
              </w:tc>
            </w:tr>
            <w:tr w14:paraId="5E066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Merge w:val="restart"/>
                  <w:vAlign w:val="center"/>
                </w:tcPr>
                <w:p w14:paraId="12E6A249">
                  <w:pPr>
                    <w:pStyle w:val="127"/>
                    <w:rPr>
                      <w:color w:val="auto"/>
                    </w:rPr>
                  </w:pPr>
                  <w:r>
                    <w:rPr>
                      <w:rFonts w:hint="eastAsia"/>
                      <w:color w:val="auto"/>
                    </w:rPr>
                    <w:t>合计</w:t>
                  </w:r>
                </w:p>
              </w:tc>
              <w:tc>
                <w:tcPr>
                  <w:tcW w:w="374" w:type="pct"/>
                  <w:vAlign w:val="center"/>
                </w:tcPr>
                <w:p w14:paraId="34EC7C46">
                  <w:pPr>
                    <w:pStyle w:val="127"/>
                    <w:rPr>
                      <w:color w:val="auto"/>
                    </w:rPr>
                  </w:pPr>
                  <w:r>
                    <w:rPr>
                      <w:rFonts w:hint="eastAsia"/>
                      <w:color w:val="auto"/>
                    </w:rPr>
                    <w:t>碳钢</w:t>
                  </w:r>
                </w:p>
              </w:tc>
              <w:tc>
                <w:tcPr>
                  <w:tcW w:w="501" w:type="pct"/>
                  <w:vAlign w:val="center"/>
                </w:tcPr>
                <w:p w14:paraId="6F685448">
                  <w:pPr>
                    <w:adjustRightInd w:val="0"/>
                    <w:snapToGrid w:val="0"/>
                    <w:jc w:val="center"/>
                    <w:rPr>
                      <w:bCs/>
                      <w:color w:val="auto"/>
                      <w:szCs w:val="21"/>
                    </w:rPr>
                  </w:pPr>
                  <w:r>
                    <w:rPr>
                      <w:rFonts w:hint="eastAsia"/>
                      <w:bCs/>
                      <w:color w:val="auto"/>
                      <w:szCs w:val="21"/>
                    </w:rPr>
                    <w:t>/</w:t>
                  </w:r>
                </w:p>
              </w:tc>
              <w:tc>
                <w:tcPr>
                  <w:tcW w:w="477" w:type="pct"/>
                  <w:vAlign w:val="center"/>
                </w:tcPr>
                <w:p w14:paraId="1076399B">
                  <w:pPr>
                    <w:adjustRightInd w:val="0"/>
                    <w:snapToGrid w:val="0"/>
                    <w:jc w:val="center"/>
                    <w:rPr>
                      <w:bCs/>
                      <w:color w:val="auto"/>
                      <w:szCs w:val="21"/>
                    </w:rPr>
                  </w:pPr>
                  <w:r>
                    <w:rPr>
                      <w:rFonts w:hint="eastAsia"/>
                      <w:bCs/>
                      <w:color w:val="auto"/>
                      <w:szCs w:val="21"/>
                    </w:rPr>
                    <w:t>/</w:t>
                  </w:r>
                </w:p>
              </w:tc>
              <w:tc>
                <w:tcPr>
                  <w:tcW w:w="350" w:type="pct"/>
                  <w:vAlign w:val="center"/>
                </w:tcPr>
                <w:p w14:paraId="228CB512">
                  <w:pPr>
                    <w:adjustRightInd w:val="0"/>
                    <w:snapToGrid w:val="0"/>
                    <w:jc w:val="center"/>
                    <w:rPr>
                      <w:bCs/>
                      <w:color w:val="auto"/>
                      <w:szCs w:val="21"/>
                    </w:rPr>
                  </w:pPr>
                  <w:r>
                    <w:rPr>
                      <w:rFonts w:hint="eastAsia"/>
                      <w:bCs/>
                      <w:color w:val="auto"/>
                      <w:szCs w:val="21"/>
                    </w:rPr>
                    <w:t>/</w:t>
                  </w:r>
                </w:p>
              </w:tc>
              <w:tc>
                <w:tcPr>
                  <w:tcW w:w="519" w:type="pct"/>
                  <w:vAlign w:val="center"/>
                </w:tcPr>
                <w:p w14:paraId="0B0B2B24">
                  <w:pPr>
                    <w:widowControl/>
                    <w:jc w:val="center"/>
                    <w:textAlignment w:val="center"/>
                    <w:rPr>
                      <w:color w:val="auto"/>
                    </w:rPr>
                  </w:pPr>
                  <w:r>
                    <w:rPr>
                      <w:color w:val="auto"/>
                      <w:kern w:val="0"/>
                      <w:szCs w:val="21"/>
                      <w:lang w:bidi="ar"/>
                    </w:rPr>
                    <w:t>258000</w:t>
                  </w:r>
                </w:p>
              </w:tc>
              <w:tc>
                <w:tcPr>
                  <w:tcW w:w="572" w:type="pct"/>
                  <w:vAlign w:val="center"/>
                </w:tcPr>
                <w:p w14:paraId="4682AF03">
                  <w:pPr>
                    <w:widowControl/>
                    <w:jc w:val="center"/>
                    <w:textAlignment w:val="center"/>
                    <w:rPr>
                      <w:bCs/>
                      <w:color w:val="auto"/>
                      <w:szCs w:val="21"/>
                    </w:rPr>
                  </w:pPr>
                  <w:r>
                    <w:rPr>
                      <w:color w:val="auto"/>
                      <w:kern w:val="0"/>
                      <w:szCs w:val="21"/>
                      <w:lang w:bidi="ar"/>
                    </w:rPr>
                    <w:t>188605.8</w:t>
                  </w:r>
                </w:p>
              </w:tc>
              <w:tc>
                <w:tcPr>
                  <w:tcW w:w="562" w:type="pct"/>
                  <w:vAlign w:val="center"/>
                </w:tcPr>
                <w:p w14:paraId="1E80E301">
                  <w:pPr>
                    <w:widowControl/>
                    <w:jc w:val="center"/>
                    <w:textAlignment w:val="center"/>
                    <w:rPr>
                      <w:color w:val="auto"/>
                      <w:kern w:val="0"/>
                      <w:szCs w:val="21"/>
                      <w:lang w:bidi="ar"/>
                    </w:rPr>
                  </w:pPr>
                  <w:r>
                    <w:rPr>
                      <w:color w:val="auto"/>
                      <w:kern w:val="0"/>
                      <w:szCs w:val="21"/>
                      <w:lang w:bidi="ar"/>
                    </w:rPr>
                    <w:t>101875.2</w:t>
                  </w:r>
                </w:p>
              </w:tc>
              <w:tc>
                <w:tcPr>
                  <w:tcW w:w="466" w:type="pct"/>
                  <w:vAlign w:val="center"/>
                </w:tcPr>
                <w:p w14:paraId="519159D4">
                  <w:pPr>
                    <w:widowControl/>
                    <w:jc w:val="center"/>
                    <w:textAlignment w:val="center"/>
                    <w:rPr>
                      <w:color w:val="auto"/>
                      <w:kern w:val="0"/>
                      <w:szCs w:val="21"/>
                      <w:lang w:bidi="ar"/>
                    </w:rPr>
                  </w:pPr>
                  <w:r>
                    <w:rPr>
                      <w:color w:val="auto"/>
                      <w:kern w:val="0"/>
                      <w:szCs w:val="21"/>
                      <w:lang w:bidi="ar"/>
                    </w:rPr>
                    <w:t>0</w:t>
                  </w:r>
                </w:p>
              </w:tc>
              <w:tc>
                <w:tcPr>
                  <w:tcW w:w="860" w:type="dxa"/>
                  <w:vAlign w:val="center"/>
                </w:tcPr>
                <w:p w14:paraId="50300A42">
                  <w:pPr>
                    <w:widowControl/>
                    <w:jc w:val="center"/>
                    <w:textAlignment w:val="center"/>
                    <w:rPr>
                      <w:color w:val="auto"/>
                      <w:kern w:val="0"/>
                      <w:szCs w:val="21"/>
                      <w:lang w:bidi="ar"/>
                    </w:rPr>
                  </w:pPr>
                  <w:r>
                    <w:rPr>
                      <w:color w:val="auto"/>
                      <w:kern w:val="0"/>
                      <w:szCs w:val="21"/>
                      <w:lang w:bidi="ar"/>
                    </w:rPr>
                    <w:t>1497</w:t>
                  </w:r>
                </w:p>
              </w:tc>
            </w:tr>
            <w:tr w14:paraId="4EDEB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pct"/>
                  <w:vMerge w:val="continue"/>
                  <w:vAlign w:val="center"/>
                </w:tcPr>
                <w:p w14:paraId="36266022">
                  <w:pPr>
                    <w:pStyle w:val="127"/>
                    <w:rPr>
                      <w:color w:val="auto"/>
                    </w:rPr>
                  </w:pPr>
                </w:p>
              </w:tc>
              <w:tc>
                <w:tcPr>
                  <w:tcW w:w="374" w:type="pct"/>
                  <w:vAlign w:val="center"/>
                </w:tcPr>
                <w:p w14:paraId="7942C380">
                  <w:pPr>
                    <w:pStyle w:val="127"/>
                    <w:rPr>
                      <w:color w:val="auto"/>
                    </w:rPr>
                  </w:pPr>
                  <w:r>
                    <w:rPr>
                      <w:rFonts w:hint="eastAsia"/>
                      <w:color w:val="auto"/>
                    </w:rPr>
                    <w:t>铝制</w:t>
                  </w:r>
                </w:p>
              </w:tc>
              <w:tc>
                <w:tcPr>
                  <w:tcW w:w="501" w:type="pct"/>
                </w:tcPr>
                <w:p w14:paraId="11530CD3">
                  <w:pPr>
                    <w:adjustRightInd w:val="0"/>
                    <w:snapToGrid w:val="0"/>
                    <w:jc w:val="center"/>
                    <w:rPr>
                      <w:bCs/>
                      <w:color w:val="auto"/>
                      <w:szCs w:val="21"/>
                    </w:rPr>
                  </w:pPr>
                  <w:r>
                    <w:rPr>
                      <w:rFonts w:hint="eastAsia"/>
                      <w:bCs/>
                      <w:color w:val="auto"/>
                      <w:szCs w:val="21"/>
                    </w:rPr>
                    <w:t>/</w:t>
                  </w:r>
                </w:p>
              </w:tc>
              <w:tc>
                <w:tcPr>
                  <w:tcW w:w="477" w:type="pct"/>
                </w:tcPr>
                <w:p w14:paraId="3A1FAFED">
                  <w:pPr>
                    <w:adjustRightInd w:val="0"/>
                    <w:snapToGrid w:val="0"/>
                    <w:jc w:val="center"/>
                    <w:rPr>
                      <w:bCs/>
                      <w:color w:val="auto"/>
                      <w:szCs w:val="21"/>
                    </w:rPr>
                  </w:pPr>
                  <w:r>
                    <w:rPr>
                      <w:rFonts w:hint="eastAsia"/>
                      <w:bCs/>
                      <w:color w:val="auto"/>
                      <w:szCs w:val="21"/>
                    </w:rPr>
                    <w:t>/</w:t>
                  </w:r>
                </w:p>
              </w:tc>
              <w:tc>
                <w:tcPr>
                  <w:tcW w:w="350" w:type="pct"/>
                </w:tcPr>
                <w:p w14:paraId="6CACF68E">
                  <w:pPr>
                    <w:adjustRightInd w:val="0"/>
                    <w:snapToGrid w:val="0"/>
                    <w:jc w:val="center"/>
                    <w:rPr>
                      <w:bCs/>
                      <w:color w:val="auto"/>
                      <w:szCs w:val="21"/>
                    </w:rPr>
                  </w:pPr>
                  <w:r>
                    <w:rPr>
                      <w:rFonts w:hint="eastAsia"/>
                      <w:bCs/>
                      <w:color w:val="auto"/>
                      <w:szCs w:val="21"/>
                    </w:rPr>
                    <w:t>/</w:t>
                  </w:r>
                </w:p>
              </w:tc>
              <w:tc>
                <w:tcPr>
                  <w:tcW w:w="519" w:type="pct"/>
                  <w:vAlign w:val="center"/>
                </w:tcPr>
                <w:p w14:paraId="427B8F29">
                  <w:pPr>
                    <w:widowControl/>
                    <w:jc w:val="center"/>
                    <w:textAlignment w:val="center"/>
                    <w:rPr>
                      <w:color w:val="auto"/>
                    </w:rPr>
                  </w:pPr>
                  <w:r>
                    <w:rPr>
                      <w:color w:val="auto"/>
                      <w:kern w:val="0"/>
                      <w:szCs w:val="21"/>
                      <w:lang w:bidi="ar"/>
                    </w:rPr>
                    <w:t>102000</w:t>
                  </w:r>
                </w:p>
              </w:tc>
              <w:tc>
                <w:tcPr>
                  <w:tcW w:w="572" w:type="pct"/>
                  <w:vAlign w:val="center"/>
                </w:tcPr>
                <w:p w14:paraId="192FEF30">
                  <w:pPr>
                    <w:widowControl/>
                    <w:jc w:val="center"/>
                    <w:textAlignment w:val="center"/>
                    <w:rPr>
                      <w:bCs/>
                      <w:color w:val="auto"/>
                      <w:szCs w:val="21"/>
                    </w:rPr>
                  </w:pPr>
                  <w:r>
                    <w:rPr>
                      <w:color w:val="auto"/>
                      <w:kern w:val="0"/>
                      <w:szCs w:val="21"/>
                      <w:lang w:bidi="ar"/>
                    </w:rPr>
                    <w:t>108565.2</w:t>
                  </w:r>
                </w:p>
              </w:tc>
              <w:tc>
                <w:tcPr>
                  <w:tcW w:w="562" w:type="pct"/>
                  <w:vAlign w:val="center"/>
                </w:tcPr>
                <w:p w14:paraId="5EF7CF5D">
                  <w:pPr>
                    <w:widowControl/>
                    <w:jc w:val="center"/>
                    <w:textAlignment w:val="center"/>
                    <w:rPr>
                      <w:color w:val="auto"/>
                      <w:kern w:val="0"/>
                      <w:szCs w:val="21"/>
                      <w:lang w:bidi="ar"/>
                    </w:rPr>
                  </w:pPr>
                  <w:r>
                    <w:rPr>
                      <w:color w:val="auto"/>
                      <w:kern w:val="0"/>
                      <w:szCs w:val="21"/>
                      <w:lang w:bidi="ar"/>
                    </w:rPr>
                    <w:t>0</w:t>
                  </w:r>
                </w:p>
              </w:tc>
              <w:tc>
                <w:tcPr>
                  <w:tcW w:w="466" w:type="pct"/>
                  <w:vAlign w:val="center"/>
                </w:tcPr>
                <w:p w14:paraId="63DB1533">
                  <w:pPr>
                    <w:widowControl/>
                    <w:jc w:val="center"/>
                    <w:textAlignment w:val="center"/>
                    <w:rPr>
                      <w:color w:val="auto"/>
                      <w:kern w:val="0"/>
                      <w:szCs w:val="21"/>
                      <w:lang w:bidi="ar"/>
                    </w:rPr>
                  </w:pPr>
                  <w:r>
                    <w:rPr>
                      <w:color w:val="auto"/>
                      <w:kern w:val="0"/>
                      <w:szCs w:val="21"/>
                      <w:lang w:bidi="ar"/>
                    </w:rPr>
                    <w:t>58428</w:t>
                  </w:r>
                </w:p>
              </w:tc>
              <w:tc>
                <w:tcPr>
                  <w:tcW w:w="860" w:type="dxa"/>
                  <w:vAlign w:val="center"/>
                </w:tcPr>
                <w:p w14:paraId="66C92D60">
                  <w:pPr>
                    <w:widowControl/>
                    <w:jc w:val="center"/>
                    <w:textAlignment w:val="center"/>
                    <w:rPr>
                      <w:color w:val="auto"/>
                      <w:kern w:val="0"/>
                      <w:szCs w:val="21"/>
                      <w:lang w:bidi="ar"/>
                    </w:rPr>
                  </w:pPr>
                  <w:r>
                    <w:rPr>
                      <w:color w:val="auto"/>
                      <w:kern w:val="0"/>
                      <w:szCs w:val="21"/>
                      <w:lang w:bidi="ar"/>
                    </w:rPr>
                    <w:t>447</w:t>
                  </w:r>
                </w:p>
              </w:tc>
            </w:tr>
          </w:tbl>
          <w:p w14:paraId="5077ED3B">
            <w:pPr>
              <w:adjustRightInd w:val="0"/>
              <w:snapToGrid w:val="0"/>
              <w:jc w:val="center"/>
              <w:rPr>
                <w:color w:val="auto"/>
              </w:rPr>
            </w:pPr>
          </w:p>
          <w:p w14:paraId="23D4DE5B">
            <w:pPr>
              <w:adjustRightInd w:val="0"/>
              <w:snapToGrid w:val="0"/>
              <w:spacing w:line="360" w:lineRule="auto"/>
              <w:ind w:left="-62" w:firstLine="482"/>
              <w:rPr>
                <w:b/>
                <w:bCs/>
                <w:color w:val="auto"/>
                <w:sz w:val="24"/>
              </w:rPr>
            </w:pPr>
            <w:r>
              <w:rPr>
                <w:b/>
                <w:bCs/>
                <w:color w:val="auto"/>
                <w:sz w:val="24"/>
              </w:rPr>
              <w:t>2、生产设备</w:t>
            </w:r>
          </w:p>
          <w:p w14:paraId="38630E71">
            <w:pPr>
              <w:pStyle w:val="6"/>
              <w:ind w:left="0" w:leftChars="0" w:firstLine="480" w:firstLineChars="200"/>
              <w:rPr>
                <w:color w:val="auto"/>
                <w:sz w:val="24"/>
              </w:rPr>
            </w:pPr>
            <w:r>
              <w:rPr>
                <w:color w:val="auto"/>
                <w:sz w:val="24"/>
              </w:rPr>
              <w:t>项目的主要设备或设施情况如下所示：</w:t>
            </w:r>
          </w:p>
          <w:p w14:paraId="4B2DE688">
            <w:pPr>
              <w:numPr>
                <w:ilvl w:val="0"/>
                <w:numId w:val="10"/>
              </w:numPr>
              <w:adjustRightInd w:val="0"/>
              <w:snapToGrid w:val="0"/>
              <w:jc w:val="center"/>
              <w:rPr>
                <w:b/>
                <w:color w:val="auto"/>
                <w:szCs w:val="21"/>
              </w:rPr>
            </w:pPr>
            <w:r>
              <w:rPr>
                <w:b/>
                <w:color w:val="auto"/>
                <w:szCs w:val="21"/>
              </w:rPr>
              <w:t>项目生产设备一览表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713"/>
              <w:gridCol w:w="781"/>
              <w:gridCol w:w="426"/>
              <w:gridCol w:w="1459"/>
              <w:gridCol w:w="1221"/>
              <w:gridCol w:w="701"/>
              <w:gridCol w:w="1599"/>
              <w:gridCol w:w="854"/>
              <w:gridCol w:w="863"/>
            </w:tblGrid>
            <w:tr w14:paraId="6C3B0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blHeader/>
                <w:jc w:val="center"/>
              </w:trPr>
              <w:tc>
                <w:tcPr>
                  <w:tcW w:w="324" w:type="pct"/>
                  <w:vMerge w:val="restart"/>
                  <w:vAlign w:val="center"/>
                </w:tcPr>
                <w:p w14:paraId="3AF1D54F">
                  <w:pPr>
                    <w:adjustRightInd w:val="0"/>
                    <w:snapToGrid w:val="0"/>
                    <w:jc w:val="center"/>
                    <w:rPr>
                      <w:b/>
                      <w:color w:val="auto"/>
                      <w:szCs w:val="21"/>
                    </w:rPr>
                  </w:pPr>
                  <w:r>
                    <w:rPr>
                      <w:b/>
                      <w:color w:val="auto"/>
                      <w:szCs w:val="21"/>
                    </w:rPr>
                    <w:t>序号</w:t>
                  </w:r>
                </w:p>
              </w:tc>
              <w:tc>
                <w:tcPr>
                  <w:tcW w:w="387" w:type="pct"/>
                  <w:vMerge w:val="restart"/>
                  <w:vAlign w:val="center"/>
                </w:tcPr>
                <w:p w14:paraId="6A9112BC">
                  <w:pPr>
                    <w:adjustRightInd w:val="0"/>
                    <w:snapToGrid w:val="0"/>
                    <w:jc w:val="center"/>
                    <w:rPr>
                      <w:b/>
                      <w:color w:val="auto"/>
                      <w:szCs w:val="21"/>
                    </w:rPr>
                  </w:pPr>
                  <w:r>
                    <w:rPr>
                      <w:b/>
                      <w:color w:val="auto"/>
                      <w:szCs w:val="21"/>
                    </w:rPr>
                    <w:t>生产单元</w:t>
                  </w:r>
                </w:p>
              </w:tc>
              <w:tc>
                <w:tcPr>
                  <w:tcW w:w="424" w:type="pct"/>
                  <w:vMerge w:val="restart"/>
                  <w:vAlign w:val="center"/>
                </w:tcPr>
                <w:p w14:paraId="5A88AABC">
                  <w:pPr>
                    <w:adjustRightInd w:val="0"/>
                    <w:snapToGrid w:val="0"/>
                    <w:jc w:val="center"/>
                    <w:rPr>
                      <w:b/>
                      <w:color w:val="auto"/>
                      <w:szCs w:val="21"/>
                    </w:rPr>
                  </w:pPr>
                  <w:r>
                    <w:rPr>
                      <w:b/>
                      <w:color w:val="auto"/>
                      <w:szCs w:val="21"/>
                    </w:rPr>
                    <w:t>生产工序</w:t>
                  </w:r>
                </w:p>
              </w:tc>
              <w:tc>
                <w:tcPr>
                  <w:tcW w:w="1021" w:type="pct"/>
                  <w:gridSpan w:val="2"/>
                  <w:vMerge w:val="restart"/>
                  <w:vAlign w:val="center"/>
                </w:tcPr>
                <w:p w14:paraId="480AD27A">
                  <w:pPr>
                    <w:adjustRightInd w:val="0"/>
                    <w:snapToGrid w:val="0"/>
                    <w:jc w:val="center"/>
                    <w:rPr>
                      <w:b/>
                      <w:color w:val="auto"/>
                      <w:szCs w:val="21"/>
                    </w:rPr>
                  </w:pPr>
                  <w:r>
                    <w:rPr>
                      <w:b/>
                      <w:color w:val="auto"/>
                      <w:szCs w:val="21"/>
                    </w:rPr>
                    <w:t>设备名称</w:t>
                  </w:r>
                </w:p>
              </w:tc>
              <w:tc>
                <w:tcPr>
                  <w:tcW w:w="1909" w:type="pct"/>
                  <w:gridSpan w:val="3"/>
                  <w:vAlign w:val="center"/>
                </w:tcPr>
                <w:p w14:paraId="6239668A">
                  <w:pPr>
                    <w:adjustRightInd w:val="0"/>
                    <w:snapToGrid w:val="0"/>
                    <w:jc w:val="center"/>
                    <w:rPr>
                      <w:b/>
                      <w:color w:val="auto"/>
                      <w:szCs w:val="21"/>
                    </w:rPr>
                  </w:pPr>
                  <w:r>
                    <w:rPr>
                      <w:b/>
                      <w:color w:val="auto"/>
                      <w:szCs w:val="21"/>
                    </w:rPr>
                    <w:t>设备参数</w:t>
                  </w:r>
                </w:p>
              </w:tc>
              <w:tc>
                <w:tcPr>
                  <w:tcW w:w="463" w:type="pct"/>
                  <w:vMerge w:val="restart"/>
                  <w:vAlign w:val="center"/>
                </w:tcPr>
                <w:p w14:paraId="4F1F9C44">
                  <w:pPr>
                    <w:adjustRightInd w:val="0"/>
                    <w:snapToGrid w:val="0"/>
                    <w:jc w:val="center"/>
                    <w:rPr>
                      <w:b/>
                      <w:color w:val="auto"/>
                      <w:szCs w:val="21"/>
                    </w:rPr>
                  </w:pPr>
                  <w:r>
                    <w:rPr>
                      <w:b/>
                      <w:color w:val="auto"/>
                      <w:szCs w:val="21"/>
                    </w:rPr>
                    <w:t>数量</w:t>
                  </w:r>
                </w:p>
              </w:tc>
              <w:tc>
                <w:tcPr>
                  <w:tcW w:w="468" w:type="pct"/>
                  <w:vMerge w:val="restart"/>
                  <w:vAlign w:val="center"/>
                </w:tcPr>
                <w:p w14:paraId="0ABAB845">
                  <w:pPr>
                    <w:adjustRightInd w:val="0"/>
                    <w:snapToGrid w:val="0"/>
                    <w:jc w:val="center"/>
                    <w:rPr>
                      <w:b/>
                      <w:color w:val="auto"/>
                      <w:szCs w:val="21"/>
                    </w:rPr>
                  </w:pPr>
                  <w:r>
                    <w:rPr>
                      <w:b/>
                      <w:color w:val="auto"/>
                      <w:szCs w:val="21"/>
                    </w:rPr>
                    <w:t>摆放</w:t>
                  </w:r>
                </w:p>
                <w:p w14:paraId="383BE132">
                  <w:pPr>
                    <w:adjustRightInd w:val="0"/>
                    <w:snapToGrid w:val="0"/>
                    <w:jc w:val="center"/>
                    <w:rPr>
                      <w:b/>
                      <w:color w:val="auto"/>
                      <w:szCs w:val="21"/>
                    </w:rPr>
                  </w:pPr>
                  <w:r>
                    <w:rPr>
                      <w:b/>
                      <w:color w:val="auto"/>
                      <w:szCs w:val="21"/>
                    </w:rPr>
                    <w:t>位置</w:t>
                  </w:r>
                </w:p>
              </w:tc>
            </w:tr>
            <w:tr w14:paraId="4B3BC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blHeader/>
                <w:jc w:val="center"/>
              </w:trPr>
              <w:tc>
                <w:tcPr>
                  <w:tcW w:w="324" w:type="pct"/>
                  <w:vMerge w:val="continue"/>
                  <w:vAlign w:val="center"/>
                </w:tcPr>
                <w:p w14:paraId="2EDB98FB">
                  <w:pPr>
                    <w:adjustRightInd w:val="0"/>
                    <w:snapToGrid w:val="0"/>
                    <w:jc w:val="center"/>
                    <w:rPr>
                      <w:color w:val="auto"/>
                      <w:szCs w:val="21"/>
                    </w:rPr>
                  </w:pPr>
                </w:p>
              </w:tc>
              <w:tc>
                <w:tcPr>
                  <w:tcW w:w="387" w:type="pct"/>
                  <w:vMerge w:val="continue"/>
                  <w:vAlign w:val="center"/>
                </w:tcPr>
                <w:p w14:paraId="39889CBE">
                  <w:pPr>
                    <w:adjustRightInd w:val="0"/>
                    <w:snapToGrid w:val="0"/>
                    <w:jc w:val="center"/>
                    <w:rPr>
                      <w:color w:val="auto"/>
                      <w:szCs w:val="21"/>
                    </w:rPr>
                  </w:pPr>
                </w:p>
              </w:tc>
              <w:tc>
                <w:tcPr>
                  <w:tcW w:w="424" w:type="pct"/>
                  <w:vMerge w:val="continue"/>
                  <w:vAlign w:val="center"/>
                </w:tcPr>
                <w:p w14:paraId="48F1EA68">
                  <w:pPr>
                    <w:adjustRightInd w:val="0"/>
                    <w:snapToGrid w:val="0"/>
                    <w:jc w:val="center"/>
                    <w:rPr>
                      <w:color w:val="auto"/>
                      <w:szCs w:val="21"/>
                    </w:rPr>
                  </w:pPr>
                </w:p>
              </w:tc>
              <w:tc>
                <w:tcPr>
                  <w:tcW w:w="1021" w:type="pct"/>
                  <w:gridSpan w:val="2"/>
                  <w:vMerge w:val="continue"/>
                  <w:vAlign w:val="center"/>
                </w:tcPr>
                <w:p w14:paraId="03BA7944">
                  <w:pPr>
                    <w:adjustRightInd w:val="0"/>
                    <w:snapToGrid w:val="0"/>
                    <w:jc w:val="center"/>
                    <w:rPr>
                      <w:color w:val="auto"/>
                      <w:szCs w:val="21"/>
                    </w:rPr>
                  </w:pPr>
                </w:p>
              </w:tc>
              <w:tc>
                <w:tcPr>
                  <w:tcW w:w="662" w:type="pct"/>
                  <w:vAlign w:val="center"/>
                </w:tcPr>
                <w:p w14:paraId="23CAE53F">
                  <w:pPr>
                    <w:adjustRightInd w:val="0"/>
                    <w:snapToGrid w:val="0"/>
                    <w:jc w:val="center"/>
                    <w:rPr>
                      <w:b/>
                      <w:color w:val="auto"/>
                      <w:szCs w:val="21"/>
                    </w:rPr>
                  </w:pPr>
                  <w:r>
                    <w:rPr>
                      <w:b/>
                      <w:color w:val="auto"/>
                      <w:szCs w:val="21"/>
                    </w:rPr>
                    <w:t>名称</w:t>
                  </w:r>
                </w:p>
              </w:tc>
              <w:tc>
                <w:tcPr>
                  <w:tcW w:w="380" w:type="pct"/>
                  <w:vAlign w:val="center"/>
                </w:tcPr>
                <w:p w14:paraId="39C95690">
                  <w:pPr>
                    <w:adjustRightInd w:val="0"/>
                    <w:snapToGrid w:val="0"/>
                    <w:jc w:val="center"/>
                    <w:rPr>
                      <w:b/>
                      <w:color w:val="auto"/>
                      <w:szCs w:val="21"/>
                    </w:rPr>
                  </w:pPr>
                  <w:r>
                    <w:rPr>
                      <w:b/>
                      <w:color w:val="auto"/>
                      <w:szCs w:val="21"/>
                    </w:rPr>
                    <w:t>单位</w:t>
                  </w:r>
                </w:p>
              </w:tc>
              <w:tc>
                <w:tcPr>
                  <w:tcW w:w="867" w:type="pct"/>
                  <w:vAlign w:val="center"/>
                </w:tcPr>
                <w:p w14:paraId="7C0AA062">
                  <w:pPr>
                    <w:adjustRightInd w:val="0"/>
                    <w:snapToGrid w:val="0"/>
                    <w:jc w:val="center"/>
                    <w:rPr>
                      <w:b/>
                      <w:color w:val="auto"/>
                      <w:szCs w:val="21"/>
                    </w:rPr>
                  </w:pPr>
                  <w:r>
                    <w:rPr>
                      <w:b/>
                      <w:color w:val="auto"/>
                      <w:szCs w:val="21"/>
                    </w:rPr>
                    <w:t>设计值</w:t>
                  </w:r>
                </w:p>
              </w:tc>
              <w:tc>
                <w:tcPr>
                  <w:tcW w:w="463" w:type="pct"/>
                  <w:vMerge w:val="continue"/>
                  <w:vAlign w:val="center"/>
                </w:tcPr>
                <w:p w14:paraId="3EB7DA25">
                  <w:pPr>
                    <w:adjustRightInd w:val="0"/>
                    <w:snapToGrid w:val="0"/>
                    <w:jc w:val="center"/>
                    <w:rPr>
                      <w:b/>
                      <w:color w:val="auto"/>
                      <w:szCs w:val="21"/>
                    </w:rPr>
                  </w:pPr>
                </w:p>
              </w:tc>
              <w:tc>
                <w:tcPr>
                  <w:tcW w:w="468" w:type="pct"/>
                  <w:vMerge w:val="continue"/>
                  <w:vAlign w:val="center"/>
                </w:tcPr>
                <w:p w14:paraId="2E3891BD">
                  <w:pPr>
                    <w:adjustRightInd w:val="0"/>
                    <w:snapToGrid w:val="0"/>
                    <w:jc w:val="center"/>
                    <w:rPr>
                      <w:b/>
                      <w:color w:val="auto"/>
                      <w:szCs w:val="21"/>
                    </w:rPr>
                  </w:pPr>
                </w:p>
              </w:tc>
            </w:tr>
            <w:tr w14:paraId="5F728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4E50E07F">
                  <w:pPr>
                    <w:widowControl/>
                    <w:adjustRightInd w:val="0"/>
                    <w:snapToGrid w:val="0"/>
                    <w:jc w:val="center"/>
                    <w:textAlignment w:val="center"/>
                    <w:rPr>
                      <w:color w:val="auto"/>
                      <w:kern w:val="0"/>
                      <w:szCs w:val="21"/>
                    </w:rPr>
                  </w:pPr>
                  <w:r>
                    <w:rPr>
                      <w:color w:val="auto"/>
                      <w:kern w:val="0"/>
                      <w:szCs w:val="21"/>
                    </w:rPr>
                    <w:t>1</w:t>
                  </w:r>
                </w:p>
              </w:tc>
              <w:tc>
                <w:tcPr>
                  <w:tcW w:w="387" w:type="pct"/>
                  <w:vMerge w:val="restart"/>
                  <w:vAlign w:val="center"/>
                </w:tcPr>
                <w:p w14:paraId="0FC14101">
                  <w:pPr>
                    <w:adjustRightInd w:val="0"/>
                    <w:snapToGrid w:val="0"/>
                    <w:jc w:val="center"/>
                    <w:rPr>
                      <w:color w:val="auto"/>
                      <w:szCs w:val="21"/>
                    </w:rPr>
                  </w:pPr>
                  <w:r>
                    <w:rPr>
                      <w:color w:val="auto"/>
                      <w:szCs w:val="21"/>
                    </w:rPr>
                    <w:t>机加工</w:t>
                  </w:r>
                </w:p>
              </w:tc>
              <w:tc>
                <w:tcPr>
                  <w:tcW w:w="424" w:type="pct"/>
                  <w:vMerge w:val="restart"/>
                  <w:vAlign w:val="center"/>
                </w:tcPr>
                <w:p w14:paraId="03E7872D">
                  <w:pPr>
                    <w:adjustRightInd w:val="0"/>
                    <w:snapToGrid w:val="0"/>
                    <w:jc w:val="center"/>
                    <w:rPr>
                      <w:color w:val="auto"/>
                      <w:szCs w:val="21"/>
                    </w:rPr>
                  </w:pPr>
                  <w:r>
                    <w:rPr>
                      <w:color w:val="auto"/>
                      <w:szCs w:val="21"/>
                    </w:rPr>
                    <w:t>机加工</w:t>
                  </w:r>
                </w:p>
              </w:tc>
              <w:tc>
                <w:tcPr>
                  <w:tcW w:w="1021" w:type="pct"/>
                  <w:gridSpan w:val="2"/>
                  <w:vAlign w:val="center"/>
                </w:tcPr>
                <w:p w14:paraId="64398B95">
                  <w:pPr>
                    <w:adjustRightInd w:val="0"/>
                    <w:snapToGrid w:val="0"/>
                    <w:jc w:val="center"/>
                    <w:rPr>
                      <w:color w:val="auto"/>
                      <w:szCs w:val="21"/>
                    </w:rPr>
                  </w:pPr>
                  <w:r>
                    <w:rPr>
                      <w:rFonts w:hint="eastAsia"/>
                      <w:color w:val="auto"/>
                      <w:szCs w:val="21"/>
                    </w:rPr>
                    <w:t>台钻</w:t>
                  </w:r>
                </w:p>
              </w:tc>
              <w:tc>
                <w:tcPr>
                  <w:tcW w:w="662" w:type="pct"/>
                  <w:vAlign w:val="center"/>
                </w:tcPr>
                <w:p w14:paraId="0EACC2DA">
                  <w:pPr>
                    <w:adjustRightInd w:val="0"/>
                    <w:snapToGrid w:val="0"/>
                    <w:jc w:val="center"/>
                    <w:rPr>
                      <w:color w:val="auto"/>
                      <w:kern w:val="0"/>
                      <w:szCs w:val="21"/>
                      <w:lang w:bidi="ar"/>
                    </w:rPr>
                  </w:pPr>
                  <w:r>
                    <w:rPr>
                      <w:color w:val="auto"/>
                      <w:kern w:val="0"/>
                      <w:szCs w:val="21"/>
                      <w:lang w:bidi="ar"/>
                    </w:rPr>
                    <w:t>功率</w:t>
                  </w:r>
                </w:p>
              </w:tc>
              <w:tc>
                <w:tcPr>
                  <w:tcW w:w="380" w:type="pct"/>
                  <w:vAlign w:val="center"/>
                </w:tcPr>
                <w:p w14:paraId="14BBD201">
                  <w:pPr>
                    <w:widowControl/>
                    <w:adjustRightInd w:val="0"/>
                    <w:snapToGrid w:val="0"/>
                    <w:jc w:val="center"/>
                    <w:textAlignment w:val="center"/>
                    <w:rPr>
                      <w:color w:val="auto"/>
                      <w:kern w:val="0"/>
                      <w:szCs w:val="21"/>
                      <w:lang w:bidi="ar"/>
                    </w:rPr>
                  </w:pPr>
                  <w:r>
                    <w:rPr>
                      <w:rFonts w:hint="eastAsia"/>
                      <w:color w:val="auto"/>
                      <w:kern w:val="0"/>
                      <w:szCs w:val="21"/>
                      <w:lang w:bidi="ar"/>
                    </w:rPr>
                    <w:t>kw</w:t>
                  </w:r>
                </w:p>
              </w:tc>
              <w:tc>
                <w:tcPr>
                  <w:tcW w:w="867" w:type="pct"/>
                  <w:vAlign w:val="center"/>
                </w:tcPr>
                <w:p w14:paraId="04743BAC">
                  <w:pPr>
                    <w:adjustRightInd w:val="0"/>
                    <w:snapToGrid w:val="0"/>
                    <w:jc w:val="center"/>
                    <w:rPr>
                      <w:color w:val="auto"/>
                      <w:szCs w:val="21"/>
                    </w:rPr>
                  </w:pPr>
                  <w:r>
                    <w:rPr>
                      <w:color w:val="auto"/>
                    </w:rPr>
                    <w:t>0.75</w:t>
                  </w:r>
                </w:p>
              </w:tc>
              <w:tc>
                <w:tcPr>
                  <w:tcW w:w="463" w:type="pct"/>
                  <w:vAlign w:val="center"/>
                </w:tcPr>
                <w:p w14:paraId="7A21D7A6">
                  <w:pPr>
                    <w:widowControl/>
                    <w:adjustRightInd w:val="0"/>
                    <w:snapToGrid w:val="0"/>
                    <w:jc w:val="center"/>
                    <w:textAlignment w:val="center"/>
                    <w:rPr>
                      <w:color w:val="auto"/>
                      <w:kern w:val="0"/>
                      <w:szCs w:val="21"/>
                      <w:lang w:bidi="ar"/>
                    </w:rPr>
                  </w:pPr>
                  <w:r>
                    <w:rPr>
                      <w:rFonts w:hint="eastAsia"/>
                      <w:color w:val="auto"/>
                      <w:kern w:val="0"/>
                      <w:szCs w:val="21"/>
                      <w:lang w:bidi="ar"/>
                    </w:rPr>
                    <w:t>1台</w:t>
                  </w:r>
                </w:p>
              </w:tc>
              <w:tc>
                <w:tcPr>
                  <w:tcW w:w="468" w:type="pct"/>
                  <w:vMerge w:val="restart"/>
                  <w:vAlign w:val="center"/>
                </w:tcPr>
                <w:p w14:paraId="7F5AF4E9">
                  <w:pPr>
                    <w:widowControl/>
                    <w:adjustRightInd w:val="0"/>
                    <w:snapToGrid w:val="0"/>
                    <w:jc w:val="center"/>
                    <w:rPr>
                      <w:color w:val="auto"/>
                      <w:kern w:val="0"/>
                      <w:szCs w:val="21"/>
                    </w:rPr>
                  </w:pPr>
                  <w:r>
                    <w:rPr>
                      <w:rFonts w:hint="eastAsia"/>
                      <w:color w:val="auto"/>
                      <w:kern w:val="0"/>
                      <w:szCs w:val="21"/>
                    </w:rPr>
                    <w:t>6楼抛丸车间</w:t>
                  </w:r>
                </w:p>
              </w:tc>
            </w:tr>
            <w:tr w14:paraId="03DCE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47BF7983">
                  <w:pPr>
                    <w:widowControl/>
                    <w:adjustRightInd w:val="0"/>
                    <w:snapToGrid w:val="0"/>
                    <w:jc w:val="center"/>
                    <w:textAlignment w:val="center"/>
                    <w:rPr>
                      <w:color w:val="auto"/>
                      <w:kern w:val="0"/>
                      <w:szCs w:val="21"/>
                    </w:rPr>
                  </w:pPr>
                  <w:r>
                    <w:rPr>
                      <w:color w:val="auto"/>
                      <w:kern w:val="0"/>
                      <w:szCs w:val="21"/>
                    </w:rPr>
                    <w:t>2</w:t>
                  </w:r>
                </w:p>
              </w:tc>
              <w:tc>
                <w:tcPr>
                  <w:tcW w:w="387" w:type="pct"/>
                  <w:vMerge w:val="continue"/>
                  <w:vAlign w:val="center"/>
                </w:tcPr>
                <w:p w14:paraId="17A56D0F">
                  <w:pPr>
                    <w:adjustRightInd w:val="0"/>
                    <w:snapToGrid w:val="0"/>
                    <w:jc w:val="center"/>
                    <w:rPr>
                      <w:color w:val="auto"/>
                      <w:szCs w:val="21"/>
                    </w:rPr>
                  </w:pPr>
                </w:p>
              </w:tc>
              <w:tc>
                <w:tcPr>
                  <w:tcW w:w="424" w:type="pct"/>
                  <w:vMerge w:val="continue"/>
                  <w:vAlign w:val="center"/>
                </w:tcPr>
                <w:p w14:paraId="4055A374">
                  <w:pPr>
                    <w:adjustRightInd w:val="0"/>
                    <w:snapToGrid w:val="0"/>
                    <w:jc w:val="center"/>
                    <w:rPr>
                      <w:color w:val="auto"/>
                      <w:szCs w:val="21"/>
                    </w:rPr>
                  </w:pPr>
                </w:p>
              </w:tc>
              <w:tc>
                <w:tcPr>
                  <w:tcW w:w="1021" w:type="pct"/>
                  <w:gridSpan w:val="2"/>
                  <w:vAlign w:val="center"/>
                </w:tcPr>
                <w:p w14:paraId="306C6C2A">
                  <w:pPr>
                    <w:adjustRightInd w:val="0"/>
                    <w:snapToGrid w:val="0"/>
                    <w:jc w:val="center"/>
                    <w:rPr>
                      <w:color w:val="auto"/>
                      <w:szCs w:val="21"/>
                    </w:rPr>
                  </w:pPr>
                  <w:r>
                    <w:rPr>
                      <w:color w:val="auto"/>
                      <w:szCs w:val="21"/>
                    </w:rPr>
                    <w:t>抛丸清理机</w:t>
                  </w:r>
                </w:p>
              </w:tc>
              <w:tc>
                <w:tcPr>
                  <w:tcW w:w="662" w:type="pct"/>
                  <w:vAlign w:val="center"/>
                </w:tcPr>
                <w:p w14:paraId="4A7E44A0">
                  <w:pPr>
                    <w:adjustRightInd w:val="0"/>
                    <w:snapToGrid w:val="0"/>
                    <w:jc w:val="center"/>
                    <w:rPr>
                      <w:color w:val="auto"/>
                      <w:kern w:val="0"/>
                      <w:szCs w:val="21"/>
                      <w:lang w:bidi="ar"/>
                    </w:rPr>
                  </w:pPr>
                  <w:r>
                    <w:rPr>
                      <w:color w:val="auto"/>
                      <w:kern w:val="0"/>
                      <w:szCs w:val="21"/>
                      <w:lang w:bidi="ar"/>
                    </w:rPr>
                    <w:t>功率</w:t>
                  </w:r>
                </w:p>
              </w:tc>
              <w:tc>
                <w:tcPr>
                  <w:tcW w:w="380" w:type="pct"/>
                  <w:vAlign w:val="center"/>
                </w:tcPr>
                <w:p w14:paraId="691B7EE5">
                  <w:pPr>
                    <w:widowControl/>
                    <w:adjustRightInd w:val="0"/>
                    <w:snapToGrid w:val="0"/>
                    <w:jc w:val="center"/>
                    <w:textAlignment w:val="center"/>
                    <w:rPr>
                      <w:color w:val="auto"/>
                      <w:kern w:val="0"/>
                      <w:szCs w:val="21"/>
                      <w:lang w:bidi="ar"/>
                    </w:rPr>
                  </w:pPr>
                  <w:r>
                    <w:rPr>
                      <w:rFonts w:hint="eastAsia"/>
                      <w:color w:val="auto"/>
                      <w:kern w:val="0"/>
                      <w:szCs w:val="21"/>
                      <w:lang w:bidi="ar"/>
                    </w:rPr>
                    <w:t>kw</w:t>
                  </w:r>
                </w:p>
              </w:tc>
              <w:tc>
                <w:tcPr>
                  <w:tcW w:w="867" w:type="pct"/>
                  <w:vAlign w:val="center"/>
                </w:tcPr>
                <w:p w14:paraId="5EE0100D">
                  <w:pPr>
                    <w:adjustRightInd w:val="0"/>
                    <w:snapToGrid w:val="0"/>
                    <w:jc w:val="center"/>
                    <w:rPr>
                      <w:color w:val="auto"/>
                      <w:szCs w:val="21"/>
                    </w:rPr>
                  </w:pPr>
                  <w:r>
                    <w:rPr>
                      <w:color w:val="auto"/>
                    </w:rPr>
                    <w:t>7.5</w:t>
                  </w:r>
                </w:p>
              </w:tc>
              <w:tc>
                <w:tcPr>
                  <w:tcW w:w="463" w:type="pct"/>
                  <w:vAlign w:val="center"/>
                </w:tcPr>
                <w:p w14:paraId="54D49C09">
                  <w:pPr>
                    <w:adjustRightInd w:val="0"/>
                    <w:snapToGrid w:val="0"/>
                    <w:jc w:val="center"/>
                    <w:rPr>
                      <w:color w:val="auto"/>
                      <w:kern w:val="0"/>
                      <w:szCs w:val="21"/>
                      <w:lang w:bidi="ar"/>
                    </w:rPr>
                  </w:pPr>
                  <w:r>
                    <w:rPr>
                      <w:rFonts w:hint="eastAsia"/>
                      <w:color w:val="auto"/>
                      <w:kern w:val="0"/>
                      <w:szCs w:val="21"/>
                      <w:lang w:bidi="ar"/>
                    </w:rPr>
                    <w:t>1台</w:t>
                  </w:r>
                </w:p>
              </w:tc>
              <w:tc>
                <w:tcPr>
                  <w:tcW w:w="468" w:type="pct"/>
                  <w:vMerge w:val="continue"/>
                  <w:vAlign w:val="center"/>
                </w:tcPr>
                <w:p w14:paraId="7B72F2E3">
                  <w:pPr>
                    <w:widowControl/>
                    <w:adjustRightInd w:val="0"/>
                    <w:snapToGrid w:val="0"/>
                    <w:jc w:val="center"/>
                    <w:rPr>
                      <w:color w:val="auto"/>
                      <w:kern w:val="0"/>
                      <w:szCs w:val="21"/>
                    </w:rPr>
                  </w:pPr>
                </w:p>
              </w:tc>
            </w:tr>
            <w:tr w14:paraId="688D8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4C3E9925">
                  <w:pPr>
                    <w:widowControl/>
                    <w:adjustRightInd w:val="0"/>
                    <w:snapToGrid w:val="0"/>
                    <w:jc w:val="center"/>
                    <w:textAlignment w:val="center"/>
                    <w:rPr>
                      <w:color w:val="auto"/>
                      <w:kern w:val="0"/>
                      <w:szCs w:val="21"/>
                    </w:rPr>
                  </w:pPr>
                  <w:r>
                    <w:rPr>
                      <w:color w:val="auto"/>
                      <w:kern w:val="0"/>
                      <w:szCs w:val="21"/>
                    </w:rPr>
                    <w:t>3</w:t>
                  </w:r>
                </w:p>
              </w:tc>
              <w:tc>
                <w:tcPr>
                  <w:tcW w:w="387" w:type="pct"/>
                  <w:vMerge w:val="continue"/>
                  <w:vAlign w:val="center"/>
                </w:tcPr>
                <w:p w14:paraId="1885EC6C">
                  <w:pPr>
                    <w:adjustRightInd w:val="0"/>
                    <w:snapToGrid w:val="0"/>
                    <w:jc w:val="center"/>
                    <w:rPr>
                      <w:color w:val="auto"/>
                      <w:szCs w:val="21"/>
                    </w:rPr>
                  </w:pPr>
                </w:p>
              </w:tc>
              <w:tc>
                <w:tcPr>
                  <w:tcW w:w="424" w:type="pct"/>
                  <w:vMerge w:val="continue"/>
                  <w:vAlign w:val="center"/>
                </w:tcPr>
                <w:p w14:paraId="64CBA5C0">
                  <w:pPr>
                    <w:adjustRightInd w:val="0"/>
                    <w:snapToGrid w:val="0"/>
                    <w:jc w:val="center"/>
                    <w:rPr>
                      <w:color w:val="auto"/>
                      <w:szCs w:val="21"/>
                    </w:rPr>
                  </w:pPr>
                </w:p>
              </w:tc>
              <w:tc>
                <w:tcPr>
                  <w:tcW w:w="1021" w:type="pct"/>
                  <w:gridSpan w:val="2"/>
                  <w:vAlign w:val="center"/>
                </w:tcPr>
                <w:p w14:paraId="73A2B1A1">
                  <w:pPr>
                    <w:adjustRightInd w:val="0"/>
                    <w:snapToGrid w:val="0"/>
                    <w:jc w:val="center"/>
                    <w:rPr>
                      <w:color w:val="auto"/>
                      <w:szCs w:val="21"/>
                    </w:rPr>
                  </w:pPr>
                  <w:r>
                    <w:rPr>
                      <w:rFonts w:hint="eastAsia"/>
                      <w:color w:val="auto"/>
                      <w:szCs w:val="21"/>
                    </w:rPr>
                    <w:t>打砂机</w:t>
                  </w:r>
                </w:p>
              </w:tc>
              <w:tc>
                <w:tcPr>
                  <w:tcW w:w="662" w:type="pct"/>
                  <w:vAlign w:val="center"/>
                </w:tcPr>
                <w:p w14:paraId="4385697F">
                  <w:pPr>
                    <w:adjustRightInd w:val="0"/>
                    <w:snapToGrid w:val="0"/>
                    <w:jc w:val="center"/>
                    <w:rPr>
                      <w:color w:val="auto"/>
                      <w:kern w:val="0"/>
                      <w:szCs w:val="21"/>
                      <w:lang w:bidi="ar"/>
                    </w:rPr>
                  </w:pPr>
                  <w:r>
                    <w:rPr>
                      <w:color w:val="auto"/>
                      <w:kern w:val="0"/>
                      <w:szCs w:val="21"/>
                      <w:lang w:bidi="ar"/>
                    </w:rPr>
                    <w:t>功率</w:t>
                  </w:r>
                </w:p>
              </w:tc>
              <w:tc>
                <w:tcPr>
                  <w:tcW w:w="380" w:type="pct"/>
                  <w:vAlign w:val="center"/>
                </w:tcPr>
                <w:p w14:paraId="702CF84A">
                  <w:pPr>
                    <w:widowControl/>
                    <w:adjustRightInd w:val="0"/>
                    <w:snapToGrid w:val="0"/>
                    <w:jc w:val="center"/>
                    <w:textAlignment w:val="center"/>
                    <w:rPr>
                      <w:color w:val="auto"/>
                      <w:kern w:val="0"/>
                      <w:szCs w:val="21"/>
                      <w:lang w:bidi="ar"/>
                    </w:rPr>
                  </w:pPr>
                  <w:r>
                    <w:rPr>
                      <w:rFonts w:hint="eastAsia"/>
                      <w:color w:val="auto"/>
                      <w:kern w:val="0"/>
                      <w:szCs w:val="21"/>
                      <w:lang w:bidi="ar"/>
                    </w:rPr>
                    <w:t>kw</w:t>
                  </w:r>
                </w:p>
              </w:tc>
              <w:tc>
                <w:tcPr>
                  <w:tcW w:w="867" w:type="pct"/>
                  <w:vAlign w:val="center"/>
                </w:tcPr>
                <w:p w14:paraId="083E0FD8">
                  <w:pPr>
                    <w:adjustRightInd w:val="0"/>
                    <w:snapToGrid w:val="0"/>
                    <w:jc w:val="center"/>
                    <w:rPr>
                      <w:color w:val="auto"/>
                      <w:szCs w:val="21"/>
                    </w:rPr>
                  </w:pPr>
                  <w:r>
                    <w:rPr>
                      <w:rFonts w:hint="eastAsia"/>
                      <w:color w:val="auto"/>
                      <w:szCs w:val="21"/>
                    </w:rPr>
                    <w:t>7.5</w:t>
                  </w:r>
                </w:p>
              </w:tc>
              <w:tc>
                <w:tcPr>
                  <w:tcW w:w="463" w:type="pct"/>
                  <w:vAlign w:val="center"/>
                </w:tcPr>
                <w:p w14:paraId="4FF286BE">
                  <w:pPr>
                    <w:adjustRightInd w:val="0"/>
                    <w:snapToGrid w:val="0"/>
                    <w:jc w:val="center"/>
                    <w:rPr>
                      <w:color w:val="auto"/>
                      <w:kern w:val="0"/>
                      <w:szCs w:val="21"/>
                      <w:lang w:bidi="ar"/>
                    </w:rPr>
                  </w:pPr>
                  <w:r>
                    <w:rPr>
                      <w:rFonts w:hint="eastAsia"/>
                      <w:color w:val="auto"/>
                      <w:kern w:val="0"/>
                      <w:szCs w:val="21"/>
                      <w:lang w:bidi="ar"/>
                    </w:rPr>
                    <w:t>2台</w:t>
                  </w:r>
                </w:p>
              </w:tc>
              <w:tc>
                <w:tcPr>
                  <w:tcW w:w="468" w:type="pct"/>
                  <w:vMerge w:val="restart"/>
                  <w:vAlign w:val="center"/>
                </w:tcPr>
                <w:p w14:paraId="2628067C">
                  <w:pPr>
                    <w:widowControl/>
                    <w:adjustRightInd w:val="0"/>
                    <w:snapToGrid w:val="0"/>
                    <w:jc w:val="center"/>
                    <w:rPr>
                      <w:color w:val="auto"/>
                      <w:kern w:val="0"/>
                      <w:szCs w:val="21"/>
                    </w:rPr>
                  </w:pPr>
                  <w:r>
                    <w:rPr>
                      <w:rFonts w:hint="eastAsia"/>
                      <w:color w:val="auto"/>
                      <w:kern w:val="0"/>
                      <w:szCs w:val="21"/>
                    </w:rPr>
                    <w:t>4楼打磨区</w:t>
                  </w:r>
                </w:p>
              </w:tc>
            </w:tr>
            <w:tr w14:paraId="57D91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18646932">
                  <w:pPr>
                    <w:widowControl/>
                    <w:adjustRightInd w:val="0"/>
                    <w:snapToGrid w:val="0"/>
                    <w:jc w:val="center"/>
                    <w:textAlignment w:val="center"/>
                    <w:rPr>
                      <w:color w:val="auto"/>
                      <w:kern w:val="0"/>
                      <w:szCs w:val="21"/>
                    </w:rPr>
                  </w:pPr>
                  <w:r>
                    <w:rPr>
                      <w:rFonts w:hint="eastAsia"/>
                      <w:color w:val="auto"/>
                      <w:kern w:val="0"/>
                      <w:szCs w:val="21"/>
                    </w:rPr>
                    <w:t>4</w:t>
                  </w:r>
                </w:p>
              </w:tc>
              <w:tc>
                <w:tcPr>
                  <w:tcW w:w="387" w:type="pct"/>
                  <w:vMerge w:val="continue"/>
                  <w:vAlign w:val="center"/>
                </w:tcPr>
                <w:p w14:paraId="5F24671F">
                  <w:pPr>
                    <w:adjustRightInd w:val="0"/>
                    <w:snapToGrid w:val="0"/>
                    <w:jc w:val="center"/>
                    <w:rPr>
                      <w:color w:val="auto"/>
                      <w:szCs w:val="21"/>
                    </w:rPr>
                  </w:pPr>
                </w:p>
              </w:tc>
              <w:tc>
                <w:tcPr>
                  <w:tcW w:w="424" w:type="pct"/>
                  <w:vMerge w:val="continue"/>
                  <w:vAlign w:val="center"/>
                </w:tcPr>
                <w:p w14:paraId="129506CD">
                  <w:pPr>
                    <w:adjustRightInd w:val="0"/>
                    <w:snapToGrid w:val="0"/>
                    <w:jc w:val="center"/>
                    <w:rPr>
                      <w:color w:val="auto"/>
                      <w:szCs w:val="21"/>
                    </w:rPr>
                  </w:pPr>
                </w:p>
              </w:tc>
              <w:tc>
                <w:tcPr>
                  <w:tcW w:w="1021" w:type="pct"/>
                  <w:gridSpan w:val="2"/>
                  <w:vAlign w:val="center"/>
                </w:tcPr>
                <w:p w14:paraId="7A32A795">
                  <w:pPr>
                    <w:adjustRightInd w:val="0"/>
                    <w:snapToGrid w:val="0"/>
                    <w:jc w:val="center"/>
                    <w:rPr>
                      <w:color w:val="auto"/>
                      <w:szCs w:val="21"/>
                    </w:rPr>
                  </w:pPr>
                  <w:r>
                    <w:rPr>
                      <w:rFonts w:hint="eastAsia"/>
                      <w:color w:val="auto"/>
                      <w:szCs w:val="21"/>
                    </w:rPr>
                    <w:t>打砂机</w:t>
                  </w:r>
                </w:p>
              </w:tc>
              <w:tc>
                <w:tcPr>
                  <w:tcW w:w="662" w:type="pct"/>
                  <w:vAlign w:val="center"/>
                </w:tcPr>
                <w:p w14:paraId="0453F96A">
                  <w:pPr>
                    <w:adjustRightInd w:val="0"/>
                    <w:snapToGrid w:val="0"/>
                    <w:jc w:val="center"/>
                    <w:rPr>
                      <w:color w:val="auto"/>
                      <w:kern w:val="0"/>
                      <w:szCs w:val="21"/>
                      <w:lang w:bidi="ar"/>
                    </w:rPr>
                  </w:pPr>
                  <w:r>
                    <w:rPr>
                      <w:color w:val="auto"/>
                      <w:kern w:val="0"/>
                      <w:szCs w:val="21"/>
                      <w:lang w:bidi="ar"/>
                    </w:rPr>
                    <w:t>功率</w:t>
                  </w:r>
                </w:p>
              </w:tc>
              <w:tc>
                <w:tcPr>
                  <w:tcW w:w="380" w:type="pct"/>
                  <w:vAlign w:val="center"/>
                </w:tcPr>
                <w:p w14:paraId="24941BC5">
                  <w:pPr>
                    <w:widowControl/>
                    <w:adjustRightInd w:val="0"/>
                    <w:snapToGrid w:val="0"/>
                    <w:jc w:val="center"/>
                    <w:textAlignment w:val="center"/>
                    <w:rPr>
                      <w:color w:val="auto"/>
                      <w:kern w:val="0"/>
                      <w:szCs w:val="21"/>
                      <w:lang w:bidi="ar"/>
                    </w:rPr>
                  </w:pPr>
                  <w:r>
                    <w:rPr>
                      <w:rFonts w:hint="eastAsia"/>
                      <w:color w:val="auto"/>
                      <w:kern w:val="0"/>
                      <w:szCs w:val="21"/>
                      <w:lang w:bidi="ar"/>
                    </w:rPr>
                    <w:t>kw</w:t>
                  </w:r>
                </w:p>
              </w:tc>
              <w:tc>
                <w:tcPr>
                  <w:tcW w:w="867" w:type="pct"/>
                  <w:vAlign w:val="center"/>
                </w:tcPr>
                <w:p w14:paraId="60FA1A3F">
                  <w:pPr>
                    <w:adjustRightInd w:val="0"/>
                    <w:snapToGrid w:val="0"/>
                    <w:jc w:val="center"/>
                    <w:rPr>
                      <w:color w:val="auto"/>
                      <w:szCs w:val="21"/>
                    </w:rPr>
                  </w:pPr>
                  <w:r>
                    <w:rPr>
                      <w:rFonts w:hint="eastAsia"/>
                      <w:color w:val="auto"/>
                      <w:szCs w:val="21"/>
                    </w:rPr>
                    <w:t>5.5</w:t>
                  </w:r>
                </w:p>
              </w:tc>
              <w:tc>
                <w:tcPr>
                  <w:tcW w:w="463" w:type="pct"/>
                  <w:vAlign w:val="center"/>
                </w:tcPr>
                <w:p w14:paraId="75CDE03D">
                  <w:pPr>
                    <w:widowControl/>
                    <w:adjustRightInd w:val="0"/>
                    <w:snapToGrid w:val="0"/>
                    <w:jc w:val="center"/>
                    <w:textAlignment w:val="center"/>
                    <w:rPr>
                      <w:color w:val="auto"/>
                      <w:kern w:val="0"/>
                      <w:szCs w:val="21"/>
                      <w:lang w:bidi="ar"/>
                    </w:rPr>
                  </w:pPr>
                  <w:r>
                    <w:rPr>
                      <w:rFonts w:hint="eastAsia"/>
                      <w:color w:val="auto"/>
                      <w:kern w:val="0"/>
                      <w:szCs w:val="21"/>
                      <w:lang w:bidi="ar"/>
                    </w:rPr>
                    <w:t>1台</w:t>
                  </w:r>
                </w:p>
              </w:tc>
              <w:tc>
                <w:tcPr>
                  <w:tcW w:w="468" w:type="pct"/>
                  <w:vMerge w:val="continue"/>
                  <w:vAlign w:val="center"/>
                </w:tcPr>
                <w:p w14:paraId="76207FF0">
                  <w:pPr>
                    <w:widowControl/>
                    <w:adjustRightInd w:val="0"/>
                    <w:snapToGrid w:val="0"/>
                    <w:jc w:val="center"/>
                    <w:rPr>
                      <w:color w:val="auto"/>
                      <w:kern w:val="0"/>
                      <w:szCs w:val="21"/>
                    </w:rPr>
                  </w:pPr>
                </w:p>
              </w:tc>
            </w:tr>
            <w:tr w14:paraId="3BB48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3F3DBB6B">
                  <w:pPr>
                    <w:widowControl/>
                    <w:adjustRightInd w:val="0"/>
                    <w:snapToGrid w:val="0"/>
                    <w:jc w:val="center"/>
                    <w:textAlignment w:val="center"/>
                    <w:rPr>
                      <w:color w:val="auto"/>
                      <w:kern w:val="0"/>
                      <w:szCs w:val="21"/>
                    </w:rPr>
                  </w:pPr>
                  <w:r>
                    <w:rPr>
                      <w:rFonts w:hint="eastAsia"/>
                      <w:color w:val="auto"/>
                      <w:kern w:val="0"/>
                      <w:szCs w:val="21"/>
                    </w:rPr>
                    <w:t>5</w:t>
                  </w:r>
                </w:p>
              </w:tc>
              <w:tc>
                <w:tcPr>
                  <w:tcW w:w="387" w:type="pct"/>
                  <w:vMerge w:val="continue"/>
                  <w:vAlign w:val="center"/>
                </w:tcPr>
                <w:p w14:paraId="3E4BDD53">
                  <w:pPr>
                    <w:adjustRightInd w:val="0"/>
                    <w:snapToGrid w:val="0"/>
                    <w:jc w:val="center"/>
                    <w:rPr>
                      <w:color w:val="auto"/>
                      <w:szCs w:val="21"/>
                    </w:rPr>
                  </w:pPr>
                </w:p>
              </w:tc>
              <w:tc>
                <w:tcPr>
                  <w:tcW w:w="424" w:type="pct"/>
                  <w:vMerge w:val="continue"/>
                  <w:vAlign w:val="center"/>
                </w:tcPr>
                <w:p w14:paraId="7F7690BD">
                  <w:pPr>
                    <w:adjustRightInd w:val="0"/>
                    <w:snapToGrid w:val="0"/>
                    <w:jc w:val="center"/>
                    <w:rPr>
                      <w:color w:val="auto"/>
                      <w:szCs w:val="21"/>
                    </w:rPr>
                  </w:pPr>
                </w:p>
              </w:tc>
              <w:tc>
                <w:tcPr>
                  <w:tcW w:w="1021" w:type="pct"/>
                  <w:gridSpan w:val="2"/>
                  <w:vAlign w:val="center"/>
                </w:tcPr>
                <w:p w14:paraId="029BAFD4">
                  <w:pPr>
                    <w:adjustRightInd w:val="0"/>
                    <w:snapToGrid w:val="0"/>
                    <w:jc w:val="center"/>
                    <w:rPr>
                      <w:color w:val="auto"/>
                      <w:szCs w:val="21"/>
                    </w:rPr>
                  </w:pPr>
                  <w:r>
                    <w:rPr>
                      <w:rFonts w:hint="eastAsia"/>
                      <w:color w:val="auto"/>
                      <w:szCs w:val="21"/>
                    </w:rPr>
                    <w:t>抛光机</w:t>
                  </w:r>
                </w:p>
              </w:tc>
              <w:tc>
                <w:tcPr>
                  <w:tcW w:w="662" w:type="pct"/>
                  <w:vAlign w:val="center"/>
                </w:tcPr>
                <w:p w14:paraId="29B51396">
                  <w:pPr>
                    <w:adjustRightInd w:val="0"/>
                    <w:snapToGrid w:val="0"/>
                    <w:jc w:val="center"/>
                    <w:rPr>
                      <w:color w:val="auto"/>
                      <w:kern w:val="0"/>
                      <w:szCs w:val="21"/>
                      <w:lang w:bidi="ar"/>
                    </w:rPr>
                  </w:pPr>
                  <w:r>
                    <w:rPr>
                      <w:color w:val="auto"/>
                      <w:kern w:val="0"/>
                      <w:szCs w:val="21"/>
                      <w:lang w:bidi="ar"/>
                    </w:rPr>
                    <w:t>功率</w:t>
                  </w:r>
                </w:p>
              </w:tc>
              <w:tc>
                <w:tcPr>
                  <w:tcW w:w="380" w:type="pct"/>
                  <w:vAlign w:val="center"/>
                </w:tcPr>
                <w:p w14:paraId="22BD247C">
                  <w:pPr>
                    <w:widowControl/>
                    <w:adjustRightInd w:val="0"/>
                    <w:snapToGrid w:val="0"/>
                    <w:jc w:val="center"/>
                    <w:textAlignment w:val="center"/>
                    <w:rPr>
                      <w:color w:val="auto"/>
                      <w:kern w:val="0"/>
                      <w:szCs w:val="21"/>
                      <w:lang w:bidi="ar"/>
                    </w:rPr>
                  </w:pPr>
                  <w:r>
                    <w:rPr>
                      <w:rFonts w:hint="eastAsia"/>
                      <w:color w:val="auto"/>
                      <w:kern w:val="0"/>
                      <w:szCs w:val="21"/>
                      <w:lang w:bidi="ar"/>
                    </w:rPr>
                    <w:t>kw</w:t>
                  </w:r>
                </w:p>
              </w:tc>
              <w:tc>
                <w:tcPr>
                  <w:tcW w:w="867" w:type="pct"/>
                  <w:vAlign w:val="center"/>
                </w:tcPr>
                <w:p w14:paraId="4D2D5BFF">
                  <w:pPr>
                    <w:adjustRightInd w:val="0"/>
                    <w:snapToGrid w:val="0"/>
                    <w:jc w:val="center"/>
                    <w:rPr>
                      <w:color w:val="auto"/>
                      <w:szCs w:val="21"/>
                    </w:rPr>
                  </w:pPr>
                  <w:r>
                    <w:rPr>
                      <w:rFonts w:hint="eastAsia"/>
                      <w:color w:val="auto"/>
                      <w:szCs w:val="21"/>
                    </w:rPr>
                    <w:t>2.2</w:t>
                  </w:r>
                </w:p>
              </w:tc>
              <w:tc>
                <w:tcPr>
                  <w:tcW w:w="463" w:type="pct"/>
                  <w:vAlign w:val="center"/>
                </w:tcPr>
                <w:p w14:paraId="602F3341">
                  <w:pPr>
                    <w:widowControl/>
                    <w:adjustRightInd w:val="0"/>
                    <w:snapToGrid w:val="0"/>
                    <w:jc w:val="center"/>
                    <w:textAlignment w:val="center"/>
                    <w:rPr>
                      <w:color w:val="auto"/>
                      <w:kern w:val="0"/>
                      <w:szCs w:val="21"/>
                      <w:lang w:bidi="ar"/>
                    </w:rPr>
                  </w:pPr>
                  <w:r>
                    <w:rPr>
                      <w:rFonts w:hint="eastAsia"/>
                      <w:color w:val="auto"/>
                      <w:kern w:val="0"/>
                      <w:szCs w:val="21"/>
                      <w:lang w:bidi="ar"/>
                    </w:rPr>
                    <w:t>1台</w:t>
                  </w:r>
                </w:p>
              </w:tc>
              <w:tc>
                <w:tcPr>
                  <w:tcW w:w="468" w:type="pct"/>
                  <w:vMerge w:val="continue"/>
                  <w:vAlign w:val="center"/>
                </w:tcPr>
                <w:p w14:paraId="0DCE3ADA">
                  <w:pPr>
                    <w:widowControl/>
                    <w:adjustRightInd w:val="0"/>
                    <w:snapToGrid w:val="0"/>
                    <w:jc w:val="center"/>
                    <w:rPr>
                      <w:color w:val="auto"/>
                      <w:szCs w:val="21"/>
                    </w:rPr>
                  </w:pPr>
                </w:p>
              </w:tc>
            </w:tr>
            <w:tr w14:paraId="72CAB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Merge w:val="restart"/>
                  <w:vAlign w:val="center"/>
                </w:tcPr>
                <w:p w14:paraId="17F0DE84">
                  <w:pPr>
                    <w:widowControl/>
                    <w:adjustRightInd w:val="0"/>
                    <w:snapToGrid w:val="0"/>
                    <w:jc w:val="center"/>
                    <w:textAlignment w:val="center"/>
                    <w:rPr>
                      <w:color w:val="auto"/>
                      <w:kern w:val="0"/>
                      <w:szCs w:val="21"/>
                    </w:rPr>
                  </w:pPr>
                  <w:r>
                    <w:rPr>
                      <w:rFonts w:hint="eastAsia"/>
                      <w:color w:val="auto"/>
                      <w:kern w:val="0"/>
                      <w:szCs w:val="21"/>
                    </w:rPr>
                    <w:t>6</w:t>
                  </w:r>
                </w:p>
              </w:tc>
              <w:tc>
                <w:tcPr>
                  <w:tcW w:w="387" w:type="pct"/>
                  <w:vMerge w:val="restart"/>
                  <w:vAlign w:val="center"/>
                </w:tcPr>
                <w:p w14:paraId="0E9530B8">
                  <w:pPr>
                    <w:adjustRightInd w:val="0"/>
                    <w:snapToGrid w:val="0"/>
                    <w:jc w:val="center"/>
                    <w:rPr>
                      <w:color w:val="auto"/>
                      <w:szCs w:val="21"/>
                    </w:rPr>
                  </w:pPr>
                  <w:r>
                    <w:rPr>
                      <w:color w:val="auto"/>
                      <w:szCs w:val="21"/>
                    </w:rPr>
                    <w:t>前处理</w:t>
                  </w:r>
                </w:p>
              </w:tc>
              <w:tc>
                <w:tcPr>
                  <w:tcW w:w="424" w:type="pct"/>
                  <w:vMerge w:val="restart"/>
                  <w:vAlign w:val="center"/>
                </w:tcPr>
                <w:p w14:paraId="0C7AB041">
                  <w:pPr>
                    <w:adjustRightInd w:val="0"/>
                    <w:snapToGrid w:val="0"/>
                    <w:jc w:val="center"/>
                    <w:rPr>
                      <w:color w:val="auto"/>
                      <w:szCs w:val="21"/>
                    </w:rPr>
                  </w:pPr>
                  <w:r>
                    <w:rPr>
                      <w:color w:val="auto"/>
                      <w:szCs w:val="21"/>
                    </w:rPr>
                    <w:t>前处理</w:t>
                  </w:r>
                  <w:r>
                    <w:rPr>
                      <w:rFonts w:hint="eastAsia"/>
                      <w:color w:val="auto"/>
                    </w:rPr>
                    <w:t>（半自动）</w:t>
                  </w:r>
                </w:p>
              </w:tc>
              <w:tc>
                <w:tcPr>
                  <w:tcW w:w="230" w:type="pct"/>
                  <w:vMerge w:val="restart"/>
                  <w:vAlign w:val="center"/>
                </w:tcPr>
                <w:p w14:paraId="59C863EF">
                  <w:pPr>
                    <w:adjustRightInd w:val="0"/>
                    <w:snapToGrid w:val="0"/>
                    <w:jc w:val="center"/>
                    <w:rPr>
                      <w:color w:val="auto"/>
                      <w:szCs w:val="21"/>
                    </w:rPr>
                  </w:pPr>
                  <w:r>
                    <w:rPr>
                      <w:color w:val="auto"/>
                      <w:szCs w:val="21"/>
                    </w:rPr>
                    <w:t>其中</w:t>
                  </w:r>
                </w:p>
              </w:tc>
              <w:tc>
                <w:tcPr>
                  <w:tcW w:w="791" w:type="pct"/>
                  <w:vMerge w:val="restart"/>
                  <w:vAlign w:val="center"/>
                </w:tcPr>
                <w:p w14:paraId="77AEBC1C">
                  <w:pPr>
                    <w:adjustRightInd w:val="0"/>
                    <w:snapToGrid w:val="0"/>
                    <w:jc w:val="center"/>
                    <w:rPr>
                      <w:color w:val="auto"/>
                      <w:szCs w:val="21"/>
                    </w:rPr>
                  </w:pPr>
                  <w:r>
                    <w:rPr>
                      <w:rFonts w:hint="eastAsia"/>
                      <w:color w:val="auto"/>
                      <w:szCs w:val="21"/>
                    </w:rPr>
                    <w:t>除油槽</w:t>
                  </w:r>
                </w:p>
              </w:tc>
              <w:tc>
                <w:tcPr>
                  <w:tcW w:w="662" w:type="pct"/>
                  <w:vAlign w:val="center"/>
                </w:tcPr>
                <w:p w14:paraId="05737AC8">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3A3A00D5">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5E3EAB5E">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254113A3">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restart"/>
                  <w:vAlign w:val="center"/>
                </w:tcPr>
                <w:p w14:paraId="4C9B0990">
                  <w:pPr>
                    <w:widowControl/>
                    <w:adjustRightInd w:val="0"/>
                    <w:snapToGrid w:val="0"/>
                    <w:jc w:val="center"/>
                    <w:rPr>
                      <w:color w:val="auto"/>
                      <w:szCs w:val="21"/>
                    </w:rPr>
                  </w:pPr>
                  <w:r>
                    <w:rPr>
                      <w:rFonts w:hint="eastAsia"/>
                      <w:color w:val="auto"/>
                      <w:szCs w:val="21"/>
                    </w:rPr>
                    <w:t>6楼前处理车间</w:t>
                  </w:r>
                </w:p>
              </w:tc>
            </w:tr>
            <w:tr w14:paraId="39638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Merge w:val="continue"/>
                  <w:vAlign w:val="center"/>
                </w:tcPr>
                <w:p w14:paraId="672A9B1C">
                  <w:pPr>
                    <w:widowControl/>
                    <w:adjustRightInd w:val="0"/>
                    <w:snapToGrid w:val="0"/>
                    <w:jc w:val="center"/>
                    <w:textAlignment w:val="center"/>
                    <w:rPr>
                      <w:color w:val="auto"/>
                      <w:kern w:val="0"/>
                      <w:szCs w:val="21"/>
                    </w:rPr>
                  </w:pPr>
                </w:p>
              </w:tc>
              <w:tc>
                <w:tcPr>
                  <w:tcW w:w="387" w:type="pct"/>
                  <w:vMerge w:val="continue"/>
                  <w:vAlign w:val="center"/>
                </w:tcPr>
                <w:p w14:paraId="688D7F46">
                  <w:pPr>
                    <w:adjustRightInd w:val="0"/>
                    <w:snapToGrid w:val="0"/>
                    <w:jc w:val="center"/>
                    <w:rPr>
                      <w:color w:val="auto"/>
                      <w:szCs w:val="21"/>
                    </w:rPr>
                  </w:pPr>
                </w:p>
              </w:tc>
              <w:tc>
                <w:tcPr>
                  <w:tcW w:w="424" w:type="pct"/>
                  <w:vMerge w:val="continue"/>
                  <w:vAlign w:val="center"/>
                </w:tcPr>
                <w:p w14:paraId="1758952C">
                  <w:pPr>
                    <w:adjustRightInd w:val="0"/>
                    <w:snapToGrid w:val="0"/>
                    <w:jc w:val="center"/>
                    <w:rPr>
                      <w:color w:val="auto"/>
                      <w:szCs w:val="21"/>
                    </w:rPr>
                  </w:pPr>
                </w:p>
              </w:tc>
              <w:tc>
                <w:tcPr>
                  <w:tcW w:w="230" w:type="pct"/>
                  <w:vMerge w:val="continue"/>
                  <w:vAlign w:val="center"/>
                </w:tcPr>
                <w:p w14:paraId="3C5F6C50">
                  <w:pPr>
                    <w:adjustRightInd w:val="0"/>
                    <w:snapToGrid w:val="0"/>
                    <w:jc w:val="center"/>
                    <w:rPr>
                      <w:color w:val="auto"/>
                      <w:szCs w:val="21"/>
                    </w:rPr>
                  </w:pPr>
                </w:p>
              </w:tc>
              <w:tc>
                <w:tcPr>
                  <w:tcW w:w="791" w:type="pct"/>
                  <w:vMerge w:val="continue"/>
                  <w:vAlign w:val="center"/>
                </w:tcPr>
                <w:p w14:paraId="33CAFCCC">
                  <w:pPr>
                    <w:adjustRightInd w:val="0"/>
                    <w:snapToGrid w:val="0"/>
                    <w:jc w:val="center"/>
                    <w:rPr>
                      <w:color w:val="auto"/>
                      <w:szCs w:val="21"/>
                    </w:rPr>
                  </w:pPr>
                </w:p>
              </w:tc>
              <w:tc>
                <w:tcPr>
                  <w:tcW w:w="662" w:type="pct"/>
                  <w:vAlign w:val="center"/>
                </w:tcPr>
                <w:p w14:paraId="0D50FFBF">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776FE97F">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1B5DA64C">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72C18082">
                  <w:pPr>
                    <w:adjustRightInd w:val="0"/>
                    <w:snapToGrid w:val="0"/>
                    <w:jc w:val="center"/>
                    <w:rPr>
                      <w:color w:val="auto"/>
                      <w:kern w:val="0"/>
                      <w:szCs w:val="21"/>
                      <w:lang w:bidi="ar"/>
                    </w:rPr>
                  </w:pPr>
                </w:p>
              </w:tc>
              <w:tc>
                <w:tcPr>
                  <w:tcW w:w="468" w:type="pct"/>
                  <w:vMerge w:val="continue"/>
                  <w:vAlign w:val="center"/>
                </w:tcPr>
                <w:p w14:paraId="046BDF56">
                  <w:pPr>
                    <w:widowControl/>
                    <w:adjustRightInd w:val="0"/>
                    <w:snapToGrid w:val="0"/>
                    <w:jc w:val="center"/>
                    <w:rPr>
                      <w:color w:val="auto"/>
                      <w:szCs w:val="21"/>
                    </w:rPr>
                  </w:pPr>
                </w:p>
              </w:tc>
            </w:tr>
            <w:tr w14:paraId="15619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24" w:type="pct"/>
                  <w:vMerge w:val="restart"/>
                  <w:vAlign w:val="center"/>
                </w:tcPr>
                <w:p w14:paraId="3B2A0F3E">
                  <w:pPr>
                    <w:widowControl/>
                    <w:adjustRightInd w:val="0"/>
                    <w:snapToGrid w:val="0"/>
                    <w:jc w:val="center"/>
                    <w:textAlignment w:val="center"/>
                    <w:rPr>
                      <w:color w:val="auto"/>
                      <w:kern w:val="0"/>
                      <w:szCs w:val="21"/>
                    </w:rPr>
                  </w:pPr>
                  <w:r>
                    <w:rPr>
                      <w:rFonts w:hint="eastAsia"/>
                      <w:color w:val="auto"/>
                      <w:kern w:val="0"/>
                      <w:szCs w:val="21"/>
                    </w:rPr>
                    <w:t>7</w:t>
                  </w:r>
                </w:p>
                <w:p w14:paraId="579798B6">
                  <w:pPr>
                    <w:widowControl/>
                    <w:adjustRightInd w:val="0"/>
                    <w:snapToGrid w:val="0"/>
                    <w:jc w:val="center"/>
                    <w:textAlignment w:val="center"/>
                    <w:rPr>
                      <w:color w:val="auto"/>
                      <w:kern w:val="0"/>
                      <w:szCs w:val="21"/>
                    </w:rPr>
                  </w:pPr>
                </w:p>
              </w:tc>
              <w:tc>
                <w:tcPr>
                  <w:tcW w:w="387" w:type="pct"/>
                  <w:vMerge w:val="continue"/>
                  <w:vAlign w:val="center"/>
                </w:tcPr>
                <w:p w14:paraId="6DCA5A20">
                  <w:pPr>
                    <w:adjustRightInd w:val="0"/>
                    <w:snapToGrid w:val="0"/>
                    <w:jc w:val="center"/>
                    <w:rPr>
                      <w:color w:val="auto"/>
                      <w:szCs w:val="21"/>
                    </w:rPr>
                  </w:pPr>
                </w:p>
              </w:tc>
              <w:tc>
                <w:tcPr>
                  <w:tcW w:w="424" w:type="pct"/>
                  <w:vMerge w:val="continue"/>
                  <w:vAlign w:val="center"/>
                </w:tcPr>
                <w:p w14:paraId="06F07FEE">
                  <w:pPr>
                    <w:adjustRightInd w:val="0"/>
                    <w:snapToGrid w:val="0"/>
                    <w:jc w:val="center"/>
                    <w:rPr>
                      <w:color w:val="auto"/>
                      <w:szCs w:val="21"/>
                    </w:rPr>
                  </w:pPr>
                </w:p>
              </w:tc>
              <w:tc>
                <w:tcPr>
                  <w:tcW w:w="230" w:type="pct"/>
                  <w:vMerge w:val="continue"/>
                  <w:vAlign w:val="center"/>
                </w:tcPr>
                <w:p w14:paraId="53687C24">
                  <w:pPr>
                    <w:adjustRightInd w:val="0"/>
                    <w:snapToGrid w:val="0"/>
                    <w:jc w:val="center"/>
                    <w:rPr>
                      <w:color w:val="auto"/>
                      <w:szCs w:val="21"/>
                    </w:rPr>
                  </w:pPr>
                </w:p>
              </w:tc>
              <w:tc>
                <w:tcPr>
                  <w:tcW w:w="791" w:type="pct"/>
                  <w:vMerge w:val="restart"/>
                  <w:vAlign w:val="center"/>
                </w:tcPr>
                <w:p w14:paraId="6A6F5122">
                  <w:pPr>
                    <w:adjustRightInd w:val="0"/>
                    <w:snapToGrid w:val="0"/>
                    <w:jc w:val="center"/>
                    <w:rPr>
                      <w:color w:val="auto"/>
                      <w:szCs w:val="21"/>
                    </w:rPr>
                  </w:pPr>
                  <w:r>
                    <w:rPr>
                      <w:rFonts w:hint="eastAsia"/>
                      <w:color w:val="auto"/>
                      <w:szCs w:val="21"/>
                    </w:rPr>
                    <w:t>清洗槽1</w:t>
                  </w:r>
                </w:p>
              </w:tc>
              <w:tc>
                <w:tcPr>
                  <w:tcW w:w="662" w:type="pct"/>
                  <w:vAlign w:val="center"/>
                </w:tcPr>
                <w:p w14:paraId="4B88804F">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4EAF334F">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32504B05">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4D5AD92E">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314A95CD">
                  <w:pPr>
                    <w:widowControl/>
                    <w:adjustRightInd w:val="0"/>
                    <w:snapToGrid w:val="0"/>
                    <w:jc w:val="center"/>
                    <w:rPr>
                      <w:color w:val="auto"/>
                      <w:szCs w:val="21"/>
                    </w:rPr>
                  </w:pPr>
                </w:p>
              </w:tc>
            </w:tr>
            <w:tr w14:paraId="72EAB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24" w:type="pct"/>
                  <w:vMerge w:val="continue"/>
                  <w:vAlign w:val="center"/>
                </w:tcPr>
                <w:p w14:paraId="5BC4E84D">
                  <w:pPr>
                    <w:adjustRightInd w:val="0"/>
                    <w:snapToGrid w:val="0"/>
                    <w:jc w:val="center"/>
                    <w:rPr>
                      <w:color w:val="auto"/>
                    </w:rPr>
                  </w:pPr>
                </w:p>
              </w:tc>
              <w:tc>
                <w:tcPr>
                  <w:tcW w:w="387" w:type="pct"/>
                  <w:vMerge w:val="continue"/>
                  <w:vAlign w:val="center"/>
                </w:tcPr>
                <w:p w14:paraId="2C10AB70">
                  <w:pPr>
                    <w:adjustRightInd w:val="0"/>
                    <w:snapToGrid w:val="0"/>
                    <w:jc w:val="center"/>
                    <w:rPr>
                      <w:color w:val="auto"/>
                    </w:rPr>
                  </w:pPr>
                </w:p>
              </w:tc>
              <w:tc>
                <w:tcPr>
                  <w:tcW w:w="424" w:type="pct"/>
                  <w:vMerge w:val="continue"/>
                  <w:vAlign w:val="center"/>
                </w:tcPr>
                <w:p w14:paraId="168DBCE2">
                  <w:pPr>
                    <w:adjustRightInd w:val="0"/>
                    <w:snapToGrid w:val="0"/>
                    <w:jc w:val="center"/>
                    <w:rPr>
                      <w:color w:val="auto"/>
                    </w:rPr>
                  </w:pPr>
                </w:p>
              </w:tc>
              <w:tc>
                <w:tcPr>
                  <w:tcW w:w="230" w:type="pct"/>
                  <w:vMerge w:val="continue"/>
                  <w:vAlign w:val="center"/>
                </w:tcPr>
                <w:p w14:paraId="5693F1BB">
                  <w:pPr>
                    <w:adjustRightInd w:val="0"/>
                    <w:snapToGrid w:val="0"/>
                    <w:jc w:val="center"/>
                    <w:rPr>
                      <w:color w:val="auto"/>
                    </w:rPr>
                  </w:pPr>
                </w:p>
              </w:tc>
              <w:tc>
                <w:tcPr>
                  <w:tcW w:w="791" w:type="pct"/>
                  <w:vMerge w:val="continue"/>
                  <w:vAlign w:val="center"/>
                </w:tcPr>
                <w:p w14:paraId="04AD85A7">
                  <w:pPr>
                    <w:adjustRightInd w:val="0"/>
                    <w:snapToGrid w:val="0"/>
                    <w:jc w:val="center"/>
                    <w:rPr>
                      <w:color w:val="auto"/>
                    </w:rPr>
                  </w:pPr>
                </w:p>
              </w:tc>
              <w:tc>
                <w:tcPr>
                  <w:tcW w:w="662" w:type="pct"/>
                  <w:vAlign w:val="center"/>
                </w:tcPr>
                <w:p w14:paraId="0FED0EAB">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1458760A">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20B50ECA">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5D0514DA">
                  <w:pPr>
                    <w:adjustRightInd w:val="0"/>
                    <w:snapToGrid w:val="0"/>
                    <w:jc w:val="center"/>
                    <w:rPr>
                      <w:color w:val="auto"/>
                      <w:kern w:val="0"/>
                      <w:szCs w:val="21"/>
                      <w:lang w:bidi="ar"/>
                    </w:rPr>
                  </w:pPr>
                </w:p>
              </w:tc>
              <w:tc>
                <w:tcPr>
                  <w:tcW w:w="468" w:type="pct"/>
                  <w:vMerge w:val="continue"/>
                  <w:vAlign w:val="center"/>
                </w:tcPr>
                <w:p w14:paraId="26FDD540">
                  <w:pPr>
                    <w:adjustRightInd w:val="0"/>
                    <w:snapToGrid w:val="0"/>
                    <w:jc w:val="center"/>
                    <w:rPr>
                      <w:color w:val="auto"/>
                      <w:kern w:val="0"/>
                      <w:szCs w:val="21"/>
                      <w:lang w:bidi="ar"/>
                    </w:rPr>
                  </w:pPr>
                </w:p>
              </w:tc>
            </w:tr>
            <w:tr w14:paraId="5981B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24" w:type="pct"/>
                  <w:vMerge w:val="restart"/>
                  <w:vAlign w:val="center"/>
                </w:tcPr>
                <w:p w14:paraId="320F761F">
                  <w:pPr>
                    <w:widowControl/>
                    <w:adjustRightInd w:val="0"/>
                    <w:snapToGrid w:val="0"/>
                    <w:jc w:val="center"/>
                    <w:textAlignment w:val="center"/>
                    <w:rPr>
                      <w:color w:val="auto"/>
                      <w:kern w:val="0"/>
                      <w:szCs w:val="21"/>
                    </w:rPr>
                  </w:pPr>
                  <w:r>
                    <w:rPr>
                      <w:rFonts w:hint="eastAsia"/>
                      <w:color w:val="auto"/>
                      <w:kern w:val="0"/>
                      <w:szCs w:val="21"/>
                    </w:rPr>
                    <w:t>8</w:t>
                  </w:r>
                </w:p>
                <w:p w14:paraId="163341D4">
                  <w:pPr>
                    <w:widowControl/>
                    <w:adjustRightInd w:val="0"/>
                    <w:snapToGrid w:val="0"/>
                    <w:jc w:val="center"/>
                    <w:textAlignment w:val="center"/>
                    <w:rPr>
                      <w:color w:val="auto"/>
                      <w:kern w:val="0"/>
                      <w:szCs w:val="21"/>
                    </w:rPr>
                  </w:pPr>
                </w:p>
              </w:tc>
              <w:tc>
                <w:tcPr>
                  <w:tcW w:w="387" w:type="pct"/>
                  <w:vMerge w:val="continue"/>
                  <w:vAlign w:val="center"/>
                </w:tcPr>
                <w:p w14:paraId="47712F31">
                  <w:pPr>
                    <w:adjustRightInd w:val="0"/>
                    <w:snapToGrid w:val="0"/>
                    <w:jc w:val="center"/>
                    <w:rPr>
                      <w:color w:val="auto"/>
                      <w:szCs w:val="21"/>
                    </w:rPr>
                  </w:pPr>
                </w:p>
              </w:tc>
              <w:tc>
                <w:tcPr>
                  <w:tcW w:w="424" w:type="pct"/>
                  <w:vMerge w:val="continue"/>
                  <w:vAlign w:val="center"/>
                </w:tcPr>
                <w:p w14:paraId="5C2C4816">
                  <w:pPr>
                    <w:adjustRightInd w:val="0"/>
                    <w:snapToGrid w:val="0"/>
                    <w:jc w:val="center"/>
                    <w:rPr>
                      <w:color w:val="auto"/>
                      <w:szCs w:val="21"/>
                    </w:rPr>
                  </w:pPr>
                </w:p>
              </w:tc>
              <w:tc>
                <w:tcPr>
                  <w:tcW w:w="230" w:type="pct"/>
                  <w:vMerge w:val="continue"/>
                  <w:vAlign w:val="center"/>
                </w:tcPr>
                <w:p w14:paraId="29D6534D">
                  <w:pPr>
                    <w:adjustRightInd w:val="0"/>
                    <w:snapToGrid w:val="0"/>
                    <w:jc w:val="center"/>
                    <w:rPr>
                      <w:color w:val="auto"/>
                      <w:szCs w:val="21"/>
                    </w:rPr>
                  </w:pPr>
                </w:p>
              </w:tc>
              <w:tc>
                <w:tcPr>
                  <w:tcW w:w="791" w:type="pct"/>
                  <w:vMerge w:val="restart"/>
                  <w:vAlign w:val="center"/>
                </w:tcPr>
                <w:p w14:paraId="1E468C9D">
                  <w:pPr>
                    <w:adjustRightInd w:val="0"/>
                    <w:snapToGrid w:val="0"/>
                    <w:jc w:val="center"/>
                    <w:rPr>
                      <w:color w:val="auto"/>
                      <w:szCs w:val="21"/>
                    </w:rPr>
                  </w:pPr>
                  <w:r>
                    <w:rPr>
                      <w:rFonts w:hint="eastAsia"/>
                      <w:color w:val="auto"/>
                      <w:szCs w:val="21"/>
                    </w:rPr>
                    <w:t>除锈槽</w:t>
                  </w:r>
                </w:p>
              </w:tc>
              <w:tc>
                <w:tcPr>
                  <w:tcW w:w="662" w:type="pct"/>
                  <w:vAlign w:val="center"/>
                </w:tcPr>
                <w:p w14:paraId="138D1C22">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277D0790">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0297F688">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1AD9835E">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25917D53">
                  <w:pPr>
                    <w:widowControl/>
                    <w:adjustRightInd w:val="0"/>
                    <w:snapToGrid w:val="0"/>
                    <w:jc w:val="center"/>
                    <w:rPr>
                      <w:color w:val="auto"/>
                      <w:szCs w:val="21"/>
                    </w:rPr>
                  </w:pPr>
                </w:p>
              </w:tc>
            </w:tr>
            <w:tr w14:paraId="10164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24" w:type="pct"/>
                  <w:vMerge w:val="continue"/>
                  <w:vAlign w:val="center"/>
                </w:tcPr>
                <w:p w14:paraId="5F7A6EEB">
                  <w:pPr>
                    <w:adjustRightInd w:val="0"/>
                    <w:snapToGrid w:val="0"/>
                    <w:jc w:val="center"/>
                    <w:rPr>
                      <w:color w:val="auto"/>
                    </w:rPr>
                  </w:pPr>
                </w:p>
              </w:tc>
              <w:tc>
                <w:tcPr>
                  <w:tcW w:w="387" w:type="pct"/>
                  <w:vMerge w:val="continue"/>
                  <w:vAlign w:val="center"/>
                </w:tcPr>
                <w:p w14:paraId="76FE18D1">
                  <w:pPr>
                    <w:adjustRightInd w:val="0"/>
                    <w:snapToGrid w:val="0"/>
                    <w:jc w:val="center"/>
                    <w:rPr>
                      <w:color w:val="auto"/>
                    </w:rPr>
                  </w:pPr>
                </w:p>
              </w:tc>
              <w:tc>
                <w:tcPr>
                  <w:tcW w:w="424" w:type="pct"/>
                  <w:vMerge w:val="continue"/>
                  <w:vAlign w:val="center"/>
                </w:tcPr>
                <w:p w14:paraId="0D0AF5E7">
                  <w:pPr>
                    <w:adjustRightInd w:val="0"/>
                    <w:snapToGrid w:val="0"/>
                    <w:jc w:val="center"/>
                    <w:rPr>
                      <w:color w:val="auto"/>
                    </w:rPr>
                  </w:pPr>
                </w:p>
              </w:tc>
              <w:tc>
                <w:tcPr>
                  <w:tcW w:w="230" w:type="pct"/>
                  <w:vMerge w:val="continue"/>
                  <w:vAlign w:val="center"/>
                </w:tcPr>
                <w:p w14:paraId="788848A6">
                  <w:pPr>
                    <w:adjustRightInd w:val="0"/>
                    <w:snapToGrid w:val="0"/>
                    <w:jc w:val="center"/>
                    <w:rPr>
                      <w:color w:val="auto"/>
                    </w:rPr>
                  </w:pPr>
                </w:p>
              </w:tc>
              <w:tc>
                <w:tcPr>
                  <w:tcW w:w="791" w:type="pct"/>
                  <w:vMerge w:val="continue"/>
                  <w:vAlign w:val="center"/>
                </w:tcPr>
                <w:p w14:paraId="1F580F2E">
                  <w:pPr>
                    <w:adjustRightInd w:val="0"/>
                    <w:snapToGrid w:val="0"/>
                    <w:jc w:val="center"/>
                    <w:rPr>
                      <w:color w:val="auto"/>
                    </w:rPr>
                  </w:pPr>
                </w:p>
              </w:tc>
              <w:tc>
                <w:tcPr>
                  <w:tcW w:w="662" w:type="pct"/>
                  <w:vAlign w:val="center"/>
                </w:tcPr>
                <w:p w14:paraId="104B0964">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29B40537">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7A38D82F">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71CA6EAB">
                  <w:pPr>
                    <w:adjustRightInd w:val="0"/>
                    <w:snapToGrid w:val="0"/>
                    <w:jc w:val="center"/>
                    <w:rPr>
                      <w:color w:val="auto"/>
                      <w:kern w:val="0"/>
                      <w:szCs w:val="21"/>
                      <w:lang w:bidi="ar"/>
                    </w:rPr>
                  </w:pPr>
                </w:p>
              </w:tc>
              <w:tc>
                <w:tcPr>
                  <w:tcW w:w="468" w:type="pct"/>
                  <w:vMerge w:val="continue"/>
                  <w:vAlign w:val="center"/>
                </w:tcPr>
                <w:p w14:paraId="7E049007">
                  <w:pPr>
                    <w:adjustRightInd w:val="0"/>
                    <w:snapToGrid w:val="0"/>
                    <w:jc w:val="center"/>
                    <w:rPr>
                      <w:color w:val="auto"/>
                      <w:kern w:val="0"/>
                      <w:szCs w:val="21"/>
                      <w:lang w:bidi="ar"/>
                    </w:rPr>
                  </w:pPr>
                </w:p>
              </w:tc>
            </w:tr>
            <w:tr w14:paraId="060FB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423EFC2C">
                  <w:pPr>
                    <w:widowControl/>
                    <w:adjustRightInd w:val="0"/>
                    <w:snapToGrid w:val="0"/>
                    <w:jc w:val="center"/>
                    <w:textAlignment w:val="center"/>
                    <w:rPr>
                      <w:color w:val="auto"/>
                      <w:kern w:val="0"/>
                      <w:szCs w:val="21"/>
                    </w:rPr>
                  </w:pPr>
                  <w:r>
                    <w:rPr>
                      <w:rFonts w:hint="eastAsia"/>
                      <w:color w:val="auto"/>
                      <w:kern w:val="0"/>
                      <w:szCs w:val="21"/>
                    </w:rPr>
                    <w:t>9</w:t>
                  </w:r>
                </w:p>
                <w:p w14:paraId="055CFBF4">
                  <w:pPr>
                    <w:widowControl/>
                    <w:adjustRightInd w:val="0"/>
                    <w:snapToGrid w:val="0"/>
                    <w:jc w:val="center"/>
                    <w:textAlignment w:val="center"/>
                    <w:rPr>
                      <w:color w:val="auto"/>
                      <w:kern w:val="0"/>
                      <w:szCs w:val="21"/>
                    </w:rPr>
                  </w:pPr>
                </w:p>
              </w:tc>
              <w:tc>
                <w:tcPr>
                  <w:tcW w:w="387" w:type="pct"/>
                  <w:vMerge w:val="continue"/>
                  <w:vAlign w:val="center"/>
                </w:tcPr>
                <w:p w14:paraId="5B3A7C8E">
                  <w:pPr>
                    <w:adjustRightInd w:val="0"/>
                    <w:snapToGrid w:val="0"/>
                    <w:jc w:val="center"/>
                    <w:rPr>
                      <w:color w:val="auto"/>
                      <w:szCs w:val="21"/>
                    </w:rPr>
                  </w:pPr>
                </w:p>
              </w:tc>
              <w:tc>
                <w:tcPr>
                  <w:tcW w:w="424" w:type="pct"/>
                  <w:vMerge w:val="continue"/>
                  <w:vAlign w:val="center"/>
                </w:tcPr>
                <w:p w14:paraId="6DC94746">
                  <w:pPr>
                    <w:adjustRightInd w:val="0"/>
                    <w:snapToGrid w:val="0"/>
                    <w:jc w:val="center"/>
                    <w:rPr>
                      <w:color w:val="auto"/>
                      <w:szCs w:val="21"/>
                    </w:rPr>
                  </w:pPr>
                </w:p>
              </w:tc>
              <w:tc>
                <w:tcPr>
                  <w:tcW w:w="230" w:type="pct"/>
                  <w:vMerge w:val="continue"/>
                  <w:vAlign w:val="center"/>
                </w:tcPr>
                <w:p w14:paraId="5DC033A7">
                  <w:pPr>
                    <w:adjustRightInd w:val="0"/>
                    <w:snapToGrid w:val="0"/>
                    <w:jc w:val="center"/>
                    <w:rPr>
                      <w:color w:val="auto"/>
                      <w:szCs w:val="21"/>
                    </w:rPr>
                  </w:pPr>
                </w:p>
              </w:tc>
              <w:tc>
                <w:tcPr>
                  <w:tcW w:w="791" w:type="pct"/>
                  <w:vMerge w:val="restart"/>
                  <w:vAlign w:val="center"/>
                </w:tcPr>
                <w:p w14:paraId="318A64D0">
                  <w:pPr>
                    <w:adjustRightInd w:val="0"/>
                    <w:snapToGrid w:val="0"/>
                    <w:jc w:val="center"/>
                    <w:rPr>
                      <w:color w:val="auto"/>
                      <w:szCs w:val="21"/>
                    </w:rPr>
                  </w:pPr>
                  <w:r>
                    <w:rPr>
                      <w:rFonts w:hint="eastAsia"/>
                      <w:color w:val="auto"/>
                      <w:szCs w:val="21"/>
                    </w:rPr>
                    <w:t>脱脂槽</w:t>
                  </w:r>
                </w:p>
              </w:tc>
              <w:tc>
                <w:tcPr>
                  <w:tcW w:w="662" w:type="pct"/>
                  <w:vAlign w:val="center"/>
                </w:tcPr>
                <w:p w14:paraId="254A3C8E">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2C01E7E2">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602989D7">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3499D48C">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0C7BD7BA">
                  <w:pPr>
                    <w:widowControl/>
                    <w:adjustRightInd w:val="0"/>
                    <w:snapToGrid w:val="0"/>
                    <w:jc w:val="center"/>
                    <w:rPr>
                      <w:color w:val="auto"/>
                      <w:szCs w:val="21"/>
                    </w:rPr>
                  </w:pPr>
                </w:p>
              </w:tc>
            </w:tr>
            <w:tr w14:paraId="766FB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250777D7">
                  <w:pPr>
                    <w:adjustRightInd w:val="0"/>
                    <w:snapToGrid w:val="0"/>
                    <w:jc w:val="center"/>
                    <w:rPr>
                      <w:color w:val="auto"/>
                    </w:rPr>
                  </w:pPr>
                </w:p>
              </w:tc>
              <w:tc>
                <w:tcPr>
                  <w:tcW w:w="387" w:type="pct"/>
                  <w:vMerge w:val="continue"/>
                  <w:vAlign w:val="center"/>
                </w:tcPr>
                <w:p w14:paraId="2A8D3C76">
                  <w:pPr>
                    <w:adjustRightInd w:val="0"/>
                    <w:snapToGrid w:val="0"/>
                    <w:jc w:val="center"/>
                    <w:rPr>
                      <w:color w:val="auto"/>
                    </w:rPr>
                  </w:pPr>
                </w:p>
              </w:tc>
              <w:tc>
                <w:tcPr>
                  <w:tcW w:w="424" w:type="pct"/>
                  <w:vMerge w:val="continue"/>
                  <w:vAlign w:val="center"/>
                </w:tcPr>
                <w:p w14:paraId="07554E0B">
                  <w:pPr>
                    <w:adjustRightInd w:val="0"/>
                    <w:snapToGrid w:val="0"/>
                    <w:jc w:val="center"/>
                    <w:rPr>
                      <w:color w:val="auto"/>
                    </w:rPr>
                  </w:pPr>
                </w:p>
              </w:tc>
              <w:tc>
                <w:tcPr>
                  <w:tcW w:w="230" w:type="pct"/>
                  <w:vMerge w:val="continue"/>
                  <w:vAlign w:val="center"/>
                </w:tcPr>
                <w:p w14:paraId="6E9FA0EF">
                  <w:pPr>
                    <w:adjustRightInd w:val="0"/>
                    <w:snapToGrid w:val="0"/>
                    <w:jc w:val="center"/>
                    <w:rPr>
                      <w:color w:val="auto"/>
                    </w:rPr>
                  </w:pPr>
                </w:p>
              </w:tc>
              <w:tc>
                <w:tcPr>
                  <w:tcW w:w="791" w:type="pct"/>
                  <w:vMerge w:val="continue"/>
                  <w:vAlign w:val="center"/>
                </w:tcPr>
                <w:p w14:paraId="7CEDDFB7">
                  <w:pPr>
                    <w:adjustRightInd w:val="0"/>
                    <w:snapToGrid w:val="0"/>
                    <w:jc w:val="center"/>
                    <w:rPr>
                      <w:color w:val="auto"/>
                    </w:rPr>
                  </w:pPr>
                </w:p>
              </w:tc>
              <w:tc>
                <w:tcPr>
                  <w:tcW w:w="662" w:type="pct"/>
                  <w:vAlign w:val="center"/>
                </w:tcPr>
                <w:p w14:paraId="4CAC6917">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0D4869B5">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2E0BE9C5">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1A13FA11">
                  <w:pPr>
                    <w:adjustRightInd w:val="0"/>
                    <w:snapToGrid w:val="0"/>
                    <w:jc w:val="center"/>
                    <w:rPr>
                      <w:color w:val="auto"/>
                      <w:kern w:val="0"/>
                      <w:szCs w:val="21"/>
                      <w:lang w:bidi="ar"/>
                    </w:rPr>
                  </w:pPr>
                </w:p>
              </w:tc>
              <w:tc>
                <w:tcPr>
                  <w:tcW w:w="468" w:type="pct"/>
                  <w:vMerge w:val="continue"/>
                  <w:vAlign w:val="center"/>
                </w:tcPr>
                <w:p w14:paraId="0B6D2D4E">
                  <w:pPr>
                    <w:adjustRightInd w:val="0"/>
                    <w:snapToGrid w:val="0"/>
                    <w:jc w:val="center"/>
                    <w:rPr>
                      <w:color w:val="auto"/>
                      <w:kern w:val="0"/>
                      <w:szCs w:val="21"/>
                      <w:lang w:bidi="ar"/>
                    </w:rPr>
                  </w:pPr>
                </w:p>
              </w:tc>
            </w:tr>
            <w:tr w14:paraId="6EEE4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369755A7">
                  <w:pPr>
                    <w:widowControl/>
                    <w:adjustRightInd w:val="0"/>
                    <w:snapToGrid w:val="0"/>
                    <w:jc w:val="center"/>
                    <w:textAlignment w:val="center"/>
                    <w:rPr>
                      <w:color w:val="auto"/>
                      <w:kern w:val="0"/>
                      <w:szCs w:val="21"/>
                    </w:rPr>
                  </w:pPr>
                  <w:r>
                    <w:rPr>
                      <w:rFonts w:hint="eastAsia"/>
                      <w:color w:val="auto"/>
                      <w:kern w:val="0"/>
                      <w:szCs w:val="21"/>
                    </w:rPr>
                    <w:t>10</w:t>
                  </w:r>
                </w:p>
                <w:p w14:paraId="66BDA6D5">
                  <w:pPr>
                    <w:widowControl/>
                    <w:adjustRightInd w:val="0"/>
                    <w:snapToGrid w:val="0"/>
                    <w:jc w:val="center"/>
                    <w:textAlignment w:val="center"/>
                    <w:rPr>
                      <w:color w:val="auto"/>
                      <w:kern w:val="0"/>
                      <w:szCs w:val="21"/>
                    </w:rPr>
                  </w:pPr>
                </w:p>
              </w:tc>
              <w:tc>
                <w:tcPr>
                  <w:tcW w:w="387" w:type="pct"/>
                  <w:vMerge w:val="continue"/>
                  <w:vAlign w:val="center"/>
                </w:tcPr>
                <w:p w14:paraId="14B617F1">
                  <w:pPr>
                    <w:adjustRightInd w:val="0"/>
                    <w:snapToGrid w:val="0"/>
                    <w:jc w:val="center"/>
                    <w:rPr>
                      <w:color w:val="auto"/>
                      <w:szCs w:val="21"/>
                    </w:rPr>
                  </w:pPr>
                </w:p>
              </w:tc>
              <w:tc>
                <w:tcPr>
                  <w:tcW w:w="424" w:type="pct"/>
                  <w:vMerge w:val="continue"/>
                  <w:vAlign w:val="center"/>
                </w:tcPr>
                <w:p w14:paraId="28C134DF">
                  <w:pPr>
                    <w:adjustRightInd w:val="0"/>
                    <w:snapToGrid w:val="0"/>
                    <w:jc w:val="center"/>
                    <w:rPr>
                      <w:color w:val="auto"/>
                      <w:szCs w:val="21"/>
                    </w:rPr>
                  </w:pPr>
                </w:p>
              </w:tc>
              <w:tc>
                <w:tcPr>
                  <w:tcW w:w="230" w:type="pct"/>
                  <w:vMerge w:val="continue"/>
                  <w:vAlign w:val="center"/>
                </w:tcPr>
                <w:p w14:paraId="17160AF5">
                  <w:pPr>
                    <w:adjustRightInd w:val="0"/>
                    <w:snapToGrid w:val="0"/>
                    <w:jc w:val="center"/>
                    <w:rPr>
                      <w:color w:val="auto"/>
                      <w:szCs w:val="21"/>
                    </w:rPr>
                  </w:pPr>
                </w:p>
              </w:tc>
              <w:tc>
                <w:tcPr>
                  <w:tcW w:w="791" w:type="pct"/>
                  <w:vMerge w:val="restart"/>
                  <w:vAlign w:val="center"/>
                </w:tcPr>
                <w:p w14:paraId="43AF1878">
                  <w:pPr>
                    <w:adjustRightInd w:val="0"/>
                    <w:snapToGrid w:val="0"/>
                    <w:jc w:val="center"/>
                    <w:rPr>
                      <w:color w:val="auto"/>
                      <w:kern w:val="0"/>
                      <w:szCs w:val="21"/>
                      <w:lang w:bidi="ar"/>
                    </w:rPr>
                  </w:pPr>
                  <w:r>
                    <w:rPr>
                      <w:rFonts w:hint="eastAsia"/>
                      <w:color w:val="auto"/>
                      <w:szCs w:val="21"/>
                    </w:rPr>
                    <w:t>清洗槽2</w:t>
                  </w:r>
                </w:p>
              </w:tc>
              <w:tc>
                <w:tcPr>
                  <w:tcW w:w="662" w:type="pct"/>
                  <w:vAlign w:val="center"/>
                </w:tcPr>
                <w:p w14:paraId="2F4A87AA">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594356F4">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076BB273">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49A99728">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0A18A7E9">
                  <w:pPr>
                    <w:widowControl/>
                    <w:adjustRightInd w:val="0"/>
                    <w:snapToGrid w:val="0"/>
                    <w:jc w:val="center"/>
                    <w:rPr>
                      <w:color w:val="auto"/>
                      <w:szCs w:val="21"/>
                    </w:rPr>
                  </w:pPr>
                </w:p>
              </w:tc>
            </w:tr>
            <w:tr w14:paraId="38E00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46723C31">
                  <w:pPr>
                    <w:adjustRightInd w:val="0"/>
                    <w:snapToGrid w:val="0"/>
                    <w:jc w:val="center"/>
                    <w:rPr>
                      <w:color w:val="auto"/>
                    </w:rPr>
                  </w:pPr>
                </w:p>
              </w:tc>
              <w:tc>
                <w:tcPr>
                  <w:tcW w:w="387" w:type="pct"/>
                  <w:vMerge w:val="continue"/>
                  <w:vAlign w:val="center"/>
                </w:tcPr>
                <w:p w14:paraId="277C056F">
                  <w:pPr>
                    <w:adjustRightInd w:val="0"/>
                    <w:snapToGrid w:val="0"/>
                    <w:jc w:val="center"/>
                    <w:rPr>
                      <w:color w:val="auto"/>
                    </w:rPr>
                  </w:pPr>
                </w:p>
              </w:tc>
              <w:tc>
                <w:tcPr>
                  <w:tcW w:w="424" w:type="pct"/>
                  <w:vMerge w:val="continue"/>
                  <w:vAlign w:val="center"/>
                </w:tcPr>
                <w:p w14:paraId="5BE940CC">
                  <w:pPr>
                    <w:adjustRightInd w:val="0"/>
                    <w:snapToGrid w:val="0"/>
                    <w:jc w:val="center"/>
                    <w:rPr>
                      <w:color w:val="auto"/>
                    </w:rPr>
                  </w:pPr>
                </w:p>
              </w:tc>
              <w:tc>
                <w:tcPr>
                  <w:tcW w:w="230" w:type="pct"/>
                  <w:vMerge w:val="continue"/>
                  <w:vAlign w:val="center"/>
                </w:tcPr>
                <w:p w14:paraId="1E67CB45">
                  <w:pPr>
                    <w:adjustRightInd w:val="0"/>
                    <w:snapToGrid w:val="0"/>
                    <w:jc w:val="center"/>
                    <w:rPr>
                      <w:color w:val="auto"/>
                    </w:rPr>
                  </w:pPr>
                </w:p>
              </w:tc>
              <w:tc>
                <w:tcPr>
                  <w:tcW w:w="791" w:type="pct"/>
                  <w:vMerge w:val="continue"/>
                  <w:vAlign w:val="center"/>
                </w:tcPr>
                <w:p w14:paraId="0EEDE4E5">
                  <w:pPr>
                    <w:adjustRightInd w:val="0"/>
                    <w:snapToGrid w:val="0"/>
                    <w:jc w:val="center"/>
                    <w:rPr>
                      <w:color w:val="auto"/>
                    </w:rPr>
                  </w:pPr>
                </w:p>
              </w:tc>
              <w:tc>
                <w:tcPr>
                  <w:tcW w:w="662" w:type="pct"/>
                  <w:vAlign w:val="center"/>
                </w:tcPr>
                <w:p w14:paraId="5772DBF6">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6C6D641A">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3BA61D53">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6EBFD7EF">
                  <w:pPr>
                    <w:adjustRightInd w:val="0"/>
                    <w:snapToGrid w:val="0"/>
                    <w:jc w:val="center"/>
                    <w:rPr>
                      <w:color w:val="auto"/>
                      <w:kern w:val="0"/>
                      <w:szCs w:val="21"/>
                      <w:lang w:bidi="ar"/>
                    </w:rPr>
                  </w:pPr>
                </w:p>
              </w:tc>
              <w:tc>
                <w:tcPr>
                  <w:tcW w:w="468" w:type="pct"/>
                  <w:vMerge w:val="continue"/>
                  <w:vAlign w:val="center"/>
                </w:tcPr>
                <w:p w14:paraId="50CBE369">
                  <w:pPr>
                    <w:adjustRightInd w:val="0"/>
                    <w:snapToGrid w:val="0"/>
                    <w:jc w:val="center"/>
                    <w:rPr>
                      <w:color w:val="auto"/>
                      <w:kern w:val="0"/>
                      <w:szCs w:val="21"/>
                      <w:lang w:bidi="ar"/>
                    </w:rPr>
                  </w:pPr>
                </w:p>
              </w:tc>
            </w:tr>
            <w:tr w14:paraId="53681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05C977F3">
                  <w:pPr>
                    <w:widowControl/>
                    <w:adjustRightInd w:val="0"/>
                    <w:snapToGrid w:val="0"/>
                    <w:jc w:val="center"/>
                    <w:textAlignment w:val="center"/>
                    <w:rPr>
                      <w:color w:val="auto"/>
                      <w:kern w:val="0"/>
                      <w:szCs w:val="21"/>
                    </w:rPr>
                  </w:pPr>
                  <w:r>
                    <w:rPr>
                      <w:rFonts w:hint="eastAsia"/>
                      <w:color w:val="auto"/>
                      <w:kern w:val="0"/>
                      <w:szCs w:val="21"/>
                    </w:rPr>
                    <w:t>11</w:t>
                  </w:r>
                </w:p>
                <w:p w14:paraId="1D0B486C">
                  <w:pPr>
                    <w:widowControl/>
                    <w:adjustRightInd w:val="0"/>
                    <w:snapToGrid w:val="0"/>
                    <w:jc w:val="center"/>
                    <w:textAlignment w:val="center"/>
                    <w:rPr>
                      <w:color w:val="auto"/>
                      <w:kern w:val="0"/>
                      <w:szCs w:val="21"/>
                    </w:rPr>
                  </w:pPr>
                </w:p>
              </w:tc>
              <w:tc>
                <w:tcPr>
                  <w:tcW w:w="387" w:type="pct"/>
                  <w:vMerge w:val="continue"/>
                  <w:vAlign w:val="center"/>
                </w:tcPr>
                <w:p w14:paraId="54E611FA">
                  <w:pPr>
                    <w:adjustRightInd w:val="0"/>
                    <w:snapToGrid w:val="0"/>
                    <w:jc w:val="center"/>
                    <w:rPr>
                      <w:color w:val="auto"/>
                      <w:szCs w:val="21"/>
                    </w:rPr>
                  </w:pPr>
                </w:p>
              </w:tc>
              <w:tc>
                <w:tcPr>
                  <w:tcW w:w="424" w:type="pct"/>
                  <w:vMerge w:val="continue"/>
                  <w:vAlign w:val="center"/>
                </w:tcPr>
                <w:p w14:paraId="194C8D3F">
                  <w:pPr>
                    <w:adjustRightInd w:val="0"/>
                    <w:snapToGrid w:val="0"/>
                    <w:jc w:val="center"/>
                    <w:rPr>
                      <w:color w:val="auto"/>
                      <w:szCs w:val="21"/>
                    </w:rPr>
                  </w:pPr>
                </w:p>
              </w:tc>
              <w:tc>
                <w:tcPr>
                  <w:tcW w:w="230" w:type="pct"/>
                  <w:vMerge w:val="continue"/>
                  <w:vAlign w:val="center"/>
                </w:tcPr>
                <w:p w14:paraId="28D3732B">
                  <w:pPr>
                    <w:adjustRightInd w:val="0"/>
                    <w:snapToGrid w:val="0"/>
                    <w:jc w:val="center"/>
                    <w:rPr>
                      <w:color w:val="auto"/>
                      <w:szCs w:val="21"/>
                    </w:rPr>
                  </w:pPr>
                </w:p>
              </w:tc>
              <w:tc>
                <w:tcPr>
                  <w:tcW w:w="791" w:type="pct"/>
                  <w:vMerge w:val="restart"/>
                  <w:vAlign w:val="center"/>
                </w:tcPr>
                <w:p w14:paraId="52F604D3">
                  <w:pPr>
                    <w:adjustRightInd w:val="0"/>
                    <w:snapToGrid w:val="0"/>
                    <w:jc w:val="center"/>
                    <w:rPr>
                      <w:color w:val="auto"/>
                      <w:szCs w:val="21"/>
                    </w:rPr>
                  </w:pPr>
                  <w:r>
                    <w:rPr>
                      <w:rFonts w:hint="eastAsia"/>
                      <w:color w:val="auto"/>
                      <w:szCs w:val="21"/>
                    </w:rPr>
                    <w:t>清洗槽3</w:t>
                  </w:r>
                </w:p>
              </w:tc>
              <w:tc>
                <w:tcPr>
                  <w:tcW w:w="662" w:type="pct"/>
                  <w:vAlign w:val="center"/>
                </w:tcPr>
                <w:p w14:paraId="4323E214">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52A4E16C">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1A68C301">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400DBDE0">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6A3A2346">
                  <w:pPr>
                    <w:widowControl/>
                    <w:adjustRightInd w:val="0"/>
                    <w:snapToGrid w:val="0"/>
                    <w:jc w:val="center"/>
                    <w:rPr>
                      <w:color w:val="auto"/>
                      <w:szCs w:val="21"/>
                    </w:rPr>
                  </w:pPr>
                </w:p>
              </w:tc>
            </w:tr>
            <w:tr w14:paraId="533DB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5BAD2B14">
                  <w:pPr>
                    <w:adjustRightInd w:val="0"/>
                    <w:snapToGrid w:val="0"/>
                    <w:jc w:val="center"/>
                    <w:rPr>
                      <w:color w:val="auto"/>
                    </w:rPr>
                  </w:pPr>
                </w:p>
              </w:tc>
              <w:tc>
                <w:tcPr>
                  <w:tcW w:w="387" w:type="pct"/>
                  <w:vMerge w:val="continue"/>
                  <w:vAlign w:val="center"/>
                </w:tcPr>
                <w:p w14:paraId="1D5A916F">
                  <w:pPr>
                    <w:adjustRightInd w:val="0"/>
                    <w:snapToGrid w:val="0"/>
                    <w:jc w:val="center"/>
                    <w:rPr>
                      <w:color w:val="auto"/>
                    </w:rPr>
                  </w:pPr>
                </w:p>
              </w:tc>
              <w:tc>
                <w:tcPr>
                  <w:tcW w:w="424" w:type="pct"/>
                  <w:vMerge w:val="continue"/>
                  <w:vAlign w:val="center"/>
                </w:tcPr>
                <w:p w14:paraId="368A09C5">
                  <w:pPr>
                    <w:adjustRightInd w:val="0"/>
                    <w:snapToGrid w:val="0"/>
                    <w:jc w:val="center"/>
                    <w:rPr>
                      <w:color w:val="auto"/>
                    </w:rPr>
                  </w:pPr>
                </w:p>
              </w:tc>
              <w:tc>
                <w:tcPr>
                  <w:tcW w:w="230" w:type="pct"/>
                  <w:vMerge w:val="continue"/>
                  <w:vAlign w:val="center"/>
                </w:tcPr>
                <w:p w14:paraId="68A5981D">
                  <w:pPr>
                    <w:adjustRightInd w:val="0"/>
                    <w:snapToGrid w:val="0"/>
                    <w:jc w:val="center"/>
                    <w:rPr>
                      <w:color w:val="auto"/>
                    </w:rPr>
                  </w:pPr>
                </w:p>
              </w:tc>
              <w:tc>
                <w:tcPr>
                  <w:tcW w:w="791" w:type="pct"/>
                  <w:vMerge w:val="continue"/>
                  <w:vAlign w:val="center"/>
                </w:tcPr>
                <w:p w14:paraId="33C990AA">
                  <w:pPr>
                    <w:adjustRightInd w:val="0"/>
                    <w:snapToGrid w:val="0"/>
                    <w:jc w:val="center"/>
                    <w:rPr>
                      <w:color w:val="auto"/>
                    </w:rPr>
                  </w:pPr>
                </w:p>
              </w:tc>
              <w:tc>
                <w:tcPr>
                  <w:tcW w:w="662" w:type="pct"/>
                  <w:vAlign w:val="center"/>
                </w:tcPr>
                <w:p w14:paraId="56BF9476">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0EAF5062">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76AB6716">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289EACA2">
                  <w:pPr>
                    <w:adjustRightInd w:val="0"/>
                    <w:snapToGrid w:val="0"/>
                    <w:jc w:val="center"/>
                    <w:rPr>
                      <w:color w:val="auto"/>
                      <w:kern w:val="0"/>
                      <w:szCs w:val="21"/>
                      <w:lang w:bidi="ar"/>
                    </w:rPr>
                  </w:pPr>
                </w:p>
              </w:tc>
              <w:tc>
                <w:tcPr>
                  <w:tcW w:w="468" w:type="pct"/>
                  <w:vMerge w:val="continue"/>
                  <w:vAlign w:val="center"/>
                </w:tcPr>
                <w:p w14:paraId="6A517D38">
                  <w:pPr>
                    <w:adjustRightInd w:val="0"/>
                    <w:snapToGrid w:val="0"/>
                    <w:jc w:val="center"/>
                    <w:rPr>
                      <w:color w:val="auto"/>
                      <w:kern w:val="0"/>
                      <w:szCs w:val="21"/>
                      <w:lang w:bidi="ar"/>
                    </w:rPr>
                  </w:pPr>
                </w:p>
              </w:tc>
            </w:tr>
            <w:tr w14:paraId="187C3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022086C6">
                  <w:pPr>
                    <w:widowControl/>
                    <w:adjustRightInd w:val="0"/>
                    <w:snapToGrid w:val="0"/>
                    <w:jc w:val="center"/>
                    <w:textAlignment w:val="center"/>
                    <w:rPr>
                      <w:color w:val="auto"/>
                      <w:kern w:val="0"/>
                      <w:szCs w:val="21"/>
                    </w:rPr>
                  </w:pPr>
                  <w:r>
                    <w:rPr>
                      <w:rFonts w:hint="eastAsia"/>
                      <w:color w:val="auto"/>
                      <w:kern w:val="0"/>
                      <w:szCs w:val="21"/>
                    </w:rPr>
                    <w:t>12</w:t>
                  </w:r>
                </w:p>
                <w:p w14:paraId="34DEFDE5">
                  <w:pPr>
                    <w:widowControl/>
                    <w:adjustRightInd w:val="0"/>
                    <w:snapToGrid w:val="0"/>
                    <w:jc w:val="center"/>
                    <w:textAlignment w:val="center"/>
                    <w:rPr>
                      <w:color w:val="auto"/>
                      <w:kern w:val="0"/>
                      <w:szCs w:val="21"/>
                    </w:rPr>
                  </w:pPr>
                </w:p>
              </w:tc>
              <w:tc>
                <w:tcPr>
                  <w:tcW w:w="387" w:type="pct"/>
                  <w:vMerge w:val="continue"/>
                  <w:vAlign w:val="center"/>
                </w:tcPr>
                <w:p w14:paraId="69BF1B39">
                  <w:pPr>
                    <w:adjustRightInd w:val="0"/>
                    <w:snapToGrid w:val="0"/>
                    <w:jc w:val="center"/>
                    <w:rPr>
                      <w:color w:val="auto"/>
                      <w:szCs w:val="21"/>
                    </w:rPr>
                  </w:pPr>
                </w:p>
              </w:tc>
              <w:tc>
                <w:tcPr>
                  <w:tcW w:w="424" w:type="pct"/>
                  <w:vMerge w:val="continue"/>
                  <w:vAlign w:val="center"/>
                </w:tcPr>
                <w:p w14:paraId="6384532A">
                  <w:pPr>
                    <w:adjustRightInd w:val="0"/>
                    <w:snapToGrid w:val="0"/>
                    <w:jc w:val="center"/>
                    <w:rPr>
                      <w:color w:val="auto"/>
                      <w:szCs w:val="21"/>
                    </w:rPr>
                  </w:pPr>
                </w:p>
              </w:tc>
              <w:tc>
                <w:tcPr>
                  <w:tcW w:w="230" w:type="pct"/>
                  <w:vMerge w:val="continue"/>
                  <w:vAlign w:val="center"/>
                </w:tcPr>
                <w:p w14:paraId="66775CF4">
                  <w:pPr>
                    <w:adjustRightInd w:val="0"/>
                    <w:snapToGrid w:val="0"/>
                    <w:jc w:val="center"/>
                    <w:rPr>
                      <w:color w:val="auto"/>
                      <w:szCs w:val="21"/>
                    </w:rPr>
                  </w:pPr>
                </w:p>
              </w:tc>
              <w:tc>
                <w:tcPr>
                  <w:tcW w:w="791" w:type="pct"/>
                  <w:vMerge w:val="restart"/>
                  <w:vAlign w:val="center"/>
                </w:tcPr>
                <w:p w14:paraId="0C35EFA9">
                  <w:pPr>
                    <w:adjustRightInd w:val="0"/>
                    <w:snapToGrid w:val="0"/>
                    <w:jc w:val="center"/>
                    <w:rPr>
                      <w:color w:val="auto"/>
                      <w:szCs w:val="21"/>
                    </w:rPr>
                  </w:pPr>
                  <w:r>
                    <w:rPr>
                      <w:rFonts w:hint="eastAsia"/>
                      <w:color w:val="auto"/>
                      <w:szCs w:val="21"/>
                    </w:rPr>
                    <w:t>清洗槽4</w:t>
                  </w:r>
                </w:p>
              </w:tc>
              <w:tc>
                <w:tcPr>
                  <w:tcW w:w="662" w:type="pct"/>
                  <w:vAlign w:val="center"/>
                </w:tcPr>
                <w:p w14:paraId="0C37D2E8">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54A2BDB6">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0254C823">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098E921A">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3D87A971">
                  <w:pPr>
                    <w:widowControl/>
                    <w:adjustRightInd w:val="0"/>
                    <w:snapToGrid w:val="0"/>
                    <w:jc w:val="center"/>
                    <w:rPr>
                      <w:color w:val="auto"/>
                      <w:szCs w:val="21"/>
                    </w:rPr>
                  </w:pPr>
                </w:p>
              </w:tc>
            </w:tr>
            <w:tr w14:paraId="14DE0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700FCCF1">
                  <w:pPr>
                    <w:adjustRightInd w:val="0"/>
                    <w:snapToGrid w:val="0"/>
                    <w:jc w:val="center"/>
                    <w:rPr>
                      <w:color w:val="auto"/>
                    </w:rPr>
                  </w:pPr>
                </w:p>
              </w:tc>
              <w:tc>
                <w:tcPr>
                  <w:tcW w:w="387" w:type="pct"/>
                  <w:vMerge w:val="continue"/>
                  <w:vAlign w:val="center"/>
                </w:tcPr>
                <w:p w14:paraId="29362719">
                  <w:pPr>
                    <w:adjustRightInd w:val="0"/>
                    <w:snapToGrid w:val="0"/>
                    <w:jc w:val="center"/>
                    <w:rPr>
                      <w:color w:val="auto"/>
                    </w:rPr>
                  </w:pPr>
                </w:p>
              </w:tc>
              <w:tc>
                <w:tcPr>
                  <w:tcW w:w="424" w:type="pct"/>
                  <w:vMerge w:val="continue"/>
                  <w:vAlign w:val="center"/>
                </w:tcPr>
                <w:p w14:paraId="1D86B324">
                  <w:pPr>
                    <w:adjustRightInd w:val="0"/>
                    <w:snapToGrid w:val="0"/>
                    <w:jc w:val="center"/>
                    <w:rPr>
                      <w:color w:val="auto"/>
                    </w:rPr>
                  </w:pPr>
                </w:p>
              </w:tc>
              <w:tc>
                <w:tcPr>
                  <w:tcW w:w="230" w:type="pct"/>
                  <w:vMerge w:val="continue"/>
                  <w:vAlign w:val="center"/>
                </w:tcPr>
                <w:p w14:paraId="53932360">
                  <w:pPr>
                    <w:adjustRightInd w:val="0"/>
                    <w:snapToGrid w:val="0"/>
                    <w:jc w:val="center"/>
                    <w:rPr>
                      <w:color w:val="auto"/>
                    </w:rPr>
                  </w:pPr>
                </w:p>
              </w:tc>
              <w:tc>
                <w:tcPr>
                  <w:tcW w:w="791" w:type="pct"/>
                  <w:vMerge w:val="continue"/>
                  <w:vAlign w:val="center"/>
                </w:tcPr>
                <w:p w14:paraId="4EC0F5A9">
                  <w:pPr>
                    <w:adjustRightInd w:val="0"/>
                    <w:snapToGrid w:val="0"/>
                    <w:jc w:val="center"/>
                    <w:rPr>
                      <w:color w:val="auto"/>
                    </w:rPr>
                  </w:pPr>
                </w:p>
              </w:tc>
              <w:tc>
                <w:tcPr>
                  <w:tcW w:w="662" w:type="pct"/>
                  <w:vAlign w:val="center"/>
                </w:tcPr>
                <w:p w14:paraId="5B9D41CA">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3AF1C3B7">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67EE1B72">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349FC7B2">
                  <w:pPr>
                    <w:adjustRightInd w:val="0"/>
                    <w:snapToGrid w:val="0"/>
                    <w:jc w:val="center"/>
                    <w:rPr>
                      <w:color w:val="auto"/>
                      <w:kern w:val="0"/>
                      <w:szCs w:val="21"/>
                      <w:lang w:bidi="ar"/>
                    </w:rPr>
                  </w:pPr>
                </w:p>
              </w:tc>
              <w:tc>
                <w:tcPr>
                  <w:tcW w:w="468" w:type="pct"/>
                  <w:vMerge w:val="continue"/>
                  <w:vAlign w:val="center"/>
                </w:tcPr>
                <w:p w14:paraId="70BCC4FD">
                  <w:pPr>
                    <w:adjustRightInd w:val="0"/>
                    <w:snapToGrid w:val="0"/>
                    <w:jc w:val="center"/>
                    <w:rPr>
                      <w:color w:val="auto"/>
                      <w:kern w:val="0"/>
                      <w:szCs w:val="21"/>
                      <w:lang w:bidi="ar"/>
                    </w:rPr>
                  </w:pPr>
                </w:p>
              </w:tc>
            </w:tr>
            <w:tr w14:paraId="76537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2511347F">
                  <w:pPr>
                    <w:widowControl/>
                    <w:adjustRightInd w:val="0"/>
                    <w:snapToGrid w:val="0"/>
                    <w:jc w:val="center"/>
                    <w:textAlignment w:val="center"/>
                    <w:rPr>
                      <w:color w:val="auto"/>
                      <w:kern w:val="0"/>
                      <w:szCs w:val="21"/>
                    </w:rPr>
                  </w:pPr>
                  <w:r>
                    <w:rPr>
                      <w:rFonts w:hint="eastAsia"/>
                      <w:color w:val="auto"/>
                      <w:kern w:val="0"/>
                      <w:szCs w:val="21"/>
                    </w:rPr>
                    <w:t>13</w:t>
                  </w:r>
                </w:p>
                <w:p w14:paraId="2017A921">
                  <w:pPr>
                    <w:adjustRightInd w:val="0"/>
                    <w:snapToGrid w:val="0"/>
                    <w:jc w:val="center"/>
                    <w:rPr>
                      <w:color w:val="auto"/>
                    </w:rPr>
                  </w:pPr>
                </w:p>
              </w:tc>
              <w:tc>
                <w:tcPr>
                  <w:tcW w:w="387" w:type="pct"/>
                  <w:vMerge w:val="continue"/>
                  <w:vAlign w:val="center"/>
                </w:tcPr>
                <w:p w14:paraId="46C02B48">
                  <w:pPr>
                    <w:adjustRightInd w:val="0"/>
                    <w:snapToGrid w:val="0"/>
                    <w:jc w:val="center"/>
                    <w:rPr>
                      <w:color w:val="auto"/>
                    </w:rPr>
                  </w:pPr>
                </w:p>
              </w:tc>
              <w:tc>
                <w:tcPr>
                  <w:tcW w:w="424" w:type="pct"/>
                  <w:vMerge w:val="continue"/>
                  <w:vAlign w:val="center"/>
                </w:tcPr>
                <w:p w14:paraId="55495042">
                  <w:pPr>
                    <w:adjustRightInd w:val="0"/>
                    <w:snapToGrid w:val="0"/>
                    <w:jc w:val="center"/>
                    <w:rPr>
                      <w:color w:val="auto"/>
                    </w:rPr>
                  </w:pPr>
                </w:p>
              </w:tc>
              <w:tc>
                <w:tcPr>
                  <w:tcW w:w="230" w:type="pct"/>
                  <w:vMerge w:val="continue"/>
                  <w:vAlign w:val="center"/>
                </w:tcPr>
                <w:p w14:paraId="7898CB6A">
                  <w:pPr>
                    <w:adjustRightInd w:val="0"/>
                    <w:snapToGrid w:val="0"/>
                    <w:jc w:val="center"/>
                    <w:rPr>
                      <w:color w:val="auto"/>
                    </w:rPr>
                  </w:pPr>
                </w:p>
              </w:tc>
              <w:tc>
                <w:tcPr>
                  <w:tcW w:w="791" w:type="pct"/>
                  <w:vMerge w:val="restart"/>
                  <w:vAlign w:val="center"/>
                </w:tcPr>
                <w:p w14:paraId="18C0A0BD">
                  <w:pPr>
                    <w:adjustRightInd w:val="0"/>
                    <w:snapToGrid w:val="0"/>
                    <w:jc w:val="center"/>
                    <w:rPr>
                      <w:color w:val="auto"/>
                    </w:rPr>
                  </w:pPr>
                  <w:r>
                    <w:rPr>
                      <w:rFonts w:hint="eastAsia"/>
                      <w:color w:val="auto"/>
                    </w:rPr>
                    <w:t>表调槽</w:t>
                  </w:r>
                </w:p>
              </w:tc>
              <w:tc>
                <w:tcPr>
                  <w:tcW w:w="662" w:type="pct"/>
                  <w:vAlign w:val="center"/>
                </w:tcPr>
                <w:p w14:paraId="30E3369F">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17B341F0">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52F5554D">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28D63EE5">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3E379B74">
                  <w:pPr>
                    <w:adjustRightInd w:val="0"/>
                    <w:snapToGrid w:val="0"/>
                    <w:jc w:val="center"/>
                    <w:rPr>
                      <w:color w:val="auto"/>
                      <w:kern w:val="0"/>
                      <w:szCs w:val="21"/>
                      <w:lang w:bidi="ar"/>
                    </w:rPr>
                  </w:pPr>
                </w:p>
              </w:tc>
            </w:tr>
            <w:tr w14:paraId="601B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7B0253A4">
                  <w:pPr>
                    <w:adjustRightInd w:val="0"/>
                    <w:snapToGrid w:val="0"/>
                    <w:jc w:val="center"/>
                    <w:rPr>
                      <w:color w:val="auto"/>
                    </w:rPr>
                  </w:pPr>
                </w:p>
              </w:tc>
              <w:tc>
                <w:tcPr>
                  <w:tcW w:w="387" w:type="pct"/>
                  <w:vMerge w:val="continue"/>
                  <w:vAlign w:val="center"/>
                </w:tcPr>
                <w:p w14:paraId="234FB670">
                  <w:pPr>
                    <w:adjustRightInd w:val="0"/>
                    <w:snapToGrid w:val="0"/>
                    <w:jc w:val="center"/>
                    <w:rPr>
                      <w:color w:val="auto"/>
                    </w:rPr>
                  </w:pPr>
                </w:p>
              </w:tc>
              <w:tc>
                <w:tcPr>
                  <w:tcW w:w="424" w:type="pct"/>
                  <w:vMerge w:val="continue"/>
                  <w:vAlign w:val="center"/>
                </w:tcPr>
                <w:p w14:paraId="4416A3E7">
                  <w:pPr>
                    <w:adjustRightInd w:val="0"/>
                    <w:snapToGrid w:val="0"/>
                    <w:jc w:val="center"/>
                    <w:rPr>
                      <w:color w:val="auto"/>
                    </w:rPr>
                  </w:pPr>
                </w:p>
              </w:tc>
              <w:tc>
                <w:tcPr>
                  <w:tcW w:w="230" w:type="pct"/>
                  <w:vMerge w:val="continue"/>
                  <w:vAlign w:val="center"/>
                </w:tcPr>
                <w:p w14:paraId="339ABE1E">
                  <w:pPr>
                    <w:adjustRightInd w:val="0"/>
                    <w:snapToGrid w:val="0"/>
                    <w:jc w:val="center"/>
                    <w:rPr>
                      <w:color w:val="auto"/>
                    </w:rPr>
                  </w:pPr>
                </w:p>
              </w:tc>
              <w:tc>
                <w:tcPr>
                  <w:tcW w:w="791" w:type="pct"/>
                  <w:vMerge w:val="continue"/>
                  <w:vAlign w:val="center"/>
                </w:tcPr>
                <w:p w14:paraId="527C5FA3">
                  <w:pPr>
                    <w:adjustRightInd w:val="0"/>
                    <w:snapToGrid w:val="0"/>
                    <w:jc w:val="center"/>
                    <w:rPr>
                      <w:color w:val="auto"/>
                    </w:rPr>
                  </w:pPr>
                </w:p>
              </w:tc>
              <w:tc>
                <w:tcPr>
                  <w:tcW w:w="662" w:type="pct"/>
                  <w:vAlign w:val="center"/>
                </w:tcPr>
                <w:p w14:paraId="086DC8C9">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76BC6EF4">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35F97FBA">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3FA5CA6D">
                  <w:pPr>
                    <w:adjustRightInd w:val="0"/>
                    <w:snapToGrid w:val="0"/>
                    <w:jc w:val="center"/>
                    <w:rPr>
                      <w:color w:val="auto"/>
                      <w:kern w:val="0"/>
                      <w:szCs w:val="21"/>
                      <w:lang w:bidi="ar"/>
                    </w:rPr>
                  </w:pPr>
                </w:p>
              </w:tc>
              <w:tc>
                <w:tcPr>
                  <w:tcW w:w="468" w:type="pct"/>
                  <w:vMerge w:val="continue"/>
                  <w:vAlign w:val="center"/>
                </w:tcPr>
                <w:p w14:paraId="565398DB">
                  <w:pPr>
                    <w:adjustRightInd w:val="0"/>
                    <w:snapToGrid w:val="0"/>
                    <w:jc w:val="center"/>
                    <w:rPr>
                      <w:color w:val="auto"/>
                      <w:kern w:val="0"/>
                      <w:szCs w:val="21"/>
                      <w:lang w:bidi="ar"/>
                    </w:rPr>
                  </w:pPr>
                </w:p>
              </w:tc>
            </w:tr>
            <w:tr w14:paraId="267EE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279C60FD">
                  <w:pPr>
                    <w:adjustRightInd w:val="0"/>
                    <w:snapToGrid w:val="0"/>
                    <w:jc w:val="center"/>
                    <w:rPr>
                      <w:color w:val="auto"/>
                    </w:rPr>
                  </w:pPr>
                  <w:r>
                    <w:rPr>
                      <w:rFonts w:hint="eastAsia"/>
                      <w:color w:val="auto"/>
                    </w:rPr>
                    <w:t>14</w:t>
                  </w:r>
                </w:p>
                <w:p w14:paraId="354196DD">
                  <w:pPr>
                    <w:adjustRightInd w:val="0"/>
                    <w:snapToGrid w:val="0"/>
                    <w:jc w:val="center"/>
                    <w:rPr>
                      <w:color w:val="auto"/>
                    </w:rPr>
                  </w:pPr>
                </w:p>
              </w:tc>
              <w:tc>
                <w:tcPr>
                  <w:tcW w:w="387" w:type="pct"/>
                  <w:vMerge w:val="continue"/>
                  <w:vAlign w:val="center"/>
                </w:tcPr>
                <w:p w14:paraId="304564AB">
                  <w:pPr>
                    <w:adjustRightInd w:val="0"/>
                    <w:snapToGrid w:val="0"/>
                    <w:jc w:val="center"/>
                    <w:rPr>
                      <w:color w:val="auto"/>
                    </w:rPr>
                  </w:pPr>
                </w:p>
              </w:tc>
              <w:tc>
                <w:tcPr>
                  <w:tcW w:w="424" w:type="pct"/>
                  <w:vMerge w:val="continue"/>
                  <w:vAlign w:val="center"/>
                </w:tcPr>
                <w:p w14:paraId="7133B96D">
                  <w:pPr>
                    <w:adjustRightInd w:val="0"/>
                    <w:snapToGrid w:val="0"/>
                    <w:jc w:val="center"/>
                    <w:rPr>
                      <w:color w:val="auto"/>
                    </w:rPr>
                  </w:pPr>
                </w:p>
              </w:tc>
              <w:tc>
                <w:tcPr>
                  <w:tcW w:w="230" w:type="pct"/>
                  <w:vMerge w:val="continue"/>
                  <w:vAlign w:val="center"/>
                </w:tcPr>
                <w:p w14:paraId="685D8B79">
                  <w:pPr>
                    <w:adjustRightInd w:val="0"/>
                    <w:snapToGrid w:val="0"/>
                    <w:jc w:val="center"/>
                    <w:rPr>
                      <w:color w:val="auto"/>
                    </w:rPr>
                  </w:pPr>
                </w:p>
              </w:tc>
              <w:tc>
                <w:tcPr>
                  <w:tcW w:w="791" w:type="pct"/>
                  <w:vMerge w:val="restart"/>
                  <w:vAlign w:val="center"/>
                </w:tcPr>
                <w:p w14:paraId="67BC8AFA">
                  <w:pPr>
                    <w:adjustRightInd w:val="0"/>
                    <w:snapToGrid w:val="0"/>
                    <w:jc w:val="center"/>
                    <w:rPr>
                      <w:color w:val="auto"/>
                    </w:rPr>
                  </w:pPr>
                  <w:r>
                    <w:rPr>
                      <w:rFonts w:hint="eastAsia"/>
                      <w:color w:val="auto"/>
                    </w:rPr>
                    <w:t>磷化槽1</w:t>
                  </w:r>
                </w:p>
              </w:tc>
              <w:tc>
                <w:tcPr>
                  <w:tcW w:w="662" w:type="pct"/>
                  <w:vAlign w:val="center"/>
                </w:tcPr>
                <w:p w14:paraId="472C99D9">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1516EB6F">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2B52AD62">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1DD25AF3">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29F7E7A8">
                  <w:pPr>
                    <w:adjustRightInd w:val="0"/>
                    <w:snapToGrid w:val="0"/>
                    <w:jc w:val="center"/>
                    <w:rPr>
                      <w:color w:val="auto"/>
                      <w:kern w:val="0"/>
                      <w:szCs w:val="21"/>
                      <w:lang w:bidi="ar"/>
                    </w:rPr>
                  </w:pPr>
                </w:p>
              </w:tc>
            </w:tr>
            <w:tr w14:paraId="1CA6D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6D851B87">
                  <w:pPr>
                    <w:adjustRightInd w:val="0"/>
                    <w:snapToGrid w:val="0"/>
                    <w:jc w:val="center"/>
                    <w:rPr>
                      <w:color w:val="auto"/>
                    </w:rPr>
                  </w:pPr>
                </w:p>
              </w:tc>
              <w:tc>
                <w:tcPr>
                  <w:tcW w:w="387" w:type="pct"/>
                  <w:vMerge w:val="continue"/>
                  <w:vAlign w:val="center"/>
                </w:tcPr>
                <w:p w14:paraId="267E030E">
                  <w:pPr>
                    <w:adjustRightInd w:val="0"/>
                    <w:snapToGrid w:val="0"/>
                    <w:jc w:val="center"/>
                    <w:rPr>
                      <w:color w:val="auto"/>
                    </w:rPr>
                  </w:pPr>
                </w:p>
              </w:tc>
              <w:tc>
                <w:tcPr>
                  <w:tcW w:w="424" w:type="pct"/>
                  <w:vMerge w:val="continue"/>
                  <w:vAlign w:val="center"/>
                </w:tcPr>
                <w:p w14:paraId="4B47F10C">
                  <w:pPr>
                    <w:adjustRightInd w:val="0"/>
                    <w:snapToGrid w:val="0"/>
                    <w:jc w:val="center"/>
                    <w:rPr>
                      <w:color w:val="auto"/>
                    </w:rPr>
                  </w:pPr>
                </w:p>
              </w:tc>
              <w:tc>
                <w:tcPr>
                  <w:tcW w:w="230" w:type="pct"/>
                  <w:vMerge w:val="continue"/>
                  <w:vAlign w:val="center"/>
                </w:tcPr>
                <w:p w14:paraId="21F745B5">
                  <w:pPr>
                    <w:adjustRightInd w:val="0"/>
                    <w:snapToGrid w:val="0"/>
                    <w:jc w:val="center"/>
                    <w:rPr>
                      <w:color w:val="auto"/>
                    </w:rPr>
                  </w:pPr>
                </w:p>
              </w:tc>
              <w:tc>
                <w:tcPr>
                  <w:tcW w:w="791" w:type="pct"/>
                  <w:vMerge w:val="continue"/>
                  <w:vAlign w:val="center"/>
                </w:tcPr>
                <w:p w14:paraId="2639FD42">
                  <w:pPr>
                    <w:adjustRightInd w:val="0"/>
                    <w:snapToGrid w:val="0"/>
                    <w:jc w:val="center"/>
                    <w:rPr>
                      <w:color w:val="auto"/>
                    </w:rPr>
                  </w:pPr>
                </w:p>
              </w:tc>
              <w:tc>
                <w:tcPr>
                  <w:tcW w:w="662" w:type="pct"/>
                  <w:vAlign w:val="center"/>
                </w:tcPr>
                <w:p w14:paraId="19B591EA">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65AB75AD">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7DCE6C79">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73245D1C">
                  <w:pPr>
                    <w:adjustRightInd w:val="0"/>
                    <w:snapToGrid w:val="0"/>
                    <w:jc w:val="center"/>
                    <w:rPr>
                      <w:color w:val="auto"/>
                      <w:kern w:val="0"/>
                      <w:szCs w:val="21"/>
                      <w:lang w:bidi="ar"/>
                    </w:rPr>
                  </w:pPr>
                </w:p>
              </w:tc>
              <w:tc>
                <w:tcPr>
                  <w:tcW w:w="468" w:type="pct"/>
                  <w:vMerge w:val="continue"/>
                  <w:vAlign w:val="center"/>
                </w:tcPr>
                <w:p w14:paraId="5514DE73">
                  <w:pPr>
                    <w:adjustRightInd w:val="0"/>
                    <w:snapToGrid w:val="0"/>
                    <w:jc w:val="center"/>
                    <w:rPr>
                      <w:color w:val="auto"/>
                      <w:kern w:val="0"/>
                      <w:szCs w:val="21"/>
                      <w:lang w:bidi="ar"/>
                    </w:rPr>
                  </w:pPr>
                </w:p>
              </w:tc>
            </w:tr>
            <w:tr w14:paraId="78C4E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475B0153">
                  <w:pPr>
                    <w:adjustRightInd w:val="0"/>
                    <w:snapToGrid w:val="0"/>
                    <w:jc w:val="center"/>
                    <w:rPr>
                      <w:color w:val="auto"/>
                    </w:rPr>
                  </w:pPr>
                  <w:r>
                    <w:rPr>
                      <w:rFonts w:hint="eastAsia"/>
                      <w:color w:val="auto"/>
                    </w:rPr>
                    <w:t>15</w:t>
                  </w:r>
                </w:p>
                <w:p w14:paraId="094EA01A">
                  <w:pPr>
                    <w:adjustRightInd w:val="0"/>
                    <w:snapToGrid w:val="0"/>
                    <w:jc w:val="center"/>
                    <w:rPr>
                      <w:color w:val="auto"/>
                    </w:rPr>
                  </w:pPr>
                </w:p>
              </w:tc>
              <w:tc>
                <w:tcPr>
                  <w:tcW w:w="387" w:type="pct"/>
                  <w:vMerge w:val="continue"/>
                  <w:vAlign w:val="center"/>
                </w:tcPr>
                <w:p w14:paraId="2860BBD8">
                  <w:pPr>
                    <w:adjustRightInd w:val="0"/>
                    <w:snapToGrid w:val="0"/>
                    <w:jc w:val="center"/>
                    <w:rPr>
                      <w:color w:val="auto"/>
                    </w:rPr>
                  </w:pPr>
                </w:p>
              </w:tc>
              <w:tc>
                <w:tcPr>
                  <w:tcW w:w="424" w:type="pct"/>
                  <w:vMerge w:val="continue"/>
                  <w:vAlign w:val="center"/>
                </w:tcPr>
                <w:p w14:paraId="2213225D">
                  <w:pPr>
                    <w:adjustRightInd w:val="0"/>
                    <w:snapToGrid w:val="0"/>
                    <w:jc w:val="center"/>
                    <w:rPr>
                      <w:color w:val="auto"/>
                    </w:rPr>
                  </w:pPr>
                </w:p>
              </w:tc>
              <w:tc>
                <w:tcPr>
                  <w:tcW w:w="230" w:type="pct"/>
                  <w:vMerge w:val="continue"/>
                  <w:vAlign w:val="center"/>
                </w:tcPr>
                <w:p w14:paraId="531A1BE8">
                  <w:pPr>
                    <w:adjustRightInd w:val="0"/>
                    <w:snapToGrid w:val="0"/>
                    <w:jc w:val="center"/>
                    <w:rPr>
                      <w:color w:val="auto"/>
                    </w:rPr>
                  </w:pPr>
                </w:p>
              </w:tc>
              <w:tc>
                <w:tcPr>
                  <w:tcW w:w="791" w:type="pct"/>
                  <w:vMerge w:val="restart"/>
                  <w:vAlign w:val="center"/>
                </w:tcPr>
                <w:p w14:paraId="2BAD701E">
                  <w:pPr>
                    <w:adjustRightInd w:val="0"/>
                    <w:snapToGrid w:val="0"/>
                    <w:jc w:val="center"/>
                    <w:rPr>
                      <w:color w:val="auto"/>
                    </w:rPr>
                  </w:pPr>
                  <w:r>
                    <w:rPr>
                      <w:rFonts w:hint="eastAsia"/>
                      <w:color w:val="auto"/>
                    </w:rPr>
                    <w:t>磷化槽2</w:t>
                  </w:r>
                </w:p>
              </w:tc>
              <w:tc>
                <w:tcPr>
                  <w:tcW w:w="662" w:type="pct"/>
                  <w:vAlign w:val="center"/>
                </w:tcPr>
                <w:p w14:paraId="37B30AC3">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6AB0A8D7">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164A1D52">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345384C4">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031932F7">
                  <w:pPr>
                    <w:adjustRightInd w:val="0"/>
                    <w:snapToGrid w:val="0"/>
                    <w:jc w:val="center"/>
                    <w:rPr>
                      <w:color w:val="auto"/>
                      <w:kern w:val="0"/>
                      <w:szCs w:val="21"/>
                      <w:lang w:bidi="ar"/>
                    </w:rPr>
                  </w:pPr>
                </w:p>
              </w:tc>
            </w:tr>
            <w:tr w14:paraId="0074B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34C9B6E0">
                  <w:pPr>
                    <w:adjustRightInd w:val="0"/>
                    <w:snapToGrid w:val="0"/>
                    <w:jc w:val="center"/>
                    <w:rPr>
                      <w:color w:val="auto"/>
                    </w:rPr>
                  </w:pPr>
                </w:p>
              </w:tc>
              <w:tc>
                <w:tcPr>
                  <w:tcW w:w="387" w:type="pct"/>
                  <w:vMerge w:val="continue"/>
                  <w:vAlign w:val="center"/>
                </w:tcPr>
                <w:p w14:paraId="39798BEA">
                  <w:pPr>
                    <w:adjustRightInd w:val="0"/>
                    <w:snapToGrid w:val="0"/>
                    <w:jc w:val="center"/>
                    <w:rPr>
                      <w:color w:val="auto"/>
                    </w:rPr>
                  </w:pPr>
                </w:p>
              </w:tc>
              <w:tc>
                <w:tcPr>
                  <w:tcW w:w="424" w:type="pct"/>
                  <w:vMerge w:val="continue"/>
                  <w:vAlign w:val="center"/>
                </w:tcPr>
                <w:p w14:paraId="06F95000">
                  <w:pPr>
                    <w:adjustRightInd w:val="0"/>
                    <w:snapToGrid w:val="0"/>
                    <w:jc w:val="center"/>
                    <w:rPr>
                      <w:color w:val="auto"/>
                    </w:rPr>
                  </w:pPr>
                </w:p>
              </w:tc>
              <w:tc>
                <w:tcPr>
                  <w:tcW w:w="230" w:type="pct"/>
                  <w:vMerge w:val="continue"/>
                  <w:vAlign w:val="center"/>
                </w:tcPr>
                <w:p w14:paraId="257EC820">
                  <w:pPr>
                    <w:adjustRightInd w:val="0"/>
                    <w:snapToGrid w:val="0"/>
                    <w:jc w:val="center"/>
                    <w:rPr>
                      <w:color w:val="auto"/>
                    </w:rPr>
                  </w:pPr>
                </w:p>
              </w:tc>
              <w:tc>
                <w:tcPr>
                  <w:tcW w:w="791" w:type="pct"/>
                  <w:vMerge w:val="continue"/>
                  <w:vAlign w:val="center"/>
                </w:tcPr>
                <w:p w14:paraId="0BD028FA">
                  <w:pPr>
                    <w:adjustRightInd w:val="0"/>
                    <w:snapToGrid w:val="0"/>
                    <w:jc w:val="center"/>
                    <w:rPr>
                      <w:color w:val="auto"/>
                    </w:rPr>
                  </w:pPr>
                </w:p>
              </w:tc>
              <w:tc>
                <w:tcPr>
                  <w:tcW w:w="662" w:type="pct"/>
                  <w:vAlign w:val="center"/>
                </w:tcPr>
                <w:p w14:paraId="4BC0BEE2">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3C67C98E">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74AC242D">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0AF4B927">
                  <w:pPr>
                    <w:adjustRightInd w:val="0"/>
                    <w:snapToGrid w:val="0"/>
                    <w:jc w:val="center"/>
                    <w:rPr>
                      <w:color w:val="auto"/>
                      <w:kern w:val="0"/>
                      <w:szCs w:val="21"/>
                      <w:lang w:bidi="ar"/>
                    </w:rPr>
                  </w:pPr>
                </w:p>
              </w:tc>
              <w:tc>
                <w:tcPr>
                  <w:tcW w:w="468" w:type="pct"/>
                  <w:vMerge w:val="continue"/>
                  <w:vAlign w:val="center"/>
                </w:tcPr>
                <w:p w14:paraId="696FC8BC">
                  <w:pPr>
                    <w:adjustRightInd w:val="0"/>
                    <w:snapToGrid w:val="0"/>
                    <w:jc w:val="center"/>
                    <w:rPr>
                      <w:color w:val="auto"/>
                      <w:kern w:val="0"/>
                      <w:szCs w:val="21"/>
                      <w:lang w:bidi="ar"/>
                    </w:rPr>
                  </w:pPr>
                </w:p>
              </w:tc>
            </w:tr>
            <w:tr w14:paraId="1F211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199C4B9E">
                  <w:pPr>
                    <w:adjustRightInd w:val="0"/>
                    <w:snapToGrid w:val="0"/>
                    <w:jc w:val="center"/>
                    <w:rPr>
                      <w:color w:val="auto"/>
                    </w:rPr>
                  </w:pPr>
                  <w:r>
                    <w:rPr>
                      <w:rFonts w:hint="eastAsia"/>
                      <w:color w:val="auto"/>
                    </w:rPr>
                    <w:t>16</w:t>
                  </w:r>
                </w:p>
                <w:p w14:paraId="1C0DBCBA">
                  <w:pPr>
                    <w:adjustRightInd w:val="0"/>
                    <w:snapToGrid w:val="0"/>
                    <w:jc w:val="center"/>
                    <w:rPr>
                      <w:color w:val="auto"/>
                    </w:rPr>
                  </w:pPr>
                </w:p>
              </w:tc>
              <w:tc>
                <w:tcPr>
                  <w:tcW w:w="387" w:type="pct"/>
                  <w:vMerge w:val="continue"/>
                  <w:vAlign w:val="center"/>
                </w:tcPr>
                <w:p w14:paraId="560DDFC2">
                  <w:pPr>
                    <w:adjustRightInd w:val="0"/>
                    <w:snapToGrid w:val="0"/>
                    <w:jc w:val="center"/>
                    <w:rPr>
                      <w:color w:val="auto"/>
                    </w:rPr>
                  </w:pPr>
                </w:p>
              </w:tc>
              <w:tc>
                <w:tcPr>
                  <w:tcW w:w="424" w:type="pct"/>
                  <w:vMerge w:val="continue"/>
                  <w:vAlign w:val="center"/>
                </w:tcPr>
                <w:p w14:paraId="6D4DEFCD">
                  <w:pPr>
                    <w:adjustRightInd w:val="0"/>
                    <w:snapToGrid w:val="0"/>
                    <w:jc w:val="center"/>
                    <w:rPr>
                      <w:color w:val="auto"/>
                    </w:rPr>
                  </w:pPr>
                </w:p>
              </w:tc>
              <w:tc>
                <w:tcPr>
                  <w:tcW w:w="230" w:type="pct"/>
                  <w:vMerge w:val="continue"/>
                  <w:vAlign w:val="center"/>
                </w:tcPr>
                <w:p w14:paraId="61F57738">
                  <w:pPr>
                    <w:adjustRightInd w:val="0"/>
                    <w:snapToGrid w:val="0"/>
                    <w:jc w:val="center"/>
                    <w:rPr>
                      <w:color w:val="auto"/>
                    </w:rPr>
                  </w:pPr>
                </w:p>
              </w:tc>
              <w:tc>
                <w:tcPr>
                  <w:tcW w:w="791" w:type="pct"/>
                  <w:vMerge w:val="restart"/>
                  <w:vAlign w:val="center"/>
                </w:tcPr>
                <w:p w14:paraId="20EB80FA">
                  <w:pPr>
                    <w:adjustRightInd w:val="0"/>
                    <w:snapToGrid w:val="0"/>
                    <w:jc w:val="center"/>
                    <w:rPr>
                      <w:color w:val="auto"/>
                    </w:rPr>
                  </w:pPr>
                  <w:r>
                    <w:rPr>
                      <w:rFonts w:hint="eastAsia"/>
                      <w:color w:val="auto"/>
                    </w:rPr>
                    <w:t>清洗槽5</w:t>
                  </w:r>
                </w:p>
              </w:tc>
              <w:tc>
                <w:tcPr>
                  <w:tcW w:w="662" w:type="pct"/>
                  <w:vAlign w:val="center"/>
                </w:tcPr>
                <w:p w14:paraId="05BFC44D">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28DA6A68">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5E30E69B">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150BA573">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7AD6D7C8">
                  <w:pPr>
                    <w:adjustRightInd w:val="0"/>
                    <w:snapToGrid w:val="0"/>
                    <w:jc w:val="center"/>
                    <w:rPr>
                      <w:color w:val="auto"/>
                      <w:kern w:val="0"/>
                      <w:szCs w:val="21"/>
                      <w:lang w:bidi="ar"/>
                    </w:rPr>
                  </w:pPr>
                </w:p>
              </w:tc>
            </w:tr>
            <w:tr w14:paraId="1FF01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5484DF57">
                  <w:pPr>
                    <w:adjustRightInd w:val="0"/>
                    <w:snapToGrid w:val="0"/>
                    <w:jc w:val="center"/>
                    <w:rPr>
                      <w:color w:val="auto"/>
                    </w:rPr>
                  </w:pPr>
                </w:p>
              </w:tc>
              <w:tc>
                <w:tcPr>
                  <w:tcW w:w="387" w:type="pct"/>
                  <w:vMerge w:val="continue"/>
                  <w:vAlign w:val="center"/>
                </w:tcPr>
                <w:p w14:paraId="0878DDD5">
                  <w:pPr>
                    <w:adjustRightInd w:val="0"/>
                    <w:snapToGrid w:val="0"/>
                    <w:jc w:val="center"/>
                    <w:rPr>
                      <w:color w:val="auto"/>
                    </w:rPr>
                  </w:pPr>
                </w:p>
              </w:tc>
              <w:tc>
                <w:tcPr>
                  <w:tcW w:w="424" w:type="pct"/>
                  <w:vMerge w:val="continue"/>
                  <w:vAlign w:val="center"/>
                </w:tcPr>
                <w:p w14:paraId="1FE2E3F6">
                  <w:pPr>
                    <w:adjustRightInd w:val="0"/>
                    <w:snapToGrid w:val="0"/>
                    <w:jc w:val="center"/>
                    <w:rPr>
                      <w:color w:val="auto"/>
                    </w:rPr>
                  </w:pPr>
                </w:p>
              </w:tc>
              <w:tc>
                <w:tcPr>
                  <w:tcW w:w="230" w:type="pct"/>
                  <w:vMerge w:val="continue"/>
                  <w:vAlign w:val="center"/>
                </w:tcPr>
                <w:p w14:paraId="5E5014F4">
                  <w:pPr>
                    <w:adjustRightInd w:val="0"/>
                    <w:snapToGrid w:val="0"/>
                    <w:jc w:val="center"/>
                    <w:rPr>
                      <w:color w:val="auto"/>
                    </w:rPr>
                  </w:pPr>
                </w:p>
              </w:tc>
              <w:tc>
                <w:tcPr>
                  <w:tcW w:w="791" w:type="pct"/>
                  <w:vMerge w:val="continue"/>
                  <w:vAlign w:val="center"/>
                </w:tcPr>
                <w:p w14:paraId="4140C482">
                  <w:pPr>
                    <w:adjustRightInd w:val="0"/>
                    <w:snapToGrid w:val="0"/>
                    <w:jc w:val="center"/>
                    <w:rPr>
                      <w:color w:val="auto"/>
                    </w:rPr>
                  </w:pPr>
                </w:p>
              </w:tc>
              <w:tc>
                <w:tcPr>
                  <w:tcW w:w="662" w:type="pct"/>
                  <w:vAlign w:val="center"/>
                </w:tcPr>
                <w:p w14:paraId="6CBF9055">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0C10F64E">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01C5D7B2">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1DF07479">
                  <w:pPr>
                    <w:adjustRightInd w:val="0"/>
                    <w:snapToGrid w:val="0"/>
                    <w:jc w:val="center"/>
                    <w:rPr>
                      <w:color w:val="auto"/>
                      <w:kern w:val="0"/>
                      <w:szCs w:val="21"/>
                      <w:lang w:bidi="ar"/>
                    </w:rPr>
                  </w:pPr>
                </w:p>
              </w:tc>
              <w:tc>
                <w:tcPr>
                  <w:tcW w:w="468" w:type="pct"/>
                  <w:vMerge w:val="continue"/>
                  <w:vAlign w:val="center"/>
                </w:tcPr>
                <w:p w14:paraId="2CB11144">
                  <w:pPr>
                    <w:adjustRightInd w:val="0"/>
                    <w:snapToGrid w:val="0"/>
                    <w:jc w:val="center"/>
                    <w:rPr>
                      <w:color w:val="auto"/>
                      <w:kern w:val="0"/>
                      <w:szCs w:val="21"/>
                      <w:lang w:bidi="ar"/>
                    </w:rPr>
                  </w:pPr>
                </w:p>
              </w:tc>
            </w:tr>
            <w:tr w14:paraId="10B20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58AA598E">
                  <w:pPr>
                    <w:adjustRightInd w:val="0"/>
                    <w:snapToGrid w:val="0"/>
                    <w:jc w:val="center"/>
                    <w:rPr>
                      <w:color w:val="auto"/>
                    </w:rPr>
                  </w:pPr>
                  <w:r>
                    <w:rPr>
                      <w:rFonts w:hint="eastAsia"/>
                      <w:color w:val="auto"/>
                    </w:rPr>
                    <w:t>17</w:t>
                  </w:r>
                </w:p>
                <w:p w14:paraId="1A3A6FAF">
                  <w:pPr>
                    <w:adjustRightInd w:val="0"/>
                    <w:snapToGrid w:val="0"/>
                    <w:jc w:val="center"/>
                    <w:rPr>
                      <w:color w:val="auto"/>
                    </w:rPr>
                  </w:pPr>
                </w:p>
              </w:tc>
              <w:tc>
                <w:tcPr>
                  <w:tcW w:w="387" w:type="pct"/>
                  <w:vMerge w:val="continue"/>
                  <w:vAlign w:val="center"/>
                </w:tcPr>
                <w:p w14:paraId="4EDB50E9">
                  <w:pPr>
                    <w:adjustRightInd w:val="0"/>
                    <w:snapToGrid w:val="0"/>
                    <w:jc w:val="center"/>
                    <w:rPr>
                      <w:color w:val="auto"/>
                    </w:rPr>
                  </w:pPr>
                </w:p>
              </w:tc>
              <w:tc>
                <w:tcPr>
                  <w:tcW w:w="424" w:type="pct"/>
                  <w:vMerge w:val="continue"/>
                  <w:vAlign w:val="center"/>
                </w:tcPr>
                <w:p w14:paraId="4EBBC74C">
                  <w:pPr>
                    <w:adjustRightInd w:val="0"/>
                    <w:snapToGrid w:val="0"/>
                    <w:jc w:val="center"/>
                    <w:rPr>
                      <w:color w:val="auto"/>
                    </w:rPr>
                  </w:pPr>
                </w:p>
              </w:tc>
              <w:tc>
                <w:tcPr>
                  <w:tcW w:w="230" w:type="pct"/>
                  <w:vMerge w:val="continue"/>
                  <w:vAlign w:val="center"/>
                </w:tcPr>
                <w:p w14:paraId="14D9817C">
                  <w:pPr>
                    <w:adjustRightInd w:val="0"/>
                    <w:snapToGrid w:val="0"/>
                    <w:jc w:val="center"/>
                    <w:rPr>
                      <w:color w:val="auto"/>
                    </w:rPr>
                  </w:pPr>
                </w:p>
              </w:tc>
              <w:tc>
                <w:tcPr>
                  <w:tcW w:w="791" w:type="pct"/>
                  <w:vMerge w:val="restart"/>
                  <w:vAlign w:val="center"/>
                </w:tcPr>
                <w:p w14:paraId="77492179">
                  <w:pPr>
                    <w:adjustRightInd w:val="0"/>
                    <w:snapToGrid w:val="0"/>
                    <w:jc w:val="center"/>
                    <w:rPr>
                      <w:color w:val="auto"/>
                    </w:rPr>
                  </w:pPr>
                  <w:r>
                    <w:rPr>
                      <w:rFonts w:hint="eastAsia"/>
                      <w:color w:val="auto"/>
                    </w:rPr>
                    <w:t>清洗槽6</w:t>
                  </w:r>
                </w:p>
              </w:tc>
              <w:tc>
                <w:tcPr>
                  <w:tcW w:w="662" w:type="pct"/>
                  <w:vAlign w:val="center"/>
                </w:tcPr>
                <w:p w14:paraId="4B961E56">
                  <w:pPr>
                    <w:adjustRightInd w:val="0"/>
                    <w:snapToGrid w:val="0"/>
                    <w:jc w:val="center"/>
                    <w:rPr>
                      <w:color w:val="auto"/>
                      <w:kern w:val="0"/>
                      <w:szCs w:val="21"/>
                      <w:lang w:bidi="ar"/>
                    </w:rPr>
                  </w:pPr>
                  <w:r>
                    <w:rPr>
                      <w:rFonts w:hint="eastAsia"/>
                      <w:color w:val="auto"/>
                      <w:kern w:val="0"/>
                      <w:szCs w:val="21"/>
                      <w:lang w:bidi="ar"/>
                    </w:rPr>
                    <w:t>水槽有效面积</w:t>
                  </w:r>
                </w:p>
              </w:tc>
              <w:tc>
                <w:tcPr>
                  <w:tcW w:w="380" w:type="pct"/>
                  <w:vAlign w:val="center"/>
                </w:tcPr>
                <w:p w14:paraId="59169AFD">
                  <w:pPr>
                    <w:adjustRightInd w:val="0"/>
                    <w:snapToGrid w:val="0"/>
                    <w:jc w:val="center"/>
                    <w:rPr>
                      <w:color w:val="auto"/>
                      <w:kern w:val="0"/>
                      <w:szCs w:val="21"/>
                      <w:lang w:bidi="ar"/>
                    </w:rPr>
                  </w:pPr>
                  <w:r>
                    <w:rPr>
                      <w:color w:val="auto"/>
                      <w:kern w:val="0"/>
                      <w:szCs w:val="21"/>
                      <w:lang w:bidi="ar"/>
                    </w:rPr>
                    <w:t>m</w:t>
                  </w:r>
                  <w:r>
                    <w:rPr>
                      <w:color w:val="auto"/>
                      <w:kern w:val="0"/>
                      <w:szCs w:val="21"/>
                      <w:vertAlign w:val="superscript"/>
                      <w:lang w:bidi="ar"/>
                    </w:rPr>
                    <w:t>3</w:t>
                  </w:r>
                </w:p>
              </w:tc>
              <w:tc>
                <w:tcPr>
                  <w:tcW w:w="867" w:type="pct"/>
                  <w:vAlign w:val="center"/>
                </w:tcPr>
                <w:p w14:paraId="5344BC44">
                  <w:pPr>
                    <w:adjustRightInd w:val="0"/>
                    <w:snapToGrid w:val="0"/>
                    <w:jc w:val="center"/>
                    <w:rPr>
                      <w:color w:val="auto"/>
                      <w:kern w:val="0"/>
                      <w:szCs w:val="21"/>
                      <w:lang w:bidi="ar"/>
                    </w:rPr>
                  </w:pPr>
                  <w:r>
                    <w:rPr>
                      <w:rFonts w:hint="eastAsia"/>
                      <w:color w:val="auto"/>
                      <w:kern w:val="0"/>
                      <w:szCs w:val="21"/>
                      <w:lang w:bidi="ar"/>
                    </w:rPr>
                    <w:t>3.36</w:t>
                  </w:r>
                </w:p>
              </w:tc>
              <w:tc>
                <w:tcPr>
                  <w:tcW w:w="463" w:type="pct"/>
                  <w:vMerge w:val="restart"/>
                  <w:vAlign w:val="center"/>
                </w:tcPr>
                <w:p w14:paraId="0EF76D2C">
                  <w:pPr>
                    <w:adjustRightInd w:val="0"/>
                    <w:snapToGrid w:val="0"/>
                    <w:jc w:val="center"/>
                    <w:rPr>
                      <w:color w:val="auto"/>
                      <w:kern w:val="0"/>
                      <w:szCs w:val="21"/>
                      <w:lang w:bidi="ar"/>
                    </w:rPr>
                  </w:pPr>
                  <w:r>
                    <w:rPr>
                      <w:rFonts w:hint="eastAsia"/>
                      <w:color w:val="auto"/>
                      <w:kern w:val="0"/>
                      <w:szCs w:val="21"/>
                      <w:lang w:bidi="ar"/>
                    </w:rPr>
                    <w:t>1个</w:t>
                  </w:r>
                </w:p>
              </w:tc>
              <w:tc>
                <w:tcPr>
                  <w:tcW w:w="468" w:type="pct"/>
                  <w:vMerge w:val="continue"/>
                  <w:vAlign w:val="center"/>
                </w:tcPr>
                <w:p w14:paraId="4523FD1D">
                  <w:pPr>
                    <w:adjustRightInd w:val="0"/>
                    <w:snapToGrid w:val="0"/>
                    <w:jc w:val="center"/>
                    <w:rPr>
                      <w:color w:val="auto"/>
                      <w:kern w:val="0"/>
                      <w:szCs w:val="21"/>
                      <w:lang w:bidi="ar"/>
                    </w:rPr>
                  </w:pPr>
                </w:p>
              </w:tc>
            </w:tr>
            <w:tr w14:paraId="2620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1936218E">
                  <w:pPr>
                    <w:adjustRightInd w:val="0"/>
                    <w:snapToGrid w:val="0"/>
                    <w:jc w:val="center"/>
                    <w:rPr>
                      <w:color w:val="auto"/>
                    </w:rPr>
                  </w:pPr>
                </w:p>
              </w:tc>
              <w:tc>
                <w:tcPr>
                  <w:tcW w:w="387" w:type="pct"/>
                  <w:vMerge w:val="continue"/>
                  <w:vAlign w:val="center"/>
                </w:tcPr>
                <w:p w14:paraId="4CB1F49D">
                  <w:pPr>
                    <w:adjustRightInd w:val="0"/>
                    <w:snapToGrid w:val="0"/>
                    <w:jc w:val="center"/>
                    <w:rPr>
                      <w:color w:val="auto"/>
                    </w:rPr>
                  </w:pPr>
                </w:p>
              </w:tc>
              <w:tc>
                <w:tcPr>
                  <w:tcW w:w="424" w:type="pct"/>
                  <w:vMerge w:val="continue"/>
                  <w:vAlign w:val="center"/>
                </w:tcPr>
                <w:p w14:paraId="6202156E">
                  <w:pPr>
                    <w:adjustRightInd w:val="0"/>
                    <w:snapToGrid w:val="0"/>
                    <w:jc w:val="center"/>
                    <w:rPr>
                      <w:color w:val="auto"/>
                    </w:rPr>
                  </w:pPr>
                </w:p>
              </w:tc>
              <w:tc>
                <w:tcPr>
                  <w:tcW w:w="230" w:type="pct"/>
                  <w:vMerge w:val="continue"/>
                  <w:vAlign w:val="center"/>
                </w:tcPr>
                <w:p w14:paraId="04FD1A78">
                  <w:pPr>
                    <w:adjustRightInd w:val="0"/>
                    <w:snapToGrid w:val="0"/>
                    <w:jc w:val="center"/>
                    <w:rPr>
                      <w:color w:val="auto"/>
                    </w:rPr>
                  </w:pPr>
                </w:p>
              </w:tc>
              <w:tc>
                <w:tcPr>
                  <w:tcW w:w="791" w:type="pct"/>
                  <w:vMerge w:val="continue"/>
                  <w:vAlign w:val="center"/>
                </w:tcPr>
                <w:p w14:paraId="7CED2A95">
                  <w:pPr>
                    <w:adjustRightInd w:val="0"/>
                    <w:snapToGrid w:val="0"/>
                    <w:jc w:val="center"/>
                    <w:rPr>
                      <w:color w:val="auto"/>
                    </w:rPr>
                  </w:pPr>
                </w:p>
              </w:tc>
              <w:tc>
                <w:tcPr>
                  <w:tcW w:w="662" w:type="pct"/>
                  <w:vAlign w:val="center"/>
                </w:tcPr>
                <w:p w14:paraId="318790CA">
                  <w:pPr>
                    <w:adjustRightInd w:val="0"/>
                    <w:snapToGrid w:val="0"/>
                    <w:jc w:val="center"/>
                    <w:rPr>
                      <w:color w:val="auto"/>
                      <w:kern w:val="0"/>
                      <w:szCs w:val="21"/>
                      <w:lang w:bidi="ar"/>
                    </w:rPr>
                  </w:pPr>
                  <w:r>
                    <w:rPr>
                      <w:rFonts w:hint="eastAsia"/>
                      <w:color w:val="auto"/>
                      <w:kern w:val="0"/>
                      <w:szCs w:val="21"/>
                      <w:lang w:bidi="ar"/>
                    </w:rPr>
                    <w:t>尺寸</w:t>
                  </w:r>
                </w:p>
              </w:tc>
              <w:tc>
                <w:tcPr>
                  <w:tcW w:w="380" w:type="pct"/>
                  <w:vAlign w:val="center"/>
                </w:tcPr>
                <w:p w14:paraId="38CA5632">
                  <w:pPr>
                    <w:adjustRightInd w:val="0"/>
                    <w:snapToGrid w:val="0"/>
                    <w:jc w:val="center"/>
                    <w:rPr>
                      <w:color w:val="auto"/>
                      <w:kern w:val="0"/>
                      <w:szCs w:val="21"/>
                      <w:lang w:bidi="ar"/>
                    </w:rPr>
                  </w:pPr>
                  <w:r>
                    <w:rPr>
                      <w:rFonts w:hint="eastAsia"/>
                      <w:color w:val="auto"/>
                      <w:kern w:val="0"/>
                      <w:szCs w:val="21"/>
                      <w:lang w:bidi="ar"/>
                    </w:rPr>
                    <w:t>m</w:t>
                  </w:r>
                </w:p>
              </w:tc>
              <w:tc>
                <w:tcPr>
                  <w:tcW w:w="867" w:type="pct"/>
                  <w:vAlign w:val="center"/>
                </w:tcPr>
                <w:p w14:paraId="45599A93">
                  <w:pPr>
                    <w:adjustRightInd w:val="0"/>
                    <w:snapToGrid w:val="0"/>
                    <w:jc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463" w:type="pct"/>
                  <w:vMerge w:val="continue"/>
                  <w:vAlign w:val="center"/>
                </w:tcPr>
                <w:p w14:paraId="198BCE26">
                  <w:pPr>
                    <w:adjustRightInd w:val="0"/>
                    <w:snapToGrid w:val="0"/>
                    <w:jc w:val="center"/>
                    <w:rPr>
                      <w:color w:val="auto"/>
                      <w:kern w:val="0"/>
                      <w:szCs w:val="21"/>
                      <w:lang w:bidi="ar"/>
                    </w:rPr>
                  </w:pPr>
                </w:p>
              </w:tc>
              <w:tc>
                <w:tcPr>
                  <w:tcW w:w="468" w:type="pct"/>
                  <w:vMerge w:val="continue"/>
                  <w:vAlign w:val="center"/>
                </w:tcPr>
                <w:p w14:paraId="23704BFE">
                  <w:pPr>
                    <w:adjustRightInd w:val="0"/>
                    <w:snapToGrid w:val="0"/>
                    <w:jc w:val="center"/>
                    <w:rPr>
                      <w:color w:val="auto"/>
                      <w:kern w:val="0"/>
                      <w:szCs w:val="21"/>
                      <w:lang w:bidi="ar"/>
                    </w:rPr>
                  </w:pPr>
                </w:p>
              </w:tc>
            </w:tr>
            <w:tr w14:paraId="3340C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Merge w:val="restart"/>
                  <w:vAlign w:val="center"/>
                </w:tcPr>
                <w:p w14:paraId="36C57E06">
                  <w:pPr>
                    <w:adjustRightInd w:val="0"/>
                    <w:snapToGrid w:val="0"/>
                    <w:jc w:val="center"/>
                    <w:rPr>
                      <w:color w:val="auto"/>
                    </w:rPr>
                  </w:pPr>
                  <w:r>
                    <w:rPr>
                      <w:rFonts w:hint="eastAsia"/>
                      <w:color w:val="auto"/>
                    </w:rPr>
                    <w:t>18</w:t>
                  </w:r>
                </w:p>
                <w:p w14:paraId="51808139">
                  <w:pPr>
                    <w:widowControl/>
                    <w:adjustRightInd w:val="0"/>
                    <w:snapToGrid w:val="0"/>
                    <w:jc w:val="center"/>
                    <w:textAlignment w:val="center"/>
                    <w:rPr>
                      <w:color w:val="auto"/>
                      <w:kern w:val="0"/>
                      <w:szCs w:val="21"/>
                    </w:rPr>
                  </w:pPr>
                </w:p>
              </w:tc>
              <w:tc>
                <w:tcPr>
                  <w:tcW w:w="387" w:type="pct"/>
                  <w:vMerge w:val="continue"/>
                  <w:vAlign w:val="center"/>
                </w:tcPr>
                <w:p w14:paraId="49EA47C4">
                  <w:pPr>
                    <w:adjustRightInd w:val="0"/>
                    <w:snapToGrid w:val="0"/>
                    <w:jc w:val="center"/>
                    <w:rPr>
                      <w:color w:val="auto"/>
                      <w:szCs w:val="21"/>
                    </w:rPr>
                  </w:pPr>
                </w:p>
              </w:tc>
              <w:tc>
                <w:tcPr>
                  <w:tcW w:w="424" w:type="pct"/>
                  <w:vMerge w:val="continue"/>
                  <w:vAlign w:val="center"/>
                </w:tcPr>
                <w:p w14:paraId="3BCFFECC">
                  <w:pPr>
                    <w:adjustRightInd w:val="0"/>
                    <w:snapToGrid w:val="0"/>
                    <w:jc w:val="center"/>
                    <w:rPr>
                      <w:color w:val="auto"/>
                      <w:szCs w:val="21"/>
                    </w:rPr>
                  </w:pPr>
                </w:p>
              </w:tc>
              <w:tc>
                <w:tcPr>
                  <w:tcW w:w="230" w:type="pct"/>
                  <w:vMerge w:val="continue"/>
                  <w:vAlign w:val="center"/>
                </w:tcPr>
                <w:p w14:paraId="356EB4B9">
                  <w:pPr>
                    <w:adjustRightInd w:val="0"/>
                    <w:snapToGrid w:val="0"/>
                    <w:jc w:val="center"/>
                    <w:rPr>
                      <w:color w:val="auto"/>
                      <w:szCs w:val="21"/>
                    </w:rPr>
                  </w:pPr>
                </w:p>
              </w:tc>
              <w:tc>
                <w:tcPr>
                  <w:tcW w:w="791" w:type="pct"/>
                  <w:vMerge w:val="restart"/>
                  <w:vAlign w:val="center"/>
                </w:tcPr>
                <w:p w14:paraId="7317E429">
                  <w:pPr>
                    <w:adjustRightInd w:val="0"/>
                    <w:snapToGrid w:val="0"/>
                    <w:jc w:val="center"/>
                    <w:rPr>
                      <w:color w:val="auto"/>
                      <w:szCs w:val="21"/>
                    </w:rPr>
                  </w:pPr>
                  <w:r>
                    <w:rPr>
                      <w:rFonts w:hint="eastAsia"/>
                      <w:color w:val="auto"/>
                      <w:szCs w:val="21"/>
                    </w:rPr>
                    <w:t>烘烤柜炉</w:t>
                  </w:r>
                </w:p>
              </w:tc>
              <w:tc>
                <w:tcPr>
                  <w:tcW w:w="662" w:type="pct"/>
                  <w:vAlign w:val="center"/>
                </w:tcPr>
                <w:p w14:paraId="7698F99E">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65AD24FF">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3E713B8E">
                  <w:pPr>
                    <w:adjustRightInd w:val="0"/>
                    <w:snapToGrid w:val="0"/>
                    <w:jc w:val="center"/>
                    <w:rPr>
                      <w:color w:val="auto"/>
                      <w:kern w:val="0"/>
                      <w:szCs w:val="21"/>
                      <w:lang w:bidi="ar"/>
                    </w:rPr>
                  </w:pPr>
                  <w:r>
                    <w:rPr>
                      <w:rFonts w:hint="eastAsia"/>
                      <w:color w:val="auto"/>
                    </w:rPr>
                    <w:t>2.6</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1.6</w:t>
                  </w:r>
                </w:p>
              </w:tc>
              <w:tc>
                <w:tcPr>
                  <w:tcW w:w="463" w:type="pct"/>
                  <w:vMerge w:val="restart"/>
                  <w:vAlign w:val="center"/>
                </w:tcPr>
                <w:p w14:paraId="1906862A">
                  <w:pPr>
                    <w:adjustRightInd w:val="0"/>
                    <w:snapToGrid w:val="0"/>
                    <w:jc w:val="center"/>
                    <w:rPr>
                      <w:color w:val="auto"/>
                      <w:kern w:val="0"/>
                      <w:szCs w:val="21"/>
                      <w:lang w:bidi="ar"/>
                    </w:rPr>
                  </w:pPr>
                  <w:r>
                    <w:rPr>
                      <w:rFonts w:hint="eastAsia"/>
                      <w:color w:val="auto"/>
                      <w:kern w:val="0"/>
                      <w:szCs w:val="21"/>
                      <w:lang w:bidi="ar"/>
                    </w:rPr>
                    <w:t>2个</w:t>
                  </w:r>
                </w:p>
              </w:tc>
              <w:tc>
                <w:tcPr>
                  <w:tcW w:w="468" w:type="pct"/>
                  <w:vMerge w:val="continue"/>
                  <w:vAlign w:val="center"/>
                </w:tcPr>
                <w:p w14:paraId="2A55A8FD">
                  <w:pPr>
                    <w:widowControl/>
                    <w:adjustRightInd w:val="0"/>
                    <w:snapToGrid w:val="0"/>
                    <w:jc w:val="center"/>
                    <w:rPr>
                      <w:color w:val="auto"/>
                      <w:szCs w:val="21"/>
                    </w:rPr>
                  </w:pPr>
                </w:p>
              </w:tc>
            </w:tr>
            <w:tr w14:paraId="5E14C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Merge w:val="continue"/>
                  <w:vAlign w:val="center"/>
                </w:tcPr>
                <w:p w14:paraId="562349F3">
                  <w:pPr>
                    <w:widowControl/>
                    <w:adjustRightInd w:val="0"/>
                    <w:snapToGrid w:val="0"/>
                    <w:jc w:val="center"/>
                    <w:textAlignment w:val="center"/>
                    <w:rPr>
                      <w:color w:val="auto"/>
                      <w:kern w:val="0"/>
                      <w:szCs w:val="21"/>
                    </w:rPr>
                  </w:pPr>
                </w:p>
              </w:tc>
              <w:tc>
                <w:tcPr>
                  <w:tcW w:w="387" w:type="pct"/>
                  <w:vMerge w:val="continue"/>
                  <w:vAlign w:val="center"/>
                </w:tcPr>
                <w:p w14:paraId="22D8D123">
                  <w:pPr>
                    <w:adjustRightInd w:val="0"/>
                    <w:snapToGrid w:val="0"/>
                    <w:jc w:val="center"/>
                    <w:rPr>
                      <w:color w:val="auto"/>
                      <w:szCs w:val="21"/>
                    </w:rPr>
                  </w:pPr>
                </w:p>
              </w:tc>
              <w:tc>
                <w:tcPr>
                  <w:tcW w:w="424" w:type="pct"/>
                  <w:vMerge w:val="continue"/>
                  <w:vAlign w:val="center"/>
                </w:tcPr>
                <w:p w14:paraId="72DBE7BB">
                  <w:pPr>
                    <w:adjustRightInd w:val="0"/>
                    <w:snapToGrid w:val="0"/>
                    <w:jc w:val="center"/>
                    <w:rPr>
                      <w:color w:val="auto"/>
                      <w:szCs w:val="21"/>
                    </w:rPr>
                  </w:pPr>
                </w:p>
              </w:tc>
              <w:tc>
                <w:tcPr>
                  <w:tcW w:w="230" w:type="pct"/>
                  <w:vMerge w:val="continue"/>
                  <w:vAlign w:val="center"/>
                </w:tcPr>
                <w:p w14:paraId="7955DDBA">
                  <w:pPr>
                    <w:adjustRightInd w:val="0"/>
                    <w:snapToGrid w:val="0"/>
                    <w:jc w:val="center"/>
                    <w:rPr>
                      <w:color w:val="auto"/>
                      <w:szCs w:val="21"/>
                    </w:rPr>
                  </w:pPr>
                </w:p>
              </w:tc>
              <w:tc>
                <w:tcPr>
                  <w:tcW w:w="791" w:type="pct"/>
                  <w:vMerge w:val="continue"/>
                  <w:vAlign w:val="center"/>
                </w:tcPr>
                <w:p w14:paraId="6E281EE1">
                  <w:pPr>
                    <w:adjustRightInd w:val="0"/>
                    <w:snapToGrid w:val="0"/>
                    <w:jc w:val="center"/>
                    <w:rPr>
                      <w:color w:val="auto"/>
                      <w:szCs w:val="21"/>
                    </w:rPr>
                  </w:pPr>
                </w:p>
              </w:tc>
              <w:tc>
                <w:tcPr>
                  <w:tcW w:w="662" w:type="pct"/>
                  <w:vAlign w:val="center"/>
                </w:tcPr>
                <w:p w14:paraId="143596C0">
                  <w:pPr>
                    <w:adjustRightInd w:val="0"/>
                    <w:snapToGrid w:val="0"/>
                    <w:jc w:val="center"/>
                    <w:rPr>
                      <w:color w:val="auto"/>
                      <w:kern w:val="0"/>
                      <w:szCs w:val="21"/>
                      <w:lang w:bidi="ar"/>
                    </w:rPr>
                  </w:pPr>
                  <w:r>
                    <w:rPr>
                      <w:color w:val="auto"/>
                      <w:kern w:val="0"/>
                      <w:szCs w:val="21"/>
                      <w:lang w:bidi="ar"/>
                    </w:rPr>
                    <w:t>工作温度</w:t>
                  </w:r>
                </w:p>
              </w:tc>
              <w:tc>
                <w:tcPr>
                  <w:tcW w:w="380" w:type="pct"/>
                  <w:vAlign w:val="center"/>
                </w:tcPr>
                <w:p w14:paraId="66E504B6">
                  <w:pPr>
                    <w:adjustRightInd w:val="0"/>
                    <w:snapToGrid w:val="0"/>
                    <w:jc w:val="center"/>
                    <w:rPr>
                      <w:color w:val="auto"/>
                      <w:kern w:val="0"/>
                      <w:szCs w:val="21"/>
                      <w:lang w:bidi="ar"/>
                    </w:rPr>
                  </w:pPr>
                  <w:r>
                    <w:rPr>
                      <w:color w:val="auto"/>
                      <w:kern w:val="0"/>
                      <w:szCs w:val="21"/>
                      <w:lang w:bidi="ar"/>
                    </w:rPr>
                    <w:t>℃</w:t>
                  </w:r>
                </w:p>
              </w:tc>
              <w:tc>
                <w:tcPr>
                  <w:tcW w:w="867" w:type="pct"/>
                  <w:vAlign w:val="center"/>
                </w:tcPr>
                <w:p w14:paraId="7AF2A676">
                  <w:pPr>
                    <w:adjustRightInd w:val="0"/>
                    <w:snapToGrid w:val="0"/>
                    <w:jc w:val="center"/>
                    <w:rPr>
                      <w:color w:val="auto"/>
                    </w:rPr>
                  </w:pPr>
                  <w:r>
                    <w:rPr>
                      <w:color w:val="auto"/>
                    </w:rPr>
                    <w:t>150</w:t>
                  </w:r>
                </w:p>
              </w:tc>
              <w:tc>
                <w:tcPr>
                  <w:tcW w:w="463" w:type="pct"/>
                  <w:vMerge w:val="continue"/>
                  <w:vAlign w:val="center"/>
                </w:tcPr>
                <w:p w14:paraId="49E8EFBB">
                  <w:pPr>
                    <w:adjustRightInd w:val="0"/>
                    <w:snapToGrid w:val="0"/>
                    <w:jc w:val="center"/>
                    <w:rPr>
                      <w:color w:val="auto"/>
                      <w:kern w:val="0"/>
                      <w:szCs w:val="21"/>
                      <w:lang w:bidi="ar"/>
                    </w:rPr>
                  </w:pPr>
                </w:p>
              </w:tc>
              <w:tc>
                <w:tcPr>
                  <w:tcW w:w="468" w:type="pct"/>
                  <w:vMerge w:val="continue"/>
                  <w:vAlign w:val="center"/>
                </w:tcPr>
                <w:p w14:paraId="0841C44F">
                  <w:pPr>
                    <w:widowControl/>
                    <w:adjustRightInd w:val="0"/>
                    <w:snapToGrid w:val="0"/>
                    <w:jc w:val="center"/>
                    <w:rPr>
                      <w:color w:val="auto"/>
                      <w:szCs w:val="21"/>
                    </w:rPr>
                  </w:pPr>
                </w:p>
              </w:tc>
            </w:tr>
            <w:tr w14:paraId="4CE32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Merge w:val="continue"/>
                  <w:vAlign w:val="center"/>
                </w:tcPr>
                <w:p w14:paraId="5E7CE2C0">
                  <w:pPr>
                    <w:widowControl/>
                    <w:adjustRightInd w:val="0"/>
                    <w:snapToGrid w:val="0"/>
                    <w:jc w:val="center"/>
                    <w:textAlignment w:val="center"/>
                    <w:rPr>
                      <w:color w:val="auto"/>
                      <w:kern w:val="0"/>
                      <w:szCs w:val="21"/>
                    </w:rPr>
                  </w:pPr>
                </w:p>
              </w:tc>
              <w:tc>
                <w:tcPr>
                  <w:tcW w:w="387" w:type="pct"/>
                  <w:vMerge w:val="continue"/>
                  <w:vAlign w:val="center"/>
                </w:tcPr>
                <w:p w14:paraId="7813B8E9">
                  <w:pPr>
                    <w:adjustRightInd w:val="0"/>
                    <w:snapToGrid w:val="0"/>
                    <w:jc w:val="center"/>
                    <w:rPr>
                      <w:color w:val="auto"/>
                      <w:szCs w:val="21"/>
                    </w:rPr>
                  </w:pPr>
                </w:p>
              </w:tc>
              <w:tc>
                <w:tcPr>
                  <w:tcW w:w="424" w:type="pct"/>
                  <w:vMerge w:val="continue"/>
                  <w:vAlign w:val="center"/>
                </w:tcPr>
                <w:p w14:paraId="27A9C8B1">
                  <w:pPr>
                    <w:adjustRightInd w:val="0"/>
                    <w:snapToGrid w:val="0"/>
                    <w:jc w:val="center"/>
                    <w:rPr>
                      <w:color w:val="auto"/>
                      <w:szCs w:val="21"/>
                    </w:rPr>
                  </w:pPr>
                </w:p>
              </w:tc>
              <w:tc>
                <w:tcPr>
                  <w:tcW w:w="230" w:type="pct"/>
                  <w:vMerge w:val="continue"/>
                  <w:vAlign w:val="center"/>
                </w:tcPr>
                <w:p w14:paraId="3785067E">
                  <w:pPr>
                    <w:adjustRightInd w:val="0"/>
                    <w:snapToGrid w:val="0"/>
                    <w:jc w:val="center"/>
                    <w:rPr>
                      <w:color w:val="auto"/>
                      <w:szCs w:val="21"/>
                    </w:rPr>
                  </w:pPr>
                </w:p>
              </w:tc>
              <w:tc>
                <w:tcPr>
                  <w:tcW w:w="791" w:type="pct"/>
                  <w:vAlign w:val="center"/>
                </w:tcPr>
                <w:p w14:paraId="0556E199">
                  <w:pPr>
                    <w:adjustRightInd w:val="0"/>
                    <w:snapToGrid w:val="0"/>
                    <w:jc w:val="center"/>
                    <w:rPr>
                      <w:color w:val="auto"/>
                      <w:szCs w:val="21"/>
                    </w:rPr>
                  </w:pPr>
                  <w:r>
                    <w:rPr>
                      <w:color w:val="auto"/>
                      <w:szCs w:val="21"/>
                    </w:rPr>
                    <w:t>烘干炉低氮燃烧机</w:t>
                  </w:r>
                </w:p>
              </w:tc>
              <w:tc>
                <w:tcPr>
                  <w:tcW w:w="1909" w:type="pct"/>
                  <w:gridSpan w:val="3"/>
                  <w:vAlign w:val="center"/>
                </w:tcPr>
                <w:p w14:paraId="71196B8B">
                  <w:pPr>
                    <w:adjustRightInd w:val="0"/>
                    <w:snapToGrid w:val="0"/>
                    <w:rPr>
                      <w:color w:val="auto"/>
                      <w:kern w:val="0"/>
                    </w:rPr>
                  </w:pPr>
                  <w:r>
                    <w:rPr>
                      <w:color w:val="auto"/>
                      <w:kern w:val="0"/>
                    </w:rPr>
                    <w:t>直热式加热系统</w:t>
                  </w:r>
                </w:p>
                <w:p w14:paraId="773F9FD7">
                  <w:pPr>
                    <w:adjustRightInd w:val="0"/>
                    <w:snapToGrid w:val="0"/>
                    <w:rPr>
                      <w:color w:val="auto"/>
                      <w:kern w:val="0"/>
                    </w:rPr>
                  </w:pPr>
                  <w:r>
                    <w:rPr>
                      <w:rFonts w:hint="eastAsia"/>
                      <w:color w:val="auto"/>
                      <w:kern w:val="0"/>
                    </w:rPr>
                    <w:t>规模：21600</w:t>
                  </w:r>
                  <w:r>
                    <w:rPr>
                      <w:color w:val="auto"/>
                      <w:kern w:val="0"/>
                    </w:rPr>
                    <w:t>大卡燃烧机；</w:t>
                  </w:r>
                </w:p>
                <w:p w14:paraId="5EE3EE1E">
                  <w:pPr>
                    <w:adjustRightInd w:val="0"/>
                    <w:snapToGrid w:val="0"/>
                    <w:rPr>
                      <w:color w:val="auto"/>
                      <w:szCs w:val="21"/>
                    </w:rPr>
                  </w:pPr>
                  <w:r>
                    <w:rPr>
                      <w:color w:val="auto"/>
                      <w:kern w:val="0"/>
                    </w:rPr>
                    <w:t>升温时间：</w:t>
                  </w:r>
                  <w:r>
                    <w:rPr>
                      <w:rFonts w:hint="eastAsia"/>
                      <w:color w:val="auto"/>
                      <w:kern w:val="0"/>
                    </w:rPr>
                    <w:t>15min</w:t>
                  </w:r>
                  <w:r>
                    <w:rPr>
                      <w:color w:val="auto"/>
                      <w:kern w:val="0"/>
                    </w:rPr>
                    <w:t>左右升温至1</w:t>
                  </w:r>
                  <w:r>
                    <w:rPr>
                      <w:rFonts w:hint="eastAsia"/>
                      <w:color w:val="auto"/>
                      <w:kern w:val="0"/>
                    </w:rPr>
                    <w:t>5</w:t>
                  </w:r>
                  <w:r>
                    <w:rPr>
                      <w:color w:val="auto"/>
                      <w:kern w:val="0"/>
                    </w:rPr>
                    <w:t>0</w:t>
                  </w:r>
                  <w:r>
                    <w:rPr>
                      <w:rFonts w:hint="eastAsia" w:ascii="宋体" w:hAnsi="宋体" w:cs="宋体"/>
                      <w:color w:val="auto"/>
                      <w:kern w:val="0"/>
                    </w:rPr>
                    <w:t>℃</w:t>
                  </w:r>
                </w:p>
              </w:tc>
              <w:tc>
                <w:tcPr>
                  <w:tcW w:w="463" w:type="pct"/>
                  <w:vAlign w:val="center"/>
                </w:tcPr>
                <w:p w14:paraId="6932EE35">
                  <w:pPr>
                    <w:widowControl/>
                    <w:adjustRightInd w:val="0"/>
                    <w:snapToGrid w:val="0"/>
                    <w:jc w:val="center"/>
                    <w:textAlignment w:val="center"/>
                    <w:rPr>
                      <w:color w:val="auto"/>
                      <w:kern w:val="0"/>
                      <w:szCs w:val="21"/>
                      <w:lang w:bidi="ar"/>
                    </w:rPr>
                  </w:pPr>
                  <w:r>
                    <w:rPr>
                      <w:rFonts w:hint="eastAsia"/>
                      <w:color w:val="auto"/>
                      <w:kern w:val="0"/>
                      <w:szCs w:val="21"/>
                      <w:lang w:bidi="ar"/>
                    </w:rPr>
                    <w:t>2个</w:t>
                  </w:r>
                </w:p>
              </w:tc>
              <w:tc>
                <w:tcPr>
                  <w:tcW w:w="468" w:type="pct"/>
                  <w:vMerge w:val="continue"/>
                  <w:vAlign w:val="center"/>
                </w:tcPr>
                <w:p w14:paraId="61E94403">
                  <w:pPr>
                    <w:widowControl/>
                    <w:adjustRightInd w:val="0"/>
                    <w:snapToGrid w:val="0"/>
                    <w:jc w:val="center"/>
                    <w:rPr>
                      <w:color w:val="auto"/>
                      <w:szCs w:val="21"/>
                    </w:rPr>
                  </w:pPr>
                </w:p>
              </w:tc>
            </w:tr>
            <w:tr w14:paraId="5DB1F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40A98274">
                  <w:pPr>
                    <w:widowControl/>
                    <w:adjustRightInd w:val="0"/>
                    <w:snapToGrid w:val="0"/>
                    <w:jc w:val="center"/>
                    <w:textAlignment w:val="center"/>
                    <w:rPr>
                      <w:color w:val="auto"/>
                      <w:kern w:val="0"/>
                      <w:szCs w:val="21"/>
                    </w:rPr>
                  </w:pPr>
                  <w:r>
                    <w:rPr>
                      <w:rFonts w:hint="eastAsia"/>
                      <w:color w:val="auto"/>
                      <w:kern w:val="0"/>
                      <w:szCs w:val="21"/>
                    </w:rPr>
                    <w:t>19</w:t>
                  </w:r>
                </w:p>
              </w:tc>
              <w:tc>
                <w:tcPr>
                  <w:tcW w:w="387" w:type="pct"/>
                  <w:vMerge w:val="restart"/>
                  <w:vAlign w:val="center"/>
                </w:tcPr>
                <w:p w14:paraId="41FE78FA">
                  <w:pPr>
                    <w:adjustRightInd w:val="0"/>
                    <w:snapToGrid w:val="0"/>
                    <w:jc w:val="center"/>
                    <w:rPr>
                      <w:color w:val="auto"/>
                      <w:szCs w:val="21"/>
                    </w:rPr>
                  </w:pPr>
                  <w:r>
                    <w:rPr>
                      <w:color w:val="auto"/>
                      <w:szCs w:val="21"/>
                    </w:rPr>
                    <w:t>喷涂</w:t>
                  </w:r>
                </w:p>
              </w:tc>
              <w:tc>
                <w:tcPr>
                  <w:tcW w:w="424" w:type="pct"/>
                  <w:vMerge w:val="restart"/>
                  <w:vAlign w:val="center"/>
                </w:tcPr>
                <w:p w14:paraId="5A73EAAE">
                  <w:pPr>
                    <w:adjustRightInd w:val="0"/>
                    <w:snapToGrid w:val="0"/>
                    <w:jc w:val="center"/>
                    <w:rPr>
                      <w:color w:val="auto"/>
                      <w:szCs w:val="21"/>
                    </w:rPr>
                  </w:pPr>
                  <w:r>
                    <w:rPr>
                      <w:rFonts w:hint="eastAsia"/>
                      <w:color w:val="auto"/>
                      <w:szCs w:val="21"/>
                    </w:rPr>
                    <w:t>喷粉</w:t>
                  </w:r>
                </w:p>
              </w:tc>
              <w:tc>
                <w:tcPr>
                  <w:tcW w:w="1021" w:type="pct"/>
                  <w:gridSpan w:val="2"/>
                  <w:vAlign w:val="center"/>
                </w:tcPr>
                <w:p w14:paraId="2BFF0993">
                  <w:pPr>
                    <w:adjustRightInd w:val="0"/>
                    <w:snapToGrid w:val="0"/>
                    <w:jc w:val="center"/>
                    <w:rPr>
                      <w:color w:val="auto"/>
                      <w:szCs w:val="21"/>
                    </w:rPr>
                  </w:pPr>
                  <w:r>
                    <w:rPr>
                      <w:color w:val="auto"/>
                      <w:szCs w:val="21"/>
                    </w:rPr>
                    <w:t>喷粉线</w:t>
                  </w:r>
                </w:p>
              </w:tc>
              <w:tc>
                <w:tcPr>
                  <w:tcW w:w="662" w:type="pct"/>
                  <w:vAlign w:val="center"/>
                </w:tcPr>
                <w:p w14:paraId="721F299C">
                  <w:pPr>
                    <w:adjustRightInd w:val="0"/>
                    <w:snapToGrid w:val="0"/>
                    <w:jc w:val="center"/>
                    <w:rPr>
                      <w:color w:val="auto"/>
                      <w:kern w:val="0"/>
                      <w:szCs w:val="21"/>
                      <w:lang w:bidi="ar"/>
                    </w:rPr>
                  </w:pPr>
                  <w:r>
                    <w:rPr>
                      <w:color w:val="auto"/>
                      <w:kern w:val="0"/>
                      <w:szCs w:val="21"/>
                      <w:lang w:bidi="ar"/>
                    </w:rPr>
                    <w:t>长度</w:t>
                  </w:r>
                </w:p>
              </w:tc>
              <w:tc>
                <w:tcPr>
                  <w:tcW w:w="380" w:type="pct"/>
                  <w:vAlign w:val="center"/>
                </w:tcPr>
                <w:p w14:paraId="308C4460">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1027F6B6">
                  <w:pPr>
                    <w:adjustRightInd w:val="0"/>
                    <w:snapToGrid w:val="0"/>
                    <w:jc w:val="center"/>
                    <w:rPr>
                      <w:color w:val="auto"/>
                      <w:kern w:val="0"/>
                      <w:szCs w:val="21"/>
                      <w:lang w:bidi="ar"/>
                    </w:rPr>
                  </w:pPr>
                  <w:r>
                    <w:rPr>
                      <w:rFonts w:hint="eastAsia"/>
                      <w:color w:val="auto"/>
                      <w:kern w:val="0"/>
                      <w:szCs w:val="21"/>
                      <w:lang w:bidi="ar"/>
                    </w:rPr>
                    <w:t>260</w:t>
                  </w:r>
                </w:p>
              </w:tc>
              <w:tc>
                <w:tcPr>
                  <w:tcW w:w="463" w:type="pct"/>
                  <w:vAlign w:val="center"/>
                </w:tcPr>
                <w:p w14:paraId="683063CE">
                  <w:pPr>
                    <w:adjustRightInd w:val="0"/>
                    <w:snapToGrid w:val="0"/>
                    <w:jc w:val="center"/>
                    <w:rPr>
                      <w:color w:val="auto"/>
                      <w:kern w:val="0"/>
                      <w:szCs w:val="21"/>
                      <w:lang w:bidi="ar"/>
                    </w:rPr>
                  </w:pPr>
                  <w:r>
                    <w:rPr>
                      <w:rFonts w:hint="eastAsia"/>
                      <w:color w:val="auto"/>
                      <w:kern w:val="0"/>
                      <w:szCs w:val="21"/>
                      <w:lang w:bidi="ar"/>
                    </w:rPr>
                    <w:t>1</w:t>
                  </w:r>
                  <w:r>
                    <w:rPr>
                      <w:color w:val="auto"/>
                      <w:kern w:val="0"/>
                      <w:szCs w:val="21"/>
                      <w:lang w:bidi="ar"/>
                    </w:rPr>
                    <w:t>条</w:t>
                  </w:r>
                </w:p>
              </w:tc>
              <w:tc>
                <w:tcPr>
                  <w:tcW w:w="468" w:type="pct"/>
                  <w:vMerge w:val="restart"/>
                  <w:vAlign w:val="center"/>
                </w:tcPr>
                <w:p w14:paraId="2371BED0">
                  <w:pPr>
                    <w:widowControl/>
                    <w:adjustRightInd w:val="0"/>
                    <w:snapToGrid w:val="0"/>
                    <w:jc w:val="center"/>
                    <w:rPr>
                      <w:color w:val="auto"/>
                      <w:szCs w:val="21"/>
                    </w:rPr>
                  </w:pPr>
                  <w:r>
                    <w:rPr>
                      <w:rFonts w:hint="eastAsia"/>
                      <w:color w:val="auto"/>
                      <w:szCs w:val="21"/>
                    </w:rPr>
                    <w:t>4楼粉线房</w:t>
                  </w:r>
                </w:p>
              </w:tc>
            </w:tr>
            <w:tr w14:paraId="3CE0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24" w:type="pct"/>
                  <w:vAlign w:val="center"/>
                </w:tcPr>
                <w:p w14:paraId="0F6CC2A0">
                  <w:pPr>
                    <w:widowControl/>
                    <w:adjustRightInd w:val="0"/>
                    <w:snapToGrid w:val="0"/>
                    <w:jc w:val="center"/>
                    <w:textAlignment w:val="center"/>
                    <w:rPr>
                      <w:color w:val="auto"/>
                      <w:kern w:val="0"/>
                      <w:szCs w:val="21"/>
                    </w:rPr>
                  </w:pPr>
                  <w:r>
                    <w:rPr>
                      <w:rFonts w:hint="eastAsia"/>
                      <w:color w:val="auto"/>
                      <w:kern w:val="0"/>
                      <w:szCs w:val="21"/>
                    </w:rPr>
                    <w:t>20</w:t>
                  </w:r>
                </w:p>
              </w:tc>
              <w:tc>
                <w:tcPr>
                  <w:tcW w:w="387" w:type="pct"/>
                  <w:vMerge w:val="continue"/>
                  <w:vAlign w:val="center"/>
                </w:tcPr>
                <w:p w14:paraId="5A731AF0">
                  <w:pPr>
                    <w:adjustRightInd w:val="0"/>
                    <w:snapToGrid w:val="0"/>
                    <w:jc w:val="center"/>
                    <w:rPr>
                      <w:color w:val="auto"/>
                      <w:szCs w:val="21"/>
                    </w:rPr>
                  </w:pPr>
                </w:p>
              </w:tc>
              <w:tc>
                <w:tcPr>
                  <w:tcW w:w="424" w:type="pct"/>
                  <w:vMerge w:val="continue"/>
                  <w:vAlign w:val="center"/>
                </w:tcPr>
                <w:p w14:paraId="0CDD467A">
                  <w:pPr>
                    <w:adjustRightInd w:val="0"/>
                    <w:snapToGrid w:val="0"/>
                    <w:jc w:val="center"/>
                    <w:rPr>
                      <w:color w:val="auto"/>
                      <w:szCs w:val="21"/>
                    </w:rPr>
                  </w:pPr>
                </w:p>
              </w:tc>
              <w:tc>
                <w:tcPr>
                  <w:tcW w:w="230" w:type="pct"/>
                  <w:vMerge w:val="restart"/>
                  <w:vAlign w:val="center"/>
                </w:tcPr>
                <w:p w14:paraId="1FE56F45">
                  <w:pPr>
                    <w:adjustRightInd w:val="0"/>
                    <w:snapToGrid w:val="0"/>
                    <w:jc w:val="center"/>
                    <w:rPr>
                      <w:color w:val="auto"/>
                      <w:szCs w:val="21"/>
                    </w:rPr>
                  </w:pPr>
                  <w:r>
                    <w:rPr>
                      <w:color w:val="auto"/>
                      <w:szCs w:val="21"/>
                    </w:rPr>
                    <w:t>其中</w:t>
                  </w:r>
                </w:p>
              </w:tc>
              <w:tc>
                <w:tcPr>
                  <w:tcW w:w="791" w:type="pct"/>
                  <w:vAlign w:val="center"/>
                </w:tcPr>
                <w:p w14:paraId="3FEA5F57">
                  <w:pPr>
                    <w:adjustRightInd w:val="0"/>
                    <w:snapToGrid w:val="0"/>
                    <w:jc w:val="center"/>
                    <w:rPr>
                      <w:color w:val="auto"/>
                      <w:szCs w:val="21"/>
                    </w:rPr>
                  </w:pPr>
                  <w:r>
                    <w:rPr>
                      <w:rFonts w:hint="eastAsia"/>
                      <w:color w:val="auto"/>
                      <w:szCs w:val="21"/>
                    </w:rPr>
                    <w:t>气动打磨机</w:t>
                  </w:r>
                </w:p>
              </w:tc>
              <w:tc>
                <w:tcPr>
                  <w:tcW w:w="662" w:type="pct"/>
                  <w:vAlign w:val="center"/>
                </w:tcPr>
                <w:p w14:paraId="1D586C11">
                  <w:pPr>
                    <w:adjustRightInd w:val="0"/>
                    <w:snapToGrid w:val="0"/>
                    <w:jc w:val="center"/>
                    <w:rPr>
                      <w:color w:val="auto"/>
                      <w:kern w:val="0"/>
                      <w:szCs w:val="21"/>
                      <w:lang w:bidi="ar"/>
                    </w:rPr>
                  </w:pPr>
                  <w:r>
                    <w:rPr>
                      <w:rFonts w:hint="eastAsia"/>
                      <w:color w:val="auto"/>
                      <w:kern w:val="0"/>
                      <w:szCs w:val="21"/>
                      <w:lang w:bidi="ar"/>
                    </w:rPr>
                    <w:t>工作气压</w:t>
                  </w:r>
                </w:p>
              </w:tc>
              <w:tc>
                <w:tcPr>
                  <w:tcW w:w="380" w:type="pct"/>
                  <w:vAlign w:val="center"/>
                </w:tcPr>
                <w:p w14:paraId="64368B62">
                  <w:pPr>
                    <w:widowControl/>
                    <w:adjustRightInd w:val="0"/>
                    <w:snapToGrid w:val="0"/>
                    <w:jc w:val="center"/>
                    <w:textAlignment w:val="center"/>
                    <w:rPr>
                      <w:color w:val="auto"/>
                      <w:kern w:val="0"/>
                      <w:szCs w:val="21"/>
                      <w:lang w:bidi="ar"/>
                    </w:rPr>
                  </w:pPr>
                  <w:r>
                    <w:rPr>
                      <w:rFonts w:hint="eastAsia"/>
                      <w:color w:val="auto"/>
                      <w:kern w:val="0"/>
                      <w:szCs w:val="21"/>
                      <w:lang w:bidi="ar"/>
                    </w:rPr>
                    <w:t>Mpa</w:t>
                  </w:r>
                </w:p>
              </w:tc>
              <w:tc>
                <w:tcPr>
                  <w:tcW w:w="867" w:type="pct"/>
                  <w:vAlign w:val="center"/>
                </w:tcPr>
                <w:p w14:paraId="1B8E2C2F">
                  <w:pPr>
                    <w:adjustRightInd w:val="0"/>
                    <w:snapToGrid w:val="0"/>
                    <w:jc w:val="center"/>
                    <w:rPr>
                      <w:color w:val="auto"/>
                      <w:szCs w:val="21"/>
                    </w:rPr>
                  </w:pPr>
                  <w:r>
                    <w:rPr>
                      <w:rFonts w:hint="eastAsia"/>
                      <w:color w:val="auto"/>
                      <w:szCs w:val="21"/>
                    </w:rPr>
                    <w:t>0.6-0.8</w:t>
                  </w:r>
                </w:p>
              </w:tc>
              <w:tc>
                <w:tcPr>
                  <w:tcW w:w="463" w:type="pct"/>
                  <w:vAlign w:val="center"/>
                </w:tcPr>
                <w:p w14:paraId="3841CB09">
                  <w:pPr>
                    <w:widowControl/>
                    <w:adjustRightInd w:val="0"/>
                    <w:snapToGrid w:val="0"/>
                    <w:jc w:val="center"/>
                    <w:textAlignment w:val="center"/>
                    <w:rPr>
                      <w:color w:val="auto"/>
                      <w:kern w:val="0"/>
                      <w:szCs w:val="21"/>
                      <w:lang w:bidi="ar"/>
                    </w:rPr>
                  </w:pPr>
                  <w:r>
                    <w:rPr>
                      <w:rFonts w:hint="eastAsia"/>
                      <w:color w:val="auto"/>
                      <w:kern w:val="0"/>
                      <w:szCs w:val="21"/>
                      <w:lang w:bidi="ar"/>
                    </w:rPr>
                    <w:t>4台</w:t>
                  </w:r>
                </w:p>
              </w:tc>
              <w:tc>
                <w:tcPr>
                  <w:tcW w:w="468" w:type="pct"/>
                  <w:vMerge w:val="continue"/>
                  <w:vAlign w:val="center"/>
                </w:tcPr>
                <w:p w14:paraId="4F16E871">
                  <w:pPr>
                    <w:widowControl/>
                    <w:adjustRightInd w:val="0"/>
                    <w:snapToGrid w:val="0"/>
                    <w:jc w:val="center"/>
                    <w:rPr>
                      <w:color w:val="auto"/>
                      <w:szCs w:val="21"/>
                    </w:rPr>
                  </w:pPr>
                </w:p>
              </w:tc>
            </w:tr>
            <w:tr w14:paraId="1406C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7CFFF4F6">
                  <w:pPr>
                    <w:widowControl/>
                    <w:adjustRightInd w:val="0"/>
                    <w:snapToGrid w:val="0"/>
                    <w:jc w:val="center"/>
                    <w:textAlignment w:val="center"/>
                    <w:rPr>
                      <w:color w:val="auto"/>
                      <w:kern w:val="0"/>
                      <w:szCs w:val="21"/>
                    </w:rPr>
                  </w:pPr>
                  <w:r>
                    <w:rPr>
                      <w:rFonts w:hint="eastAsia"/>
                      <w:color w:val="auto"/>
                      <w:kern w:val="0"/>
                      <w:szCs w:val="21"/>
                    </w:rPr>
                    <w:t>21</w:t>
                  </w:r>
                </w:p>
              </w:tc>
              <w:tc>
                <w:tcPr>
                  <w:tcW w:w="387" w:type="pct"/>
                  <w:vMerge w:val="continue"/>
                  <w:vAlign w:val="center"/>
                </w:tcPr>
                <w:p w14:paraId="02656BFF">
                  <w:pPr>
                    <w:adjustRightInd w:val="0"/>
                    <w:snapToGrid w:val="0"/>
                    <w:jc w:val="center"/>
                    <w:rPr>
                      <w:color w:val="auto"/>
                      <w:szCs w:val="21"/>
                    </w:rPr>
                  </w:pPr>
                </w:p>
              </w:tc>
              <w:tc>
                <w:tcPr>
                  <w:tcW w:w="424" w:type="pct"/>
                  <w:vMerge w:val="continue"/>
                  <w:vAlign w:val="center"/>
                </w:tcPr>
                <w:p w14:paraId="07ECB509">
                  <w:pPr>
                    <w:adjustRightInd w:val="0"/>
                    <w:snapToGrid w:val="0"/>
                    <w:jc w:val="center"/>
                    <w:rPr>
                      <w:color w:val="auto"/>
                      <w:szCs w:val="21"/>
                    </w:rPr>
                  </w:pPr>
                </w:p>
              </w:tc>
              <w:tc>
                <w:tcPr>
                  <w:tcW w:w="230" w:type="pct"/>
                  <w:vMerge w:val="continue"/>
                  <w:vAlign w:val="center"/>
                </w:tcPr>
                <w:p w14:paraId="1EE9D1DF">
                  <w:pPr>
                    <w:adjustRightInd w:val="0"/>
                    <w:snapToGrid w:val="0"/>
                    <w:jc w:val="center"/>
                    <w:rPr>
                      <w:color w:val="auto"/>
                      <w:szCs w:val="21"/>
                    </w:rPr>
                  </w:pPr>
                </w:p>
              </w:tc>
              <w:tc>
                <w:tcPr>
                  <w:tcW w:w="791" w:type="pct"/>
                  <w:vAlign w:val="center"/>
                </w:tcPr>
                <w:p w14:paraId="0B2519F1">
                  <w:pPr>
                    <w:adjustRightInd w:val="0"/>
                    <w:snapToGrid w:val="0"/>
                    <w:jc w:val="center"/>
                    <w:rPr>
                      <w:color w:val="auto"/>
                      <w:szCs w:val="21"/>
                    </w:rPr>
                  </w:pPr>
                  <w:r>
                    <w:rPr>
                      <w:rFonts w:hint="eastAsia"/>
                      <w:color w:val="auto"/>
                      <w:szCs w:val="21"/>
                    </w:rPr>
                    <w:t>吹灰柜</w:t>
                  </w:r>
                </w:p>
              </w:tc>
              <w:tc>
                <w:tcPr>
                  <w:tcW w:w="662" w:type="pct"/>
                  <w:vAlign w:val="center"/>
                </w:tcPr>
                <w:p w14:paraId="2960F726">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07F63EAB">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0CCED764">
                  <w:pPr>
                    <w:adjustRightInd w:val="0"/>
                    <w:snapToGrid w:val="0"/>
                    <w:jc w:val="center"/>
                    <w:rPr>
                      <w:color w:val="auto"/>
                      <w:kern w:val="0"/>
                      <w:szCs w:val="21"/>
                      <w:lang w:bidi="ar"/>
                    </w:rPr>
                  </w:pPr>
                  <w:r>
                    <w:rPr>
                      <w:rFonts w:hint="eastAsia"/>
                      <w:color w:val="auto"/>
                      <w:kern w:val="0"/>
                      <w:szCs w:val="21"/>
                      <w:lang w:bidi="ar"/>
                    </w:rPr>
                    <w:t>2</w:t>
                  </w:r>
                  <w:r>
                    <w:rPr>
                      <w:color w:val="auto"/>
                      <w:kern w:val="0"/>
                      <w:szCs w:val="21"/>
                      <w:lang w:bidi="ar"/>
                    </w:rPr>
                    <w:t>×</w:t>
                  </w:r>
                  <w:r>
                    <w:rPr>
                      <w:rFonts w:hint="eastAsia"/>
                      <w:color w:val="auto"/>
                      <w:kern w:val="0"/>
                      <w:szCs w:val="21"/>
                      <w:lang w:bidi="ar"/>
                    </w:rPr>
                    <w:t>2.5</w:t>
                  </w:r>
                  <w:r>
                    <w:rPr>
                      <w:color w:val="auto"/>
                      <w:kern w:val="0"/>
                      <w:szCs w:val="21"/>
                      <w:lang w:bidi="ar"/>
                    </w:rPr>
                    <w:t>×</w:t>
                  </w:r>
                  <w:r>
                    <w:rPr>
                      <w:rFonts w:hint="eastAsia"/>
                      <w:color w:val="auto"/>
                      <w:kern w:val="0"/>
                      <w:szCs w:val="21"/>
                      <w:lang w:bidi="ar"/>
                    </w:rPr>
                    <w:t>2.5</w:t>
                  </w:r>
                </w:p>
              </w:tc>
              <w:tc>
                <w:tcPr>
                  <w:tcW w:w="463" w:type="pct"/>
                  <w:vAlign w:val="center"/>
                </w:tcPr>
                <w:p w14:paraId="7629C811">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3BED273B">
                  <w:pPr>
                    <w:widowControl/>
                    <w:adjustRightInd w:val="0"/>
                    <w:snapToGrid w:val="0"/>
                    <w:jc w:val="center"/>
                    <w:rPr>
                      <w:color w:val="auto"/>
                      <w:szCs w:val="21"/>
                    </w:rPr>
                  </w:pPr>
                </w:p>
              </w:tc>
            </w:tr>
            <w:tr w14:paraId="78580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4" w:type="pct"/>
                  <w:vAlign w:val="center"/>
                </w:tcPr>
                <w:p w14:paraId="62D92228">
                  <w:pPr>
                    <w:widowControl/>
                    <w:adjustRightInd w:val="0"/>
                    <w:snapToGrid w:val="0"/>
                    <w:jc w:val="center"/>
                    <w:textAlignment w:val="center"/>
                    <w:rPr>
                      <w:color w:val="auto"/>
                      <w:kern w:val="0"/>
                      <w:szCs w:val="21"/>
                    </w:rPr>
                  </w:pPr>
                  <w:r>
                    <w:rPr>
                      <w:rFonts w:hint="eastAsia"/>
                      <w:color w:val="auto"/>
                      <w:kern w:val="0"/>
                      <w:szCs w:val="21"/>
                    </w:rPr>
                    <w:t>22</w:t>
                  </w:r>
                </w:p>
              </w:tc>
              <w:tc>
                <w:tcPr>
                  <w:tcW w:w="387" w:type="pct"/>
                  <w:vMerge w:val="continue"/>
                  <w:vAlign w:val="center"/>
                </w:tcPr>
                <w:p w14:paraId="3F0042DB">
                  <w:pPr>
                    <w:adjustRightInd w:val="0"/>
                    <w:snapToGrid w:val="0"/>
                    <w:jc w:val="center"/>
                    <w:rPr>
                      <w:color w:val="auto"/>
                      <w:szCs w:val="21"/>
                    </w:rPr>
                  </w:pPr>
                </w:p>
              </w:tc>
              <w:tc>
                <w:tcPr>
                  <w:tcW w:w="424" w:type="pct"/>
                  <w:vMerge w:val="continue"/>
                  <w:vAlign w:val="center"/>
                </w:tcPr>
                <w:p w14:paraId="08119BBC">
                  <w:pPr>
                    <w:adjustRightInd w:val="0"/>
                    <w:snapToGrid w:val="0"/>
                    <w:jc w:val="center"/>
                    <w:rPr>
                      <w:color w:val="auto"/>
                      <w:szCs w:val="21"/>
                    </w:rPr>
                  </w:pPr>
                </w:p>
              </w:tc>
              <w:tc>
                <w:tcPr>
                  <w:tcW w:w="230" w:type="pct"/>
                  <w:vMerge w:val="continue"/>
                  <w:vAlign w:val="center"/>
                </w:tcPr>
                <w:p w14:paraId="26903C69">
                  <w:pPr>
                    <w:adjustRightInd w:val="0"/>
                    <w:snapToGrid w:val="0"/>
                    <w:jc w:val="center"/>
                    <w:rPr>
                      <w:color w:val="auto"/>
                      <w:szCs w:val="21"/>
                    </w:rPr>
                  </w:pPr>
                </w:p>
              </w:tc>
              <w:tc>
                <w:tcPr>
                  <w:tcW w:w="791" w:type="pct"/>
                  <w:vAlign w:val="center"/>
                </w:tcPr>
                <w:p w14:paraId="066A5C11">
                  <w:pPr>
                    <w:adjustRightInd w:val="0"/>
                    <w:snapToGrid w:val="0"/>
                    <w:jc w:val="center"/>
                    <w:rPr>
                      <w:color w:val="auto"/>
                      <w:szCs w:val="21"/>
                    </w:rPr>
                  </w:pPr>
                  <w:r>
                    <w:rPr>
                      <w:rFonts w:hint="eastAsia"/>
                      <w:color w:val="auto"/>
                      <w:szCs w:val="21"/>
                    </w:rPr>
                    <w:t>喷粉柜</w:t>
                  </w:r>
                </w:p>
              </w:tc>
              <w:tc>
                <w:tcPr>
                  <w:tcW w:w="662" w:type="pct"/>
                  <w:vAlign w:val="center"/>
                </w:tcPr>
                <w:p w14:paraId="395ABC70">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68FBDA5E">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20F54581">
                  <w:pPr>
                    <w:adjustRightInd w:val="0"/>
                    <w:snapToGrid w:val="0"/>
                    <w:jc w:val="center"/>
                    <w:rPr>
                      <w:color w:val="auto"/>
                      <w:kern w:val="0"/>
                      <w:szCs w:val="21"/>
                      <w:lang w:bidi="ar"/>
                    </w:rPr>
                  </w:pPr>
                  <w:r>
                    <w:rPr>
                      <w:rFonts w:hint="eastAsia"/>
                      <w:color w:val="auto"/>
                      <w:kern w:val="0"/>
                      <w:szCs w:val="21"/>
                      <w:lang w:bidi="ar"/>
                    </w:rPr>
                    <w:t>1.2</w:t>
                  </w:r>
                  <w:r>
                    <w:rPr>
                      <w:color w:val="auto"/>
                      <w:kern w:val="0"/>
                      <w:szCs w:val="21"/>
                      <w:lang w:bidi="ar"/>
                    </w:rPr>
                    <w:t>×</w:t>
                  </w:r>
                  <w:r>
                    <w:rPr>
                      <w:rFonts w:hint="eastAsia"/>
                      <w:color w:val="auto"/>
                      <w:kern w:val="0"/>
                      <w:szCs w:val="21"/>
                      <w:lang w:bidi="ar"/>
                    </w:rPr>
                    <w:t>1.8</w:t>
                  </w:r>
                  <w:r>
                    <w:rPr>
                      <w:color w:val="auto"/>
                      <w:kern w:val="0"/>
                      <w:szCs w:val="21"/>
                      <w:lang w:bidi="ar"/>
                    </w:rPr>
                    <w:t>×</w:t>
                  </w:r>
                  <w:r>
                    <w:rPr>
                      <w:rFonts w:hint="eastAsia"/>
                      <w:color w:val="auto"/>
                      <w:kern w:val="0"/>
                      <w:szCs w:val="21"/>
                      <w:lang w:bidi="ar"/>
                    </w:rPr>
                    <w:t>7</w:t>
                  </w:r>
                </w:p>
              </w:tc>
              <w:tc>
                <w:tcPr>
                  <w:tcW w:w="463" w:type="pct"/>
                  <w:vAlign w:val="center"/>
                </w:tcPr>
                <w:p w14:paraId="7C783B47">
                  <w:pPr>
                    <w:adjustRightInd w:val="0"/>
                    <w:snapToGrid w:val="0"/>
                    <w:jc w:val="center"/>
                    <w:rPr>
                      <w:color w:val="auto"/>
                      <w:kern w:val="0"/>
                      <w:szCs w:val="21"/>
                      <w:lang w:bidi="ar"/>
                    </w:rPr>
                  </w:pPr>
                  <w:r>
                    <w:rPr>
                      <w:rFonts w:hint="eastAsia"/>
                      <w:color w:val="auto"/>
                      <w:kern w:val="0"/>
                      <w:szCs w:val="21"/>
                      <w:lang w:bidi="ar"/>
                    </w:rPr>
                    <w:t>2</w:t>
                  </w:r>
                  <w:r>
                    <w:rPr>
                      <w:rFonts w:hint="eastAsia"/>
                      <w:color w:val="auto"/>
                      <w:kern w:val="0"/>
                      <w:szCs w:val="21"/>
                      <w:lang w:val="en-US" w:eastAsia="zh-CN" w:bidi="ar"/>
                    </w:rPr>
                    <w:t>台</w:t>
                  </w:r>
                </w:p>
              </w:tc>
              <w:tc>
                <w:tcPr>
                  <w:tcW w:w="468" w:type="pct"/>
                  <w:vMerge w:val="continue"/>
                  <w:vAlign w:val="center"/>
                </w:tcPr>
                <w:p w14:paraId="2B8715B2">
                  <w:pPr>
                    <w:widowControl/>
                    <w:adjustRightInd w:val="0"/>
                    <w:snapToGrid w:val="0"/>
                    <w:jc w:val="center"/>
                    <w:rPr>
                      <w:color w:val="auto"/>
                      <w:szCs w:val="21"/>
                    </w:rPr>
                  </w:pPr>
                </w:p>
              </w:tc>
            </w:tr>
            <w:tr w14:paraId="485D5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65137E05">
                  <w:pPr>
                    <w:widowControl/>
                    <w:adjustRightInd w:val="0"/>
                    <w:snapToGrid w:val="0"/>
                    <w:jc w:val="center"/>
                    <w:textAlignment w:val="center"/>
                    <w:rPr>
                      <w:color w:val="auto"/>
                      <w:kern w:val="0"/>
                      <w:szCs w:val="21"/>
                    </w:rPr>
                  </w:pPr>
                  <w:r>
                    <w:rPr>
                      <w:rFonts w:hint="eastAsia"/>
                      <w:color w:val="auto"/>
                      <w:kern w:val="0"/>
                      <w:szCs w:val="21"/>
                    </w:rPr>
                    <w:t>23</w:t>
                  </w:r>
                </w:p>
              </w:tc>
              <w:tc>
                <w:tcPr>
                  <w:tcW w:w="387" w:type="pct"/>
                  <w:vMerge w:val="continue"/>
                  <w:vAlign w:val="center"/>
                </w:tcPr>
                <w:p w14:paraId="37D683EC">
                  <w:pPr>
                    <w:adjustRightInd w:val="0"/>
                    <w:snapToGrid w:val="0"/>
                    <w:jc w:val="center"/>
                    <w:rPr>
                      <w:color w:val="auto"/>
                      <w:szCs w:val="21"/>
                    </w:rPr>
                  </w:pPr>
                </w:p>
              </w:tc>
              <w:tc>
                <w:tcPr>
                  <w:tcW w:w="424" w:type="pct"/>
                  <w:vMerge w:val="continue"/>
                  <w:vAlign w:val="center"/>
                </w:tcPr>
                <w:p w14:paraId="3B8FC31C">
                  <w:pPr>
                    <w:adjustRightInd w:val="0"/>
                    <w:snapToGrid w:val="0"/>
                    <w:jc w:val="center"/>
                    <w:rPr>
                      <w:color w:val="auto"/>
                      <w:szCs w:val="21"/>
                    </w:rPr>
                  </w:pPr>
                </w:p>
              </w:tc>
              <w:tc>
                <w:tcPr>
                  <w:tcW w:w="230" w:type="pct"/>
                  <w:vMerge w:val="continue"/>
                  <w:vAlign w:val="center"/>
                </w:tcPr>
                <w:p w14:paraId="153CE2DD">
                  <w:pPr>
                    <w:adjustRightInd w:val="0"/>
                    <w:snapToGrid w:val="0"/>
                    <w:jc w:val="center"/>
                    <w:rPr>
                      <w:color w:val="auto"/>
                      <w:szCs w:val="21"/>
                    </w:rPr>
                  </w:pPr>
                </w:p>
              </w:tc>
              <w:tc>
                <w:tcPr>
                  <w:tcW w:w="791" w:type="pct"/>
                  <w:vAlign w:val="center"/>
                </w:tcPr>
                <w:p w14:paraId="5BD7FC05">
                  <w:pPr>
                    <w:adjustRightInd w:val="0"/>
                    <w:snapToGrid w:val="0"/>
                    <w:jc w:val="center"/>
                    <w:rPr>
                      <w:color w:val="auto"/>
                      <w:szCs w:val="21"/>
                    </w:rPr>
                  </w:pPr>
                  <w:r>
                    <w:rPr>
                      <w:rFonts w:hint="eastAsia"/>
                      <w:color w:val="auto"/>
                      <w:szCs w:val="21"/>
                    </w:rPr>
                    <w:t>静电喷枪</w:t>
                  </w:r>
                </w:p>
              </w:tc>
              <w:tc>
                <w:tcPr>
                  <w:tcW w:w="662" w:type="pct"/>
                  <w:vAlign w:val="center"/>
                </w:tcPr>
                <w:p w14:paraId="07EC2D74">
                  <w:pPr>
                    <w:adjustRightInd w:val="0"/>
                    <w:snapToGrid w:val="0"/>
                    <w:jc w:val="center"/>
                    <w:rPr>
                      <w:color w:val="auto"/>
                      <w:kern w:val="0"/>
                      <w:szCs w:val="21"/>
                      <w:lang w:bidi="ar"/>
                    </w:rPr>
                  </w:pPr>
                  <w:r>
                    <w:rPr>
                      <w:color w:val="auto"/>
                      <w:kern w:val="0"/>
                      <w:szCs w:val="21"/>
                      <w:lang w:bidi="ar"/>
                    </w:rPr>
                    <w:t>喷涂流量</w:t>
                  </w:r>
                </w:p>
              </w:tc>
              <w:tc>
                <w:tcPr>
                  <w:tcW w:w="380" w:type="pct"/>
                  <w:vAlign w:val="center"/>
                </w:tcPr>
                <w:p w14:paraId="0A986242">
                  <w:pPr>
                    <w:adjustRightInd w:val="0"/>
                    <w:snapToGrid w:val="0"/>
                    <w:jc w:val="center"/>
                    <w:rPr>
                      <w:color w:val="auto"/>
                      <w:kern w:val="0"/>
                      <w:szCs w:val="21"/>
                      <w:lang w:bidi="ar"/>
                    </w:rPr>
                  </w:pPr>
                  <w:r>
                    <w:rPr>
                      <w:color w:val="auto"/>
                      <w:kern w:val="0"/>
                      <w:szCs w:val="21"/>
                      <w:lang w:bidi="ar"/>
                    </w:rPr>
                    <w:t>kg/h</w:t>
                  </w:r>
                </w:p>
              </w:tc>
              <w:tc>
                <w:tcPr>
                  <w:tcW w:w="867" w:type="pct"/>
                  <w:vAlign w:val="center"/>
                </w:tcPr>
                <w:p w14:paraId="12FE2A6A">
                  <w:pPr>
                    <w:adjustRightInd w:val="0"/>
                    <w:snapToGrid w:val="0"/>
                    <w:jc w:val="center"/>
                    <w:rPr>
                      <w:color w:val="auto"/>
                      <w:kern w:val="0"/>
                      <w:szCs w:val="21"/>
                      <w:lang w:bidi="ar"/>
                    </w:rPr>
                  </w:pPr>
                  <w:r>
                    <w:rPr>
                      <w:color w:val="auto"/>
                      <w:kern w:val="0"/>
                      <w:szCs w:val="21"/>
                      <w:lang w:bidi="ar"/>
                    </w:rPr>
                    <w:t>1.5</w:t>
                  </w:r>
                </w:p>
              </w:tc>
              <w:tc>
                <w:tcPr>
                  <w:tcW w:w="463" w:type="pct"/>
                  <w:vAlign w:val="center"/>
                </w:tcPr>
                <w:p w14:paraId="3BADCCF8">
                  <w:pPr>
                    <w:adjustRightInd w:val="0"/>
                    <w:snapToGrid w:val="0"/>
                    <w:jc w:val="center"/>
                    <w:rPr>
                      <w:color w:val="auto"/>
                      <w:kern w:val="0"/>
                      <w:szCs w:val="21"/>
                      <w:lang w:bidi="ar"/>
                    </w:rPr>
                  </w:pPr>
                  <w:r>
                    <w:rPr>
                      <w:color w:val="auto"/>
                      <w:kern w:val="0"/>
                      <w:szCs w:val="21"/>
                      <w:lang w:bidi="ar"/>
                    </w:rPr>
                    <w:t>4把</w:t>
                  </w:r>
                </w:p>
              </w:tc>
              <w:tc>
                <w:tcPr>
                  <w:tcW w:w="468" w:type="pct"/>
                  <w:vMerge w:val="continue"/>
                  <w:vAlign w:val="center"/>
                </w:tcPr>
                <w:p w14:paraId="159D233C">
                  <w:pPr>
                    <w:widowControl/>
                    <w:adjustRightInd w:val="0"/>
                    <w:snapToGrid w:val="0"/>
                    <w:jc w:val="center"/>
                    <w:rPr>
                      <w:color w:val="auto"/>
                      <w:szCs w:val="21"/>
                    </w:rPr>
                  </w:pPr>
                </w:p>
              </w:tc>
            </w:tr>
            <w:tr w14:paraId="6A3C1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24" w:type="pct"/>
                  <w:vMerge w:val="restart"/>
                  <w:vAlign w:val="center"/>
                </w:tcPr>
                <w:p w14:paraId="413145B7">
                  <w:pPr>
                    <w:widowControl/>
                    <w:adjustRightInd w:val="0"/>
                    <w:snapToGrid w:val="0"/>
                    <w:jc w:val="center"/>
                    <w:textAlignment w:val="center"/>
                    <w:rPr>
                      <w:color w:val="auto"/>
                      <w:kern w:val="0"/>
                      <w:szCs w:val="21"/>
                    </w:rPr>
                  </w:pPr>
                  <w:r>
                    <w:rPr>
                      <w:rFonts w:hint="eastAsia"/>
                      <w:color w:val="auto"/>
                      <w:kern w:val="0"/>
                      <w:szCs w:val="21"/>
                    </w:rPr>
                    <w:t>24</w:t>
                  </w:r>
                </w:p>
              </w:tc>
              <w:tc>
                <w:tcPr>
                  <w:tcW w:w="387" w:type="pct"/>
                  <w:vMerge w:val="continue"/>
                  <w:vAlign w:val="center"/>
                </w:tcPr>
                <w:p w14:paraId="1A4C5C31">
                  <w:pPr>
                    <w:adjustRightInd w:val="0"/>
                    <w:snapToGrid w:val="0"/>
                    <w:jc w:val="center"/>
                    <w:rPr>
                      <w:color w:val="auto"/>
                      <w:szCs w:val="21"/>
                    </w:rPr>
                  </w:pPr>
                </w:p>
              </w:tc>
              <w:tc>
                <w:tcPr>
                  <w:tcW w:w="424" w:type="pct"/>
                  <w:vMerge w:val="continue"/>
                  <w:vAlign w:val="center"/>
                </w:tcPr>
                <w:p w14:paraId="7E798E0D">
                  <w:pPr>
                    <w:adjustRightInd w:val="0"/>
                    <w:snapToGrid w:val="0"/>
                    <w:jc w:val="center"/>
                    <w:rPr>
                      <w:color w:val="auto"/>
                      <w:szCs w:val="21"/>
                    </w:rPr>
                  </w:pPr>
                </w:p>
              </w:tc>
              <w:tc>
                <w:tcPr>
                  <w:tcW w:w="230" w:type="pct"/>
                  <w:vMerge w:val="continue"/>
                  <w:vAlign w:val="center"/>
                </w:tcPr>
                <w:p w14:paraId="184B8927">
                  <w:pPr>
                    <w:adjustRightInd w:val="0"/>
                    <w:snapToGrid w:val="0"/>
                    <w:jc w:val="center"/>
                    <w:rPr>
                      <w:color w:val="auto"/>
                      <w:szCs w:val="21"/>
                    </w:rPr>
                  </w:pPr>
                </w:p>
              </w:tc>
              <w:tc>
                <w:tcPr>
                  <w:tcW w:w="791" w:type="pct"/>
                  <w:vMerge w:val="restart"/>
                  <w:vAlign w:val="center"/>
                </w:tcPr>
                <w:p w14:paraId="24D95D89">
                  <w:pPr>
                    <w:adjustRightInd w:val="0"/>
                    <w:snapToGrid w:val="0"/>
                    <w:jc w:val="center"/>
                    <w:rPr>
                      <w:color w:val="auto"/>
                      <w:szCs w:val="21"/>
                    </w:rPr>
                  </w:pPr>
                  <w:r>
                    <w:rPr>
                      <w:color w:val="auto"/>
                      <w:szCs w:val="21"/>
                    </w:rPr>
                    <w:t>固化</w:t>
                  </w:r>
                  <w:r>
                    <w:rPr>
                      <w:rFonts w:hint="eastAsia"/>
                      <w:color w:val="auto"/>
                      <w:szCs w:val="21"/>
                    </w:rPr>
                    <w:t>隧道</w:t>
                  </w:r>
                  <w:r>
                    <w:rPr>
                      <w:color w:val="auto"/>
                      <w:szCs w:val="21"/>
                    </w:rPr>
                    <w:t>炉</w:t>
                  </w:r>
                </w:p>
              </w:tc>
              <w:tc>
                <w:tcPr>
                  <w:tcW w:w="662" w:type="pct"/>
                  <w:vAlign w:val="center"/>
                </w:tcPr>
                <w:p w14:paraId="41E6055F">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3068D49F">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40B199B3">
                  <w:pPr>
                    <w:adjustRightInd w:val="0"/>
                    <w:snapToGrid w:val="0"/>
                    <w:jc w:val="center"/>
                    <w:rPr>
                      <w:color w:val="auto"/>
                      <w:kern w:val="0"/>
                      <w:szCs w:val="21"/>
                      <w:lang w:bidi="ar"/>
                    </w:rPr>
                  </w:pPr>
                  <w:r>
                    <w:rPr>
                      <w:rFonts w:hint="eastAsia"/>
                      <w:color w:val="auto"/>
                    </w:rPr>
                    <w:t>35</w:t>
                  </w:r>
                  <w:r>
                    <w:rPr>
                      <w:color w:val="auto"/>
                      <w:kern w:val="0"/>
                      <w:szCs w:val="21"/>
                      <w:lang w:bidi="ar"/>
                    </w:rPr>
                    <w:t>×</w:t>
                  </w:r>
                  <w:r>
                    <w:rPr>
                      <w:rFonts w:hint="eastAsia"/>
                      <w:color w:val="auto"/>
                    </w:rPr>
                    <w:t>1.8</w:t>
                  </w:r>
                  <w:r>
                    <w:rPr>
                      <w:color w:val="auto"/>
                      <w:kern w:val="0"/>
                      <w:szCs w:val="21"/>
                      <w:lang w:bidi="ar"/>
                    </w:rPr>
                    <w:t>×</w:t>
                  </w:r>
                  <w:r>
                    <w:rPr>
                      <w:rFonts w:hint="eastAsia"/>
                      <w:color w:val="auto"/>
                    </w:rPr>
                    <w:t>2.6</w:t>
                  </w:r>
                </w:p>
              </w:tc>
              <w:tc>
                <w:tcPr>
                  <w:tcW w:w="463" w:type="pct"/>
                  <w:vMerge w:val="restart"/>
                  <w:vAlign w:val="center"/>
                </w:tcPr>
                <w:p w14:paraId="78623BDE">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restart"/>
                  <w:vAlign w:val="center"/>
                </w:tcPr>
                <w:p w14:paraId="6B9FBDAA">
                  <w:pPr>
                    <w:widowControl/>
                    <w:adjustRightInd w:val="0"/>
                    <w:snapToGrid w:val="0"/>
                    <w:jc w:val="center"/>
                    <w:rPr>
                      <w:color w:val="auto"/>
                      <w:szCs w:val="21"/>
                    </w:rPr>
                  </w:pPr>
                  <w:r>
                    <w:rPr>
                      <w:rFonts w:hint="eastAsia"/>
                      <w:color w:val="auto"/>
                      <w:szCs w:val="21"/>
                    </w:rPr>
                    <w:t>5楼粉线烤炉</w:t>
                  </w:r>
                </w:p>
              </w:tc>
            </w:tr>
            <w:tr w14:paraId="705C6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24" w:type="pct"/>
                  <w:vMerge w:val="continue"/>
                  <w:vAlign w:val="center"/>
                </w:tcPr>
                <w:p w14:paraId="1DB4A489">
                  <w:pPr>
                    <w:adjustRightInd w:val="0"/>
                    <w:snapToGrid w:val="0"/>
                    <w:jc w:val="center"/>
                    <w:rPr>
                      <w:color w:val="auto"/>
                    </w:rPr>
                  </w:pPr>
                </w:p>
              </w:tc>
              <w:tc>
                <w:tcPr>
                  <w:tcW w:w="387" w:type="pct"/>
                  <w:vMerge w:val="continue"/>
                  <w:vAlign w:val="center"/>
                </w:tcPr>
                <w:p w14:paraId="3618CD13">
                  <w:pPr>
                    <w:adjustRightInd w:val="0"/>
                    <w:snapToGrid w:val="0"/>
                    <w:jc w:val="center"/>
                    <w:rPr>
                      <w:color w:val="auto"/>
                    </w:rPr>
                  </w:pPr>
                </w:p>
              </w:tc>
              <w:tc>
                <w:tcPr>
                  <w:tcW w:w="424" w:type="pct"/>
                  <w:vMerge w:val="continue"/>
                  <w:vAlign w:val="center"/>
                </w:tcPr>
                <w:p w14:paraId="7080194E">
                  <w:pPr>
                    <w:adjustRightInd w:val="0"/>
                    <w:snapToGrid w:val="0"/>
                    <w:jc w:val="center"/>
                    <w:rPr>
                      <w:color w:val="auto"/>
                    </w:rPr>
                  </w:pPr>
                </w:p>
              </w:tc>
              <w:tc>
                <w:tcPr>
                  <w:tcW w:w="230" w:type="pct"/>
                  <w:vMerge w:val="continue"/>
                  <w:vAlign w:val="center"/>
                </w:tcPr>
                <w:p w14:paraId="7D57C982">
                  <w:pPr>
                    <w:adjustRightInd w:val="0"/>
                    <w:snapToGrid w:val="0"/>
                    <w:jc w:val="center"/>
                    <w:rPr>
                      <w:color w:val="auto"/>
                    </w:rPr>
                  </w:pPr>
                </w:p>
              </w:tc>
              <w:tc>
                <w:tcPr>
                  <w:tcW w:w="791" w:type="pct"/>
                  <w:vMerge w:val="continue"/>
                  <w:vAlign w:val="center"/>
                </w:tcPr>
                <w:p w14:paraId="2BDA69F4">
                  <w:pPr>
                    <w:adjustRightInd w:val="0"/>
                    <w:snapToGrid w:val="0"/>
                    <w:jc w:val="center"/>
                    <w:rPr>
                      <w:color w:val="auto"/>
                    </w:rPr>
                  </w:pPr>
                </w:p>
              </w:tc>
              <w:tc>
                <w:tcPr>
                  <w:tcW w:w="662" w:type="pct"/>
                  <w:vAlign w:val="center"/>
                </w:tcPr>
                <w:p w14:paraId="751F7481">
                  <w:pPr>
                    <w:adjustRightInd w:val="0"/>
                    <w:snapToGrid w:val="0"/>
                    <w:jc w:val="center"/>
                    <w:rPr>
                      <w:color w:val="auto"/>
                      <w:kern w:val="0"/>
                      <w:szCs w:val="21"/>
                      <w:lang w:bidi="ar"/>
                    </w:rPr>
                  </w:pPr>
                  <w:r>
                    <w:rPr>
                      <w:color w:val="auto"/>
                      <w:kern w:val="0"/>
                      <w:szCs w:val="21"/>
                      <w:lang w:bidi="ar"/>
                    </w:rPr>
                    <w:t>工作温度</w:t>
                  </w:r>
                </w:p>
              </w:tc>
              <w:tc>
                <w:tcPr>
                  <w:tcW w:w="380" w:type="pct"/>
                  <w:vAlign w:val="center"/>
                </w:tcPr>
                <w:p w14:paraId="52C561E9">
                  <w:pPr>
                    <w:adjustRightInd w:val="0"/>
                    <w:snapToGrid w:val="0"/>
                    <w:jc w:val="center"/>
                    <w:rPr>
                      <w:color w:val="auto"/>
                      <w:kern w:val="0"/>
                      <w:szCs w:val="21"/>
                      <w:lang w:bidi="ar"/>
                    </w:rPr>
                  </w:pPr>
                  <w:r>
                    <w:rPr>
                      <w:color w:val="auto"/>
                      <w:kern w:val="0"/>
                      <w:szCs w:val="21"/>
                      <w:lang w:bidi="ar"/>
                    </w:rPr>
                    <w:t>℃</w:t>
                  </w:r>
                </w:p>
              </w:tc>
              <w:tc>
                <w:tcPr>
                  <w:tcW w:w="867" w:type="pct"/>
                  <w:vAlign w:val="center"/>
                </w:tcPr>
                <w:p w14:paraId="794A1AF5">
                  <w:pPr>
                    <w:adjustRightInd w:val="0"/>
                    <w:snapToGrid w:val="0"/>
                    <w:jc w:val="center"/>
                    <w:rPr>
                      <w:color w:val="auto"/>
                      <w:kern w:val="0"/>
                      <w:szCs w:val="21"/>
                      <w:lang w:bidi="ar"/>
                    </w:rPr>
                  </w:pPr>
                  <w:r>
                    <w:rPr>
                      <w:color w:val="auto"/>
                      <w:kern w:val="0"/>
                      <w:szCs w:val="21"/>
                      <w:lang w:bidi="ar"/>
                    </w:rPr>
                    <w:t>200</w:t>
                  </w:r>
                </w:p>
              </w:tc>
              <w:tc>
                <w:tcPr>
                  <w:tcW w:w="463" w:type="pct"/>
                  <w:vMerge w:val="continue"/>
                  <w:vAlign w:val="center"/>
                </w:tcPr>
                <w:p w14:paraId="2AF917C0">
                  <w:pPr>
                    <w:adjustRightInd w:val="0"/>
                    <w:snapToGrid w:val="0"/>
                    <w:jc w:val="center"/>
                    <w:rPr>
                      <w:color w:val="auto"/>
                      <w:kern w:val="0"/>
                      <w:szCs w:val="21"/>
                      <w:lang w:bidi="ar"/>
                    </w:rPr>
                  </w:pPr>
                </w:p>
              </w:tc>
              <w:tc>
                <w:tcPr>
                  <w:tcW w:w="468" w:type="pct"/>
                  <w:vMerge w:val="continue"/>
                  <w:vAlign w:val="center"/>
                </w:tcPr>
                <w:p w14:paraId="3110E636">
                  <w:pPr>
                    <w:adjustRightInd w:val="0"/>
                    <w:snapToGrid w:val="0"/>
                    <w:jc w:val="center"/>
                    <w:rPr>
                      <w:color w:val="auto"/>
                      <w:kern w:val="0"/>
                      <w:szCs w:val="21"/>
                      <w:lang w:bidi="ar"/>
                    </w:rPr>
                  </w:pPr>
                </w:p>
              </w:tc>
            </w:tr>
            <w:tr w14:paraId="45FCF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Merge w:val="continue"/>
                  <w:vAlign w:val="center"/>
                </w:tcPr>
                <w:p w14:paraId="2403462D">
                  <w:pPr>
                    <w:widowControl/>
                    <w:adjustRightInd w:val="0"/>
                    <w:snapToGrid w:val="0"/>
                    <w:jc w:val="center"/>
                    <w:textAlignment w:val="center"/>
                    <w:rPr>
                      <w:color w:val="auto"/>
                      <w:kern w:val="0"/>
                      <w:szCs w:val="21"/>
                    </w:rPr>
                  </w:pPr>
                </w:p>
              </w:tc>
              <w:tc>
                <w:tcPr>
                  <w:tcW w:w="387" w:type="pct"/>
                  <w:vMerge w:val="continue"/>
                  <w:vAlign w:val="center"/>
                </w:tcPr>
                <w:p w14:paraId="2CA7E179">
                  <w:pPr>
                    <w:adjustRightInd w:val="0"/>
                    <w:snapToGrid w:val="0"/>
                    <w:jc w:val="center"/>
                    <w:rPr>
                      <w:color w:val="auto"/>
                      <w:szCs w:val="21"/>
                    </w:rPr>
                  </w:pPr>
                </w:p>
              </w:tc>
              <w:tc>
                <w:tcPr>
                  <w:tcW w:w="424" w:type="pct"/>
                  <w:vMerge w:val="continue"/>
                  <w:vAlign w:val="center"/>
                </w:tcPr>
                <w:p w14:paraId="3F81B07B">
                  <w:pPr>
                    <w:adjustRightInd w:val="0"/>
                    <w:snapToGrid w:val="0"/>
                    <w:jc w:val="center"/>
                    <w:rPr>
                      <w:color w:val="auto"/>
                      <w:szCs w:val="21"/>
                    </w:rPr>
                  </w:pPr>
                </w:p>
              </w:tc>
              <w:tc>
                <w:tcPr>
                  <w:tcW w:w="230" w:type="pct"/>
                  <w:vMerge w:val="continue"/>
                  <w:vAlign w:val="center"/>
                </w:tcPr>
                <w:p w14:paraId="6D5C2A22">
                  <w:pPr>
                    <w:adjustRightInd w:val="0"/>
                    <w:snapToGrid w:val="0"/>
                    <w:jc w:val="center"/>
                    <w:rPr>
                      <w:color w:val="auto"/>
                      <w:szCs w:val="21"/>
                    </w:rPr>
                  </w:pPr>
                </w:p>
              </w:tc>
              <w:tc>
                <w:tcPr>
                  <w:tcW w:w="791" w:type="pct"/>
                  <w:vAlign w:val="center"/>
                </w:tcPr>
                <w:p w14:paraId="03C95730">
                  <w:pPr>
                    <w:adjustRightInd w:val="0"/>
                    <w:snapToGrid w:val="0"/>
                    <w:jc w:val="center"/>
                    <w:rPr>
                      <w:color w:val="auto"/>
                      <w:szCs w:val="21"/>
                    </w:rPr>
                  </w:pPr>
                  <w:r>
                    <w:rPr>
                      <w:color w:val="auto"/>
                      <w:szCs w:val="21"/>
                    </w:rPr>
                    <w:t>固化炉燃烧机</w:t>
                  </w:r>
                </w:p>
              </w:tc>
              <w:tc>
                <w:tcPr>
                  <w:tcW w:w="1909" w:type="pct"/>
                  <w:gridSpan w:val="3"/>
                  <w:vAlign w:val="center"/>
                </w:tcPr>
                <w:p w14:paraId="5E22713A">
                  <w:pPr>
                    <w:adjustRightInd w:val="0"/>
                    <w:snapToGrid w:val="0"/>
                    <w:rPr>
                      <w:color w:val="auto"/>
                    </w:rPr>
                  </w:pPr>
                  <w:r>
                    <w:rPr>
                      <w:color w:val="auto"/>
                    </w:rPr>
                    <w:t>直热式加热系统</w:t>
                  </w:r>
                </w:p>
                <w:p w14:paraId="6A5E9F06">
                  <w:pPr>
                    <w:adjustRightInd w:val="0"/>
                    <w:snapToGrid w:val="0"/>
                    <w:rPr>
                      <w:color w:val="auto"/>
                    </w:rPr>
                  </w:pPr>
                  <w:r>
                    <w:rPr>
                      <w:rFonts w:hint="eastAsia"/>
                      <w:color w:val="auto"/>
                    </w:rPr>
                    <w:t>规模：21.6</w:t>
                  </w:r>
                  <w:r>
                    <w:rPr>
                      <w:color w:val="auto"/>
                    </w:rPr>
                    <w:t>万大卡燃烧机；</w:t>
                  </w:r>
                </w:p>
                <w:p w14:paraId="4B07AB08">
                  <w:pPr>
                    <w:adjustRightInd w:val="0"/>
                    <w:snapToGrid w:val="0"/>
                    <w:rPr>
                      <w:color w:val="auto"/>
                    </w:rPr>
                  </w:pPr>
                  <w:r>
                    <w:rPr>
                      <w:color w:val="auto"/>
                    </w:rPr>
                    <w:t>升温时间：</w:t>
                  </w:r>
                  <w:r>
                    <w:rPr>
                      <w:rFonts w:hint="eastAsia"/>
                      <w:color w:val="auto"/>
                    </w:rPr>
                    <w:t>15min</w:t>
                  </w:r>
                  <w:r>
                    <w:rPr>
                      <w:color w:val="auto"/>
                    </w:rPr>
                    <w:t>左右升温至2</w:t>
                  </w:r>
                  <w:r>
                    <w:rPr>
                      <w:rFonts w:hint="eastAsia"/>
                      <w:color w:val="auto"/>
                    </w:rPr>
                    <w:t>0</w:t>
                  </w:r>
                  <w:r>
                    <w:rPr>
                      <w:color w:val="auto"/>
                    </w:rPr>
                    <w:t>0</w:t>
                  </w:r>
                  <w:r>
                    <w:rPr>
                      <w:rFonts w:hint="eastAsia" w:ascii="宋体" w:hAnsi="宋体" w:cs="宋体"/>
                      <w:color w:val="auto"/>
                    </w:rPr>
                    <w:t>℃</w:t>
                  </w:r>
                  <w:r>
                    <w:rPr>
                      <w:color w:val="auto"/>
                    </w:rPr>
                    <w:t>；</w:t>
                  </w:r>
                </w:p>
              </w:tc>
              <w:tc>
                <w:tcPr>
                  <w:tcW w:w="463" w:type="pct"/>
                  <w:vAlign w:val="center"/>
                </w:tcPr>
                <w:p w14:paraId="0039236F">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2B10FE6A">
                  <w:pPr>
                    <w:widowControl/>
                    <w:adjustRightInd w:val="0"/>
                    <w:snapToGrid w:val="0"/>
                    <w:jc w:val="center"/>
                    <w:rPr>
                      <w:color w:val="auto"/>
                      <w:szCs w:val="21"/>
                    </w:rPr>
                  </w:pPr>
                </w:p>
              </w:tc>
            </w:tr>
            <w:tr w14:paraId="3F4E7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15CE9636">
                  <w:pPr>
                    <w:widowControl/>
                    <w:adjustRightInd w:val="0"/>
                    <w:snapToGrid w:val="0"/>
                    <w:jc w:val="center"/>
                    <w:textAlignment w:val="center"/>
                    <w:rPr>
                      <w:color w:val="auto"/>
                      <w:kern w:val="0"/>
                      <w:szCs w:val="21"/>
                    </w:rPr>
                  </w:pPr>
                  <w:r>
                    <w:rPr>
                      <w:rFonts w:hint="eastAsia"/>
                      <w:color w:val="auto"/>
                      <w:kern w:val="0"/>
                      <w:szCs w:val="21"/>
                    </w:rPr>
                    <w:t>25</w:t>
                  </w:r>
                </w:p>
              </w:tc>
              <w:tc>
                <w:tcPr>
                  <w:tcW w:w="387" w:type="pct"/>
                  <w:vMerge w:val="restart"/>
                  <w:vAlign w:val="center"/>
                </w:tcPr>
                <w:p w14:paraId="316563D8">
                  <w:pPr>
                    <w:adjustRightInd w:val="0"/>
                    <w:snapToGrid w:val="0"/>
                    <w:jc w:val="center"/>
                    <w:rPr>
                      <w:color w:val="auto"/>
                      <w:szCs w:val="21"/>
                    </w:rPr>
                  </w:pPr>
                  <w:r>
                    <w:rPr>
                      <w:rFonts w:hint="eastAsia"/>
                      <w:color w:val="auto"/>
                      <w:szCs w:val="21"/>
                    </w:rPr>
                    <w:t>喷涂</w:t>
                  </w:r>
                </w:p>
              </w:tc>
              <w:tc>
                <w:tcPr>
                  <w:tcW w:w="424" w:type="pct"/>
                  <w:vMerge w:val="restart"/>
                  <w:vAlign w:val="center"/>
                </w:tcPr>
                <w:p w14:paraId="19B42139">
                  <w:pPr>
                    <w:adjustRightInd w:val="0"/>
                    <w:snapToGrid w:val="0"/>
                    <w:jc w:val="center"/>
                    <w:rPr>
                      <w:color w:val="auto"/>
                      <w:szCs w:val="21"/>
                    </w:rPr>
                  </w:pPr>
                  <w:r>
                    <w:rPr>
                      <w:rFonts w:hint="eastAsia"/>
                      <w:color w:val="auto"/>
                      <w:szCs w:val="21"/>
                    </w:rPr>
                    <w:t>喷漆</w:t>
                  </w:r>
                </w:p>
              </w:tc>
              <w:tc>
                <w:tcPr>
                  <w:tcW w:w="1021" w:type="pct"/>
                  <w:gridSpan w:val="2"/>
                  <w:vAlign w:val="center"/>
                </w:tcPr>
                <w:p w14:paraId="2E6B53B0">
                  <w:pPr>
                    <w:adjustRightInd w:val="0"/>
                    <w:snapToGrid w:val="0"/>
                    <w:jc w:val="center"/>
                    <w:rPr>
                      <w:color w:val="auto"/>
                      <w:szCs w:val="21"/>
                    </w:rPr>
                  </w:pPr>
                  <w:r>
                    <w:rPr>
                      <w:rFonts w:hint="eastAsia"/>
                      <w:color w:val="auto"/>
                      <w:szCs w:val="21"/>
                    </w:rPr>
                    <w:t>底漆、面漆喷涂线</w:t>
                  </w:r>
                </w:p>
              </w:tc>
              <w:tc>
                <w:tcPr>
                  <w:tcW w:w="662" w:type="pct"/>
                  <w:vAlign w:val="center"/>
                </w:tcPr>
                <w:p w14:paraId="66764174">
                  <w:pPr>
                    <w:adjustRightInd w:val="0"/>
                    <w:snapToGrid w:val="0"/>
                    <w:jc w:val="center"/>
                    <w:rPr>
                      <w:color w:val="auto"/>
                    </w:rPr>
                  </w:pPr>
                  <w:r>
                    <w:rPr>
                      <w:rFonts w:hint="eastAsia"/>
                      <w:color w:val="auto"/>
                    </w:rPr>
                    <w:t>长度</w:t>
                  </w:r>
                </w:p>
              </w:tc>
              <w:tc>
                <w:tcPr>
                  <w:tcW w:w="380" w:type="pct"/>
                  <w:vAlign w:val="center"/>
                </w:tcPr>
                <w:p w14:paraId="61B9FA05">
                  <w:pPr>
                    <w:adjustRightInd w:val="0"/>
                    <w:snapToGrid w:val="0"/>
                    <w:jc w:val="center"/>
                    <w:rPr>
                      <w:color w:val="auto"/>
                    </w:rPr>
                  </w:pPr>
                  <w:r>
                    <w:rPr>
                      <w:rFonts w:hint="eastAsia"/>
                      <w:color w:val="auto"/>
                    </w:rPr>
                    <w:t>m</w:t>
                  </w:r>
                </w:p>
              </w:tc>
              <w:tc>
                <w:tcPr>
                  <w:tcW w:w="867" w:type="pct"/>
                  <w:vAlign w:val="center"/>
                </w:tcPr>
                <w:p w14:paraId="36B98DD3">
                  <w:pPr>
                    <w:adjustRightInd w:val="0"/>
                    <w:snapToGrid w:val="0"/>
                    <w:jc w:val="center"/>
                    <w:rPr>
                      <w:color w:val="auto"/>
                    </w:rPr>
                  </w:pPr>
                  <w:r>
                    <w:rPr>
                      <w:rFonts w:hint="eastAsia"/>
                      <w:color w:val="auto"/>
                    </w:rPr>
                    <w:t>260</w:t>
                  </w:r>
                </w:p>
              </w:tc>
              <w:tc>
                <w:tcPr>
                  <w:tcW w:w="463" w:type="pct"/>
                  <w:vAlign w:val="center"/>
                </w:tcPr>
                <w:p w14:paraId="0782A2BC">
                  <w:pPr>
                    <w:adjustRightInd w:val="0"/>
                    <w:snapToGrid w:val="0"/>
                    <w:jc w:val="center"/>
                    <w:rPr>
                      <w:color w:val="auto"/>
                      <w:kern w:val="0"/>
                      <w:szCs w:val="21"/>
                      <w:lang w:bidi="ar"/>
                    </w:rPr>
                  </w:pPr>
                  <w:r>
                    <w:rPr>
                      <w:rFonts w:hint="eastAsia"/>
                      <w:color w:val="auto"/>
                      <w:kern w:val="0"/>
                      <w:szCs w:val="21"/>
                      <w:lang w:bidi="ar"/>
                    </w:rPr>
                    <w:t>1条</w:t>
                  </w:r>
                </w:p>
              </w:tc>
              <w:tc>
                <w:tcPr>
                  <w:tcW w:w="468" w:type="pct"/>
                  <w:vMerge w:val="restart"/>
                  <w:vAlign w:val="center"/>
                </w:tcPr>
                <w:p w14:paraId="39A9B9EC">
                  <w:pPr>
                    <w:widowControl/>
                    <w:adjustRightInd w:val="0"/>
                    <w:snapToGrid w:val="0"/>
                    <w:jc w:val="center"/>
                    <w:rPr>
                      <w:color w:val="auto"/>
                      <w:szCs w:val="21"/>
                    </w:rPr>
                  </w:pPr>
                  <w:r>
                    <w:rPr>
                      <w:rFonts w:hint="eastAsia"/>
                      <w:color w:val="auto"/>
                      <w:szCs w:val="21"/>
                    </w:rPr>
                    <w:t>4楼面漆房</w:t>
                  </w:r>
                </w:p>
              </w:tc>
            </w:tr>
            <w:tr w14:paraId="61A17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3F856B1E">
                  <w:pPr>
                    <w:widowControl/>
                    <w:adjustRightInd w:val="0"/>
                    <w:snapToGrid w:val="0"/>
                    <w:jc w:val="center"/>
                    <w:textAlignment w:val="center"/>
                    <w:rPr>
                      <w:color w:val="auto"/>
                      <w:kern w:val="0"/>
                      <w:szCs w:val="21"/>
                    </w:rPr>
                  </w:pPr>
                  <w:r>
                    <w:rPr>
                      <w:rFonts w:hint="eastAsia"/>
                      <w:color w:val="auto"/>
                      <w:kern w:val="0"/>
                      <w:szCs w:val="21"/>
                    </w:rPr>
                    <w:t>26</w:t>
                  </w:r>
                </w:p>
              </w:tc>
              <w:tc>
                <w:tcPr>
                  <w:tcW w:w="387" w:type="pct"/>
                  <w:vMerge w:val="continue"/>
                  <w:vAlign w:val="center"/>
                </w:tcPr>
                <w:p w14:paraId="7C6B2CDF">
                  <w:pPr>
                    <w:adjustRightInd w:val="0"/>
                    <w:snapToGrid w:val="0"/>
                    <w:jc w:val="center"/>
                    <w:rPr>
                      <w:color w:val="auto"/>
                      <w:szCs w:val="21"/>
                    </w:rPr>
                  </w:pPr>
                </w:p>
              </w:tc>
              <w:tc>
                <w:tcPr>
                  <w:tcW w:w="424" w:type="pct"/>
                  <w:vMerge w:val="continue"/>
                  <w:vAlign w:val="center"/>
                </w:tcPr>
                <w:p w14:paraId="36A55216">
                  <w:pPr>
                    <w:adjustRightInd w:val="0"/>
                    <w:snapToGrid w:val="0"/>
                    <w:jc w:val="center"/>
                    <w:rPr>
                      <w:color w:val="auto"/>
                      <w:szCs w:val="21"/>
                    </w:rPr>
                  </w:pPr>
                </w:p>
              </w:tc>
              <w:tc>
                <w:tcPr>
                  <w:tcW w:w="230" w:type="pct"/>
                  <w:vMerge w:val="restart"/>
                  <w:vAlign w:val="center"/>
                </w:tcPr>
                <w:p w14:paraId="7F4ADF32">
                  <w:pPr>
                    <w:adjustRightInd w:val="0"/>
                    <w:snapToGrid w:val="0"/>
                    <w:jc w:val="center"/>
                    <w:rPr>
                      <w:color w:val="auto"/>
                      <w:szCs w:val="21"/>
                    </w:rPr>
                  </w:pPr>
                  <w:r>
                    <w:rPr>
                      <w:rFonts w:hint="eastAsia"/>
                      <w:color w:val="auto"/>
                      <w:szCs w:val="21"/>
                    </w:rPr>
                    <w:t>其中</w:t>
                  </w:r>
                </w:p>
              </w:tc>
              <w:tc>
                <w:tcPr>
                  <w:tcW w:w="791" w:type="pct"/>
                  <w:vAlign w:val="center"/>
                </w:tcPr>
                <w:p w14:paraId="76616CC2">
                  <w:pPr>
                    <w:adjustRightInd w:val="0"/>
                    <w:snapToGrid w:val="0"/>
                    <w:jc w:val="center"/>
                    <w:rPr>
                      <w:color w:val="auto"/>
                      <w:szCs w:val="21"/>
                    </w:rPr>
                  </w:pPr>
                  <w:r>
                    <w:rPr>
                      <w:rFonts w:hint="eastAsia"/>
                      <w:color w:val="auto"/>
                      <w:szCs w:val="21"/>
                    </w:rPr>
                    <w:t>除尘柜</w:t>
                  </w:r>
                </w:p>
              </w:tc>
              <w:tc>
                <w:tcPr>
                  <w:tcW w:w="662" w:type="pct"/>
                  <w:vAlign w:val="center"/>
                </w:tcPr>
                <w:p w14:paraId="12964863">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2A63C5D3">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50A8EA8C">
                  <w:pPr>
                    <w:adjustRightInd w:val="0"/>
                    <w:snapToGrid w:val="0"/>
                    <w:jc w:val="center"/>
                    <w:rPr>
                      <w:color w:val="auto"/>
                      <w:kern w:val="0"/>
                      <w:szCs w:val="21"/>
                      <w:lang w:bidi="ar"/>
                    </w:rPr>
                  </w:pPr>
                  <w:r>
                    <w:rPr>
                      <w:rFonts w:hint="eastAsia"/>
                      <w:color w:val="auto"/>
                      <w:kern w:val="0"/>
                      <w:szCs w:val="21"/>
                      <w:lang w:bidi="ar"/>
                    </w:rPr>
                    <w:t>2</w:t>
                  </w:r>
                  <w:r>
                    <w:rPr>
                      <w:color w:val="auto"/>
                      <w:kern w:val="0"/>
                      <w:szCs w:val="21"/>
                      <w:lang w:bidi="ar"/>
                    </w:rPr>
                    <w:t>×</w:t>
                  </w:r>
                  <w:r>
                    <w:rPr>
                      <w:rFonts w:hint="eastAsia"/>
                      <w:color w:val="auto"/>
                      <w:kern w:val="0"/>
                      <w:szCs w:val="21"/>
                      <w:lang w:bidi="ar"/>
                    </w:rPr>
                    <w:t>2.5</w:t>
                  </w:r>
                  <w:r>
                    <w:rPr>
                      <w:color w:val="auto"/>
                      <w:kern w:val="0"/>
                      <w:szCs w:val="21"/>
                      <w:lang w:bidi="ar"/>
                    </w:rPr>
                    <w:t>×</w:t>
                  </w:r>
                  <w:r>
                    <w:rPr>
                      <w:rFonts w:hint="eastAsia"/>
                      <w:color w:val="auto"/>
                      <w:kern w:val="0"/>
                      <w:szCs w:val="21"/>
                      <w:lang w:bidi="ar"/>
                    </w:rPr>
                    <w:t>2.5</w:t>
                  </w:r>
                </w:p>
              </w:tc>
              <w:tc>
                <w:tcPr>
                  <w:tcW w:w="463" w:type="pct"/>
                  <w:vAlign w:val="center"/>
                </w:tcPr>
                <w:p w14:paraId="7B3ACDDB">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19F831F6">
                  <w:pPr>
                    <w:widowControl/>
                    <w:adjustRightInd w:val="0"/>
                    <w:snapToGrid w:val="0"/>
                    <w:jc w:val="center"/>
                    <w:rPr>
                      <w:color w:val="auto"/>
                      <w:szCs w:val="21"/>
                    </w:rPr>
                  </w:pPr>
                </w:p>
              </w:tc>
            </w:tr>
            <w:tr w14:paraId="3728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0A6B4D2C">
                  <w:pPr>
                    <w:widowControl/>
                    <w:adjustRightInd w:val="0"/>
                    <w:snapToGrid w:val="0"/>
                    <w:jc w:val="center"/>
                    <w:textAlignment w:val="center"/>
                    <w:rPr>
                      <w:color w:val="auto"/>
                      <w:kern w:val="0"/>
                      <w:szCs w:val="21"/>
                    </w:rPr>
                  </w:pPr>
                  <w:r>
                    <w:rPr>
                      <w:rFonts w:hint="eastAsia"/>
                      <w:color w:val="auto"/>
                      <w:kern w:val="0"/>
                      <w:szCs w:val="21"/>
                    </w:rPr>
                    <w:t>27</w:t>
                  </w:r>
                </w:p>
              </w:tc>
              <w:tc>
                <w:tcPr>
                  <w:tcW w:w="387" w:type="pct"/>
                  <w:vMerge w:val="continue"/>
                  <w:vAlign w:val="center"/>
                </w:tcPr>
                <w:p w14:paraId="517C564B">
                  <w:pPr>
                    <w:adjustRightInd w:val="0"/>
                    <w:snapToGrid w:val="0"/>
                    <w:jc w:val="center"/>
                    <w:rPr>
                      <w:color w:val="auto"/>
                      <w:szCs w:val="21"/>
                    </w:rPr>
                  </w:pPr>
                </w:p>
              </w:tc>
              <w:tc>
                <w:tcPr>
                  <w:tcW w:w="424" w:type="pct"/>
                  <w:vMerge w:val="continue"/>
                  <w:vAlign w:val="center"/>
                </w:tcPr>
                <w:p w14:paraId="2A0755C3">
                  <w:pPr>
                    <w:adjustRightInd w:val="0"/>
                    <w:snapToGrid w:val="0"/>
                    <w:jc w:val="center"/>
                    <w:rPr>
                      <w:color w:val="auto"/>
                      <w:szCs w:val="21"/>
                    </w:rPr>
                  </w:pPr>
                </w:p>
              </w:tc>
              <w:tc>
                <w:tcPr>
                  <w:tcW w:w="230" w:type="pct"/>
                  <w:vMerge w:val="continue"/>
                  <w:vAlign w:val="center"/>
                </w:tcPr>
                <w:p w14:paraId="7671DD7F">
                  <w:pPr>
                    <w:adjustRightInd w:val="0"/>
                    <w:snapToGrid w:val="0"/>
                    <w:jc w:val="center"/>
                    <w:rPr>
                      <w:color w:val="auto"/>
                      <w:szCs w:val="21"/>
                    </w:rPr>
                  </w:pPr>
                </w:p>
              </w:tc>
              <w:tc>
                <w:tcPr>
                  <w:tcW w:w="791" w:type="pct"/>
                  <w:vAlign w:val="center"/>
                </w:tcPr>
                <w:p w14:paraId="094B522B">
                  <w:pPr>
                    <w:adjustRightInd w:val="0"/>
                    <w:snapToGrid w:val="0"/>
                    <w:jc w:val="center"/>
                    <w:rPr>
                      <w:color w:val="auto"/>
                      <w:szCs w:val="21"/>
                    </w:rPr>
                  </w:pPr>
                  <w:r>
                    <w:rPr>
                      <w:rFonts w:hint="eastAsia"/>
                      <w:color w:val="auto"/>
                      <w:szCs w:val="21"/>
                    </w:rPr>
                    <w:t>前修水帘柜</w:t>
                  </w:r>
                </w:p>
              </w:tc>
              <w:tc>
                <w:tcPr>
                  <w:tcW w:w="662" w:type="pct"/>
                  <w:vAlign w:val="center"/>
                </w:tcPr>
                <w:p w14:paraId="299BE702">
                  <w:pPr>
                    <w:adjustRightInd w:val="0"/>
                    <w:snapToGrid w:val="0"/>
                    <w:jc w:val="center"/>
                    <w:rPr>
                      <w:color w:val="auto"/>
                    </w:rPr>
                  </w:pPr>
                  <w:r>
                    <w:rPr>
                      <w:rFonts w:hint="eastAsia"/>
                      <w:color w:val="auto"/>
                    </w:rPr>
                    <w:t>规格</w:t>
                  </w:r>
                </w:p>
              </w:tc>
              <w:tc>
                <w:tcPr>
                  <w:tcW w:w="380" w:type="pct"/>
                  <w:vAlign w:val="center"/>
                </w:tcPr>
                <w:p w14:paraId="5CF9F1B8">
                  <w:pPr>
                    <w:adjustRightInd w:val="0"/>
                    <w:snapToGrid w:val="0"/>
                    <w:jc w:val="center"/>
                    <w:rPr>
                      <w:color w:val="auto"/>
                    </w:rPr>
                  </w:pPr>
                  <w:r>
                    <w:rPr>
                      <w:color w:val="auto"/>
                      <w:kern w:val="0"/>
                      <w:szCs w:val="21"/>
                      <w:lang w:bidi="ar"/>
                    </w:rPr>
                    <w:t>m</w:t>
                  </w:r>
                </w:p>
              </w:tc>
              <w:tc>
                <w:tcPr>
                  <w:tcW w:w="867" w:type="pct"/>
                  <w:vAlign w:val="center"/>
                </w:tcPr>
                <w:p w14:paraId="7BBB104F">
                  <w:pPr>
                    <w:adjustRightInd w:val="0"/>
                    <w:snapToGrid w:val="0"/>
                    <w:jc w:val="center"/>
                    <w:rPr>
                      <w:color w:val="auto"/>
                    </w:rPr>
                  </w:pPr>
                  <w:r>
                    <w:rPr>
                      <w:rFonts w:hint="eastAsia"/>
                      <w:color w:val="auto"/>
                    </w:rPr>
                    <w:t>3</w:t>
                  </w:r>
                  <w:r>
                    <w:rPr>
                      <w:color w:val="auto"/>
                      <w:kern w:val="0"/>
                      <w:szCs w:val="21"/>
                      <w:lang w:bidi="ar"/>
                    </w:rPr>
                    <w:t>×</w:t>
                  </w:r>
                  <w:r>
                    <w:rPr>
                      <w:rFonts w:hint="eastAsia"/>
                      <w:color w:val="auto"/>
                      <w:kern w:val="0"/>
                      <w:szCs w:val="21"/>
                      <w:lang w:bidi="ar"/>
                    </w:rPr>
                    <w:t>3</w:t>
                  </w:r>
                  <w:r>
                    <w:rPr>
                      <w:color w:val="auto"/>
                      <w:kern w:val="0"/>
                      <w:szCs w:val="21"/>
                      <w:lang w:bidi="ar"/>
                    </w:rPr>
                    <w:t>×</w:t>
                  </w:r>
                  <w:r>
                    <w:rPr>
                      <w:rFonts w:hint="eastAsia"/>
                      <w:color w:val="auto"/>
                      <w:kern w:val="0"/>
                      <w:szCs w:val="21"/>
                      <w:lang w:bidi="ar"/>
                    </w:rPr>
                    <w:t>2.5</w:t>
                  </w:r>
                </w:p>
              </w:tc>
              <w:tc>
                <w:tcPr>
                  <w:tcW w:w="463" w:type="pct"/>
                  <w:vAlign w:val="center"/>
                </w:tcPr>
                <w:p w14:paraId="526D9930">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519AB541">
                  <w:pPr>
                    <w:widowControl/>
                    <w:adjustRightInd w:val="0"/>
                    <w:snapToGrid w:val="0"/>
                    <w:jc w:val="center"/>
                    <w:rPr>
                      <w:color w:val="auto"/>
                      <w:szCs w:val="21"/>
                    </w:rPr>
                  </w:pPr>
                </w:p>
              </w:tc>
            </w:tr>
            <w:tr w14:paraId="3C7EB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258DA102">
                  <w:pPr>
                    <w:widowControl/>
                    <w:adjustRightInd w:val="0"/>
                    <w:snapToGrid w:val="0"/>
                    <w:jc w:val="center"/>
                    <w:textAlignment w:val="center"/>
                    <w:rPr>
                      <w:color w:val="auto"/>
                      <w:kern w:val="0"/>
                      <w:szCs w:val="21"/>
                    </w:rPr>
                  </w:pPr>
                  <w:r>
                    <w:rPr>
                      <w:rFonts w:hint="eastAsia"/>
                      <w:color w:val="auto"/>
                      <w:kern w:val="0"/>
                      <w:szCs w:val="21"/>
                    </w:rPr>
                    <w:t>28</w:t>
                  </w:r>
                </w:p>
              </w:tc>
              <w:tc>
                <w:tcPr>
                  <w:tcW w:w="387" w:type="pct"/>
                  <w:vMerge w:val="continue"/>
                  <w:vAlign w:val="center"/>
                </w:tcPr>
                <w:p w14:paraId="45668DC3">
                  <w:pPr>
                    <w:adjustRightInd w:val="0"/>
                    <w:snapToGrid w:val="0"/>
                    <w:jc w:val="center"/>
                    <w:rPr>
                      <w:color w:val="auto"/>
                      <w:szCs w:val="21"/>
                    </w:rPr>
                  </w:pPr>
                </w:p>
              </w:tc>
              <w:tc>
                <w:tcPr>
                  <w:tcW w:w="424" w:type="pct"/>
                  <w:vMerge w:val="continue"/>
                  <w:vAlign w:val="center"/>
                </w:tcPr>
                <w:p w14:paraId="0A5948FC">
                  <w:pPr>
                    <w:adjustRightInd w:val="0"/>
                    <w:snapToGrid w:val="0"/>
                    <w:jc w:val="center"/>
                    <w:rPr>
                      <w:color w:val="auto"/>
                      <w:szCs w:val="21"/>
                    </w:rPr>
                  </w:pPr>
                </w:p>
              </w:tc>
              <w:tc>
                <w:tcPr>
                  <w:tcW w:w="230" w:type="pct"/>
                  <w:vMerge w:val="continue"/>
                  <w:vAlign w:val="center"/>
                </w:tcPr>
                <w:p w14:paraId="1E51A88A">
                  <w:pPr>
                    <w:adjustRightInd w:val="0"/>
                    <w:snapToGrid w:val="0"/>
                    <w:jc w:val="center"/>
                    <w:rPr>
                      <w:color w:val="auto"/>
                      <w:szCs w:val="21"/>
                    </w:rPr>
                  </w:pPr>
                </w:p>
              </w:tc>
              <w:tc>
                <w:tcPr>
                  <w:tcW w:w="791" w:type="pct"/>
                  <w:vAlign w:val="center"/>
                </w:tcPr>
                <w:p w14:paraId="3DBB8A6D">
                  <w:pPr>
                    <w:adjustRightInd w:val="0"/>
                    <w:snapToGrid w:val="0"/>
                    <w:jc w:val="center"/>
                    <w:rPr>
                      <w:color w:val="auto"/>
                      <w:szCs w:val="21"/>
                    </w:rPr>
                  </w:pPr>
                  <w:r>
                    <w:rPr>
                      <w:rFonts w:hint="eastAsia"/>
                      <w:color w:val="auto"/>
                      <w:szCs w:val="21"/>
                    </w:rPr>
                    <w:t>自动涂装机</w:t>
                  </w:r>
                </w:p>
              </w:tc>
              <w:tc>
                <w:tcPr>
                  <w:tcW w:w="662" w:type="pct"/>
                  <w:vAlign w:val="center"/>
                </w:tcPr>
                <w:p w14:paraId="5EBA5EB3">
                  <w:pPr>
                    <w:adjustRightInd w:val="0"/>
                    <w:snapToGrid w:val="0"/>
                    <w:jc w:val="center"/>
                    <w:rPr>
                      <w:color w:val="auto"/>
                    </w:rPr>
                  </w:pPr>
                  <w:r>
                    <w:rPr>
                      <w:rFonts w:hint="eastAsia"/>
                      <w:color w:val="auto"/>
                    </w:rPr>
                    <w:t>设备直径</w:t>
                  </w:r>
                </w:p>
              </w:tc>
              <w:tc>
                <w:tcPr>
                  <w:tcW w:w="380" w:type="pct"/>
                  <w:vAlign w:val="center"/>
                </w:tcPr>
                <w:p w14:paraId="2ECFD078">
                  <w:pPr>
                    <w:adjustRightInd w:val="0"/>
                    <w:snapToGrid w:val="0"/>
                    <w:jc w:val="center"/>
                    <w:rPr>
                      <w:color w:val="auto"/>
                    </w:rPr>
                  </w:pPr>
                  <w:r>
                    <w:rPr>
                      <w:color w:val="auto"/>
                      <w:kern w:val="0"/>
                      <w:szCs w:val="21"/>
                      <w:lang w:bidi="ar"/>
                    </w:rPr>
                    <w:t>m</w:t>
                  </w:r>
                </w:p>
              </w:tc>
              <w:tc>
                <w:tcPr>
                  <w:tcW w:w="867" w:type="pct"/>
                  <w:vAlign w:val="center"/>
                </w:tcPr>
                <w:p w14:paraId="757D6475">
                  <w:pPr>
                    <w:adjustRightInd w:val="0"/>
                    <w:snapToGrid w:val="0"/>
                    <w:jc w:val="center"/>
                    <w:rPr>
                      <w:color w:val="auto"/>
                    </w:rPr>
                  </w:pPr>
                  <w:r>
                    <w:rPr>
                      <w:rFonts w:hint="eastAsia"/>
                      <w:color w:val="auto"/>
                    </w:rPr>
                    <w:t>4</w:t>
                  </w:r>
                </w:p>
              </w:tc>
              <w:tc>
                <w:tcPr>
                  <w:tcW w:w="463" w:type="pct"/>
                  <w:vAlign w:val="center"/>
                </w:tcPr>
                <w:p w14:paraId="6683C6AD">
                  <w:pPr>
                    <w:adjustRightInd w:val="0"/>
                    <w:snapToGrid w:val="0"/>
                    <w:jc w:val="center"/>
                    <w:rPr>
                      <w:rFonts w:hint="eastAsia" w:eastAsia="宋体"/>
                      <w:color w:val="auto"/>
                      <w:kern w:val="0"/>
                      <w:szCs w:val="21"/>
                      <w:lang w:val="en-US" w:eastAsia="zh-CN"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6869C385">
                  <w:pPr>
                    <w:widowControl/>
                    <w:adjustRightInd w:val="0"/>
                    <w:snapToGrid w:val="0"/>
                    <w:jc w:val="center"/>
                    <w:rPr>
                      <w:color w:val="auto"/>
                      <w:szCs w:val="21"/>
                    </w:rPr>
                  </w:pPr>
                </w:p>
              </w:tc>
            </w:tr>
            <w:tr w14:paraId="7CACD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64FF4169">
                  <w:pPr>
                    <w:widowControl/>
                    <w:adjustRightInd w:val="0"/>
                    <w:snapToGrid w:val="0"/>
                    <w:jc w:val="center"/>
                    <w:textAlignment w:val="center"/>
                    <w:rPr>
                      <w:color w:val="auto"/>
                      <w:kern w:val="0"/>
                      <w:szCs w:val="21"/>
                    </w:rPr>
                  </w:pPr>
                  <w:r>
                    <w:rPr>
                      <w:rFonts w:hint="eastAsia"/>
                      <w:color w:val="auto"/>
                      <w:kern w:val="0"/>
                      <w:szCs w:val="21"/>
                    </w:rPr>
                    <w:t>29</w:t>
                  </w:r>
                </w:p>
              </w:tc>
              <w:tc>
                <w:tcPr>
                  <w:tcW w:w="387" w:type="pct"/>
                  <w:vMerge w:val="continue"/>
                  <w:vAlign w:val="center"/>
                </w:tcPr>
                <w:p w14:paraId="2F7D4B30">
                  <w:pPr>
                    <w:adjustRightInd w:val="0"/>
                    <w:snapToGrid w:val="0"/>
                    <w:jc w:val="center"/>
                    <w:rPr>
                      <w:color w:val="auto"/>
                      <w:szCs w:val="21"/>
                    </w:rPr>
                  </w:pPr>
                </w:p>
              </w:tc>
              <w:tc>
                <w:tcPr>
                  <w:tcW w:w="424" w:type="pct"/>
                  <w:vMerge w:val="continue"/>
                  <w:vAlign w:val="center"/>
                </w:tcPr>
                <w:p w14:paraId="74BA3572">
                  <w:pPr>
                    <w:adjustRightInd w:val="0"/>
                    <w:snapToGrid w:val="0"/>
                    <w:jc w:val="center"/>
                    <w:rPr>
                      <w:color w:val="auto"/>
                      <w:szCs w:val="21"/>
                    </w:rPr>
                  </w:pPr>
                </w:p>
              </w:tc>
              <w:tc>
                <w:tcPr>
                  <w:tcW w:w="230" w:type="pct"/>
                  <w:vMerge w:val="continue"/>
                  <w:vAlign w:val="center"/>
                </w:tcPr>
                <w:p w14:paraId="26A13B6B">
                  <w:pPr>
                    <w:adjustRightInd w:val="0"/>
                    <w:snapToGrid w:val="0"/>
                    <w:jc w:val="center"/>
                    <w:rPr>
                      <w:color w:val="auto"/>
                      <w:szCs w:val="21"/>
                    </w:rPr>
                  </w:pPr>
                </w:p>
              </w:tc>
              <w:tc>
                <w:tcPr>
                  <w:tcW w:w="791" w:type="pct"/>
                  <w:vAlign w:val="center"/>
                </w:tcPr>
                <w:p w14:paraId="12714C05">
                  <w:pPr>
                    <w:adjustRightInd w:val="0"/>
                    <w:snapToGrid w:val="0"/>
                    <w:jc w:val="center"/>
                    <w:rPr>
                      <w:color w:val="auto"/>
                      <w:szCs w:val="21"/>
                    </w:rPr>
                  </w:pPr>
                  <w:r>
                    <w:rPr>
                      <w:rFonts w:hint="eastAsia"/>
                      <w:color w:val="auto"/>
                      <w:szCs w:val="21"/>
                    </w:rPr>
                    <w:t>后补水帘柜</w:t>
                  </w:r>
                </w:p>
              </w:tc>
              <w:tc>
                <w:tcPr>
                  <w:tcW w:w="662" w:type="pct"/>
                  <w:vAlign w:val="center"/>
                </w:tcPr>
                <w:p w14:paraId="1F7E0E9F">
                  <w:pPr>
                    <w:adjustRightInd w:val="0"/>
                    <w:snapToGrid w:val="0"/>
                    <w:jc w:val="center"/>
                    <w:rPr>
                      <w:color w:val="auto"/>
                    </w:rPr>
                  </w:pPr>
                  <w:r>
                    <w:rPr>
                      <w:rFonts w:hint="eastAsia"/>
                      <w:color w:val="auto"/>
                    </w:rPr>
                    <w:t>规格</w:t>
                  </w:r>
                </w:p>
              </w:tc>
              <w:tc>
                <w:tcPr>
                  <w:tcW w:w="380" w:type="pct"/>
                  <w:vAlign w:val="center"/>
                </w:tcPr>
                <w:p w14:paraId="4203A315">
                  <w:pPr>
                    <w:adjustRightInd w:val="0"/>
                    <w:snapToGrid w:val="0"/>
                    <w:jc w:val="center"/>
                    <w:rPr>
                      <w:color w:val="auto"/>
                    </w:rPr>
                  </w:pPr>
                  <w:r>
                    <w:rPr>
                      <w:color w:val="auto"/>
                      <w:kern w:val="0"/>
                      <w:szCs w:val="21"/>
                      <w:lang w:bidi="ar"/>
                    </w:rPr>
                    <w:t>m</w:t>
                  </w:r>
                </w:p>
              </w:tc>
              <w:tc>
                <w:tcPr>
                  <w:tcW w:w="867" w:type="pct"/>
                  <w:vAlign w:val="center"/>
                </w:tcPr>
                <w:p w14:paraId="209434BF">
                  <w:pPr>
                    <w:adjustRightInd w:val="0"/>
                    <w:snapToGrid w:val="0"/>
                    <w:jc w:val="center"/>
                    <w:rPr>
                      <w:color w:val="auto"/>
                    </w:rPr>
                  </w:pPr>
                  <w:r>
                    <w:rPr>
                      <w:rFonts w:hint="eastAsia"/>
                      <w:color w:val="auto"/>
                    </w:rPr>
                    <w:t>3</w:t>
                  </w:r>
                  <w:r>
                    <w:rPr>
                      <w:color w:val="auto"/>
                      <w:kern w:val="0"/>
                      <w:szCs w:val="21"/>
                      <w:lang w:bidi="ar"/>
                    </w:rPr>
                    <w:t>×</w:t>
                  </w:r>
                  <w:r>
                    <w:rPr>
                      <w:rFonts w:hint="eastAsia"/>
                      <w:color w:val="auto"/>
                      <w:kern w:val="0"/>
                      <w:szCs w:val="21"/>
                      <w:lang w:bidi="ar"/>
                    </w:rPr>
                    <w:t>3</w:t>
                  </w:r>
                  <w:r>
                    <w:rPr>
                      <w:color w:val="auto"/>
                      <w:kern w:val="0"/>
                      <w:szCs w:val="21"/>
                      <w:lang w:bidi="ar"/>
                    </w:rPr>
                    <w:t>×</w:t>
                  </w:r>
                  <w:r>
                    <w:rPr>
                      <w:rFonts w:hint="eastAsia"/>
                      <w:color w:val="auto"/>
                      <w:kern w:val="0"/>
                      <w:szCs w:val="21"/>
                      <w:lang w:bidi="ar"/>
                    </w:rPr>
                    <w:t>2.5</w:t>
                  </w:r>
                </w:p>
              </w:tc>
              <w:tc>
                <w:tcPr>
                  <w:tcW w:w="463" w:type="pct"/>
                  <w:vAlign w:val="center"/>
                </w:tcPr>
                <w:p w14:paraId="70B84E3D">
                  <w:pPr>
                    <w:adjustRightInd w:val="0"/>
                    <w:snapToGrid w:val="0"/>
                    <w:jc w:val="center"/>
                    <w:rPr>
                      <w:color w:val="auto"/>
                      <w:kern w:val="0"/>
                      <w:szCs w:val="21"/>
                      <w:lang w:bidi="ar"/>
                    </w:rPr>
                  </w:pPr>
                  <w:r>
                    <w:rPr>
                      <w:rFonts w:hint="eastAsia"/>
                      <w:color w:val="auto"/>
                      <w:kern w:val="0"/>
                      <w:szCs w:val="21"/>
                      <w:lang w:bidi="ar"/>
                    </w:rPr>
                    <w:t>2</w:t>
                  </w:r>
                  <w:r>
                    <w:rPr>
                      <w:rFonts w:hint="eastAsia"/>
                      <w:color w:val="auto"/>
                      <w:kern w:val="0"/>
                      <w:szCs w:val="21"/>
                      <w:lang w:val="en-US" w:eastAsia="zh-CN" w:bidi="ar"/>
                    </w:rPr>
                    <w:t>台</w:t>
                  </w:r>
                </w:p>
              </w:tc>
              <w:tc>
                <w:tcPr>
                  <w:tcW w:w="468" w:type="pct"/>
                  <w:vMerge w:val="continue"/>
                  <w:vAlign w:val="center"/>
                </w:tcPr>
                <w:p w14:paraId="699E659B">
                  <w:pPr>
                    <w:widowControl/>
                    <w:adjustRightInd w:val="0"/>
                    <w:snapToGrid w:val="0"/>
                    <w:jc w:val="center"/>
                    <w:rPr>
                      <w:color w:val="auto"/>
                      <w:szCs w:val="21"/>
                    </w:rPr>
                  </w:pPr>
                </w:p>
              </w:tc>
            </w:tr>
            <w:tr w14:paraId="0E14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0DD174ED">
                  <w:pPr>
                    <w:widowControl/>
                    <w:adjustRightInd w:val="0"/>
                    <w:snapToGrid w:val="0"/>
                    <w:jc w:val="center"/>
                    <w:textAlignment w:val="center"/>
                    <w:rPr>
                      <w:color w:val="auto"/>
                      <w:kern w:val="0"/>
                      <w:szCs w:val="21"/>
                    </w:rPr>
                  </w:pPr>
                  <w:r>
                    <w:rPr>
                      <w:rFonts w:hint="eastAsia"/>
                      <w:color w:val="auto"/>
                      <w:kern w:val="0"/>
                      <w:szCs w:val="21"/>
                    </w:rPr>
                    <w:t>30</w:t>
                  </w:r>
                </w:p>
              </w:tc>
              <w:tc>
                <w:tcPr>
                  <w:tcW w:w="387" w:type="pct"/>
                  <w:vMerge w:val="continue"/>
                  <w:vAlign w:val="center"/>
                </w:tcPr>
                <w:p w14:paraId="377F532F">
                  <w:pPr>
                    <w:adjustRightInd w:val="0"/>
                    <w:snapToGrid w:val="0"/>
                    <w:jc w:val="center"/>
                    <w:rPr>
                      <w:color w:val="auto"/>
                      <w:szCs w:val="21"/>
                    </w:rPr>
                  </w:pPr>
                </w:p>
              </w:tc>
              <w:tc>
                <w:tcPr>
                  <w:tcW w:w="424" w:type="pct"/>
                  <w:vMerge w:val="continue"/>
                  <w:vAlign w:val="center"/>
                </w:tcPr>
                <w:p w14:paraId="2AA6F68F">
                  <w:pPr>
                    <w:adjustRightInd w:val="0"/>
                    <w:snapToGrid w:val="0"/>
                    <w:jc w:val="center"/>
                    <w:rPr>
                      <w:color w:val="auto"/>
                      <w:szCs w:val="21"/>
                    </w:rPr>
                  </w:pPr>
                </w:p>
              </w:tc>
              <w:tc>
                <w:tcPr>
                  <w:tcW w:w="230" w:type="pct"/>
                  <w:vMerge w:val="continue"/>
                  <w:vAlign w:val="center"/>
                </w:tcPr>
                <w:p w14:paraId="624DA689">
                  <w:pPr>
                    <w:adjustRightInd w:val="0"/>
                    <w:snapToGrid w:val="0"/>
                    <w:jc w:val="center"/>
                    <w:rPr>
                      <w:color w:val="auto"/>
                      <w:szCs w:val="21"/>
                    </w:rPr>
                  </w:pPr>
                </w:p>
              </w:tc>
              <w:tc>
                <w:tcPr>
                  <w:tcW w:w="791" w:type="pct"/>
                  <w:vAlign w:val="center"/>
                </w:tcPr>
                <w:p w14:paraId="57FAC6C3">
                  <w:pPr>
                    <w:adjustRightInd w:val="0"/>
                    <w:snapToGrid w:val="0"/>
                    <w:jc w:val="center"/>
                    <w:rPr>
                      <w:color w:val="auto"/>
                      <w:szCs w:val="21"/>
                    </w:rPr>
                  </w:pPr>
                  <w:r>
                    <w:rPr>
                      <w:rFonts w:hint="eastAsia"/>
                      <w:color w:val="auto"/>
                      <w:szCs w:val="21"/>
                    </w:rPr>
                    <w:t>自动静电喷枪</w:t>
                  </w:r>
                </w:p>
              </w:tc>
              <w:tc>
                <w:tcPr>
                  <w:tcW w:w="662" w:type="pct"/>
                  <w:vAlign w:val="center"/>
                </w:tcPr>
                <w:p w14:paraId="4AA7FD62">
                  <w:pPr>
                    <w:adjustRightInd w:val="0"/>
                    <w:snapToGrid w:val="0"/>
                    <w:jc w:val="center"/>
                    <w:rPr>
                      <w:color w:val="auto"/>
                    </w:rPr>
                  </w:pPr>
                  <w:r>
                    <w:rPr>
                      <w:rFonts w:hint="eastAsia"/>
                      <w:color w:val="auto"/>
                    </w:rPr>
                    <w:t>喷涂流量</w:t>
                  </w:r>
                </w:p>
              </w:tc>
              <w:tc>
                <w:tcPr>
                  <w:tcW w:w="380" w:type="pct"/>
                  <w:vAlign w:val="center"/>
                </w:tcPr>
                <w:p w14:paraId="29B06A93">
                  <w:pPr>
                    <w:adjustRightInd w:val="0"/>
                    <w:snapToGrid w:val="0"/>
                    <w:jc w:val="center"/>
                    <w:rPr>
                      <w:color w:val="auto"/>
                    </w:rPr>
                  </w:pPr>
                  <w:r>
                    <w:rPr>
                      <w:rFonts w:hint="eastAsia"/>
                      <w:color w:val="auto"/>
                    </w:rPr>
                    <w:t>kg/h</w:t>
                  </w:r>
                </w:p>
              </w:tc>
              <w:tc>
                <w:tcPr>
                  <w:tcW w:w="867" w:type="pct"/>
                  <w:vAlign w:val="center"/>
                </w:tcPr>
                <w:p w14:paraId="6FF5584D">
                  <w:pPr>
                    <w:adjustRightInd w:val="0"/>
                    <w:snapToGrid w:val="0"/>
                    <w:jc w:val="center"/>
                    <w:rPr>
                      <w:color w:val="auto"/>
                    </w:rPr>
                  </w:pPr>
                  <w:r>
                    <w:rPr>
                      <w:rFonts w:hint="eastAsia"/>
                      <w:color w:val="auto"/>
                    </w:rPr>
                    <w:t>6</w:t>
                  </w:r>
                </w:p>
              </w:tc>
              <w:tc>
                <w:tcPr>
                  <w:tcW w:w="463" w:type="pct"/>
                  <w:vAlign w:val="center"/>
                </w:tcPr>
                <w:p w14:paraId="32496614">
                  <w:pPr>
                    <w:adjustRightInd w:val="0"/>
                    <w:snapToGrid w:val="0"/>
                    <w:jc w:val="center"/>
                    <w:rPr>
                      <w:rFonts w:hint="eastAsia" w:eastAsia="宋体"/>
                      <w:color w:val="auto"/>
                      <w:kern w:val="0"/>
                      <w:szCs w:val="21"/>
                      <w:lang w:val="en-US" w:eastAsia="zh-CN" w:bidi="ar"/>
                    </w:rPr>
                  </w:pPr>
                  <w:r>
                    <w:rPr>
                      <w:rFonts w:hint="eastAsia"/>
                      <w:color w:val="auto"/>
                      <w:kern w:val="0"/>
                      <w:szCs w:val="21"/>
                      <w:lang w:bidi="ar"/>
                    </w:rPr>
                    <w:t>1</w:t>
                  </w:r>
                  <w:r>
                    <w:rPr>
                      <w:rFonts w:hint="eastAsia"/>
                      <w:color w:val="auto"/>
                      <w:kern w:val="0"/>
                      <w:szCs w:val="21"/>
                      <w:lang w:val="en-US" w:eastAsia="zh-CN" w:bidi="ar"/>
                    </w:rPr>
                    <w:t>把</w:t>
                  </w:r>
                </w:p>
              </w:tc>
              <w:tc>
                <w:tcPr>
                  <w:tcW w:w="468" w:type="pct"/>
                  <w:vMerge w:val="continue"/>
                  <w:vAlign w:val="center"/>
                </w:tcPr>
                <w:p w14:paraId="44DDDA84">
                  <w:pPr>
                    <w:widowControl/>
                    <w:adjustRightInd w:val="0"/>
                    <w:snapToGrid w:val="0"/>
                    <w:jc w:val="center"/>
                    <w:rPr>
                      <w:color w:val="auto"/>
                      <w:szCs w:val="21"/>
                    </w:rPr>
                  </w:pPr>
                </w:p>
              </w:tc>
            </w:tr>
            <w:tr w14:paraId="5D583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519D7271">
                  <w:pPr>
                    <w:widowControl/>
                    <w:adjustRightInd w:val="0"/>
                    <w:snapToGrid w:val="0"/>
                    <w:jc w:val="center"/>
                    <w:textAlignment w:val="center"/>
                    <w:rPr>
                      <w:color w:val="auto"/>
                      <w:kern w:val="0"/>
                      <w:szCs w:val="21"/>
                    </w:rPr>
                  </w:pPr>
                  <w:r>
                    <w:rPr>
                      <w:rFonts w:hint="eastAsia"/>
                      <w:color w:val="auto"/>
                      <w:kern w:val="0"/>
                      <w:szCs w:val="21"/>
                    </w:rPr>
                    <w:t>31</w:t>
                  </w:r>
                </w:p>
              </w:tc>
              <w:tc>
                <w:tcPr>
                  <w:tcW w:w="387" w:type="pct"/>
                  <w:vMerge w:val="continue"/>
                  <w:vAlign w:val="center"/>
                </w:tcPr>
                <w:p w14:paraId="203C3511">
                  <w:pPr>
                    <w:adjustRightInd w:val="0"/>
                    <w:snapToGrid w:val="0"/>
                    <w:jc w:val="center"/>
                    <w:rPr>
                      <w:color w:val="auto"/>
                      <w:szCs w:val="21"/>
                    </w:rPr>
                  </w:pPr>
                </w:p>
              </w:tc>
              <w:tc>
                <w:tcPr>
                  <w:tcW w:w="424" w:type="pct"/>
                  <w:vMerge w:val="continue"/>
                  <w:vAlign w:val="center"/>
                </w:tcPr>
                <w:p w14:paraId="40CC82C0">
                  <w:pPr>
                    <w:adjustRightInd w:val="0"/>
                    <w:snapToGrid w:val="0"/>
                    <w:jc w:val="center"/>
                    <w:rPr>
                      <w:color w:val="auto"/>
                      <w:szCs w:val="21"/>
                    </w:rPr>
                  </w:pPr>
                </w:p>
              </w:tc>
              <w:tc>
                <w:tcPr>
                  <w:tcW w:w="230" w:type="pct"/>
                  <w:vMerge w:val="continue"/>
                  <w:vAlign w:val="center"/>
                </w:tcPr>
                <w:p w14:paraId="00C0D4B9">
                  <w:pPr>
                    <w:adjustRightInd w:val="0"/>
                    <w:snapToGrid w:val="0"/>
                    <w:jc w:val="center"/>
                    <w:rPr>
                      <w:color w:val="auto"/>
                      <w:szCs w:val="21"/>
                    </w:rPr>
                  </w:pPr>
                </w:p>
              </w:tc>
              <w:tc>
                <w:tcPr>
                  <w:tcW w:w="791" w:type="pct"/>
                  <w:vAlign w:val="center"/>
                </w:tcPr>
                <w:p w14:paraId="00AD6FF0">
                  <w:pPr>
                    <w:adjustRightInd w:val="0"/>
                    <w:snapToGrid w:val="0"/>
                    <w:jc w:val="center"/>
                    <w:rPr>
                      <w:color w:val="auto"/>
                      <w:szCs w:val="21"/>
                    </w:rPr>
                  </w:pPr>
                  <w:r>
                    <w:rPr>
                      <w:rFonts w:hint="eastAsia"/>
                      <w:color w:val="auto"/>
                      <w:szCs w:val="21"/>
                    </w:rPr>
                    <w:t>手工静电喷枪</w:t>
                  </w:r>
                </w:p>
              </w:tc>
              <w:tc>
                <w:tcPr>
                  <w:tcW w:w="662" w:type="pct"/>
                  <w:vAlign w:val="center"/>
                </w:tcPr>
                <w:p w14:paraId="18ABFC8B">
                  <w:pPr>
                    <w:adjustRightInd w:val="0"/>
                    <w:snapToGrid w:val="0"/>
                    <w:jc w:val="center"/>
                    <w:rPr>
                      <w:color w:val="auto"/>
                    </w:rPr>
                  </w:pPr>
                  <w:r>
                    <w:rPr>
                      <w:rFonts w:hint="eastAsia"/>
                      <w:color w:val="auto"/>
                    </w:rPr>
                    <w:t>喷涂流量</w:t>
                  </w:r>
                </w:p>
              </w:tc>
              <w:tc>
                <w:tcPr>
                  <w:tcW w:w="380" w:type="pct"/>
                  <w:vAlign w:val="center"/>
                </w:tcPr>
                <w:p w14:paraId="190421DF">
                  <w:pPr>
                    <w:adjustRightInd w:val="0"/>
                    <w:snapToGrid w:val="0"/>
                    <w:jc w:val="center"/>
                    <w:rPr>
                      <w:color w:val="auto"/>
                    </w:rPr>
                  </w:pPr>
                  <w:r>
                    <w:rPr>
                      <w:rFonts w:hint="eastAsia"/>
                      <w:color w:val="auto"/>
                    </w:rPr>
                    <w:t>kg/h</w:t>
                  </w:r>
                </w:p>
              </w:tc>
              <w:tc>
                <w:tcPr>
                  <w:tcW w:w="867" w:type="pct"/>
                  <w:vAlign w:val="center"/>
                </w:tcPr>
                <w:p w14:paraId="4E942A23">
                  <w:pPr>
                    <w:adjustRightInd w:val="0"/>
                    <w:snapToGrid w:val="0"/>
                    <w:jc w:val="center"/>
                    <w:rPr>
                      <w:color w:val="auto"/>
                    </w:rPr>
                  </w:pPr>
                  <w:r>
                    <w:rPr>
                      <w:rFonts w:hint="eastAsia"/>
                      <w:color w:val="auto"/>
                    </w:rPr>
                    <w:t>1.5</w:t>
                  </w:r>
                </w:p>
              </w:tc>
              <w:tc>
                <w:tcPr>
                  <w:tcW w:w="463" w:type="pct"/>
                  <w:vAlign w:val="center"/>
                </w:tcPr>
                <w:p w14:paraId="252152CD">
                  <w:pPr>
                    <w:adjustRightInd w:val="0"/>
                    <w:snapToGrid w:val="0"/>
                    <w:jc w:val="center"/>
                    <w:rPr>
                      <w:rFonts w:hint="eastAsia" w:eastAsia="宋体"/>
                      <w:color w:val="auto"/>
                      <w:kern w:val="0"/>
                      <w:szCs w:val="21"/>
                      <w:lang w:val="en-US" w:eastAsia="zh-CN" w:bidi="ar"/>
                    </w:rPr>
                  </w:pPr>
                  <w:r>
                    <w:rPr>
                      <w:rFonts w:hint="eastAsia"/>
                      <w:color w:val="auto"/>
                      <w:kern w:val="0"/>
                      <w:szCs w:val="21"/>
                      <w:lang w:bidi="ar"/>
                    </w:rPr>
                    <w:t>3</w:t>
                  </w:r>
                  <w:r>
                    <w:rPr>
                      <w:rFonts w:hint="eastAsia"/>
                      <w:color w:val="auto"/>
                      <w:kern w:val="0"/>
                      <w:szCs w:val="21"/>
                      <w:lang w:val="en-US" w:eastAsia="zh-CN" w:bidi="ar"/>
                    </w:rPr>
                    <w:t>把</w:t>
                  </w:r>
                </w:p>
              </w:tc>
              <w:tc>
                <w:tcPr>
                  <w:tcW w:w="468" w:type="pct"/>
                  <w:vMerge w:val="continue"/>
                  <w:vAlign w:val="center"/>
                </w:tcPr>
                <w:p w14:paraId="0A72489C">
                  <w:pPr>
                    <w:widowControl/>
                    <w:adjustRightInd w:val="0"/>
                    <w:snapToGrid w:val="0"/>
                    <w:jc w:val="center"/>
                    <w:rPr>
                      <w:color w:val="auto"/>
                      <w:szCs w:val="21"/>
                    </w:rPr>
                  </w:pPr>
                </w:p>
              </w:tc>
            </w:tr>
            <w:tr w14:paraId="63488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24" w:type="pct"/>
                  <w:vMerge w:val="restart"/>
                  <w:vAlign w:val="center"/>
                </w:tcPr>
                <w:p w14:paraId="1D1F4E72">
                  <w:pPr>
                    <w:widowControl/>
                    <w:adjustRightInd w:val="0"/>
                    <w:snapToGrid w:val="0"/>
                    <w:jc w:val="center"/>
                    <w:textAlignment w:val="center"/>
                    <w:rPr>
                      <w:color w:val="auto"/>
                      <w:kern w:val="0"/>
                      <w:szCs w:val="21"/>
                    </w:rPr>
                  </w:pPr>
                  <w:r>
                    <w:rPr>
                      <w:rFonts w:hint="eastAsia"/>
                      <w:color w:val="auto"/>
                      <w:kern w:val="0"/>
                      <w:szCs w:val="21"/>
                    </w:rPr>
                    <w:t>32</w:t>
                  </w:r>
                </w:p>
              </w:tc>
              <w:tc>
                <w:tcPr>
                  <w:tcW w:w="387" w:type="pct"/>
                  <w:vMerge w:val="continue"/>
                  <w:vAlign w:val="center"/>
                </w:tcPr>
                <w:p w14:paraId="551123D6">
                  <w:pPr>
                    <w:adjustRightInd w:val="0"/>
                    <w:snapToGrid w:val="0"/>
                    <w:jc w:val="center"/>
                    <w:rPr>
                      <w:color w:val="auto"/>
                      <w:szCs w:val="21"/>
                    </w:rPr>
                  </w:pPr>
                </w:p>
              </w:tc>
              <w:tc>
                <w:tcPr>
                  <w:tcW w:w="424" w:type="pct"/>
                  <w:vMerge w:val="continue"/>
                  <w:vAlign w:val="center"/>
                </w:tcPr>
                <w:p w14:paraId="0D9899F8">
                  <w:pPr>
                    <w:adjustRightInd w:val="0"/>
                    <w:snapToGrid w:val="0"/>
                    <w:jc w:val="center"/>
                    <w:rPr>
                      <w:color w:val="auto"/>
                      <w:szCs w:val="21"/>
                    </w:rPr>
                  </w:pPr>
                </w:p>
              </w:tc>
              <w:tc>
                <w:tcPr>
                  <w:tcW w:w="230" w:type="pct"/>
                  <w:vMerge w:val="continue"/>
                  <w:vAlign w:val="center"/>
                </w:tcPr>
                <w:p w14:paraId="32576EAD">
                  <w:pPr>
                    <w:adjustRightInd w:val="0"/>
                    <w:snapToGrid w:val="0"/>
                    <w:jc w:val="center"/>
                    <w:rPr>
                      <w:color w:val="auto"/>
                      <w:szCs w:val="21"/>
                    </w:rPr>
                  </w:pPr>
                </w:p>
              </w:tc>
              <w:tc>
                <w:tcPr>
                  <w:tcW w:w="791" w:type="pct"/>
                  <w:vMerge w:val="restart"/>
                  <w:vAlign w:val="center"/>
                </w:tcPr>
                <w:p w14:paraId="5F3DA36F">
                  <w:pPr>
                    <w:adjustRightInd w:val="0"/>
                    <w:snapToGrid w:val="0"/>
                    <w:jc w:val="center"/>
                    <w:rPr>
                      <w:color w:val="auto"/>
                      <w:szCs w:val="21"/>
                    </w:rPr>
                  </w:pPr>
                  <w:r>
                    <w:rPr>
                      <w:rFonts w:hint="eastAsia"/>
                      <w:color w:val="auto"/>
                      <w:szCs w:val="21"/>
                    </w:rPr>
                    <w:t>烘烤隧道炉</w:t>
                  </w:r>
                </w:p>
              </w:tc>
              <w:tc>
                <w:tcPr>
                  <w:tcW w:w="662" w:type="pct"/>
                  <w:vAlign w:val="center"/>
                </w:tcPr>
                <w:p w14:paraId="5AB3C931">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3E3A3DE9">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5B65D6B4">
                  <w:pPr>
                    <w:adjustRightInd w:val="0"/>
                    <w:snapToGrid w:val="0"/>
                    <w:jc w:val="center"/>
                    <w:rPr>
                      <w:color w:val="auto"/>
                      <w:kern w:val="0"/>
                      <w:szCs w:val="21"/>
                      <w:lang w:bidi="ar"/>
                    </w:rPr>
                  </w:pPr>
                  <w:r>
                    <w:rPr>
                      <w:rFonts w:hint="eastAsia"/>
                      <w:color w:val="auto"/>
                    </w:rPr>
                    <w:t>37</w:t>
                  </w:r>
                  <w:r>
                    <w:rPr>
                      <w:color w:val="auto"/>
                      <w:kern w:val="0"/>
                      <w:szCs w:val="21"/>
                      <w:lang w:bidi="ar"/>
                    </w:rPr>
                    <w:t>×</w:t>
                  </w:r>
                  <w:r>
                    <w:rPr>
                      <w:rFonts w:hint="eastAsia"/>
                      <w:color w:val="auto"/>
                    </w:rPr>
                    <w:t>1.8</w:t>
                  </w:r>
                  <w:r>
                    <w:rPr>
                      <w:color w:val="auto"/>
                      <w:kern w:val="0"/>
                      <w:szCs w:val="21"/>
                      <w:lang w:bidi="ar"/>
                    </w:rPr>
                    <w:t>×</w:t>
                  </w:r>
                  <w:r>
                    <w:rPr>
                      <w:rFonts w:hint="eastAsia"/>
                      <w:color w:val="auto"/>
                    </w:rPr>
                    <w:t>2.6</w:t>
                  </w:r>
                </w:p>
              </w:tc>
              <w:tc>
                <w:tcPr>
                  <w:tcW w:w="463" w:type="pct"/>
                  <w:vMerge w:val="restart"/>
                  <w:vAlign w:val="center"/>
                </w:tcPr>
                <w:p w14:paraId="6CEAA708">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restart"/>
                  <w:vAlign w:val="center"/>
                </w:tcPr>
                <w:p w14:paraId="0116D07A">
                  <w:pPr>
                    <w:widowControl/>
                    <w:adjustRightInd w:val="0"/>
                    <w:snapToGrid w:val="0"/>
                    <w:jc w:val="center"/>
                    <w:rPr>
                      <w:color w:val="auto"/>
                      <w:szCs w:val="21"/>
                    </w:rPr>
                  </w:pPr>
                  <w:r>
                    <w:rPr>
                      <w:rFonts w:hint="eastAsia"/>
                      <w:color w:val="auto"/>
                      <w:szCs w:val="21"/>
                    </w:rPr>
                    <w:t>5楼面漆烤炉</w:t>
                  </w:r>
                </w:p>
              </w:tc>
            </w:tr>
            <w:tr w14:paraId="0388C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24" w:type="pct"/>
                  <w:vMerge w:val="continue"/>
                  <w:vAlign w:val="center"/>
                </w:tcPr>
                <w:p w14:paraId="6F9B34A0">
                  <w:pPr>
                    <w:adjustRightInd w:val="0"/>
                    <w:snapToGrid w:val="0"/>
                    <w:jc w:val="center"/>
                    <w:rPr>
                      <w:color w:val="auto"/>
                    </w:rPr>
                  </w:pPr>
                </w:p>
              </w:tc>
              <w:tc>
                <w:tcPr>
                  <w:tcW w:w="387" w:type="pct"/>
                  <w:vMerge w:val="continue"/>
                  <w:vAlign w:val="center"/>
                </w:tcPr>
                <w:p w14:paraId="303EE299">
                  <w:pPr>
                    <w:adjustRightInd w:val="0"/>
                    <w:snapToGrid w:val="0"/>
                    <w:jc w:val="center"/>
                    <w:rPr>
                      <w:color w:val="auto"/>
                    </w:rPr>
                  </w:pPr>
                </w:p>
              </w:tc>
              <w:tc>
                <w:tcPr>
                  <w:tcW w:w="424" w:type="pct"/>
                  <w:vMerge w:val="continue"/>
                  <w:vAlign w:val="center"/>
                </w:tcPr>
                <w:p w14:paraId="7787E6D0">
                  <w:pPr>
                    <w:adjustRightInd w:val="0"/>
                    <w:snapToGrid w:val="0"/>
                    <w:jc w:val="center"/>
                    <w:rPr>
                      <w:color w:val="auto"/>
                    </w:rPr>
                  </w:pPr>
                </w:p>
              </w:tc>
              <w:tc>
                <w:tcPr>
                  <w:tcW w:w="230" w:type="pct"/>
                  <w:vMerge w:val="continue"/>
                  <w:vAlign w:val="center"/>
                </w:tcPr>
                <w:p w14:paraId="33AEB499">
                  <w:pPr>
                    <w:adjustRightInd w:val="0"/>
                    <w:snapToGrid w:val="0"/>
                    <w:jc w:val="center"/>
                    <w:rPr>
                      <w:color w:val="auto"/>
                    </w:rPr>
                  </w:pPr>
                </w:p>
              </w:tc>
              <w:tc>
                <w:tcPr>
                  <w:tcW w:w="791" w:type="pct"/>
                  <w:vMerge w:val="continue"/>
                  <w:vAlign w:val="center"/>
                </w:tcPr>
                <w:p w14:paraId="50530EF3">
                  <w:pPr>
                    <w:adjustRightInd w:val="0"/>
                    <w:snapToGrid w:val="0"/>
                    <w:jc w:val="center"/>
                    <w:rPr>
                      <w:color w:val="auto"/>
                    </w:rPr>
                  </w:pPr>
                </w:p>
              </w:tc>
              <w:tc>
                <w:tcPr>
                  <w:tcW w:w="662" w:type="pct"/>
                  <w:vAlign w:val="center"/>
                </w:tcPr>
                <w:p w14:paraId="1D71510D">
                  <w:pPr>
                    <w:adjustRightInd w:val="0"/>
                    <w:snapToGrid w:val="0"/>
                    <w:jc w:val="center"/>
                    <w:rPr>
                      <w:color w:val="auto"/>
                      <w:kern w:val="0"/>
                      <w:szCs w:val="21"/>
                      <w:lang w:bidi="ar"/>
                    </w:rPr>
                  </w:pPr>
                  <w:r>
                    <w:rPr>
                      <w:color w:val="auto"/>
                      <w:kern w:val="0"/>
                      <w:szCs w:val="21"/>
                      <w:lang w:bidi="ar"/>
                    </w:rPr>
                    <w:t>工作温度</w:t>
                  </w:r>
                </w:p>
              </w:tc>
              <w:tc>
                <w:tcPr>
                  <w:tcW w:w="380" w:type="pct"/>
                  <w:vAlign w:val="center"/>
                </w:tcPr>
                <w:p w14:paraId="1F3F3239">
                  <w:pPr>
                    <w:adjustRightInd w:val="0"/>
                    <w:snapToGrid w:val="0"/>
                    <w:jc w:val="center"/>
                    <w:rPr>
                      <w:color w:val="auto"/>
                      <w:kern w:val="0"/>
                      <w:szCs w:val="21"/>
                      <w:lang w:bidi="ar"/>
                    </w:rPr>
                  </w:pPr>
                  <w:r>
                    <w:rPr>
                      <w:color w:val="auto"/>
                      <w:kern w:val="0"/>
                      <w:szCs w:val="21"/>
                      <w:lang w:bidi="ar"/>
                    </w:rPr>
                    <w:t>℃</w:t>
                  </w:r>
                </w:p>
              </w:tc>
              <w:tc>
                <w:tcPr>
                  <w:tcW w:w="867" w:type="pct"/>
                  <w:vAlign w:val="center"/>
                </w:tcPr>
                <w:p w14:paraId="567667A8">
                  <w:pPr>
                    <w:adjustRightInd w:val="0"/>
                    <w:snapToGrid w:val="0"/>
                    <w:jc w:val="center"/>
                    <w:rPr>
                      <w:color w:val="auto"/>
                      <w:kern w:val="0"/>
                      <w:szCs w:val="21"/>
                      <w:lang w:bidi="ar"/>
                    </w:rPr>
                  </w:pPr>
                  <w:r>
                    <w:rPr>
                      <w:rFonts w:hint="eastAsia"/>
                      <w:color w:val="auto"/>
                      <w:kern w:val="0"/>
                      <w:szCs w:val="21"/>
                      <w:lang w:bidi="ar"/>
                    </w:rPr>
                    <w:t>15</w:t>
                  </w:r>
                  <w:r>
                    <w:rPr>
                      <w:color w:val="auto"/>
                      <w:kern w:val="0"/>
                      <w:szCs w:val="21"/>
                      <w:lang w:bidi="ar"/>
                    </w:rPr>
                    <w:t>0</w:t>
                  </w:r>
                </w:p>
              </w:tc>
              <w:tc>
                <w:tcPr>
                  <w:tcW w:w="463" w:type="pct"/>
                  <w:vMerge w:val="continue"/>
                  <w:vAlign w:val="center"/>
                </w:tcPr>
                <w:p w14:paraId="177385A7">
                  <w:pPr>
                    <w:adjustRightInd w:val="0"/>
                    <w:snapToGrid w:val="0"/>
                    <w:jc w:val="center"/>
                    <w:rPr>
                      <w:color w:val="auto"/>
                      <w:kern w:val="0"/>
                      <w:szCs w:val="21"/>
                      <w:lang w:bidi="ar"/>
                    </w:rPr>
                  </w:pPr>
                </w:p>
              </w:tc>
              <w:tc>
                <w:tcPr>
                  <w:tcW w:w="468" w:type="pct"/>
                  <w:vMerge w:val="continue"/>
                  <w:vAlign w:val="center"/>
                </w:tcPr>
                <w:p w14:paraId="45DB278B">
                  <w:pPr>
                    <w:adjustRightInd w:val="0"/>
                    <w:snapToGrid w:val="0"/>
                    <w:jc w:val="center"/>
                    <w:rPr>
                      <w:color w:val="auto"/>
                      <w:kern w:val="0"/>
                      <w:szCs w:val="21"/>
                      <w:lang w:bidi="ar"/>
                    </w:rPr>
                  </w:pPr>
                </w:p>
              </w:tc>
            </w:tr>
            <w:tr w14:paraId="18C952F3">
              <w:tblPrEx>
                <w:tblCellMar>
                  <w:top w:w="0" w:type="dxa"/>
                  <w:left w:w="108" w:type="dxa"/>
                  <w:bottom w:w="0" w:type="dxa"/>
                  <w:right w:w="108" w:type="dxa"/>
                </w:tblCellMar>
              </w:tblPrEx>
              <w:trPr>
                <w:trHeight w:val="90" w:hRule="atLeast"/>
                <w:jc w:val="center"/>
              </w:trPr>
              <w:tc>
                <w:tcPr>
                  <w:tcW w:w="324" w:type="pct"/>
                  <w:vMerge w:val="continue"/>
                  <w:vAlign w:val="center"/>
                </w:tcPr>
                <w:p w14:paraId="31E4627D">
                  <w:pPr>
                    <w:widowControl/>
                    <w:adjustRightInd w:val="0"/>
                    <w:snapToGrid w:val="0"/>
                    <w:jc w:val="center"/>
                    <w:textAlignment w:val="center"/>
                    <w:rPr>
                      <w:color w:val="auto"/>
                      <w:kern w:val="0"/>
                      <w:szCs w:val="21"/>
                    </w:rPr>
                  </w:pPr>
                </w:p>
              </w:tc>
              <w:tc>
                <w:tcPr>
                  <w:tcW w:w="387" w:type="pct"/>
                  <w:vMerge w:val="continue"/>
                  <w:vAlign w:val="center"/>
                </w:tcPr>
                <w:p w14:paraId="21A3182C">
                  <w:pPr>
                    <w:adjustRightInd w:val="0"/>
                    <w:snapToGrid w:val="0"/>
                    <w:jc w:val="center"/>
                    <w:rPr>
                      <w:color w:val="auto"/>
                      <w:szCs w:val="21"/>
                    </w:rPr>
                  </w:pPr>
                </w:p>
              </w:tc>
              <w:tc>
                <w:tcPr>
                  <w:tcW w:w="424" w:type="pct"/>
                  <w:vMerge w:val="continue"/>
                  <w:vAlign w:val="center"/>
                </w:tcPr>
                <w:p w14:paraId="08E323C2">
                  <w:pPr>
                    <w:adjustRightInd w:val="0"/>
                    <w:snapToGrid w:val="0"/>
                    <w:jc w:val="center"/>
                    <w:rPr>
                      <w:color w:val="auto"/>
                      <w:szCs w:val="21"/>
                    </w:rPr>
                  </w:pPr>
                </w:p>
              </w:tc>
              <w:tc>
                <w:tcPr>
                  <w:tcW w:w="230" w:type="pct"/>
                  <w:vMerge w:val="continue"/>
                  <w:vAlign w:val="center"/>
                </w:tcPr>
                <w:p w14:paraId="0CDF7FCE">
                  <w:pPr>
                    <w:adjustRightInd w:val="0"/>
                    <w:snapToGrid w:val="0"/>
                    <w:jc w:val="center"/>
                    <w:rPr>
                      <w:color w:val="auto"/>
                      <w:szCs w:val="21"/>
                    </w:rPr>
                  </w:pPr>
                </w:p>
              </w:tc>
              <w:tc>
                <w:tcPr>
                  <w:tcW w:w="791" w:type="pct"/>
                  <w:vAlign w:val="center"/>
                </w:tcPr>
                <w:p w14:paraId="7536A965">
                  <w:pPr>
                    <w:adjustRightInd w:val="0"/>
                    <w:snapToGrid w:val="0"/>
                    <w:jc w:val="center"/>
                    <w:rPr>
                      <w:color w:val="auto"/>
                      <w:szCs w:val="21"/>
                    </w:rPr>
                  </w:pPr>
                  <w:r>
                    <w:rPr>
                      <w:rFonts w:hint="eastAsia"/>
                      <w:color w:val="auto"/>
                      <w:szCs w:val="21"/>
                    </w:rPr>
                    <w:t>隧道炉</w:t>
                  </w:r>
                  <w:r>
                    <w:rPr>
                      <w:color w:val="auto"/>
                      <w:szCs w:val="21"/>
                    </w:rPr>
                    <w:t>燃烧机</w:t>
                  </w:r>
                </w:p>
              </w:tc>
              <w:tc>
                <w:tcPr>
                  <w:tcW w:w="1909" w:type="pct"/>
                  <w:gridSpan w:val="3"/>
                  <w:vAlign w:val="center"/>
                </w:tcPr>
                <w:p w14:paraId="4D0D844C">
                  <w:pPr>
                    <w:adjustRightInd w:val="0"/>
                    <w:snapToGrid w:val="0"/>
                    <w:rPr>
                      <w:color w:val="auto"/>
                    </w:rPr>
                  </w:pPr>
                  <w:r>
                    <w:rPr>
                      <w:color w:val="auto"/>
                    </w:rPr>
                    <w:t>直热式加热系统</w:t>
                  </w:r>
                </w:p>
                <w:p w14:paraId="1A993426">
                  <w:pPr>
                    <w:adjustRightInd w:val="0"/>
                    <w:snapToGrid w:val="0"/>
                    <w:rPr>
                      <w:color w:val="auto"/>
                    </w:rPr>
                  </w:pPr>
                  <w:r>
                    <w:rPr>
                      <w:rFonts w:hint="eastAsia"/>
                      <w:color w:val="auto"/>
                    </w:rPr>
                    <w:t>规模：21.6</w:t>
                  </w:r>
                  <w:r>
                    <w:rPr>
                      <w:color w:val="auto"/>
                    </w:rPr>
                    <w:t>万大卡燃烧机；</w:t>
                  </w:r>
                </w:p>
                <w:p w14:paraId="027255CC">
                  <w:pPr>
                    <w:adjustRightInd w:val="0"/>
                    <w:snapToGrid w:val="0"/>
                    <w:jc w:val="center"/>
                    <w:rPr>
                      <w:color w:val="auto"/>
                    </w:rPr>
                  </w:pPr>
                  <w:r>
                    <w:rPr>
                      <w:color w:val="auto"/>
                    </w:rPr>
                    <w:t>升温时间：</w:t>
                  </w:r>
                  <w:r>
                    <w:rPr>
                      <w:rFonts w:hint="eastAsia"/>
                      <w:color w:val="auto"/>
                    </w:rPr>
                    <w:t>15min</w:t>
                  </w:r>
                  <w:r>
                    <w:rPr>
                      <w:color w:val="auto"/>
                    </w:rPr>
                    <w:t>左右升温至</w:t>
                  </w:r>
                  <w:r>
                    <w:rPr>
                      <w:rFonts w:hint="eastAsia"/>
                      <w:color w:val="auto"/>
                    </w:rPr>
                    <w:t>15</w:t>
                  </w:r>
                  <w:r>
                    <w:rPr>
                      <w:color w:val="auto"/>
                    </w:rPr>
                    <w:t>0</w:t>
                  </w:r>
                  <w:r>
                    <w:rPr>
                      <w:rFonts w:hint="eastAsia" w:ascii="宋体" w:hAnsi="宋体" w:cs="宋体"/>
                      <w:color w:val="auto"/>
                    </w:rPr>
                    <w:t>℃</w:t>
                  </w:r>
                  <w:r>
                    <w:rPr>
                      <w:color w:val="auto"/>
                    </w:rPr>
                    <w:t>；</w:t>
                  </w:r>
                </w:p>
              </w:tc>
              <w:tc>
                <w:tcPr>
                  <w:tcW w:w="463" w:type="pct"/>
                  <w:vAlign w:val="center"/>
                </w:tcPr>
                <w:p w14:paraId="77522B3A">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26515226">
                  <w:pPr>
                    <w:widowControl/>
                    <w:adjustRightInd w:val="0"/>
                    <w:snapToGrid w:val="0"/>
                    <w:jc w:val="center"/>
                    <w:rPr>
                      <w:color w:val="auto"/>
                      <w:szCs w:val="21"/>
                    </w:rPr>
                  </w:pPr>
                </w:p>
              </w:tc>
            </w:tr>
            <w:tr w14:paraId="3EF30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7E7FF144">
                  <w:pPr>
                    <w:widowControl/>
                    <w:adjustRightInd w:val="0"/>
                    <w:snapToGrid w:val="0"/>
                    <w:jc w:val="center"/>
                    <w:textAlignment w:val="center"/>
                    <w:rPr>
                      <w:color w:val="auto"/>
                      <w:kern w:val="0"/>
                      <w:szCs w:val="21"/>
                    </w:rPr>
                  </w:pPr>
                  <w:r>
                    <w:rPr>
                      <w:rFonts w:hint="eastAsia"/>
                      <w:color w:val="auto"/>
                      <w:kern w:val="0"/>
                      <w:szCs w:val="21"/>
                    </w:rPr>
                    <w:t>33</w:t>
                  </w:r>
                </w:p>
              </w:tc>
              <w:tc>
                <w:tcPr>
                  <w:tcW w:w="387" w:type="pct"/>
                  <w:vMerge w:val="restart"/>
                  <w:vAlign w:val="center"/>
                </w:tcPr>
                <w:p w14:paraId="0D57B85D">
                  <w:pPr>
                    <w:adjustRightInd w:val="0"/>
                    <w:snapToGrid w:val="0"/>
                    <w:jc w:val="center"/>
                    <w:rPr>
                      <w:color w:val="auto"/>
                      <w:szCs w:val="21"/>
                    </w:rPr>
                  </w:pPr>
                  <w:r>
                    <w:rPr>
                      <w:rFonts w:hint="eastAsia"/>
                      <w:color w:val="auto"/>
                      <w:szCs w:val="21"/>
                    </w:rPr>
                    <w:t>喷涂</w:t>
                  </w:r>
                </w:p>
              </w:tc>
              <w:tc>
                <w:tcPr>
                  <w:tcW w:w="424" w:type="pct"/>
                  <w:vMerge w:val="restart"/>
                  <w:vAlign w:val="center"/>
                </w:tcPr>
                <w:p w14:paraId="79488898">
                  <w:pPr>
                    <w:adjustRightInd w:val="0"/>
                    <w:snapToGrid w:val="0"/>
                    <w:jc w:val="center"/>
                    <w:rPr>
                      <w:color w:val="auto"/>
                      <w:szCs w:val="21"/>
                    </w:rPr>
                  </w:pPr>
                  <w:r>
                    <w:rPr>
                      <w:rFonts w:hint="eastAsia"/>
                      <w:color w:val="auto"/>
                      <w:szCs w:val="21"/>
                    </w:rPr>
                    <w:t>喷漆</w:t>
                  </w:r>
                </w:p>
              </w:tc>
              <w:tc>
                <w:tcPr>
                  <w:tcW w:w="1021" w:type="pct"/>
                  <w:gridSpan w:val="2"/>
                  <w:vAlign w:val="center"/>
                </w:tcPr>
                <w:p w14:paraId="6EAD33FD">
                  <w:pPr>
                    <w:adjustRightInd w:val="0"/>
                    <w:snapToGrid w:val="0"/>
                    <w:jc w:val="center"/>
                    <w:rPr>
                      <w:color w:val="auto"/>
                      <w:szCs w:val="21"/>
                    </w:rPr>
                  </w:pPr>
                  <w:r>
                    <w:rPr>
                      <w:rFonts w:hint="eastAsia"/>
                      <w:color w:val="auto"/>
                      <w:szCs w:val="21"/>
                    </w:rPr>
                    <w:t>清漆喷涂线</w:t>
                  </w:r>
                </w:p>
              </w:tc>
              <w:tc>
                <w:tcPr>
                  <w:tcW w:w="662" w:type="pct"/>
                  <w:vAlign w:val="center"/>
                </w:tcPr>
                <w:p w14:paraId="05B06C05">
                  <w:pPr>
                    <w:adjustRightInd w:val="0"/>
                    <w:snapToGrid w:val="0"/>
                    <w:jc w:val="center"/>
                    <w:rPr>
                      <w:color w:val="auto"/>
                    </w:rPr>
                  </w:pPr>
                  <w:r>
                    <w:rPr>
                      <w:rFonts w:hint="eastAsia"/>
                      <w:color w:val="auto"/>
                    </w:rPr>
                    <w:t>长度</w:t>
                  </w:r>
                </w:p>
              </w:tc>
              <w:tc>
                <w:tcPr>
                  <w:tcW w:w="380" w:type="pct"/>
                  <w:vAlign w:val="center"/>
                </w:tcPr>
                <w:p w14:paraId="5C2CC013">
                  <w:pPr>
                    <w:adjustRightInd w:val="0"/>
                    <w:snapToGrid w:val="0"/>
                    <w:jc w:val="center"/>
                    <w:rPr>
                      <w:color w:val="auto"/>
                    </w:rPr>
                  </w:pPr>
                  <w:r>
                    <w:rPr>
                      <w:rFonts w:hint="eastAsia"/>
                      <w:color w:val="auto"/>
                    </w:rPr>
                    <w:t>m</w:t>
                  </w:r>
                </w:p>
              </w:tc>
              <w:tc>
                <w:tcPr>
                  <w:tcW w:w="867" w:type="pct"/>
                  <w:vAlign w:val="center"/>
                </w:tcPr>
                <w:p w14:paraId="3BD184F3">
                  <w:pPr>
                    <w:adjustRightInd w:val="0"/>
                    <w:snapToGrid w:val="0"/>
                    <w:jc w:val="center"/>
                    <w:rPr>
                      <w:color w:val="auto"/>
                    </w:rPr>
                  </w:pPr>
                  <w:r>
                    <w:rPr>
                      <w:rFonts w:hint="eastAsia"/>
                      <w:color w:val="auto"/>
                    </w:rPr>
                    <w:t>260</w:t>
                  </w:r>
                </w:p>
              </w:tc>
              <w:tc>
                <w:tcPr>
                  <w:tcW w:w="463" w:type="pct"/>
                  <w:vAlign w:val="center"/>
                </w:tcPr>
                <w:p w14:paraId="6FE63544">
                  <w:pPr>
                    <w:adjustRightInd w:val="0"/>
                    <w:snapToGrid w:val="0"/>
                    <w:jc w:val="center"/>
                    <w:rPr>
                      <w:color w:val="auto"/>
                      <w:kern w:val="0"/>
                      <w:szCs w:val="21"/>
                      <w:lang w:bidi="ar"/>
                    </w:rPr>
                  </w:pPr>
                  <w:r>
                    <w:rPr>
                      <w:rFonts w:hint="eastAsia"/>
                      <w:color w:val="auto"/>
                      <w:kern w:val="0"/>
                      <w:szCs w:val="21"/>
                      <w:lang w:bidi="ar"/>
                    </w:rPr>
                    <w:t>1条</w:t>
                  </w:r>
                </w:p>
              </w:tc>
              <w:tc>
                <w:tcPr>
                  <w:tcW w:w="468" w:type="pct"/>
                  <w:vMerge w:val="restart"/>
                  <w:vAlign w:val="center"/>
                </w:tcPr>
                <w:p w14:paraId="6D966D7B">
                  <w:pPr>
                    <w:widowControl/>
                    <w:adjustRightInd w:val="0"/>
                    <w:snapToGrid w:val="0"/>
                    <w:jc w:val="center"/>
                    <w:rPr>
                      <w:color w:val="auto"/>
                      <w:szCs w:val="21"/>
                    </w:rPr>
                  </w:pPr>
                  <w:r>
                    <w:rPr>
                      <w:rFonts w:hint="eastAsia"/>
                      <w:color w:val="auto"/>
                      <w:szCs w:val="21"/>
                    </w:rPr>
                    <w:t>4楼清漆房</w:t>
                  </w:r>
                </w:p>
              </w:tc>
            </w:tr>
            <w:tr w14:paraId="7341D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0CE9DC8F">
                  <w:pPr>
                    <w:widowControl/>
                    <w:adjustRightInd w:val="0"/>
                    <w:snapToGrid w:val="0"/>
                    <w:jc w:val="center"/>
                    <w:textAlignment w:val="center"/>
                    <w:rPr>
                      <w:color w:val="auto"/>
                      <w:kern w:val="0"/>
                      <w:szCs w:val="21"/>
                    </w:rPr>
                  </w:pPr>
                  <w:r>
                    <w:rPr>
                      <w:rFonts w:hint="eastAsia"/>
                      <w:color w:val="auto"/>
                      <w:kern w:val="0"/>
                      <w:szCs w:val="21"/>
                    </w:rPr>
                    <w:t>34</w:t>
                  </w:r>
                </w:p>
              </w:tc>
              <w:tc>
                <w:tcPr>
                  <w:tcW w:w="387" w:type="pct"/>
                  <w:vMerge w:val="continue"/>
                  <w:vAlign w:val="center"/>
                </w:tcPr>
                <w:p w14:paraId="02BF190B">
                  <w:pPr>
                    <w:adjustRightInd w:val="0"/>
                    <w:snapToGrid w:val="0"/>
                    <w:jc w:val="center"/>
                    <w:rPr>
                      <w:color w:val="auto"/>
                      <w:szCs w:val="21"/>
                    </w:rPr>
                  </w:pPr>
                </w:p>
              </w:tc>
              <w:tc>
                <w:tcPr>
                  <w:tcW w:w="424" w:type="pct"/>
                  <w:vMerge w:val="continue"/>
                  <w:vAlign w:val="center"/>
                </w:tcPr>
                <w:p w14:paraId="78306C39">
                  <w:pPr>
                    <w:adjustRightInd w:val="0"/>
                    <w:snapToGrid w:val="0"/>
                    <w:jc w:val="center"/>
                    <w:rPr>
                      <w:color w:val="auto"/>
                      <w:szCs w:val="21"/>
                    </w:rPr>
                  </w:pPr>
                </w:p>
              </w:tc>
              <w:tc>
                <w:tcPr>
                  <w:tcW w:w="230" w:type="pct"/>
                  <w:vMerge w:val="restart"/>
                  <w:vAlign w:val="center"/>
                </w:tcPr>
                <w:p w14:paraId="74B4AD82">
                  <w:pPr>
                    <w:adjustRightInd w:val="0"/>
                    <w:snapToGrid w:val="0"/>
                    <w:jc w:val="center"/>
                    <w:rPr>
                      <w:color w:val="auto"/>
                      <w:szCs w:val="21"/>
                    </w:rPr>
                  </w:pPr>
                  <w:r>
                    <w:rPr>
                      <w:rFonts w:hint="eastAsia"/>
                      <w:color w:val="auto"/>
                      <w:szCs w:val="21"/>
                    </w:rPr>
                    <w:t>其中</w:t>
                  </w:r>
                </w:p>
              </w:tc>
              <w:tc>
                <w:tcPr>
                  <w:tcW w:w="791" w:type="pct"/>
                  <w:vAlign w:val="center"/>
                </w:tcPr>
                <w:p w14:paraId="52714D3C">
                  <w:pPr>
                    <w:adjustRightInd w:val="0"/>
                    <w:snapToGrid w:val="0"/>
                    <w:jc w:val="center"/>
                    <w:rPr>
                      <w:color w:val="auto"/>
                      <w:szCs w:val="21"/>
                    </w:rPr>
                  </w:pPr>
                  <w:r>
                    <w:rPr>
                      <w:rFonts w:hint="eastAsia"/>
                      <w:color w:val="auto"/>
                      <w:szCs w:val="21"/>
                    </w:rPr>
                    <w:t>除尘柜</w:t>
                  </w:r>
                </w:p>
              </w:tc>
              <w:tc>
                <w:tcPr>
                  <w:tcW w:w="662" w:type="pct"/>
                  <w:vAlign w:val="center"/>
                </w:tcPr>
                <w:p w14:paraId="5FACDE1F">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05D2379D">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6CAC282C">
                  <w:pPr>
                    <w:adjustRightInd w:val="0"/>
                    <w:snapToGrid w:val="0"/>
                    <w:jc w:val="center"/>
                    <w:rPr>
                      <w:color w:val="auto"/>
                      <w:kern w:val="0"/>
                      <w:szCs w:val="21"/>
                      <w:lang w:bidi="ar"/>
                    </w:rPr>
                  </w:pPr>
                  <w:r>
                    <w:rPr>
                      <w:rFonts w:hint="eastAsia"/>
                      <w:color w:val="auto"/>
                      <w:kern w:val="0"/>
                      <w:szCs w:val="21"/>
                      <w:lang w:bidi="ar"/>
                    </w:rPr>
                    <w:t>2</w:t>
                  </w:r>
                  <w:r>
                    <w:rPr>
                      <w:color w:val="auto"/>
                      <w:kern w:val="0"/>
                      <w:szCs w:val="21"/>
                      <w:lang w:bidi="ar"/>
                    </w:rPr>
                    <w:t>×</w:t>
                  </w:r>
                  <w:r>
                    <w:rPr>
                      <w:rFonts w:hint="eastAsia"/>
                      <w:color w:val="auto"/>
                      <w:kern w:val="0"/>
                      <w:szCs w:val="21"/>
                      <w:lang w:bidi="ar"/>
                    </w:rPr>
                    <w:t>2.5</w:t>
                  </w:r>
                  <w:r>
                    <w:rPr>
                      <w:color w:val="auto"/>
                      <w:kern w:val="0"/>
                      <w:szCs w:val="21"/>
                      <w:lang w:bidi="ar"/>
                    </w:rPr>
                    <w:t>×</w:t>
                  </w:r>
                  <w:r>
                    <w:rPr>
                      <w:rFonts w:hint="eastAsia"/>
                      <w:color w:val="auto"/>
                      <w:kern w:val="0"/>
                      <w:szCs w:val="21"/>
                      <w:lang w:bidi="ar"/>
                    </w:rPr>
                    <w:t>2.5</w:t>
                  </w:r>
                </w:p>
              </w:tc>
              <w:tc>
                <w:tcPr>
                  <w:tcW w:w="463" w:type="pct"/>
                  <w:vAlign w:val="center"/>
                </w:tcPr>
                <w:p w14:paraId="238E0B49">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1B53A732">
                  <w:pPr>
                    <w:widowControl/>
                    <w:adjustRightInd w:val="0"/>
                    <w:snapToGrid w:val="0"/>
                    <w:jc w:val="center"/>
                    <w:rPr>
                      <w:color w:val="auto"/>
                      <w:szCs w:val="21"/>
                    </w:rPr>
                  </w:pPr>
                </w:p>
              </w:tc>
            </w:tr>
            <w:tr w14:paraId="354C8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324" w:type="pct"/>
                  <w:vAlign w:val="center"/>
                </w:tcPr>
                <w:p w14:paraId="407DF3F7">
                  <w:pPr>
                    <w:widowControl/>
                    <w:adjustRightInd w:val="0"/>
                    <w:snapToGrid w:val="0"/>
                    <w:jc w:val="center"/>
                    <w:textAlignment w:val="center"/>
                    <w:rPr>
                      <w:color w:val="auto"/>
                      <w:kern w:val="0"/>
                      <w:szCs w:val="21"/>
                    </w:rPr>
                  </w:pPr>
                  <w:r>
                    <w:rPr>
                      <w:rFonts w:hint="eastAsia"/>
                      <w:color w:val="auto"/>
                      <w:kern w:val="0"/>
                      <w:szCs w:val="21"/>
                    </w:rPr>
                    <w:t>35</w:t>
                  </w:r>
                </w:p>
              </w:tc>
              <w:tc>
                <w:tcPr>
                  <w:tcW w:w="387" w:type="pct"/>
                  <w:vMerge w:val="continue"/>
                  <w:vAlign w:val="center"/>
                </w:tcPr>
                <w:p w14:paraId="3B052E03">
                  <w:pPr>
                    <w:adjustRightInd w:val="0"/>
                    <w:snapToGrid w:val="0"/>
                    <w:jc w:val="center"/>
                    <w:rPr>
                      <w:color w:val="auto"/>
                      <w:szCs w:val="21"/>
                    </w:rPr>
                  </w:pPr>
                </w:p>
              </w:tc>
              <w:tc>
                <w:tcPr>
                  <w:tcW w:w="424" w:type="pct"/>
                  <w:vMerge w:val="continue"/>
                  <w:vAlign w:val="center"/>
                </w:tcPr>
                <w:p w14:paraId="50C2F66A">
                  <w:pPr>
                    <w:adjustRightInd w:val="0"/>
                    <w:snapToGrid w:val="0"/>
                    <w:jc w:val="center"/>
                    <w:rPr>
                      <w:color w:val="auto"/>
                      <w:szCs w:val="21"/>
                    </w:rPr>
                  </w:pPr>
                </w:p>
              </w:tc>
              <w:tc>
                <w:tcPr>
                  <w:tcW w:w="230" w:type="pct"/>
                  <w:vMerge w:val="continue"/>
                  <w:vAlign w:val="center"/>
                </w:tcPr>
                <w:p w14:paraId="62742BBA">
                  <w:pPr>
                    <w:adjustRightInd w:val="0"/>
                    <w:snapToGrid w:val="0"/>
                    <w:jc w:val="center"/>
                    <w:rPr>
                      <w:color w:val="auto"/>
                      <w:szCs w:val="21"/>
                    </w:rPr>
                  </w:pPr>
                </w:p>
              </w:tc>
              <w:tc>
                <w:tcPr>
                  <w:tcW w:w="791" w:type="pct"/>
                  <w:vAlign w:val="center"/>
                </w:tcPr>
                <w:p w14:paraId="1DBE7C01">
                  <w:pPr>
                    <w:adjustRightInd w:val="0"/>
                    <w:snapToGrid w:val="0"/>
                    <w:jc w:val="center"/>
                    <w:rPr>
                      <w:color w:val="auto"/>
                      <w:szCs w:val="21"/>
                    </w:rPr>
                  </w:pPr>
                  <w:r>
                    <w:rPr>
                      <w:rFonts w:hint="eastAsia"/>
                      <w:color w:val="auto"/>
                      <w:szCs w:val="21"/>
                    </w:rPr>
                    <w:t>前修水帘柜</w:t>
                  </w:r>
                </w:p>
              </w:tc>
              <w:tc>
                <w:tcPr>
                  <w:tcW w:w="662" w:type="pct"/>
                  <w:vAlign w:val="center"/>
                </w:tcPr>
                <w:p w14:paraId="2FA7E863">
                  <w:pPr>
                    <w:adjustRightInd w:val="0"/>
                    <w:snapToGrid w:val="0"/>
                    <w:jc w:val="center"/>
                    <w:rPr>
                      <w:color w:val="auto"/>
                    </w:rPr>
                  </w:pPr>
                  <w:r>
                    <w:rPr>
                      <w:rFonts w:hint="eastAsia"/>
                      <w:color w:val="auto"/>
                    </w:rPr>
                    <w:t>规格</w:t>
                  </w:r>
                </w:p>
              </w:tc>
              <w:tc>
                <w:tcPr>
                  <w:tcW w:w="380" w:type="pct"/>
                  <w:vAlign w:val="center"/>
                </w:tcPr>
                <w:p w14:paraId="578AF661">
                  <w:pPr>
                    <w:adjustRightInd w:val="0"/>
                    <w:snapToGrid w:val="0"/>
                    <w:jc w:val="center"/>
                    <w:rPr>
                      <w:color w:val="auto"/>
                    </w:rPr>
                  </w:pPr>
                  <w:r>
                    <w:rPr>
                      <w:color w:val="auto"/>
                      <w:kern w:val="0"/>
                      <w:szCs w:val="21"/>
                      <w:lang w:bidi="ar"/>
                    </w:rPr>
                    <w:t>m</w:t>
                  </w:r>
                </w:p>
              </w:tc>
              <w:tc>
                <w:tcPr>
                  <w:tcW w:w="867" w:type="pct"/>
                  <w:vAlign w:val="center"/>
                </w:tcPr>
                <w:p w14:paraId="091ACDF8">
                  <w:pPr>
                    <w:adjustRightInd w:val="0"/>
                    <w:snapToGrid w:val="0"/>
                    <w:jc w:val="center"/>
                    <w:rPr>
                      <w:color w:val="auto"/>
                    </w:rPr>
                  </w:pPr>
                  <w:r>
                    <w:rPr>
                      <w:rFonts w:hint="eastAsia"/>
                      <w:color w:val="auto"/>
                    </w:rPr>
                    <w:t>3</w:t>
                  </w:r>
                  <w:r>
                    <w:rPr>
                      <w:color w:val="auto"/>
                      <w:kern w:val="0"/>
                      <w:szCs w:val="21"/>
                      <w:lang w:bidi="ar"/>
                    </w:rPr>
                    <w:t>×</w:t>
                  </w:r>
                  <w:r>
                    <w:rPr>
                      <w:rFonts w:hint="eastAsia"/>
                      <w:color w:val="auto"/>
                      <w:kern w:val="0"/>
                      <w:szCs w:val="21"/>
                      <w:lang w:bidi="ar"/>
                    </w:rPr>
                    <w:t>3</w:t>
                  </w:r>
                  <w:r>
                    <w:rPr>
                      <w:color w:val="auto"/>
                      <w:kern w:val="0"/>
                      <w:szCs w:val="21"/>
                      <w:lang w:bidi="ar"/>
                    </w:rPr>
                    <w:t>×</w:t>
                  </w:r>
                  <w:r>
                    <w:rPr>
                      <w:rFonts w:hint="eastAsia"/>
                      <w:color w:val="auto"/>
                      <w:kern w:val="0"/>
                      <w:szCs w:val="21"/>
                      <w:lang w:bidi="ar"/>
                    </w:rPr>
                    <w:t>2.5</w:t>
                  </w:r>
                </w:p>
              </w:tc>
              <w:tc>
                <w:tcPr>
                  <w:tcW w:w="463" w:type="pct"/>
                  <w:vAlign w:val="center"/>
                </w:tcPr>
                <w:p w14:paraId="645C57B1">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459D0EC5">
                  <w:pPr>
                    <w:widowControl/>
                    <w:adjustRightInd w:val="0"/>
                    <w:snapToGrid w:val="0"/>
                    <w:jc w:val="center"/>
                    <w:rPr>
                      <w:color w:val="auto"/>
                      <w:szCs w:val="21"/>
                    </w:rPr>
                  </w:pPr>
                </w:p>
              </w:tc>
            </w:tr>
            <w:tr w14:paraId="2E429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536BAF7E">
                  <w:pPr>
                    <w:widowControl/>
                    <w:adjustRightInd w:val="0"/>
                    <w:snapToGrid w:val="0"/>
                    <w:jc w:val="center"/>
                    <w:textAlignment w:val="center"/>
                    <w:rPr>
                      <w:color w:val="auto"/>
                      <w:kern w:val="0"/>
                      <w:szCs w:val="21"/>
                    </w:rPr>
                  </w:pPr>
                  <w:r>
                    <w:rPr>
                      <w:rFonts w:hint="eastAsia"/>
                      <w:color w:val="auto"/>
                      <w:kern w:val="0"/>
                      <w:szCs w:val="21"/>
                    </w:rPr>
                    <w:t>36</w:t>
                  </w:r>
                </w:p>
              </w:tc>
              <w:tc>
                <w:tcPr>
                  <w:tcW w:w="387" w:type="pct"/>
                  <w:vMerge w:val="continue"/>
                  <w:vAlign w:val="center"/>
                </w:tcPr>
                <w:p w14:paraId="6538586D">
                  <w:pPr>
                    <w:adjustRightInd w:val="0"/>
                    <w:snapToGrid w:val="0"/>
                    <w:jc w:val="center"/>
                    <w:rPr>
                      <w:color w:val="auto"/>
                      <w:szCs w:val="21"/>
                    </w:rPr>
                  </w:pPr>
                </w:p>
              </w:tc>
              <w:tc>
                <w:tcPr>
                  <w:tcW w:w="424" w:type="pct"/>
                  <w:vMerge w:val="continue"/>
                  <w:vAlign w:val="center"/>
                </w:tcPr>
                <w:p w14:paraId="3DA53DC4">
                  <w:pPr>
                    <w:adjustRightInd w:val="0"/>
                    <w:snapToGrid w:val="0"/>
                    <w:jc w:val="center"/>
                    <w:rPr>
                      <w:color w:val="auto"/>
                      <w:szCs w:val="21"/>
                    </w:rPr>
                  </w:pPr>
                </w:p>
              </w:tc>
              <w:tc>
                <w:tcPr>
                  <w:tcW w:w="230" w:type="pct"/>
                  <w:vMerge w:val="continue"/>
                  <w:vAlign w:val="center"/>
                </w:tcPr>
                <w:p w14:paraId="073F5ED3">
                  <w:pPr>
                    <w:adjustRightInd w:val="0"/>
                    <w:snapToGrid w:val="0"/>
                    <w:jc w:val="center"/>
                    <w:rPr>
                      <w:color w:val="auto"/>
                      <w:szCs w:val="21"/>
                    </w:rPr>
                  </w:pPr>
                </w:p>
              </w:tc>
              <w:tc>
                <w:tcPr>
                  <w:tcW w:w="791" w:type="pct"/>
                  <w:vAlign w:val="center"/>
                </w:tcPr>
                <w:p w14:paraId="2525773B">
                  <w:pPr>
                    <w:adjustRightInd w:val="0"/>
                    <w:snapToGrid w:val="0"/>
                    <w:jc w:val="center"/>
                    <w:rPr>
                      <w:color w:val="auto"/>
                      <w:szCs w:val="21"/>
                    </w:rPr>
                  </w:pPr>
                  <w:r>
                    <w:rPr>
                      <w:rFonts w:hint="eastAsia"/>
                      <w:color w:val="auto"/>
                      <w:szCs w:val="21"/>
                    </w:rPr>
                    <w:t>自动涂装机</w:t>
                  </w:r>
                </w:p>
              </w:tc>
              <w:tc>
                <w:tcPr>
                  <w:tcW w:w="662" w:type="pct"/>
                  <w:vAlign w:val="center"/>
                </w:tcPr>
                <w:p w14:paraId="295BDD37">
                  <w:pPr>
                    <w:adjustRightInd w:val="0"/>
                    <w:snapToGrid w:val="0"/>
                    <w:jc w:val="center"/>
                    <w:rPr>
                      <w:color w:val="auto"/>
                    </w:rPr>
                  </w:pPr>
                  <w:r>
                    <w:rPr>
                      <w:rFonts w:hint="eastAsia"/>
                      <w:color w:val="auto"/>
                    </w:rPr>
                    <w:t>直径</w:t>
                  </w:r>
                </w:p>
              </w:tc>
              <w:tc>
                <w:tcPr>
                  <w:tcW w:w="380" w:type="pct"/>
                  <w:vAlign w:val="center"/>
                </w:tcPr>
                <w:p w14:paraId="44424519">
                  <w:pPr>
                    <w:adjustRightInd w:val="0"/>
                    <w:snapToGrid w:val="0"/>
                    <w:jc w:val="center"/>
                    <w:rPr>
                      <w:color w:val="auto"/>
                    </w:rPr>
                  </w:pPr>
                  <w:r>
                    <w:rPr>
                      <w:color w:val="auto"/>
                      <w:kern w:val="0"/>
                      <w:szCs w:val="21"/>
                      <w:lang w:bidi="ar"/>
                    </w:rPr>
                    <w:t>m</w:t>
                  </w:r>
                </w:p>
              </w:tc>
              <w:tc>
                <w:tcPr>
                  <w:tcW w:w="867" w:type="pct"/>
                  <w:vAlign w:val="center"/>
                </w:tcPr>
                <w:p w14:paraId="3D6199D0">
                  <w:pPr>
                    <w:adjustRightInd w:val="0"/>
                    <w:snapToGrid w:val="0"/>
                    <w:jc w:val="center"/>
                    <w:rPr>
                      <w:color w:val="auto"/>
                    </w:rPr>
                  </w:pPr>
                  <w:r>
                    <w:rPr>
                      <w:rFonts w:hint="eastAsia"/>
                      <w:color w:val="auto"/>
                    </w:rPr>
                    <w:t>4</w:t>
                  </w:r>
                </w:p>
              </w:tc>
              <w:tc>
                <w:tcPr>
                  <w:tcW w:w="463" w:type="pct"/>
                  <w:vAlign w:val="center"/>
                </w:tcPr>
                <w:p w14:paraId="64569036">
                  <w:pPr>
                    <w:adjustRightInd w:val="0"/>
                    <w:snapToGrid w:val="0"/>
                    <w:jc w:val="center"/>
                    <w:rPr>
                      <w:rFonts w:hint="eastAsia" w:eastAsia="宋体"/>
                      <w:color w:val="auto"/>
                      <w:kern w:val="0"/>
                      <w:szCs w:val="21"/>
                      <w:lang w:eastAsia="zh-CN"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67E744AD">
                  <w:pPr>
                    <w:widowControl/>
                    <w:adjustRightInd w:val="0"/>
                    <w:snapToGrid w:val="0"/>
                    <w:jc w:val="center"/>
                    <w:rPr>
                      <w:color w:val="auto"/>
                      <w:szCs w:val="21"/>
                    </w:rPr>
                  </w:pPr>
                </w:p>
              </w:tc>
            </w:tr>
            <w:tr w14:paraId="60D31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4AD91C09">
                  <w:pPr>
                    <w:widowControl/>
                    <w:adjustRightInd w:val="0"/>
                    <w:snapToGrid w:val="0"/>
                    <w:jc w:val="center"/>
                    <w:textAlignment w:val="center"/>
                    <w:rPr>
                      <w:color w:val="auto"/>
                      <w:kern w:val="0"/>
                      <w:szCs w:val="21"/>
                    </w:rPr>
                  </w:pPr>
                  <w:r>
                    <w:rPr>
                      <w:rFonts w:hint="eastAsia"/>
                      <w:color w:val="auto"/>
                      <w:kern w:val="0"/>
                      <w:szCs w:val="21"/>
                    </w:rPr>
                    <w:t>37</w:t>
                  </w:r>
                </w:p>
              </w:tc>
              <w:tc>
                <w:tcPr>
                  <w:tcW w:w="387" w:type="pct"/>
                  <w:vMerge w:val="continue"/>
                  <w:vAlign w:val="center"/>
                </w:tcPr>
                <w:p w14:paraId="0615639C">
                  <w:pPr>
                    <w:adjustRightInd w:val="0"/>
                    <w:snapToGrid w:val="0"/>
                    <w:jc w:val="center"/>
                    <w:rPr>
                      <w:color w:val="auto"/>
                      <w:szCs w:val="21"/>
                    </w:rPr>
                  </w:pPr>
                </w:p>
              </w:tc>
              <w:tc>
                <w:tcPr>
                  <w:tcW w:w="424" w:type="pct"/>
                  <w:vMerge w:val="continue"/>
                  <w:vAlign w:val="center"/>
                </w:tcPr>
                <w:p w14:paraId="7D9AFF15">
                  <w:pPr>
                    <w:adjustRightInd w:val="0"/>
                    <w:snapToGrid w:val="0"/>
                    <w:jc w:val="center"/>
                    <w:rPr>
                      <w:color w:val="auto"/>
                      <w:szCs w:val="21"/>
                    </w:rPr>
                  </w:pPr>
                </w:p>
              </w:tc>
              <w:tc>
                <w:tcPr>
                  <w:tcW w:w="230" w:type="pct"/>
                  <w:vMerge w:val="continue"/>
                  <w:vAlign w:val="center"/>
                </w:tcPr>
                <w:p w14:paraId="3E38B74C">
                  <w:pPr>
                    <w:adjustRightInd w:val="0"/>
                    <w:snapToGrid w:val="0"/>
                    <w:jc w:val="center"/>
                    <w:rPr>
                      <w:color w:val="auto"/>
                      <w:szCs w:val="21"/>
                    </w:rPr>
                  </w:pPr>
                </w:p>
              </w:tc>
              <w:tc>
                <w:tcPr>
                  <w:tcW w:w="791" w:type="pct"/>
                  <w:vAlign w:val="center"/>
                </w:tcPr>
                <w:p w14:paraId="20DCC364">
                  <w:pPr>
                    <w:adjustRightInd w:val="0"/>
                    <w:snapToGrid w:val="0"/>
                    <w:jc w:val="center"/>
                    <w:rPr>
                      <w:color w:val="auto"/>
                      <w:szCs w:val="21"/>
                    </w:rPr>
                  </w:pPr>
                  <w:r>
                    <w:rPr>
                      <w:rFonts w:hint="eastAsia"/>
                      <w:color w:val="auto"/>
                      <w:szCs w:val="21"/>
                    </w:rPr>
                    <w:t>后补水帘柜</w:t>
                  </w:r>
                </w:p>
              </w:tc>
              <w:tc>
                <w:tcPr>
                  <w:tcW w:w="662" w:type="pct"/>
                  <w:vAlign w:val="center"/>
                </w:tcPr>
                <w:p w14:paraId="50409291">
                  <w:pPr>
                    <w:adjustRightInd w:val="0"/>
                    <w:snapToGrid w:val="0"/>
                    <w:jc w:val="center"/>
                    <w:rPr>
                      <w:color w:val="auto"/>
                    </w:rPr>
                  </w:pPr>
                  <w:r>
                    <w:rPr>
                      <w:rFonts w:hint="eastAsia"/>
                      <w:color w:val="auto"/>
                    </w:rPr>
                    <w:t>规格</w:t>
                  </w:r>
                </w:p>
              </w:tc>
              <w:tc>
                <w:tcPr>
                  <w:tcW w:w="380" w:type="pct"/>
                  <w:vAlign w:val="center"/>
                </w:tcPr>
                <w:p w14:paraId="5843AA34">
                  <w:pPr>
                    <w:adjustRightInd w:val="0"/>
                    <w:snapToGrid w:val="0"/>
                    <w:jc w:val="center"/>
                    <w:rPr>
                      <w:color w:val="auto"/>
                    </w:rPr>
                  </w:pPr>
                  <w:r>
                    <w:rPr>
                      <w:color w:val="auto"/>
                      <w:kern w:val="0"/>
                      <w:szCs w:val="21"/>
                      <w:lang w:bidi="ar"/>
                    </w:rPr>
                    <w:t>m</w:t>
                  </w:r>
                </w:p>
              </w:tc>
              <w:tc>
                <w:tcPr>
                  <w:tcW w:w="867" w:type="pct"/>
                  <w:vAlign w:val="center"/>
                </w:tcPr>
                <w:p w14:paraId="36E56B73">
                  <w:pPr>
                    <w:adjustRightInd w:val="0"/>
                    <w:snapToGrid w:val="0"/>
                    <w:jc w:val="center"/>
                    <w:rPr>
                      <w:color w:val="auto"/>
                    </w:rPr>
                  </w:pPr>
                  <w:r>
                    <w:rPr>
                      <w:rFonts w:hint="eastAsia"/>
                      <w:color w:val="auto"/>
                    </w:rPr>
                    <w:t>3</w:t>
                  </w:r>
                  <w:r>
                    <w:rPr>
                      <w:color w:val="auto"/>
                      <w:kern w:val="0"/>
                      <w:szCs w:val="21"/>
                      <w:lang w:bidi="ar"/>
                    </w:rPr>
                    <w:t>×</w:t>
                  </w:r>
                  <w:r>
                    <w:rPr>
                      <w:rFonts w:hint="eastAsia"/>
                      <w:color w:val="auto"/>
                      <w:kern w:val="0"/>
                      <w:szCs w:val="21"/>
                      <w:lang w:bidi="ar"/>
                    </w:rPr>
                    <w:t>3</w:t>
                  </w:r>
                  <w:r>
                    <w:rPr>
                      <w:color w:val="auto"/>
                      <w:kern w:val="0"/>
                      <w:szCs w:val="21"/>
                      <w:lang w:bidi="ar"/>
                    </w:rPr>
                    <w:t>×</w:t>
                  </w:r>
                  <w:r>
                    <w:rPr>
                      <w:rFonts w:hint="eastAsia"/>
                      <w:color w:val="auto"/>
                      <w:kern w:val="0"/>
                      <w:szCs w:val="21"/>
                      <w:lang w:bidi="ar"/>
                    </w:rPr>
                    <w:t>2.5</w:t>
                  </w:r>
                </w:p>
              </w:tc>
              <w:tc>
                <w:tcPr>
                  <w:tcW w:w="463" w:type="pct"/>
                  <w:vAlign w:val="center"/>
                </w:tcPr>
                <w:p w14:paraId="1A57FD76">
                  <w:pPr>
                    <w:adjustRightInd w:val="0"/>
                    <w:snapToGrid w:val="0"/>
                    <w:jc w:val="center"/>
                    <w:rPr>
                      <w:color w:val="auto"/>
                      <w:kern w:val="0"/>
                      <w:szCs w:val="21"/>
                      <w:lang w:bidi="ar"/>
                    </w:rPr>
                  </w:pPr>
                  <w:r>
                    <w:rPr>
                      <w:rFonts w:hint="eastAsia"/>
                      <w:color w:val="auto"/>
                      <w:kern w:val="0"/>
                      <w:szCs w:val="21"/>
                      <w:lang w:bidi="ar"/>
                    </w:rPr>
                    <w:t>2</w:t>
                  </w:r>
                  <w:r>
                    <w:rPr>
                      <w:rFonts w:hint="eastAsia"/>
                      <w:color w:val="auto"/>
                      <w:kern w:val="0"/>
                      <w:szCs w:val="21"/>
                      <w:lang w:val="en-US" w:eastAsia="zh-CN" w:bidi="ar"/>
                    </w:rPr>
                    <w:t>台</w:t>
                  </w:r>
                </w:p>
              </w:tc>
              <w:tc>
                <w:tcPr>
                  <w:tcW w:w="468" w:type="pct"/>
                  <w:vMerge w:val="continue"/>
                  <w:vAlign w:val="center"/>
                </w:tcPr>
                <w:p w14:paraId="3CA353CF">
                  <w:pPr>
                    <w:widowControl/>
                    <w:adjustRightInd w:val="0"/>
                    <w:snapToGrid w:val="0"/>
                    <w:jc w:val="center"/>
                    <w:rPr>
                      <w:color w:val="auto"/>
                      <w:szCs w:val="21"/>
                    </w:rPr>
                  </w:pPr>
                </w:p>
              </w:tc>
            </w:tr>
            <w:tr w14:paraId="2F8E9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1C676A9D">
                  <w:pPr>
                    <w:widowControl/>
                    <w:adjustRightInd w:val="0"/>
                    <w:snapToGrid w:val="0"/>
                    <w:jc w:val="center"/>
                    <w:textAlignment w:val="center"/>
                    <w:rPr>
                      <w:color w:val="auto"/>
                      <w:kern w:val="0"/>
                      <w:szCs w:val="21"/>
                    </w:rPr>
                  </w:pPr>
                  <w:r>
                    <w:rPr>
                      <w:rFonts w:hint="eastAsia"/>
                      <w:color w:val="auto"/>
                      <w:kern w:val="0"/>
                      <w:szCs w:val="21"/>
                    </w:rPr>
                    <w:t>38</w:t>
                  </w:r>
                </w:p>
              </w:tc>
              <w:tc>
                <w:tcPr>
                  <w:tcW w:w="387" w:type="pct"/>
                  <w:vMerge w:val="continue"/>
                  <w:vAlign w:val="center"/>
                </w:tcPr>
                <w:p w14:paraId="4671DB3B">
                  <w:pPr>
                    <w:adjustRightInd w:val="0"/>
                    <w:snapToGrid w:val="0"/>
                    <w:jc w:val="center"/>
                    <w:rPr>
                      <w:color w:val="auto"/>
                      <w:szCs w:val="21"/>
                    </w:rPr>
                  </w:pPr>
                </w:p>
              </w:tc>
              <w:tc>
                <w:tcPr>
                  <w:tcW w:w="424" w:type="pct"/>
                  <w:vMerge w:val="continue"/>
                  <w:vAlign w:val="center"/>
                </w:tcPr>
                <w:p w14:paraId="18F44A3E">
                  <w:pPr>
                    <w:adjustRightInd w:val="0"/>
                    <w:snapToGrid w:val="0"/>
                    <w:jc w:val="center"/>
                    <w:rPr>
                      <w:color w:val="auto"/>
                      <w:szCs w:val="21"/>
                    </w:rPr>
                  </w:pPr>
                </w:p>
              </w:tc>
              <w:tc>
                <w:tcPr>
                  <w:tcW w:w="230" w:type="pct"/>
                  <w:vMerge w:val="continue"/>
                  <w:vAlign w:val="center"/>
                </w:tcPr>
                <w:p w14:paraId="6ED0DDE6">
                  <w:pPr>
                    <w:adjustRightInd w:val="0"/>
                    <w:snapToGrid w:val="0"/>
                    <w:jc w:val="center"/>
                    <w:rPr>
                      <w:color w:val="auto"/>
                      <w:szCs w:val="21"/>
                    </w:rPr>
                  </w:pPr>
                </w:p>
              </w:tc>
              <w:tc>
                <w:tcPr>
                  <w:tcW w:w="791" w:type="pct"/>
                  <w:vAlign w:val="center"/>
                </w:tcPr>
                <w:p w14:paraId="5DDDB54B">
                  <w:pPr>
                    <w:adjustRightInd w:val="0"/>
                    <w:snapToGrid w:val="0"/>
                    <w:jc w:val="center"/>
                    <w:rPr>
                      <w:color w:val="auto"/>
                      <w:szCs w:val="21"/>
                    </w:rPr>
                  </w:pPr>
                  <w:r>
                    <w:rPr>
                      <w:rFonts w:hint="eastAsia"/>
                      <w:color w:val="auto"/>
                      <w:szCs w:val="21"/>
                    </w:rPr>
                    <w:t>自动静电喷枪</w:t>
                  </w:r>
                </w:p>
              </w:tc>
              <w:tc>
                <w:tcPr>
                  <w:tcW w:w="662" w:type="pct"/>
                  <w:vAlign w:val="center"/>
                </w:tcPr>
                <w:p w14:paraId="1D80D816">
                  <w:pPr>
                    <w:adjustRightInd w:val="0"/>
                    <w:snapToGrid w:val="0"/>
                    <w:jc w:val="center"/>
                    <w:rPr>
                      <w:color w:val="auto"/>
                    </w:rPr>
                  </w:pPr>
                  <w:r>
                    <w:rPr>
                      <w:rFonts w:hint="eastAsia"/>
                      <w:color w:val="auto"/>
                    </w:rPr>
                    <w:t>喷涂流量</w:t>
                  </w:r>
                </w:p>
              </w:tc>
              <w:tc>
                <w:tcPr>
                  <w:tcW w:w="380" w:type="pct"/>
                  <w:vAlign w:val="center"/>
                </w:tcPr>
                <w:p w14:paraId="72EE95A9">
                  <w:pPr>
                    <w:adjustRightInd w:val="0"/>
                    <w:snapToGrid w:val="0"/>
                    <w:jc w:val="center"/>
                    <w:rPr>
                      <w:color w:val="auto"/>
                    </w:rPr>
                  </w:pPr>
                  <w:r>
                    <w:rPr>
                      <w:rFonts w:hint="eastAsia"/>
                      <w:color w:val="auto"/>
                    </w:rPr>
                    <w:t>kg/h</w:t>
                  </w:r>
                </w:p>
              </w:tc>
              <w:tc>
                <w:tcPr>
                  <w:tcW w:w="867" w:type="pct"/>
                  <w:vAlign w:val="center"/>
                </w:tcPr>
                <w:p w14:paraId="45F07426">
                  <w:pPr>
                    <w:adjustRightInd w:val="0"/>
                    <w:snapToGrid w:val="0"/>
                    <w:jc w:val="center"/>
                    <w:rPr>
                      <w:color w:val="auto"/>
                    </w:rPr>
                  </w:pPr>
                  <w:r>
                    <w:rPr>
                      <w:rFonts w:hint="eastAsia"/>
                      <w:color w:val="auto"/>
                    </w:rPr>
                    <w:t>6</w:t>
                  </w:r>
                </w:p>
              </w:tc>
              <w:tc>
                <w:tcPr>
                  <w:tcW w:w="463" w:type="pct"/>
                  <w:vAlign w:val="center"/>
                </w:tcPr>
                <w:p w14:paraId="34A4A41B">
                  <w:pPr>
                    <w:adjustRightInd w:val="0"/>
                    <w:snapToGrid w:val="0"/>
                    <w:jc w:val="center"/>
                    <w:rPr>
                      <w:color w:val="auto"/>
                      <w:kern w:val="0"/>
                      <w:szCs w:val="21"/>
                      <w:lang w:bidi="ar"/>
                    </w:rPr>
                  </w:pPr>
                  <w:r>
                    <w:rPr>
                      <w:rFonts w:hint="eastAsia"/>
                      <w:color w:val="auto"/>
                      <w:kern w:val="0"/>
                      <w:szCs w:val="21"/>
                      <w:lang w:bidi="ar"/>
                    </w:rPr>
                    <w:t>1把</w:t>
                  </w:r>
                </w:p>
              </w:tc>
              <w:tc>
                <w:tcPr>
                  <w:tcW w:w="468" w:type="pct"/>
                  <w:vMerge w:val="continue"/>
                  <w:vAlign w:val="center"/>
                </w:tcPr>
                <w:p w14:paraId="2B387288">
                  <w:pPr>
                    <w:widowControl/>
                    <w:adjustRightInd w:val="0"/>
                    <w:snapToGrid w:val="0"/>
                    <w:jc w:val="center"/>
                    <w:rPr>
                      <w:color w:val="auto"/>
                      <w:szCs w:val="21"/>
                    </w:rPr>
                  </w:pPr>
                </w:p>
              </w:tc>
            </w:tr>
            <w:tr w14:paraId="7B23F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0BB4529A">
                  <w:pPr>
                    <w:widowControl/>
                    <w:adjustRightInd w:val="0"/>
                    <w:snapToGrid w:val="0"/>
                    <w:jc w:val="center"/>
                    <w:textAlignment w:val="center"/>
                    <w:rPr>
                      <w:color w:val="auto"/>
                      <w:kern w:val="0"/>
                      <w:szCs w:val="21"/>
                    </w:rPr>
                  </w:pPr>
                  <w:r>
                    <w:rPr>
                      <w:rFonts w:hint="eastAsia"/>
                      <w:color w:val="auto"/>
                      <w:kern w:val="0"/>
                      <w:szCs w:val="21"/>
                    </w:rPr>
                    <w:t>39</w:t>
                  </w:r>
                </w:p>
              </w:tc>
              <w:tc>
                <w:tcPr>
                  <w:tcW w:w="387" w:type="pct"/>
                  <w:vMerge w:val="continue"/>
                  <w:vAlign w:val="center"/>
                </w:tcPr>
                <w:p w14:paraId="1FD18895">
                  <w:pPr>
                    <w:adjustRightInd w:val="0"/>
                    <w:snapToGrid w:val="0"/>
                    <w:jc w:val="center"/>
                    <w:rPr>
                      <w:color w:val="auto"/>
                      <w:szCs w:val="21"/>
                    </w:rPr>
                  </w:pPr>
                </w:p>
              </w:tc>
              <w:tc>
                <w:tcPr>
                  <w:tcW w:w="424" w:type="pct"/>
                  <w:vMerge w:val="continue"/>
                  <w:vAlign w:val="center"/>
                </w:tcPr>
                <w:p w14:paraId="44717D2B">
                  <w:pPr>
                    <w:adjustRightInd w:val="0"/>
                    <w:snapToGrid w:val="0"/>
                    <w:jc w:val="center"/>
                    <w:rPr>
                      <w:color w:val="auto"/>
                      <w:szCs w:val="21"/>
                    </w:rPr>
                  </w:pPr>
                </w:p>
              </w:tc>
              <w:tc>
                <w:tcPr>
                  <w:tcW w:w="230" w:type="pct"/>
                  <w:vMerge w:val="continue"/>
                  <w:vAlign w:val="center"/>
                </w:tcPr>
                <w:p w14:paraId="50DBA792">
                  <w:pPr>
                    <w:adjustRightInd w:val="0"/>
                    <w:snapToGrid w:val="0"/>
                    <w:jc w:val="center"/>
                    <w:rPr>
                      <w:color w:val="auto"/>
                      <w:szCs w:val="21"/>
                    </w:rPr>
                  </w:pPr>
                </w:p>
              </w:tc>
              <w:tc>
                <w:tcPr>
                  <w:tcW w:w="791" w:type="pct"/>
                  <w:vAlign w:val="center"/>
                </w:tcPr>
                <w:p w14:paraId="15B87AC9">
                  <w:pPr>
                    <w:adjustRightInd w:val="0"/>
                    <w:snapToGrid w:val="0"/>
                    <w:jc w:val="center"/>
                    <w:rPr>
                      <w:color w:val="auto"/>
                      <w:szCs w:val="21"/>
                    </w:rPr>
                  </w:pPr>
                  <w:r>
                    <w:rPr>
                      <w:rFonts w:hint="eastAsia"/>
                      <w:color w:val="auto"/>
                      <w:szCs w:val="21"/>
                    </w:rPr>
                    <w:t>手工静电喷枪</w:t>
                  </w:r>
                </w:p>
              </w:tc>
              <w:tc>
                <w:tcPr>
                  <w:tcW w:w="662" w:type="pct"/>
                  <w:vAlign w:val="center"/>
                </w:tcPr>
                <w:p w14:paraId="614B3654">
                  <w:pPr>
                    <w:adjustRightInd w:val="0"/>
                    <w:snapToGrid w:val="0"/>
                    <w:jc w:val="center"/>
                    <w:rPr>
                      <w:color w:val="auto"/>
                    </w:rPr>
                  </w:pPr>
                  <w:r>
                    <w:rPr>
                      <w:rFonts w:hint="eastAsia"/>
                      <w:color w:val="auto"/>
                    </w:rPr>
                    <w:t>喷涂流量</w:t>
                  </w:r>
                </w:p>
              </w:tc>
              <w:tc>
                <w:tcPr>
                  <w:tcW w:w="380" w:type="pct"/>
                  <w:vAlign w:val="center"/>
                </w:tcPr>
                <w:p w14:paraId="1D700F08">
                  <w:pPr>
                    <w:adjustRightInd w:val="0"/>
                    <w:snapToGrid w:val="0"/>
                    <w:jc w:val="center"/>
                    <w:rPr>
                      <w:color w:val="auto"/>
                    </w:rPr>
                  </w:pPr>
                  <w:r>
                    <w:rPr>
                      <w:rFonts w:hint="eastAsia"/>
                      <w:color w:val="auto"/>
                    </w:rPr>
                    <w:t>kg/h</w:t>
                  </w:r>
                </w:p>
              </w:tc>
              <w:tc>
                <w:tcPr>
                  <w:tcW w:w="867" w:type="pct"/>
                  <w:vAlign w:val="center"/>
                </w:tcPr>
                <w:p w14:paraId="6EFD6990">
                  <w:pPr>
                    <w:adjustRightInd w:val="0"/>
                    <w:snapToGrid w:val="0"/>
                    <w:jc w:val="center"/>
                    <w:rPr>
                      <w:color w:val="auto"/>
                    </w:rPr>
                  </w:pPr>
                  <w:r>
                    <w:rPr>
                      <w:rFonts w:hint="eastAsia"/>
                      <w:color w:val="auto"/>
                    </w:rPr>
                    <w:t>1.5</w:t>
                  </w:r>
                </w:p>
              </w:tc>
              <w:tc>
                <w:tcPr>
                  <w:tcW w:w="463" w:type="pct"/>
                  <w:vAlign w:val="center"/>
                </w:tcPr>
                <w:p w14:paraId="0AC7BA58">
                  <w:pPr>
                    <w:adjustRightInd w:val="0"/>
                    <w:snapToGrid w:val="0"/>
                    <w:jc w:val="center"/>
                    <w:rPr>
                      <w:color w:val="auto"/>
                      <w:kern w:val="0"/>
                      <w:szCs w:val="21"/>
                      <w:lang w:bidi="ar"/>
                    </w:rPr>
                  </w:pPr>
                  <w:r>
                    <w:rPr>
                      <w:rFonts w:hint="eastAsia"/>
                      <w:color w:val="auto"/>
                      <w:kern w:val="0"/>
                      <w:szCs w:val="21"/>
                      <w:lang w:bidi="ar"/>
                    </w:rPr>
                    <w:t>3把</w:t>
                  </w:r>
                </w:p>
              </w:tc>
              <w:tc>
                <w:tcPr>
                  <w:tcW w:w="468" w:type="pct"/>
                  <w:vMerge w:val="continue"/>
                  <w:vAlign w:val="center"/>
                </w:tcPr>
                <w:p w14:paraId="2B446D5B">
                  <w:pPr>
                    <w:widowControl/>
                    <w:adjustRightInd w:val="0"/>
                    <w:snapToGrid w:val="0"/>
                    <w:jc w:val="center"/>
                    <w:rPr>
                      <w:color w:val="auto"/>
                      <w:szCs w:val="21"/>
                    </w:rPr>
                  </w:pPr>
                </w:p>
              </w:tc>
            </w:tr>
            <w:tr w14:paraId="14861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24" w:type="pct"/>
                  <w:vMerge w:val="restart"/>
                  <w:vAlign w:val="center"/>
                </w:tcPr>
                <w:p w14:paraId="2DA34131">
                  <w:pPr>
                    <w:widowControl/>
                    <w:adjustRightInd w:val="0"/>
                    <w:snapToGrid w:val="0"/>
                    <w:jc w:val="center"/>
                    <w:textAlignment w:val="center"/>
                    <w:rPr>
                      <w:color w:val="auto"/>
                      <w:kern w:val="0"/>
                      <w:szCs w:val="21"/>
                    </w:rPr>
                  </w:pPr>
                  <w:r>
                    <w:rPr>
                      <w:rFonts w:hint="eastAsia"/>
                      <w:color w:val="auto"/>
                      <w:kern w:val="0"/>
                      <w:szCs w:val="21"/>
                    </w:rPr>
                    <w:t>40</w:t>
                  </w:r>
                </w:p>
              </w:tc>
              <w:tc>
                <w:tcPr>
                  <w:tcW w:w="387" w:type="pct"/>
                  <w:vMerge w:val="continue"/>
                  <w:vAlign w:val="center"/>
                </w:tcPr>
                <w:p w14:paraId="6B08C100">
                  <w:pPr>
                    <w:adjustRightInd w:val="0"/>
                    <w:snapToGrid w:val="0"/>
                    <w:jc w:val="center"/>
                    <w:rPr>
                      <w:color w:val="auto"/>
                      <w:szCs w:val="21"/>
                    </w:rPr>
                  </w:pPr>
                </w:p>
              </w:tc>
              <w:tc>
                <w:tcPr>
                  <w:tcW w:w="424" w:type="pct"/>
                  <w:vMerge w:val="continue"/>
                  <w:vAlign w:val="center"/>
                </w:tcPr>
                <w:p w14:paraId="49E112C9">
                  <w:pPr>
                    <w:adjustRightInd w:val="0"/>
                    <w:snapToGrid w:val="0"/>
                    <w:jc w:val="center"/>
                    <w:rPr>
                      <w:color w:val="auto"/>
                      <w:szCs w:val="21"/>
                    </w:rPr>
                  </w:pPr>
                </w:p>
              </w:tc>
              <w:tc>
                <w:tcPr>
                  <w:tcW w:w="230" w:type="pct"/>
                  <w:vMerge w:val="continue"/>
                  <w:vAlign w:val="center"/>
                </w:tcPr>
                <w:p w14:paraId="5A9A978A">
                  <w:pPr>
                    <w:adjustRightInd w:val="0"/>
                    <w:snapToGrid w:val="0"/>
                    <w:jc w:val="center"/>
                    <w:rPr>
                      <w:color w:val="auto"/>
                      <w:szCs w:val="21"/>
                    </w:rPr>
                  </w:pPr>
                </w:p>
              </w:tc>
              <w:tc>
                <w:tcPr>
                  <w:tcW w:w="791" w:type="pct"/>
                  <w:vMerge w:val="restart"/>
                  <w:vAlign w:val="center"/>
                </w:tcPr>
                <w:p w14:paraId="77B45FE6">
                  <w:pPr>
                    <w:adjustRightInd w:val="0"/>
                    <w:snapToGrid w:val="0"/>
                    <w:jc w:val="center"/>
                    <w:rPr>
                      <w:color w:val="auto"/>
                      <w:szCs w:val="21"/>
                    </w:rPr>
                  </w:pPr>
                  <w:r>
                    <w:rPr>
                      <w:rFonts w:hint="eastAsia"/>
                      <w:color w:val="auto"/>
                      <w:szCs w:val="21"/>
                    </w:rPr>
                    <w:t>烘烤隧道炉</w:t>
                  </w:r>
                </w:p>
              </w:tc>
              <w:tc>
                <w:tcPr>
                  <w:tcW w:w="662" w:type="pct"/>
                  <w:vAlign w:val="center"/>
                </w:tcPr>
                <w:p w14:paraId="5DCFE16E">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0B0821F0">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520ABA05">
                  <w:pPr>
                    <w:adjustRightInd w:val="0"/>
                    <w:snapToGrid w:val="0"/>
                    <w:jc w:val="center"/>
                    <w:rPr>
                      <w:color w:val="auto"/>
                      <w:kern w:val="0"/>
                      <w:szCs w:val="21"/>
                      <w:lang w:bidi="ar"/>
                    </w:rPr>
                  </w:pPr>
                  <w:r>
                    <w:rPr>
                      <w:rFonts w:hint="eastAsia"/>
                      <w:color w:val="auto"/>
                    </w:rPr>
                    <w:t>37</w:t>
                  </w:r>
                  <w:r>
                    <w:rPr>
                      <w:color w:val="auto"/>
                      <w:kern w:val="0"/>
                      <w:szCs w:val="21"/>
                      <w:lang w:bidi="ar"/>
                    </w:rPr>
                    <w:t>×</w:t>
                  </w:r>
                  <w:r>
                    <w:rPr>
                      <w:rFonts w:hint="eastAsia"/>
                      <w:color w:val="auto"/>
                    </w:rPr>
                    <w:t>1.8</w:t>
                  </w:r>
                  <w:r>
                    <w:rPr>
                      <w:color w:val="auto"/>
                      <w:kern w:val="0"/>
                      <w:szCs w:val="21"/>
                      <w:lang w:bidi="ar"/>
                    </w:rPr>
                    <w:t>×</w:t>
                  </w:r>
                  <w:r>
                    <w:rPr>
                      <w:rFonts w:hint="eastAsia"/>
                      <w:color w:val="auto"/>
                    </w:rPr>
                    <w:t>2.6</w:t>
                  </w:r>
                </w:p>
              </w:tc>
              <w:tc>
                <w:tcPr>
                  <w:tcW w:w="463" w:type="pct"/>
                  <w:vMerge w:val="restart"/>
                  <w:vAlign w:val="center"/>
                </w:tcPr>
                <w:p w14:paraId="008F36C0">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restart"/>
                  <w:vAlign w:val="center"/>
                </w:tcPr>
                <w:p w14:paraId="11340A91">
                  <w:pPr>
                    <w:widowControl/>
                    <w:adjustRightInd w:val="0"/>
                    <w:snapToGrid w:val="0"/>
                    <w:jc w:val="center"/>
                    <w:rPr>
                      <w:color w:val="auto"/>
                      <w:szCs w:val="21"/>
                    </w:rPr>
                  </w:pPr>
                  <w:r>
                    <w:rPr>
                      <w:rFonts w:hint="eastAsia"/>
                      <w:color w:val="auto"/>
                      <w:szCs w:val="21"/>
                    </w:rPr>
                    <w:t>5楼清漆烤炉</w:t>
                  </w:r>
                </w:p>
              </w:tc>
            </w:tr>
            <w:tr w14:paraId="6C353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24" w:type="pct"/>
                  <w:vMerge w:val="continue"/>
                  <w:vAlign w:val="center"/>
                </w:tcPr>
                <w:p w14:paraId="76AABF64">
                  <w:pPr>
                    <w:adjustRightInd w:val="0"/>
                    <w:snapToGrid w:val="0"/>
                    <w:jc w:val="center"/>
                    <w:rPr>
                      <w:color w:val="auto"/>
                    </w:rPr>
                  </w:pPr>
                </w:p>
              </w:tc>
              <w:tc>
                <w:tcPr>
                  <w:tcW w:w="387" w:type="pct"/>
                  <w:vMerge w:val="continue"/>
                  <w:vAlign w:val="center"/>
                </w:tcPr>
                <w:p w14:paraId="0F7D499E">
                  <w:pPr>
                    <w:adjustRightInd w:val="0"/>
                    <w:snapToGrid w:val="0"/>
                    <w:jc w:val="center"/>
                    <w:rPr>
                      <w:color w:val="auto"/>
                    </w:rPr>
                  </w:pPr>
                </w:p>
              </w:tc>
              <w:tc>
                <w:tcPr>
                  <w:tcW w:w="424" w:type="pct"/>
                  <w:vMerge w:val="continue"/>
                  <w:vAlign w:val="center"/>
                </w:tcPr>
                <w:p w14:paraId="547DEC04">
                  <w:pPr>
                    <w:adjustRightInd w:val="0"/>
                    <w:snapToGrid w:val="0"/>
                    <w:jc w:val="center"/>
                    <w:rPr>
                      <w:color w:val="auto"/>
                    </w:rPr>
                  </w:pPr>
                </w:p>
              </w:tc>
              <w:tc>
                <w:tcPr>
                  <w:tcW w:w="230" w:type="pct"/>
                  <w:vMerge w:val="continue"/>
                  <w:vAlign w:val="center"/>
                </w:tcPr>
                <w:p w14:paraId="7DD44970">
                  <w:pPr>
                    <w:adjustRightInd w:val="0"/>
                    <w:snapToGrid w:val="0"/>
                    <w:jc w:val="center"/>
                    <w:rPr>
                      <w:color w:val="auto"/>
                    </w:rPr>
                  </w:pPr>
                </w:p>
              </w:tc>
              <w:tc>
                <w:tcPr>
                  <w:tcW w:w="791" w:type="pct"/>
                  <w:vMerge w:val="continue"/>
                  <w:vAlign w:val="center"/>
                </w:tcPr>
                <w:p w14:paraId="541254C8">
                  <w:pPr>
                    <w:adjustRightInd w:val="0"/>
                    <w:snapToGrid w:val="0"/>
                    <w:jc w:val="center"/>
                    <w:rPr>
                      <w:color w:val="auto"/>
                    </w:rPr>
                  </w:pPr>
                </w:p>
              </w:tc>
              <w:tc>
                <w:tcPr>
                  <w:tcW w:w="662" w:type="pct"/>
                  <w:vAlign w:val="center"/>
                </w:tcPr>
                <w:p w14:paraId="5E4B69AD">
                  <w:pPr>
                    <w:adjustRightInd w:val="0"/>
                    <w:snapToGrid w:val="0"/>
                    <w:jc w:val="center"/>
                    <w:rPr>
                      <w:color w:val="auto"/>
                      <w:kern w:val="0"/>
                      <w:szCs w:val="21"/>
                      <w:lang w:bidi="ar"/>
                    </w:rPr>
                  </w:pPr>
                  <w:r>
                    <w:rPr>
                      <w:color w:val="auto"/>
                      <w:kern w:val="0"/>
                      <w:szCs w:val="21"/>
                      <w:lang w:bidi="ar"/>
                    </w:rPr>
                    <w:t>工作温度</w:t>
                  </w:r>
                </w:p>
              </w:tc>
              <w:tc>
                <w:tcPr>
                  <w:tcW w:w="380" w:type="pct"/>
                  <w:vAlign w:val="center"/>
                </w:tcPr>
                <w:p w14:paraId="0E21F6B4">
                  <w:pPr>
                    <w:adjustRightInd w:val="0"/>
                    <w:snapToGrid w:val="0"/>
                    <w:jc w:val="center"/>
                    <w:rPr>
                      <w:color w:val="auto"/>
                      <w:kern w:val="0"/>
                      <w:szCs w:val="21"/>
                      <w:lang w:bidi="ar"/>
                    </w:rPr>
                  </w:pPr>
                  <w:r>
                    <w:rPr>
                      <w:color w:val="auto"/>
                      <w:kern w:val="0"/>
                      <w:szCs w:val="21"/>
                      <w:lang w:bidi="ar"/>
                    </w:rPr>
                    <w:t>℃</w:t>
                  </w:r>
                </w:p>
              </w:tc>
              <w:tc>
                <w:tcPr>
                  <w:tcW w:w="867" w:type="pct"/>
                  <w:vAlign w:val="center"/>
                </w:tcPr>
                <w:p w14:paraId="48021D99">
                  <w:pPr>
                    <w:adjustRightInd w:val="0"/>
                    <w:snapToGrid w:val="0"/>
                    <w:jc w:val="center"/>
                    <w:rPr>
                      <w:color w:val="auto"/>
                      <w:kern w:val="0"/>
                      <w:szCs w:val="21"/>
                      <w:lang w:bidi="ar"/>
                    </w:rPr>
                  </w:pPr>
                  <w:r>
                    <w:rPr>
                      <w:color w:val="auto"/>
                      <w:kern w:val="0"/>
                      <w:szCs w:val="21"/>
                      <w:lang w:bidi="ar"/>
                    </w:rPr>
                    <w:t>200</w:t>
                  </w:r>
                </w:p>
              </w:tc>
              <w:tc>
                <w:tcPr>
                  <w:tcW w:w="463" w:type="pct"/>
                  <w:vMerge w:val="continue"/>
                  <w:vAlign w:val="center"/>
                </w:tcPr>
                <w:p w14:paraId="143657FE">
                  <w:pPr>
                    <w:adjustRightInd w:val="0"/>
                    <w:snapToGrid w:val="0"/>
                    <w:jc w:val="center"/>
                    <w:rPr>
                      <w:color w:val="auto"/>
                      <w:kern w:val="0"/>
                      <w:szCs w:val="21"/>
                      <w:lang w:bidi="ar"/>
                    </w:rPr>
                  </w:pPr>
                </w:p>
              </w:tc>
              <w:tc>
                <w:tcPr>
                  <w:tcW w:w="468" w:type="pct"/>
                  <w:vMerge w:val="continue"/>
                  <w:vAlign w:val="center"/>
                </w:tcPr>
                <w:p w14:paraId="03DA63D9">
                  <w:pPr>
                    <w:adjustRightInd w:val="0"/>
                    <w:snapToGrid w:val="0"/>
                    <w:jc w:val="center"/>
                    <w:rPr>
                      <w:color w:val="auto"/>
                      <w:kern w:val="0"/>
                      <w:szCs w:val="21"/>
                      <w:lang w:bidi="ar"/>
                    </w:rPr>
                  </w:pPr>
                </w:p>
              </w:tc>
            </w:tr>
            <w:tr w14:paraId="06F5B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Merge w:val="continue"/>
                  <w:vAlign w:val="center"/>
                </w:tcPr>
                <w:p w14:paraId="5030D230">
                  <w:pPr>
                    <w:widowControl/>
                    <w:adjustRightInd w:val="0"/>
                    <w:snapToGrid w:val="0"/>
                    <w:jc w:val="center"/>
                    <w:textAlignment w:val="center"/>
                    <w:rPr>
                      <w:color w:val="auto"/>
                      <w:kern w:val="0"/>
                      <w:szCs w:val="21"/>
                    </w:rPr>
                  </w:pPr>
                </w:p>
              </w:tc>
              <w:tc>
                <w:tcPr>
                  <w:tcW w:w="387" w:type="pct"/>
                  <w:vMerge w:val="continue"/>
                  <w:vAlign w:val="center"/>
                </w:tcPr>
                <w:p w14:paraId="7BFC6336">
                  <w:pPr>
                    <w:adjustRightInd w:val="0"/>
                    <w:snapToGrid w:val="0"/>
                    <w:jc w:val="center"/>
                    <w:rPr>
                      <w:color w:val="auto"/>
                      <w:szCs w:val="21"/>
                    </w:rPr>
                  </w:pPr>
                </w:p>
              </w:tc>
              <w:tc>
                <w:tcPr>
                  <w:tcW w:w="424" w:type="pct"/>
                  <w:vMerge w:val="continue"/>
                  <w:vAlign w:val="center"/>
                </w:tcPr>
                <w:p w14:paraId="1C76FE6A">
                  <w:pPr>
                    <w:adjustRightInd w:val="0"/>
                    <w:snapToGrid w:val="0"/>
                    <w:jc w:val="center"/>
                    <w:rPr>
                      <w:color w:val="auto"/>
                      <w:szCs w:val="21"/>
                    </w:rPr>
                  </w:pPr>
                </w:p>
              </w:tc>
              <w:tc>
                <w:tcPr>
                  <w:tcW w:w="230" w:type="pct"/>
                  <w:vMerge w:val="continue"/>
                  <w:vAlign w:val="center"/>
                </w:tcPr>
                <w:p w14:paraId="1C0ADC49">
                  <w:pPr>
                    <w:adjustRightInd w:val="0"/>
                    <w:snapToGrid w:val="0"/>
                    <w:jc w:val="center"/>
                    <w:rPr>
                      <w:color w:val="auto"/>
                      <w:szCs w:val="21"/>
                    </w:rPr>
                  </w:pPr>
                </w:p>
              </w:tc>
              <w:tc>
                <w:tcPr>
                  <w:tcW w:w="791" w:type="pct"/>
                  <w:vAlign w:val="center"/>
                </w:tcPr>
                <w:p w14:paraId="67B1A3B3">
                  <w:pPr>
                    <w:adjustRightInd w:val="0"/>
                    <w:snapToGrid w:val="0"/>
                    <w:jc w:val="center"/>
                    <w:rPr>
                      <w:color w:val="auto"/>
                      <w:szCs w:val="21"/>
                    </w:rPr>
                  </w:pPr>
                  <w:r>
                    <w:rPr>
                      <w:rFonts w:hint="eastAsia"/>
                      <w:color w:val="auto"/>
                      <w:szCs w:val="21"/>
                    </w:rPr>
                    <w:t>隧道</w:t>
                  </w:r>
                  <w:r>
                    <w:rPr>
                      <w:color w:val="auto"/>
                      <w:szCs w:val="21"/>
                    </w:rPr>
                    <w:t>炉燃烧机</w:t>
                  </w:r>
                </w:p>
              </w:tc>
              <w:tc>
                <w:tcPr>
                  <w:tcW w:w="1909" w:type="pct"/>
                  <w:gridSpan w:val="3"/>
                  <w:vAlign w:val="center"/>
                </w:tcPr>
                <w:p w14:paraId="24E1F94C">
                  <w:pPr>
                    <w:adjustRightInd w:val="0"/>
                    <w:snapToGrid w:val="0"/>
                    <w:rPr>
                      <w:color w:val="auto"/>
                    </w:rPr>
                  </w:pPr>
                  <w:r>
                    <w:rPr>
                      <w:color w:val="auto"/>
                    </w:rPr>
                    <w:t>直热式加热系统</w:t>
                  </w:r>
                </w:p>
                <w:p w14:paraId="0C25A856">
                  <w:pPr>
                    <w:adjustRightInd w:val="0"/>
                    <w:snapToGrid w:val="0"/>
                    <w:rPr>
                      <w:color w:val="auto"/>
                    </w:rPr>
                  </w:pPr>
                  <w:r>
                    <w:rPr>
                      <w:rFonts w:hint="eastAsia"/>
                      <w:color w:val="auto"/>
                    </w:rPr>
                    <w:t>规模：21.6</w:t>
                  </w:r>
                  <w:r>
                    <w:rPr>
                      <w:color w:val="auto"/>
                    </w:rPr>
                    <w:t>万大卡燃烧机；</w:t>
                  </w:r>
                </w:p>
                <w:p w14:paraId="1BB7A8E9">
                  <w:pPr>
                    <w:adjustRightInd w:val="0"/>
                    <w:snapToGrid w:val="0"/>
                    <w:jc w:val="center"/>
                    <w:rPr>
                      <w:color w:val="auto"/>
                    </w:rPr>
                  </w:pPr>
                  <w:r>
                    <w:rPr>
                      <w:color w:val="auto"/>
                    </w:rPr>
                    <w:t>升温时间：</w:t>
                  </w:r>
                  <w:r>
                    <w:rPr>
                      <w:rFonts w:hint="eastAsia"/>
                      <w:color w:val="auto"/>
                    </w:rPr>
                    <w:t>15min</w:t>
                  </w:r>
                  <w:r>
                    <w:rPr>
                      <w:color w:val="auto"/>
                    </w:rPr>
                    <w:t>左右升温至</w:t>
                  </w:r>
                  <w:r>
                    <w:rPr>
                      <w:rFonts w:hint="eastAsia"/>
                      <w:color w:val="auto"/>
                    </w:rPr>
                    <w:t>20</w:t>
                  </w:r>
                  <w:r>
                    <w:rPr>
                      <w:color w:val="auto"/>
                    </w:rPr>
                    <w:t>0</w:t>
                  </w:r>
                  <w:r>
                    <w:rPr>
                      <w:rFonts w:hint="eastAsia" w:ascii="宋体" w:hAnsi="宋体" w:cs="宋体"/>
                      <w:color w:val="auto"/>
                    </w:rPr>
                    <w:t>℃</w:t>
                  </w:r>
                  <w:r>
                    <w:rPr>
                      <w:color w:val="auto"/>
                    </w:rPr>
                    <w:t>；</w:t>
                  </w:r>
                </w:p>
              </w:tc>
              <w:tc>
                <w:tcPr>
                  <w:tcW w:w="463" w:type="pct"/>
                  <w:vAlign w:val="center"/>
                </w:tcPr>
                <w:p w14:paraId="6FD7B8ED">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41DE4479">
                  <w:pPr>
                    <w:widowControl/>
                    <w:adjustRightInd w:val="0"/>
                    <w:snapToGrid w:val="0"/>
                    <w:jc w:val="center"/>
                    <w:rPr>
                      <w:color w:val="auto"/>
                      <w:szCs w:val="21"/>
                    </w:rPr>
                  </w:pPr>
                </w:p>
              </w:tc>
            </w:tr>
            <w:tr w14:paraId="4A823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1A8E34F9">
                  <w:pPr>
                    <w:widowControl/>
                    <w:adjustRightInd w:val="0"/>
                    <w:snapToGrid w:val="0"/>
                    <w:jc w:val="center"/>
                    <w:textAlignment w:val="center"/>
                    <w:rPr>
                      <w:color w:val="auto"/>
                      <w:kern w:val="0"/>
                      <w:szCs w:val="21"/>
                    </w:rPr>
                  </w:pPr>
                  <w:r>
                    <w:rPr>
                      <w:rFonts w:hint="eastAsia"/>
                      <w:color w:val="auto"/>
                      <w:kern w:val="0"/>
                      <w:szCs w:val="21"/>
                    </w:rPr>
                    <w:t>41</w:t>
                  </w:r>
                </w:p>
              </w:tc>
              <w:tc>
                <w:tcPr>
                  <w:tcW w:w="387" w:type="pct"/>
                  <w:vMerge w:val="restart"/>
                  <w:vAlign w:val="center"/>
                </w:tcPr>
                <w:p w14:paraId="5C92FA83">
                  <w:pPr>
                    <w:adjustRightInd w:val="0"/>
                    <w:snapToGrid w:val="0"/>
                    <w:jc w:val="center"/>
                    <w:rPr>
                      <w:color w:val="auto"/>
                      <w:szCs w:val="21"/>
                    </w:rPr>
                  </w:pPr>
                  <w:r>
                    <w:rPr>
                      <w:rFonts w:hint="eastAsia"/>
                      <w:color w:val="auto"/>
                      <w:szCs w:val="21"/>
                    </w:rPr>
                    <w:t>喷涂</w:t>
                  </w:r>
                </w:p>
              </w:tc>
              <w:tc>
                <w:tcPr>
                  <w:tcW w:w="424" w:type="pct"/>
                  <w:vMerge w:val="restart"/>
                  <w:vAlign w:val="center"/>
                </w:tcPr>
                <w:p w14:paraId="0DA16D6D">
                  <w:pPr>
                    <w:adjustRightInd w:val="0"/>
                    <w:snapToGrid w:val="0"/>
                    <w:jc w:val="center"/>
                    <w:rPr>
                      <w:color w:val="auto"/>
                      <w:szCs w:val="21"/>
                    </w:rPr>
                  </w:pPr>
                  <w:r>
                    <w:rPr>
                      <w:rFonts w:hint="eastAsia"/>
                      <w:color w:val="auto"/>
                      <w:szCs w:val="21"/>
                    </w:rPr>
                    <w:t>补漆</w:t>
                  </w:r>
                </w:p>
              </w:tc>
              <w:tc>
                <w:tcPr>
                  <w:tcW w:w="1021" w:type="pct"/>
                  <w:gridSpan w:val="2"/>
                  <w:vAlign w:val="center"/>
                </w:tcPr>
                <w:p w14:paraId="04EFAF6A">
                  <w:pPr>
                    <w:adjustRightInd w:val="0"/>
                    <w:snapToGrid w:val="0"/>
                    <w:jc w:val="center"/>
                    <w:rPr>
                      <w:color w:val="auto"/>
                      <w:szCs w:val="21"/>
                    </w:rPr>
                  </w:pPr>
                  <w:r>
                    <w:rPr>
                      <w:rFonts w:hint="eastAsia"/>
                      <w:color w:val="auto"/>
                      <w:szCs w:val="21"/>
                    </w:rPr>
                    <w:t>水帘柜</w:t>
                  </w:r>
                </w:p>
              </w:tc>
              <w:tc>
                <w:tcPr>
                  <w:tcW w:w="662" w:type="pct"/>
                  <w:vAlign w:val="center"/>
                </w:tcPr>
                <w:p w14:paraId="7A292D8D">
                  <w:pPr>
                    <w:adjustRightInd w:val="0"/>
                    <w:snapToGrid w:val="0"/>
                    <w:jc w:val="center"/>
                    <w:rPr>
                      <w:color w:val="auto"/>
                      <w:kern w:val="0"/>
                      <w:szCs w:val="21"/>
                      <w:lang w:bidi="ar"/>
                    </w:rPr>
                  </w:pPr>
                  <w:r>
                    <w:rPr>
                      <w:color w:val="auto"/>
                      <w:kern w:val="0"/>
                      <w:szCs w:val="21"/>
                      <w:lang w:bidi="ar"/>
                    </w:rPr>
                    <w:t>规格</w:t>
                  </w:r>
                </w:p>
              </w:tc>
              <w:tc>
                <w:tcPr>
                  <w:tcW w:w="380" w:type="pct"/>
                  <w:vAlign w:val="center"/>
                </w:tcPr>
                <w:p w14:paraId="18C57555">
                  <w:pPr>
                    <w:adjustRightInd w:val="0"/>
                    <w:snapToGrid w:val="0"/>
                    <w:jc w:val="center"/>
                    <w:rPr>
                      <w:color w:val="auto"/>
                      <w:kern w:val="0"/>
                      <w:szCs w:val="21"/>
                      <w:lang w:bidi="ar"/>
                    </w:rPr>
                  </w:pPr>
                  <w:r>
                    <w:rPr>
                      <w:color w:val="auto"/>
                      <w:kern w:val="0"/>
                      <w:szCs w:val="21"/>
                      <w:lang w:bidi="ar"/>
                    </w:rPr>
                    <w:t>m</w:t>
                  </w:r>
                </w:p>
              </w:tc>
              <w:tc>
                <w:tcPr>
                  <w:tcW w:w="867" w:type="pct"/>
                  <w:vAlign w:val="center"/>
                </w:tcPr>
                <w:p w14:paraId="6A330223">
                  <w:pPr>
                    <w:adjustRightInd w:val="0"/>
                    <w:snapToGrid w:val="0"/>
                    <w:jc w:val="center"/>
                    <w:rPr>
                      <w:color w:val="auto"/>
                    </w:rPr>
                  </w:pPr>
                  <w:r>
                    <w:rPr>
                      <w:rFonts w:hint="eastAsia"/>
                      <w:color w:val="auto"/>
                      <w:kern w:val="0"/>
                      <w:szCs w:val="21"/>
                      <w:lang w:bidi="ar"/>
                    </w:rPr>
                    <w:t>2.4</w:t>
                  </w:r>
                  <w:r>
                    <w:rPr>
                      <w:color w:val="auto"/>
                      <w:kern w:val="0"/>
                      <w:szCs w:val="21"/>
                      <w:lang w:bidi="ar"/>
                    </w:rPr>
                    <w:t>×</w:t>
                  </w:r>
                  <w:r>
                    <w:rPr>
                      <w:rFonts w:hint="eastAsia"/>
                      <w:color w:val="auto"/>
                    </w:rPr>
                    <w:t>3</w:t>
                  </w:r>
                  <w:r>
                    <w:rPr>
                      <w:color w:val="auto"/>
                      <w:kern w:val="0"/>
                      <w:szCs w:val="21"/>
                      <w:lang w:bidi="ar"/>
                    </w:rPr>
                    <w:t>×</w:t>
                  </w:r>
                  <w:r>
                    <w:rPr>
                      <w:rFonts w:hint="eastAsia"/>
                      <w:color w:val="auto"/>
                      <w:kern w:val="0"/>
                      <w:szCs w:val="21"/>
                      <w:lang w:bidi="ar"/>
                    </w:rPr>
                    <w:t>2.5</w:t>
                  </w:r>
                </w:p>
              </w:tc>
              <w:tc>
                <w:tcPr>
                  <w:tcW w:w="463" w:type="pct"/>
                  <w:vAlign w:val="center"/>
                </w:tcPr>
                <w:p w14:paraId="41E5E4C3">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restart"/>
                  <w:vAlign w:val="center"/>
                </w:tcPr>
                <w:p w14:paraId="2B85E3D5">
                  <w:pPr>
                    <w:widowControl/>
                    <w:adjustRightInd w:val="0"/>
                    <w:snapToGrid w:val="0"/>
                    <w:jc w:val="center"/>
                    <w:rPr>
                      <w:color w:val="auto"/>
                      <w:szCs w:val="21"/>
                    </w:rPr>
                  </w:pPr>
                  <w:r>
                    <w:rPr>
                      <w:rFonts w:hint="eastAsia"/>
                      <w:color w:val="auto"/>
                      <w:szCs w:val="21"/>
                    </w:rPr>
                    <w:t>4楼尾数房</w:t>
                  </w:r>
                </w:p>
              </w:tc>
            </w:tr>
            <w:tr w14:paraId="0A29A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00A369A6">
                  <w:pPr>
                    <w:widowControl/>
                    <w:adjustRightInd w:val="0"/>
                    <w:snapToGrid w:val="0"/>
                    <w:jc w:val="center"/>
                    <w:textAlignment w:val="center"/>
                    <w:rPr>
                      <w:color w:val="auto"/>
                      <w:kern w:val="0"/>
                      <w:szCs w:val="21"/>
                    </w:rPr>
                  </w:pPr>
                  <w:r>
                    <w:rPr>
                      <w:rFonts w:hint="eastAsia"/>
                      <w:color w:val="auto"/>
                      <w:kern w:val="0"/>
                      <w:szCs w:val="21"/>
                    </w:rPr>
                    <w:t>42</w:t>
                  </w:r>
                </w:p>
              </w:tc>
              <w:tc>
                <w:tcPr>
                  <w:tcW w:w="387" w:type="pct"/>
                  <w:vMerge w:val="continue"/>
                  <w:vAlign w:val="center"/>
                </w:tcPr>
                <w:p w14:paraId="1818C54C">
                  <w:pPr>
                    <w:adjustRightInd w:val="0"/>
                    <w:snapToGrid w:val="0"/>
                    <w:jc w:val="center"/>
                    <w:rPr>
                      <w:color w:val="auto"/>
                      <w:szCs w:val="21"/>
                    </w:rPr>
                  </w:pPr>
                </w:p>
              </w:tc>
              <w:tc>
                <w:tcPr>
                  <w:tcW w:w="424" w:type="pct"/>
                  <w:vMerge w:val="continue"/>
                  <w:vAlign w:val="center"/>
                </w:tcPr>
                <w:p w14:paraId="0955ACBC">
                  <w:pPr>
                    <w:adjustRightInd w:val="0"/>
                    <w:snapToGrid w:val="0"/>
                    <w:jc w:val="center"/>
                    <w:rPr>
                      <w:color w:val="auto"/>
                      <w:szCs w:val="21"/>
                    </w:rPr>
                  </w:pPr>
                </w:p>
              </w:tc>
              <w:tc>
                <w:tcPr>
                  <w:tcW w:w="1021" w:type="pct"/>
                  <w:gridSpan w:val="2"/>
                  <w:vAlign w:val="center"/>
                </w:tcPr>
                <w:p w14:paraId="36D06926">
                  <w:pPr>
                    <w:adjustRightInd w:val="0"/>
                    <w:snapToGrid w:val="0"/>
                    <w:jc w:val="center"/>
                    <w:rPr>
                      <w:color w:val="auto"/>
                      <w:szCs w:val="21"/>
                    </w:rPr>
                  </w:pPr>
                  <w:r>
                    <w:rPr>
                      <w:rFonts w:hint="eastAsia"/>
                      <w:color w:val="auto"/>
                      <w:szCs w:val="21"/>
                    </w:rPr>
                    <w:t>手工静电喷枪</w:t>
                  </w:r>
                </w:p>
              </w:tc>
              <w:tc>
                <w:tcPr>
                  <w:tcW w:w="662" w:type="pct"/>
                  <w:vAlign w:val="center"/>
                </w:tcPr>
                <w:p w14:paraId="745EA584">
                  <w:pPr>
                    <w:adjustRightInd w:val="0"/>
                    <w:snapToGrid w:val="0"/>
                    <w:jc w:val="center"/>
                    <w:rPr>
                      <w:color w:val="auto"/>
                    </w:rPr>
                  </w:pPr>
                  <w:r>
                    <w:rPr>
                      <w:rFonts w:hint="eastAsia"/>
                      <w:color w:val="auto"/>
                    </w:rPr>
                    <w:t>喷涂流量</w:t>
                  </w:r>
                </w:p>
              </w:tc>
              <w:tc>
                <w:tcPr>
                  <w:tcW w:w="380" w:type="pct"/>
                  <w:vAlign w:val="center"/>
                </w:tcPr>
                <w:p w14:paraId="6E009EDA">
                  <w:pPr>
                    <w:adjustRightInd w:val="0"/>
                    <w:snapToGrid w:val="0"/>
                    <w:jc w:val="center"/>
                    <w:rPr>
                      <w:color w:val="auto"/>
                    </w:rPr>
                  </w:pPr>
                  <w:r>
                    <w:rPr>
                      <w:rFonts w:hint="eastAsia"/>
                      <w:color w:val="auto"/>
                    </w:rPr>
                    <w:t>kg/h</w:t>
                  </w:r>
                </w:p>
              </w:tc>
              <w:tc>
                <w:tcPr>
                  <w:tcW w:w="867" w:type="pct"/>
                  <w:vAlign w:val="center"/>
                </w:tcPr>
                <w:p w14:paraId="28DB1299">
                  <w:pPr>
                    <w:adjustRightInd w:val="0"/>
                    <w:snapToGrid w:val="0"/>
                    <w:jc w:val="center"/>
                    <w:rPr>
                      <w:color w:val="auto"/>
                    </w:rPr>
                  </w:pPr>
                  <w:r>
                    <w:rPr>
                      <w:rFonts w:hint="eastAsia"/>
                      <w:color w:val="auto"/>
                    </w:rPr>
                    <w:t>1.5</w:t>
                  </w:r>
                </w:p>
              </w:tc>
              <w:tc>
                <w:tcPr>
                  <w:tcW w:w="463" w:type="pct"/>
                  <w:vAlign w:val="center"/>
                </w:tcPr>
                <w:p w14:paraId="776545BB">
                  <w:pPr>
                    <w:adjustRightInd w:val="0"/>
                    <w:snapToGrid w:val="0"/>
                    <w:jc w:val="center"/>
                    <w:rPr>
                      <w:color w:val="auto"/>
                      <w:kern w:val="0"/>
                      <w:szCs w:val="21"/>
                      <w:lang w:bidi="ar"/>
                    </w:rPr>
                  </w:pPr>
                  <w:r>
                    <w:rPr>
                      <w:rFonts w:hint="eastAsia"/>
                      <w:color w:val="auto"/>
                      <w:kern w:val="0"/>
                      <w:szCs w:val="21"/>
                      <w:lang w:bidi="ar"/>
                    </w:rPr>
                    <w:t>2把</w:t>
                  </w:r>
                </w:p>
              </w:tc>
              <w:tc>
                <w:tcPr>
                  <w:tcW w:w="468" w:type="pct"/>
                  <w:vMerge w:val="continue"/>
                  <w:vAlign w:val="center"/>
                </w:tcPr>
                <w:p w14:paraId="03310216">
                  <w:pPr>
                    <w:widowControl/>
                    <w:adjustRightInd w:val="0"/>
                    <w:snapToGrid w:val="0"/>
                    <w:jc w:val="center"/>
                    <w:rPr>
                      <w:color w:val="auto"/>
                      <w:szCs w:val="21"/>
                    </w:rPr>
                  </w:pPr>
                </w:p>
              </w:tc>
            </w:tr>
            <w:tr w14:paraId="2EB6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restart"/>
                  <w:vAlign w:val="center"/>
                </w:tcPr>
                <w:p w14:paraId="7C4D12D1">
                  <w:pPr>
                    <w:widowControl/>
                    <w:adjustRightInd w:val="0"/>
                    <w:snapToGrid w:val="0"/>
                    <w:jc w:val="center"/>
                    <w:textAlignment w:val="center"/>
                    <w:rPr>
                      <w:color w:val="auto"/>
                      <w:kern w:val="0"/>
                      <w:szCs w:val="21"/>
                    </w:rPr>
                  </w:pPr>
                  <w:r>
                    <w:rPr>
                      <w:rFonts w:hint="eastAsia"/>
                      <w:color w:val="auto"/>
                      <w:kern w:val="0"/>
                      <w:szCs w:val="21"/>
                    </w:rPr>
                    <w:t>43</w:t>
                  </w:r>
                </w:p>
              </w:tc>
              <w:tc>
                <w:tcPr>
                  <w:tcW w:w="387" w:type="pct"/>
                  <w:vMerge w:val="continue"/>
                  <w:vAlign w:val="center"/>
                </w:tcPr>
                <w:p w14:paraId="33D7E915">
                  <w:pPr>
                    <w:adjustRightInd w:val="0"/>
                    <w:snapToGrid w:val="0"/>
                    <w:jc w:val="center"/>
                    <w:rPr>
                      <w:color w:val="auto"/>
                      <w:szCs w:val="21"/>
                    </w:rPr>
                  </w:pPr>
                </w:p>
              </w:tc>
              <w:tc>
                <w:tcPr>
                  <w:tcW w:w="424" w:type="pct"/>
                  <w:vMerge w:val="continue"/>
                  <w:vAlign w:val="center"/>
                </w:tcPr>
                <w:p w14:paraId="7D159D6C">
                  <w:pPr>
                    <w:adjustRightInd w:val="0"/>
                    <w:snapToGrid w:val="0"/>
                    <w:jc w:val="center"/>
                    <w:rPr>
                      <w:color w:val="auto"/>
                      <w:szCs w:val="21"/>
                    </w:rPr>
                  </w:pPr>
                </w:p>
              </w:tc>
              <w:tc>
                <w:tcPr>
                  <w:tcW w:w="1021" w:type="pct"/>
                  <w:gridSpan w:val="2"/>
                  <w:vMerge w:val="restart"/>
                  <w:vAlign w:val="center"/>
                </w:tcPr>
                <w:p w14:paraId="41452D6C">
                  <w:pPr>
                    <w:adjustRightInd w:val="0"/>
                    <w:snapToGrid w:val="0"/>
                    <w:jc w:val="center"/>
                    <w:rPr>
                      <w:color w:val="auto"/>
                      <w:szCs w:val="21"/>
                    </w:rPr>
                  </w:pPr>
                  <w:r>
                    <w:rPr>
                      <w:rFonts w:hint="eastAsia"/>
                      <w:color w:val="auto"/>
                      <w:szCs w:val="21"/>
                    </w:rPr>
                    <w:t>烘烤柜炉</w:t>
                  </w:r>
                </w:p>
              </w:tc>
              <w:tc>
                <w:tcPr>
                  <w:tcW w:w="662" w:type="pct"/>
                  <w:vAlign w:val="center"/>
                </w:tcPr>
                <w:p w14:paraId="15EC6560">
                  <w:pPr>
                    <w:adjustRightInd w:val="0"/>
                    <w:snapToGrid w:val="0"/>
                    <w:jc w:val="center"/>
                    <w:rPr>
                      <w:color w:val="auto"/>
                    </w:rPr>
                  </w:pPr>
                  <w:r>
                    <w:rPr>
                      <w:rFonts w:hint="eastAsia"/>
                      <w:color w:val="auto"/>
                    </w:rPr>
                    <w:t>规格</w:t>
                  </w:r>
                </w:p>
              </w:tc>
              <w:tc>
                <w:tcPr>
                  <w:tcW w:w="380" w:type="pct"/>
                  <w:vAlign w:val="center"/>
                </w:tcPr>
                <w:p w14:paraId="28F9BEE3">
                  <w:pPr>
                    <w:adjustRightInd w:val="0"/>
                    <w:snapToGrid w:val="0"/>
                    <w:jc w:val="center"/>
                    <w:rPr>
                      <w:color w:val="auto"/>
                    </w:rPr>
                  </w:pPr>
                  <w:r>
                    <w:rPr>
                      <w:color w:val="auto"/>
                      <w:kern w:val="0"/>
                      <w:szCs w:val="21"/>
                      <w:lang w:bidi="ar"/>
                    </w:rPr>
                    <w:t>m</w:t>
                  </w:r>
                </w:p>
              </w:tc>
              <w:tc>
                <w:tcPr>
                  <w:tcW w:w="867" w:type="pct"/>
                  <w:vAlign w:val="center"/>
                </w:tcPr>
                <w:p w14:paraId="101CC7FC">
                  <w:pPr>
                    <w:adjustRightInd w:val="0"/>
                    <w:snapToGrid w:val="0"/>
                    <w:jc w:val="center"/>
                    <w:rPr>
                      <w:color w:val="auto"/>
                    </w:rPr>
                  </w:pPr>
                  <w:r>
                    <w:rPr>
                      <w:rFonts w:hint="eastAsia"/>
                      <w:color w:val="auto"/>
                    </w:rPr>
                    <w:t>3.4</w:t>
                  </w:r>
                  <w:r>
                    <w:rPr>
                      <w:color w:val="auto"/>
                      <w:kern w:val="0"/>
                      <w:szCs w:val="21"/>
                      <w:lang w:bidi="ar"/>
                    </w:rPr>
                    <w:t>×</w:t>
                  </w:r>
                  <w:r>
                    <w:rPr>
                      <w:rFonts w:hint="eastAsia"/>
                      <w:color w:val="auto"/>
                      <w:kern w:val="0"/>
                      <w:szCs w:val="21"/>
                      <w:lang w:bidi="ar"/>
                    </w:rPr>
                    <w:t>2.3</w:t>
                  </w:r>
                  <w:r>
                    <w:rPr>
                      <w:color w:val="auto"/>
                      <w:kern w:val="0"/>
                      <w:szCs w:val="21"/>
                      <w:lang w:bidi="ar"/>
                    </w:rPr>
                    <w:t>×</w:t>
                  </w:r>
                  <w:r>
                    <w:rPr>
                      <w:rFonts w:hint="eastAsia"/>
                      <w:color w:val="auto"/>
                      <w:kern w:val="0"/>
                      <w:szCs w:val="21"/>
                      <w:lang w:bidi="ar"/>
                    </w:rPr>
                    <w:t>2.1</w:t>
                  </w:r>
                </w:p>
              </w:tc>
              <w:tc>
                <w:tcPr>
                  <w:tcW w:w="463" w:type="pct"/>
                  <w:vMerge w:val="restart"/>
                  <w:vAlign w:val="center"/>
                </w:tcPr>
                <w:p w14:paraId="3B30C6E5">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594B0972">
                  <w:pPr>
                    <w:widowControl/>
                    <w:adjustRightInd w:val="0"/>
                    <w:snapToGrid w:val="0"/>
                    <w:jc w:val="center"/>
                    <w:rPr>
                      <w:color w:val="auto"/>
                      <w:szCs w:val="21"/>
                    </w:rPr>
                  </w:pPr>
                </w:p>
              </w:tc>
            </w:tr>
            <w:tr w14:paraId="6C2A7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24" w:type="pct"/>
                  <w:vMerge w:val="continue"/>
                  <w:vAlign w:val="center"/>
                </w:tcPr>
                <w:p w14:paraId="1F0812E6">
                  <w:pPr>
                    <w:adjustRightInd w:val="0"/>
                    <w:snapToGrid w:val="0"/>
                    <w:jc w:val="center"/>
                    <w:rPr>
                      <w:color w:val="auto"/>
                    </w:rPr>
                  </w:pPr>
                </w:p>
              </w:tc>
              <w:tc>
                <w:tcPr>
                  <w:tcW w:w="387" w:type="pct"/>
                  <w:vMerge w:val="continue"/>
                  <w:vAlign w:val="center"/>
                </w:tcPr>
                <w:p w14:paraId="13C9CE96">
                  <w:pPr>
                    <w:adjustRightInd w:val="0"/>
                    <w:snapToGrid w:val="0"/>
                    <w:jc w:val="center"/>
                    <w:rPr>
                      <w:color w:val="auto"/>
                    </w:rPr>
                  </w:pPr>
                </w:p>
              </w:tc>
              <w:tc>
                <w:tcPr>
                  <w:tcW w:w="424" w:type="pct"/>
                  <w:vMerge w:val="continue"/>
                  <w:vAlign w:val="center"/>
                </w:tcPr>
                <w:p w14:paraId="4006F97A">
                  <w:pPr>
                    <w:adjustRightInd w:val="0"/>
                    <w:snapToGrid w:val="0"/>
                    <w:jc w:val="center"/>
                    <w:rPr>
                      <w:color w:val="auto"/>
                    </w:rPr>
                  </w:pPr>
                </w:p>
              </w:tc>
              <w:tc>
                <w:tcPr>
                  <w:tcW w:w="1021" w:type="pct"/>
                  <w:gridSpan w:val="2"/>
                  <w:vMerge w:val="continue"/>
                  <w:vAlign w:val="center"/>
                </w:tcPr>
                <w:p w14:paraId="669DA4DF">
                  <w:pPr>
                    <w:adjustRightInd w:val="0"/>
                    <w:snapToGrid w:val="0"/>
                    <w:jc w:val="center"/>
                    <w:rPr>
                      <w:color w:val="auto"/>
                    </w:rPr>
                  </w:pPr>
                </w:p>
              </w:tc>
              <w:tc>
                <w:tcPr>
                  <w:tcW w:w="662" w:type="pct"/>
                  <w:vAlign w:val="center"/>
                </w:tcPr>
                <w:p w14:paraId="48CAD9E6">
                  <w:pPr>
                    <w:adjustRightInd w:val="0"/>
                    <w:snapToGrid w:val="0"/>
                    <w:jc w:val="center"/>
                    <w:rPr>
                      <w:color w:val="auto"/>
                    </w:rPr>
                  </w:pPr>
                  <w:r>
                    <w:rPr>
                      <w:color w:val="auto"/>
                      <w:kern w:val="0"/>
                      <w:szCs w:val="21"/>
                      <w:lang w:bidi="ar"/>
                    </w:rPr>
                    <w:t>工作温度</w:t>
                  </w:r>
                </w:p>
              </w:tc>
              <w:tc>
                <w:tcPr>
                  <w:tcW w:w="380" w:type="pct"/>
                  <w:vAlign w:val="center"/>
                </w:tcPr>
                <w:p w14:paraId="2916330F">
                  <w:pPr>
                    <w:adjustRightInd w:val="0"/>
                    <w:snapToGrid w:val="0"/>
                    <w:jc w:val="center"/>
                    <w:rPr>
                      <w:color w:val="auto"/>
                    </w:rPr>
                  </w:pPr>
                  <w:r>
                    <w:rPr>
                      <w:color w:val="auto"/>
                      <w:kern w:val="0"/>
                      <w:szCs w:val="21"/>
                      <w:lang w:bidi="ar"/>
                    </w:rPr>
                    <w:t>℃</w:t>
                  </w:r>
                </w:p>
              </w:tc>
              <w:tc>
                <w:tcPr>
                  <w:tcW w:w="867" w:type="pct"/>
                  <w:vAlign w:val="center"/>
                </w:tcPr>
                <w:p w14:paraId="53B18C82">
                  <w:pPr>
                    <w:adjustRightInd w:val="0"/>
                    <w:snapToGrid w:val="0"/>
                    <w:jc w:val="center"/>
                    <w:rPr>
                      <w:color w:val="auto"/>
                    </w:rPr>
                  </w:pPr>
                  <w:r>
                    <w:rPr>
                      <w:rFonts w:hint="eastAsia"/>
                      <w:color w:val="auto"/>
                      <w:kern w:val="0"/>
                      <w:szCs w:val="21"/>
                      <w:lang w:bidi="ar"/>
                    </w:rPr>
                    <w:t>15</w:t>
                  </w:r>
                  <w:r>
                    <w:rPr>
                      <w:color w:val="auto"/>
                      <w:kern w:val="0"/>
                      <w:szCs w:val="21"/>
                      <w:lang w:bidi="ar"/>
                    </w:rPr>
                    <w:t>0</w:t>
                  </w:r>
                  <w:r>
                    <w:rPr>
                      <w:rFonts w:hint="eastAsia"/>
                      <w:color w:val="auto"/>
                      <w:kern w:val="0"/>
                      <w:szCs w:val="21"/>
                      <w:lang w:bidi="ar"/>
                    </w:rPr>
                    <w:t>/200</w:t>
                  </w:r>
                </w:p>
              </w:tc>
              <w:tc>
                <w:tcPr>
                  <w:tcW w:w="463" w:type="pct"/>
                  <w:vMerge w:val="continue"/>
                  <w:vAlign w:val="center"/>
                </w:tcPr>
                <w:p w14:paraId="5D682AB2">
                  <w:pPr>
                    <w:adjustRightInd w:val="0"/>
                    <w:snapToGrid w:val="0"/>
                    <w:jc w:val="center"/>
                    <w:rPr>
                      <w:color w:val="auto"/>
                    </w:rPr>
                  </w:pPr>
                </w:p>
              </w:tc>
              <w:tc>
                <w:tcPr>
                  <w:tcW w:w="468" w:type="pct"/>
                  <w:vMerge w:val="continue"/>
                  <w:vAlign w:val="center"/>
                </w:tcPr>
                <w:p w14:paraId="003AD5D8">
                  <w:pPr>
                    <w:adjustRightInd w:val="0"/>
                    <w:snapToGrid w:val="0"/>
                    <w:jc w:val="center"/>
                    <w:rPr>
                      <w:color w:val="auto"/>
                    </w:rPr>
                  </w:pPr>
                </w:p>
              </w:tc>
            </w:tr>
            <w:tr w14:paraId="40899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Merge w:val="continue"/>
                  <w:vAlign w:val="center"/>
                </w:tcPr>
                <w:p w14:paraId="3437D7B3">
                  <w:pPr>
                    <w:widowControl/>
                    <w:adjustRightInd w:val="0"/>
                    <w:snapToGrid w:val="0"/>
                    <w:jc w:val="center"/>
                    <w:textAlignment w:val="center"/>
                    <w:rPr>
                      <w:color w:val="auto"/>
                      <w:kern w:val="0"/>
                      <w:szCs w:val="21"/>
                    </w:rPr>
                  </w:pPr>
                </w:p>
              </w:tc>
              <w:tc>
                <w:tcPr>
                  <w:tcW w:w="387" w:type="pct"/>
                  <w:vMerge w:val="continue"/>
                  <w:vAlign w:val="center"/>
                </w:tcPr>
                <w:p w14:paraId="5D5AC0AC">
                  <w:pPr>
                    <w:adjustRightInd w:val="0"/>
                    <w:snapToGrid w:val="0"/>
                    <w:jc w:val="center"/>
                    <w:rPr>
                      <w:color w:val="auto"/>
                      <w:szCs w:val="21"/>
                    </w:rPr>
                  </w:pPr>
                </w:p>
              </w:tc>
              <w:tc>
                <w:tcPr>
                  <w:tcW w:w="424" w:type="pct"/>
                  <w:vMerge w:val="continue"/>
                  <w:vAlign w:val="center"/>
                </w:tcPr>
                <w:p w14:paraId="7D9E6DBB">
                  <w:pPr>
                    <w:adjustRightInd w:val="0"/>
                    <w:snapToGrid w:val="0"/>
                    <w:jc w:val="center"/>
                    <w:rPr>
                      <w:color w:val="auto"/>
                      <w:szCs w:val="21"/>
                    </w:rPr>
                  </w:pPr>
                </w:p>
              </w:tc>
              <w:tc>
                <w:tcPr>
                  <w:tcW w:w="1021" w:type="pct"/>
                  <w:gridSpan w:val="2"/>
                  <w:vAlign w:val="center"/>
                </w:tcPr>
                <w:p w14:paraId="41E4AAAD">
                  <w:pPr>
                    <w:adjustRightInd w:val="0"/>
                    <w:snapToGrid w:val="0"/>
                    <w:jc w:val="center"/>
                    <w:rPr>
                      <w:color w:val="auto"/>
                      <w:szCs w:val="21"/>
                    </w:rPr>
                  </w:pPr>
                  <w:r>
                    <w:rPr>
                      <w:color w:val="auto"/>
                      <w:szCs w:val="21"/>
                    </w:rPr>
                    <w:t>烘干炉低氮燃烧机</w:t>
                  </w:r>
                </w:p>
              </w:tc>
              <w:tc>
                <w:tcPr>
                  <w:tcW w:w="1909" w:type="pct"/>
                  <w:gridSpan w:val="3"/>
                  <w:vAlign w:val="center"/>
                </w:tcPr>
                <w:p w14:paraId="7C747F8B">
                  <w:pPr>
                    <w:adjustRightInd w:val="0"/>
                    <w:snapToGrid w:val="0"/>
                    <w:rPr>
                      <w:color w:val="auto"/>
                      <w:kern w:val="0"/>
                    </w:rPr>
                  </w:pPr>
                  <w:r>
                    <w:rPr>
                      <w:color w:val="auto"/>
                      <w:kern w:val="0"/>
                    </w:rPr>
                    <w:t>直热式加热系统</w:t>
                  </w:r>
                </w:p>
                <w:p w14:paraId="1C4DE964">
                  <w:pPr>
                    <w:adjustRightInd w:val="0"/>
                    <w:snapToGrid w:val="0"/>
                    <w:rPr>
                      <w:color w:val="auto"/>
                      <w:kern w:val="0"/>
                    </w:rPr>
                  </w:pPr>
                  <w:r>
                    <w:rPr>
                      <w:rFonts w:hint="eastAsia"/>
                      <w:color w:val="auto"/>
                      <w:kern w:val="0"/>
                    </w:rPr>
                    <w:t>规模：21600</w:t>
                  </w:r>
                  <w:r>
                    <w:rPr>
                      <w:color w:val="auto"/>
                      <w:kern w:val="0"/>
                    </w:rPr>
                    <w:t>大卡燃烧机；</w:t>
                  </w:r>
                </w:p>
                <w:p w14:paraId="73FF5866">
                  <w:pPr>
                    <w:adjustRightInd w:val="0"/>
                    <w:snapToGrid w:val="0"/>
                    <w:rPr>
                      <w:color w:val="auto"/>
                    </w:rPr>
                  </w:pPr>
                  <w:r>
                    <w:rPr>
                      <w:color w:val="auto"/>
                      <w:kern w:val="0"/>
                    </w:rPr>
                    <w:t>升温时间：</w:t>
                  </w:r>
                  <w:r>
                    <w:rPr>
                      <w:rFonts w:hint="eastAsia"/>
                      <w:color w:val="auto"/>
                      <w:kern w:val="0"/>
                    </w:rPr>
                    <w:t>15min</w:t>
                  </w:r>
                  <w:r>
                    <w:rPr>
                      <w:color w:val="auto"/>
                      <w:kern w:val="0"/>
                    </w:rPr>
                    <w:t>左右升温至1</w:t>
                  </w:r>
                  <w:r>
                    <w:rPr>
                      <w:rFonts w:hint="eastAsia"/>
                      <w:color w:val="auto"/>
                      <w:kern w:val="0"/>
                    </w:rPr>
                    <w:t>5</w:t>
                  </w:r>
                  <w:r>
                    <w:rPr>
                      <w:color w:val="auto"/>
                      <w:kern w:val="0"/>
                    </w:rPr>
                    <w:t>0</w:t>
                  </w:r>
                  <w:r>
                    <w:rPr>
                      <w:rFonts w:hint="eastAsia" w:ascii="宋体" w:hAnsi="宋体" w:cs="宋体"/>
                      <w:color w:val="auto"/>
                      <w:kern w:val="0"/>
                    </w:rPr>
                    <w:t>℃</w:t>
                  </w:r>
                </w:p>
              </w:tc>
              <w:tc>
                <w:tcPr>
                  <w:tcW w:w="463" w:type="pct"/>
                  <w:vAlign w:val="center"/>
                </w:tcPr>
                <w:p w14:paraId="25EF2E4D">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Merge w:val="continue"/>
                  <w:vAlign w:val="center"/>
                </w:tcPr>
                <w:p w14:paraId="63D01384">
                  <w:pPr>
                    <w:widowControl/>
                    <w:adjustRightInd w:val="0"/>
                    <w:snapToGrid w:val="0"/>
                    <w:jc w:val="center"/>
                    <w:rPr>
                      <w:color w:val="auto"/>
                      <w:szCs w:val="21"/>
                    </w:rPr>
                  </w:pPr>
                </w:p>
              </w:tc>
            </w:tr>
            <w:tr w14:paraId="36CE0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7A5CA25E">
                  <w:pPr>
                    <w:widowControl/>
                    <w:adjustRightInd w:val="0"/>
                    <w:snapToGrid w:val="0"/>
                    <w:jc w:val="center"/>
                    <w:textAlignment w:val="center"/>
                    <w:rPr>
                      <w:color w:val="auto"/>
                      <w:kern w:val="0"/>
                      <w:szCs w:val="21"/>
                    </w:rPr>
                  </w:pPr>
                  <w:r>
                    <w:rPr>
                      <w:rFonts w:hint="eastAsia"/>
                      <w:color w:val="auto"/>
                      <w:kern w:val="0"/>
                      <w:szCs w:val="21"/>
                    </w:rPr>
                    <w:t>44</w:t>
                  </w:r>
                </w:p>
              </w:tc>
              <w:tc>
                <w:tcPr>
                  <w:tcW w:w="387" w:type="pct"/>
                  <w:vAlign w:val="center"/>
                </w:tcPr>
                <w:p w14:paraId="4ECDEBA1">
                  <w:pPr>
                    <w:adjustRightInd w:val="0"/>
                    <w:snapToGrid w:val="0"/>
                    <w:jc w:val="center"/>
                    <w:rPr>
                      <w:color w:val="auto"/>
                      <w:szCs w:val="21"/>
                    </w:rPr>
                  </w:pPr>
                  <w:r>
                    <w:rPr>
                      <w:rFonts w:hint="eastAsia"/>
                      <w:color w:val="auto"/>
                      <w:szCs w:val="21"/>
                    </w:rPr>
                    <w:t>包装</w:t>
                  </w:r>
                </w:p>
              </w:tc>
              <w:tc>
                <w:tcPr>
                  <w:tcW w:w="424" w:type="pct"/>
                  <w:vAlign w:val="center"/>
                </w:tcPr>
                <w:p w14:paraId="4CD56684">
                  <w:pPr>
                    <w:adjustRightInd w:val="0"/>
                    <w:snapToGrid w:val="0"/>
                    <w:jc w:val="center"/>
                    <w:rPr>
                      <w:color w:val="auto"/>
                      <w:szCs w:val="21"/>
                    </w:rPr>
                  </w:pPr>
                  <w:r>
                    <w:rPr>
                      <w:rFonts w:hint="eastAsia"/>
                      <w:color w:val="auto"/>
                      <w:szCs w:val="21"/>
                    </w:rPr>
                    <w:t>贴标</w:t>
                  </w:r>
                </w:p>
              </w:tc>
              <w:tc>
                <w:tcPr>
                  <w:tcW w:w="1021" w:type="pct"/>
                  <w:gridSpan w:val="2"/>
                  <w:vAlign w:val="center"/>
                </w:tcPr>
                <w:p w14:paraId="31CAA66D">
                  <w:pPr>
                    <w:adjustRightInd w:val="0"/>
                    <w:snapToGrid w:val="0"/>
                    <w:jc w:val="center"/>
                    <w:rPr>
                      <w:color w:val="auto"/>
                      <w:szCs w:val="21"/>
                    </w:rPr>
                  </w:pPr>
                  <w:r>
                    <w:rPr>
                      <w:rFonts w:hint="eastAsia"/>
                      <w:color w:val="auto"/>
                      <w:szCs w:val="21"/>
                    </w:rPr>
                    <w:t>喷淋柜</w:t>
                  </w:r>
                </w:p>
              </w:tc>
              <w:tc>
                <w:tcPr>
                  <w:tcW w:w="662" w:type="pct"/>
                  <w:vAlign w:val="center"/>
                </w:tcPr>
                <w:p w14:paraId="465F8095">
                  <w:pPr>
                    <w:adjustRightInd w:val="0"/>
                    <w:snapToGrid w:val="0"/>
                    <w:jc w:val="center"/>
                    <w:rPr>
                      <w:color w:val="auto"/>
                    </w:rPr>
                  </w:pPr>
                  <w:r>
                    <w:rPr>
                      <w:rFonts w:hint="eastAsia"/>
                      <w:color w:val="auto"/>
                    </w:rPr>
                    <w:t>规格</w:t>
                  </w:r>
                </w:p>
              </w:tc>
              <w:tc>
                <w:tcPr>
                  <w:tcW w:w="380" w:type="pct"/>
                  <w:vAlign w:val="center"/>
                </w:tcPr>
                <w:p w14:paraId="58D4BDED">
                  <w:pPr>
                    <w:adjustRightInd w:val="0"/>
                    <w:snapToGrid w:val="0"/>
                    <w:jc w:val="center"/>
                    <w:rPr>
                      <w:color w:val="auto"/>
                    </w:rPr>
                  </w:pPr>
                  <w:r>
                    <w:rPr>
                      <w:color w:val="auto"/>
                      <w:kern w:val="0"/>
                      <w:szCs w:val="21"/>
                      <w:lang w:bidi="ar"/>
                    </w:rPr>
                    <w:t>m</w:t>
                  </w:r>
                </w:p>
              </w:tc>
              <w:tc>
                <w:tcPr>
                  <w:tcW w:w="867" w:type="pct"/>
                  <w:vAlign w:val="center"/>
                </w:tcPr>
                <w:p w14:paraId="74871937">
                  <w:pPr>
                    <w:adjustRightInd w:val="0"/>
                    <w:snapToGrid w:val="0"/>
                    <w:jc w:val="center"/>
                    <w:rPr>
                      <w:color w:val="auto"/>
                    </w:rPr>
                  </w:pPr>
                  <w:r>
                    <w:rPr>
                      <w:rFonts w:hint="eastAsia"/>
                      <w:color w:val="auto"/>
                    </w:rPr>
                    <w:t>2</w:t>
                  </w:r>
                  <w:r>
                    <w:rPr>
                      <w:color w:val="auto"/>
                      <w:kern w:val="0"/>
                      <w:szCs w:val="21"/>
                      <w:lang w:bidi="ar"/>
                    </w:rPr>
                    <w:t>×</w:t>
                  </w:r>
                  <w:r>
                    <w:rPr>
                      <w:rFonts w:hint="eastAsia"/>
                      <w:color w:val="auto"/>
                      <w:kern w:val="0"/>
                      <w:szCs w:val="21"/>
                      <w:lang w:bidi="ar"/>
                    </w:rPr>
                    <w:t>0.8</w:t>
                  </w:r>
                  <w:r>
                    <w:rPr>
                      <w:color w:val="auto"/>
                      <w:kern w:val="0"/>
                      <w:szCs w:val="21"/>
                      <w:lang w:bidi="ar"/>
                    </w:rPr>
                    <w:t>×</w:t>
                  </w:r>
                  <w:r>
                    <w:rPr>
                      <w:rFonts w:hint="eastAsia"/>
                      <w:color w:val="auto"/>
                      <w:kern w:val="0"/>
                      <w:szCs w:val="21"/>
                      <w:lang w:bidi="ar"/>
                    </w:rPr>
                    <w:t>2.2</w:t>
                  </w:r>
                </w:p>
              </w:tc>
              <w:tc>
                <w:tcPr>
                  <w:tcW w:w="463" w:type="pct"/>
                  <w:vAlign w:val="center"/>
                </w:tcPr>
                <w:p w14:paraId="7DDF574D">
                  <w:pPr>
                    <w:adjustRightInd w:val="0"/>
                    <w:snapToGrid w:val="0"/>
                    <w:jc w:val="center"/>
                    <w:rPr>
                      <w:color w:val="auto"/>
                      <w:kern w:val="0"/>
                      <w:szCs w:val="21"/>
                      <w:lang w:bidi="ar"/>
                    </w:rPr>
                  </w:pPr>
                  <w:r>
                    <w:rPr>
                      <w:rFonts w:hint="eastAsia"/>
                      <w:color w:val="auto"/>
                      <w:kern w:val="0"/>
                      <w:szCs w:val="21"/>
                      <w:lang w:bidi="ar"/>
                    </w:rPr>
                    <w:t>1</w:t>
                  </w:r>
                  <w:r>
                    <w:rPr>
                      <w:rFonts w:hint="eastAsia"/>
                      <w:color w:val="auto"/>
                      <w:kern w:val="0"/>
                      <w:szCs w:val="21"/>
                      <w:lang w:val="en-US" w:eastAsia="zh-CN" w:bidi="ar"/>
                    </w:rPr>
                    <w:t>台</w:t>
                  </w:r>
                </w:p>
              </w:tc>
              <w:tc>
                <w:tcPr>
                  <w:tcW w:w="468" w:type="pct"/>
                  <w:vAlign w:val="center"/>
                </w:tcPr>
                <w:p w14:paraId="7C251CC8">
                  <w:pPr>
                    <w:widowControl/>
                    <w:adjustRightInd w:val="0"/>
                    <w:snapToGrid w:val="0"/>
                    <w:jc w:val="center"/>
                    <w:rPr>
                      <w:color w:val="auto"/>
                      <w:szCs w:val="21"/>
                    </w:rPr>
                  </w:pPr>
                  <w:r>
                    <w:rPr>
                      <w:rFonts w:hint="eastAsia"/>
                      <w:color w:val="auto"/>
                      <w:szCs w:val="21"/>
                    </w:rPr>
                    <w:t>4楼贴标存储线</w:t>
                  </w:r>
                </w:p>
              </w:tc>
            </w:tr>
            <w:tr w14:paraId="51B2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 w:type="pct"/>
                  <w:vAlign w:val="center"/>
                </w:tcPr>
                <w:p w14:paraId="1A388266">
                  <w:pPr>
                    <w:widowControl/>
                    <w:adjustRightInd w:val="0"/>
                    <w:snapToGrid w:val="0"/>
                    <w:jc w:val="center"/>
                    <w:textAlignment w:val="center"/>
                    <w:rPr>
                      <w:color w:val="auto"/>
                      <w:kern w:val="0"/>
                      <w:szCs w:val="21"/>
                    </w:rPr>
                  </w:pPr>
                  <w:r>
                    <w:rPr>
                      <w:rFonts w:hint="eastAsia"/>
                      <w:color w:val="auto"/>
                      <w:kern w:val="0"/>
                      <w:szCs w:val="21"/>
                    </w:rPr>
                    <w:t>45</w:t>
                  </w:r>
                </w:p>
              </w:tc>
              <w:tc>
                <w:tcPr>
                  <w:tcW w:w="387" w:type="pct"/>
                  <w:vAlign w:val="center"/>
                </w:tcPr>
                <w:p w14:paraId="04EF5089">
                  <w:pPr>
                    <w:adjustRightInd w:val="0"/>
                    <w:snapToGrid w:val="0"/>
                    <w:jc w:val="center"/>
                    <w:rPr>
                      <w:color w:val="auto"/>
                      <w:szCs w:val="21"/>
                    </w:rPr>
                  </w:pPr>
                  <w:r>
                    <w:rPr>
                      <w:rFonts w:hint="eastAsia"/>
                      <w:color w:val="auto"/>
                      <w:szCs w:val="21"/>
                    </w:rPr>
                    <w:t>辅助单元</w:t>
                  </w:r>
                </w:p>
              </w:tc>
              <w:tc>
                <w:tcPr>
                  <w:tcW w:w="424" w:type="pct"/>
                  <w:vAlign w:val="center"/>
                </w:tcPr>
                <w:p w14:paraId="6BF14433">
                  <w:pPr>
                    <w:adjustRightInd w:val="0"/>
                    <w:snapToGrid w:val="0"/>
                    <w:jc w:val="center"/>
                    <w:rPr>
                      <w:color w:val="auto"/>
                      <w:szCs w:val="21"/>
                    </w:rPr>
                  </w:pPr>
                  <w:r>
                    <w:rPr>
                      <w:rFonts w:hint="eastAsia"/>
                      <w:color w:val="auto"/>
                      <w:szCs w:val="21"/>
                    </w:rPr>
                    <w:t>辅助设备</w:t>
                  </w:r>
                </w:p>
              </w:tc>
              <w:tc>
                <w:tcPr>
                  <w:tcW w:w="1021" w:type="pct"/>
                  <w:gridSpan w:val="2"/>
                  <w:vAlign w:val="center"/>
                </w:tcPr>
                <w:p w14:paraId="21D24DB8">
                  <w:pPr>
                    <w:adjustRightInd w:val="0"/>
                    <w:snapToGrid w:val="0"/>
                    <w:jc w:val="center"/>
                    <w:rPr>
                      <w:color w:val="auto"/>
                      <w:szCs w:val="21"/>
                    </w:rPr>
                  </w:pPr>
                  <w:r>
                    <w:rPr>
                      <w:rFonts w:hint="eastAsia"/>
                      <w:color w:val="auto"/>
                      <w:szCs w:val="21"/>
                    </w:rPr>
                    <w:t>空压机</w:t>
                  </w:r>
                </w:p>
              </w:tc>
              <w:tc>
                <w:tcPr>
                  <w:tcW w:w="662" w:type="pct"/>
                  <w:vAlign w:val="center"/>
                </w:tcPr>
                <w:p w14:paraId="1BFC429E">
                  <w:pPr>
                    <w:adjustRightInd w:val="0"/>
                    <w:snapToGrid w:val="0"/>
                    <w:jc w:val="center"/>
                    <w:rPr>
                      <w:color w:val="auto"/>
                    </w:rPr>
                  </w:pPr>
                  <w:r>
                    <w:rPr>
                      <w:rFonts w:hint="eastAsia"/>
                      <w:color w:val="auto"/>
                    </w:rPr>
                    <w:t>功率</w:t>
                  </w:r>
                </w:p>
              </w:tc>
              <w:tc>
                <w:tcPr>
                  <w:tcW w:w="380" w:type="pct"/>
                  <w:vAlign w:val="center"/>
                </w:tcPr>
                <w:p w14:paraId="379478C5">
                  <w:pPr>
                    <w:adjustRightInd w:val="0"/>
                    <w:snapToGrid w:val="0"/>
                    <w:jc w:val="center"/>
                    <w:rPr>
                      <w:color w:val="auto"/>
                    </w:rPr>
                  </w:pPr>
                  <w:r>
                    <w:rPr>
                      <w:rFonts w:hint="eastAsia"/>
                      <w:color w:val="auto"/>
                    </w:rPr>
                    <w:t>kw</w:t>
                  </w:r>
                </w:p>
              </w:tc>
              <w:tc>
                <w:tcPr>
                  <w:tcW w:w="867" w:type="pct"/>
                  <w:vAlign w:val="center"/>
                </w:tcPr>
                <w:p w14:paraId="55EA0172">
                  <w:pPr>
                    <w:adjustRightInd w:val="0"/>
                    <w:snapToGrid w:val="0"/>
                    <w:jc w:val="center"/>
                    <w:rPr>
                      <w:color w:val="auto"/>
                    </w:rPr>
                  </w:pPr>
                  <w:r>
                    <w:rPr>
                      <w:rFonts w:hint="eastAsia"/>
                      <w:color w:val="auto"/>
                    </w:rPr>
                    <w:t>35</w:t>
                  </w:r>
                </w:p>
              </w:tc>
              <w:tc>
                <w:tcPr>
                  <w:tcW w:w="463" w:type="pct"/>
                  <w:vAlign w:val="center"/>
                </w:tcPr>
                <w:p w14:paraId="0D465120">
                  <w:pPr>
                    <w:adjustRightInd w:val="0"/>
                    <w:snapToGrid w:val="0"/>
                    <w:jc w:val="center"/>
                    <w:rPr>
                      <w:color w:val="auto"/>
                      <w:kern w:val="0"/>
                      <w:szCs w:val="21"/>
                      <w:lang w:bidi="ar"/>
                    </w:rPr>
                  </w:pPr>
                  <w:r>
                    <w:rPr>
                      <w:rFonts w:hint="eastAsia"/>
                      <w:color w:val="auto"/>
                      <w:kern w:val="0"/>
                      <w:szCs w:val="21"/>
                      <w:lang w:bidi="ar"/>
                    </w:rPr>
                    <w:t>2台</w:t>
                  </w:r>
                </w:p>
              </w:tc>
              <w:tc>
                <w:tcPr>
                  <w:tcW w:w="468" w:type="pct"/>
                  <w:vAlign w:val="center"/>
                </w:tcPr>
                <w:p w14:paraId="5DA302E1">
                  <w:pPr>
                    <w:widowControl/>
                    <w:adjustRightInd w:val="0"/>
                    <w:snapToGrid w:val="0"/>
                    <w:jc w:val="center"/>
                    <w:rPr>
                      <w:color w:val="auto"/>
                      <w:szCs w:val="21"/>
                    </w:rPr>
                  </w:pPr>
                  <w:r>
                    <w:rPr>
                      <w:rFonts w:hint="eastAsia"/>
                      <w:color w:val="auto"/>
                      <w:szCs w:val="21"/>
                    </w:rPr>
                    <w:t>楼顶空压机房</w:t>
                  </w:r>
                </w:p>
              </w:tc>
            </w:tr>
          </w:tbl>
          <w:p w14:paraId="2EDD65C0">
            <w:pPr>
              <w:widowControl/>
              <w:adjustRightInd w:val="0"/>
              <w:snapToGrid w:val="0"/>
              <w:spacing w:before="120" w:beforeLines="50" w:line="360" w:lineRule="auto"/>
              <w:ind w:firstLine="241" w:firstLineChars="100"/>
              <w:rPr>
                <w:b/>
                <w:bCs/>
                <w:color w:val="auto"/>
                <w:sz w:val="24"/>
              </w:rPr>
            </w:pPr>
          </w:p>
          <w:p w14:paraId="3FAF14A2">
            <w:pPr>
              <w:widowControl/>
              <w:numPr>
                <w:ilvl w:val="0"/>
                <w:numId w:val="11"/>
              </w:numPr>
              <w:adjustRightInd w:val="0"/>
              <w:snapToGrid w:val="0"/>
              <w:spacing w:before="120" w:beforeLines="50" w:line="360" w:lineRule="auto"/>
              <w:ind w:firstLine="241" w:firstLineChars="100"/>
              <w:rPr>
                <w:b/>
                <w:bCs/>
                <w:color w:val="auto"/>
                <w:sz w:val="24"/>
              </w:rPr>
            </w:pPr>
            <w:r>
              <w:rPr>
                <w:b/>
                <w:bCs/>
                <w:color w:val="auto"/>
                <w:sz w:val="24"/>
              </w:rPr>
              <w:t>前处理线槽体参数</w:t>
            </w:r>
          </w:p>
          <w:p w14:paraId="0DF75E65">
            <w:pPr>
              <w:pStyle w:val="2"/>
              <w:numPr>
                <w:ilvl w:val="0"/>
                <w:numId w:val="0"/>
              </w:numPr>
              <w:ind w:right="113" w:rightChars="0"/>
              <w:rPr>
                <w:color w:val="auto"/>
              </w:rPr>
            </w:pPr>
          </w:p>
          <w:p w14:paraId="2D30979C">
            <w:pPr>
              <w:rPr>
                <w:color w:val="auto"/>
              </w:rPr>
            </w:pPr>
          </w:p>
          <w:p w14:paraId="3AB765E4">
            <w:pPr>
              <w:numPr>
                <w:ilvl w:val="0"/>
                <w:numId w:val="10"/>
              </w:numPr>
              <w:adjustRightInd w:val="0"/>
              <w:snapToGrid w:val="0"/>
              <w:jc w:val="center"/>
              <w:rPr>
                <w:b/>
                <w:color w:val="auto"/>
                <w:szCs w:val="21"/>
              </w:rPr>
            </w:pPr>
            <w:r>
              <w:rPr>
                <w:b/>
                <w:color w:val="auto"/>
                <w:szCs w:val="21"/>
              </w:rPr>
              <w:t>项目</w:t>
            </w:r>
            <w:r>
              <w:rPr>
                <w:rFonts w:hint="eastAsia"/>
                <w:b/>
                <w:color w:val="auto"/>
                <w:szCs w:val="21"/>
              </w:rPr>
              <w:t>前</w:t>
            </w:r>
            <w:r>
              <w:rPr>
                <w:b/>
                <w:color w:val="auto"/>
                <w:szCs w:val="21"/>
              </w:rPr>
              <w:t>处理线槽体参数一览表</w:t>
            </w:r>
          </w:p>
          <w:tbl>
            <w:tblPr>
              <w:tblStyle w:val="36"/>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1148"/>
              <w:gridCol w:w="1712"/>
              <w:gridCol w:w="589"/>
              <w:gridCol w:w="791"/>
              <w:gridCol w:w="704"/>
              <w:gridCol w:w="811"/>
              <w:gridCol w:w="1308"/>
              <w:gridCol w:w="921"/>
              <w:gridCol w:w="677"/>
            </w:tblGrid>
            <w:tr w14:paraId="79158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91" w:type="pct"/>
                  <w:vAlign w:val="center"/>
                </w:tcPr>
                <w:p w14:paraId="28CCA9E8">
                  <w:pPr>
                    <w:adjustRightInd w:val="0"/>
                    <w:snapToGrid w:val="0"/>
                    <w:jc w:val="center"/>
                    <w:rPr>
                      <w:b/>
                      <w:color w:val="auto"/>
                      <w:szCs w:val="21"/>
                    </w:rPr>
                  </w:pPr>
                  <w:r>
                    <w:rPr>
                      <w:b/>
                      <w:color w:val="auto"/>
                      <w:szCs w:val="21"/>
                    </w:rPr>
                    <w:t>序号</w:t>
                  </w:r>
                </w:p>
              </w:tc>
              <w:tc>
                <w:tcPr>
                  <w:tcW w:w="624" w:type="pct"/>
                  <w:vAlign w:val="center"/>
                </w:tcPr>
                <w:p w14:paraId="4E9EE719">
                  <w:pPr>
                    <w:adjustRightInd w:val="0"/>
                    <w:snapToGrid w:val="0"/>
                    <w:jc w:val="center"/>
                    <w:rPr>
                      <w:b/>
                      <w:color w:val="auto"/>
                      <w:szCs w:val="21"/>
                    </w:rPr>
                  </w:pPr>
                  <w:r>
                    <w:rPr>
                      <w:b/>
                      <w:color w:val="auto"/>
                      <w:szCs w:val="21"/>
                    </w:rPr>
                    <w:t>槽体名称</w:t>
                  </w:r>
                </w:p>
              </w:tc>
              <w:tc>
                <w:tcPr>
                  <w:tcW w:w="931" w:type="pct"/>
                  <w:vAlign w:val="center"/>
                </w:tcPr>
                <w:p w14:paraId="41147E4D">
                  <w:pPr>
                    <w:adjustRightInd w:val="0"/>
                    <w:snapToGrid w:val="0"/>
                    <w:jc w:val="center"/>
                    <w:rPr>
                      <w:b/>
                      <w:color w:val="auto"/>
                      <w:szCs w:val="21"/>
                    </w:rPr>
                  </w:pPr>
                  <w:r>
                    <w:rPr>
                      <w:b/>
                      <w:color w:val="auto"/>
                      <w:szCs w:val="21"/>
                    </w:rPr>
                    <w:t>槽体尺寸(长*宽*高m)</w:t>
                  </w:r>
                </w:p>
              </w:tc>
              <w:tc>
                <w:tcPr>
                  <w:tcW w:w="320" w:type="pct"/>
                  <w:vAlign w:val="center"/>
                </w:tcPr>
                <w:p w14:paraId="4A3E301B">
                  <w:pPr>
                    <w:adjustRightInd w:val="0"/>
                    <w:snapToGrid w:val="0"/>
                    <w:jc w:val="center"/>
                    <w:rPr>
                      <w:b/>
                      <w:color w:val="auto"/>
                      <w:szCs w:val="21"/>
                    </w:rPr>
                  </w:pPr>
                  <w:r>
                    <w:rPr>
                      <w:b/>
                      <w:color w:val="auto"/>
                      <w:szCs w:val="21"/>
                    </w:rPr>
                    <w:t>数量(个)</w:t>
                  </w:r>
                </w:p>
              </w:tc>
              <w:tc>
                <w:tcPr>
                  <w:tcW w:w="430" w:type="pct"/>
                  <w:vAlign w:val="center"/>
                </w:tcPr>
                <w:p w14:paraId="4EC8575F">
                  <w:pPr>
                    <w:adjustRightInd w:val="0"/>
                    <w:snapToGrid w:val="0"/>
                    <w:jc w:val="center"/>
                    <w:rPr>
                      <w:b/>
                      <w:color w:val="auto"/>
                      <w:szCs w:val="21"/>
                    </w:rPr>
                  </w:pPr>
                  <w:r>
                    <w:rPr>
                      <w:b/>
                      <w:color w:val="auto"/>
                      <w:szCs w:val="21"/>
                    </w:rPr>
                    <w:t>有效容积(m</w:t>
                  </w:r>
                  <w:r>
                    <w:rPr>
                      <w:b/>
                      <w:color w:val="auto"/>
                      <w:szCs w:val="21"/>
                      <w:vertAlign w:val="superscript"/>
                    </w:rPr>
                    <w:t>3</w:t>
                  </w:r>
                  <w:r>
                    <w:rPr>
                      <w:b/>
                      <w:color w:val="auto"/>
                      <w:szCs w:val="21"/>
                    </w:rPr>
                    <w:t>)</w:t>
                  </w:r>
                </w:p>
              </w:tc>
              <w:tc>
                <w:tcPr>
                  <w:tcW w:w="383" w:type="pct"/>
                  <w:vAlign w:val="center"/>
                </w:tcPr>
                <w:p w14:paraId="76CCB000">
                  <w:pPr>
                    <w:adjustRightInd w:val="0"/>
                    <w:snapToGrid w:val="0"/>
                    <w:jc w:val="center"/>
                    <w:rPr>
                      <w:b/>
                      <w:color w:val="auto"/>
                      <w:szCs w:val="21"/>
                    </w:rPr>
                  </w:pPr>
                  <w:r>
                    <w:rPr>
                      <w:b/>
                      <w:color w:val="auto"/>
                      <w:szCs w:val="21"/>
                    </w:rPr>
                    <w:t>温度(</w:t>
                  </w:r>
                  <w:r>
                    <w:rPr>
                      <w:rFonts w:hint="eastAsia" w:ascii="宋体" w:hAnsi="宋体" w:cs="宋体"/>
                      <w:b/>
                      <w:color w:val="auto"/>
                      <w:szCs w:val="21"/>
                    </w:rPr>
                    <w:t>℃</w:t>
                  </w:r>
                  <w:r>
                    <w:rPr>
                      <w:b/>
                      <w:color w:val="auto"/>
                      <w:szCs w:val="21"/>
                    </w:rPr>
                    <w:t>)</w:t>
                  </w:r>
                </w:p>
              </w:tc>
              <w:tc>
                <w:tcPr>
                  <w:tcW w:w="441" w:type="pct"/>
                  <w:vAlign w:val="center"/>
                </w:tcPr>
                <w:p w14:paraId="2588DDB2">
                  <w:pPr>
                    <w:adjustRightInd w:val="0"/>
                    <w:snapToGrid w:val="0"/>
                    <w:jc w:val="center"/>
                    <w:rPr>
                      <w:b/>
                      <w:color w:val="auto"/>
                      <w:szCs w:val="21"/>
                    </w:rPr>
                  </w:pPr>
                  <w:r>
                    <w:rPr>
                      <w:b/>
                      <w:color w:val="auto"/>
                      <w:szCs w:val="21"/>
                    </w:rPr>
                    <w:t>停留时间(min)</w:t>
                  </w:r>
                </w:p>
              </w:tc>
              <w:tc>
                <w:tcPr>
                  <w:tcW w:w="711" w:type="pct"/>
                  <w:vAlign w:val="center"/>
                </w:tcPr>
                <w:p w14:paraId="0EADCC82">
                  <w:pPr>
                    <w:adjustRightInd w:val="0"/>
                    <w:snapToGrid w:val="0"/>
                    <w:jc w:val="center"/>
                    <w:rPr>
                      <w:b/>
                      <w:color w:val="auto"/>
                      <w:szCs w:val="21"/>
                    </w:rPr>
                  </w:pPr>
                  <w:r>
                    <w:rPr>
                      <w:b/>
                      <w:color w:val="auto"/>
                      <w:szCs w:val="21"/>
                    </w:rPr>
                    <w:t>药剂/水源</w:t>
                  </w:r>
                </w:p>
              </w:tc>
              <w:tc>
                <w:tcPr>
                  <w:tcW w:w="501" w:type="pct"/>
                  <w:vAlign w:val="center"/>
                </w:tcPr>
                <w:p w14:paraId="3C8B5EB5">
                  <w:pPr>
                    <w:adjustRightInd w:val="0"/>
                    <w:snapToGrid w:val="0"/>
                    <w:jc w:val="center"/>
                    <w:rPr>
                      <w:b/>
                      <w:color w:val="auto"/>
                      <w:szCs w:val="21"/>
                    </w:rPr>
                  </w:pPr>
                  <w:r>
                    <w:rPr>
                      <w:b/>
                      <w:color w:val="auto"/>
                      <w:szCs w:val="21"/>
                    </w:rPr>
                    <w:t>药槽浓度(%)</w:t>
                  </w:r>
                </w:p>
              </w:tc>
              <w:tc>
                <w:tcPr>
                  <w:tcW w:w="364" w:type="pct"/>
                  <w:vAlign w:val="center"/>
                </w:tcPr>
                <w:p w14:paraId="49BD2A88">
                  <w:pPr>
                    <w:adjustRightInd w:val="0"/>
                    <w:snapToGrid w:val="0"/>
                    <w:jc w:val="center"/>
                    <w:rPr>
                      <w:b/>
                      <w:color w:val="auto"/>
                      <w:szCs w:val="21"/>
                    </w:rPr>
                  </w:pPr>
                  <w:r>
                    <w:rPr>
                      <w:b/>
                      <w:color w:val="auto"/>
                      <w:szCs w:val="21"/>
                    </w:rPr>
                    <w:t>清洗方式</w:t>
                  </w:r>
                </w:p>
              </w:tc>
            </w:tr>
            <w:tr w14:paraId="75DFF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4A35F741">
                  <w:pPr>
                    <w:adjustRightInd w:val="0"/>
                    <w:snapToGrid w:val="0"/>
                    <w:jc w:val="center"/>
                    <w:rPr>
                      <w:bCs/>
                      <w:color w:val="auto"/>
                      <w:szCs w:val="21"/>
                    </w:rPr>
                  </w:pPr>
                  <w:r>
                    <w:rPr>
                      <w:bCs/>
                      <w:color w:val="auto"/>
                      <w:szCs w:val="21"/>
                    </w:rPr>
                    <w:t>1</w:t>
                  </w:r>
                </w:p>
              </w:tc>
              <w:tc>
                <w:tcPr>
                  <w:tcW w:w="624" w:type="pct"/>
                  <w:vAlign w:val="center"/>
                </w:tcPr>
                <w:p w14:paraId="135B5740">
                  <w:pPr>
                    <w:adjustRightInd w:val="0"/>
                    <w:snapToGrid w:val="0"/>
                    <w:jc w:val="center"/>
                    <w:rPr>
                      <w:bCs/>
                      <w:color w:val="auto"/>
                      <w:szCs w:val="21"/>
                    </w:rPr>
                  </w:pPr>
                  <w:r>
                    <w:rPr>
                      <w:rFonts w:hint="eastAsia"/>
                      <w:color w:val="auto"/>
                      <w:szCs w:val="21"/>
                    </w:rPr>
                    <w:t>除油槽</w:t>
                  </w:r>
                </w:p>
              </w:tc>
              <w:tc>
                <w:tcPr>
                  <w:tcW w:w="931" w:type="pct"/>
                  <w:vAlign w:val="center"/>
                </w:tcPr>
                <w:p w14:paraId="322EF589">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4E8E66F4">
                  <w:pPr>
                    <w:adjustRightInd w:val="0"/>
                    <w:snapToGrid w:val="0"/>
                    <w:jc w:val="center"/>
                    <w:rPr>
                      <w:bCs/>
                      <w:color w:val="auto"/>
                      <w:szCs w:val="21"/>
                    </w:rPr>
                  </w:pPr>
                  <w:r>
                    <w:rPr>
                      <w:bCs/>
                      <w:color w:val="auto"/>
                      <w:szCs w:val="21"/>
                    </w:rPr>
                    <w:t>1</w:t>
                  </w:r>
                </w:p>
              </w:tc>
              <w:tc>
                <w:tcPr>
                  <w:tcW w:w="430" w:type="pct"/>
                  <w:vAlign w:val="center"/>
                </w:tcPr>
                <w:p w14:paraId="481084D8">
                  <w:pPr>
                    <w:adjustRightInd w:val="0"/>
                    <w:snapToGrid w:val="0"/>
                    <w:jc w:val="center"/>
                    <w:rPr>
                      <w:bCs/>
                      <w:color w:val="auto"/>
                      <w:szCs w:val="21"/>
                    </w:rPr>
                  </w:pPr>
                  <w:r>
                    <w:rPr>
                      <w:rFonts w:hint="eastAsia"/>
                      <w:bCs/>
                      <w:color w:val="auto"/>
                      <w:szCs w:val="21"/>
                    </w:rPr>
                    <w:t>4</w:t>
                  </w:r>
                </w:p>
              </w:tc>
              <w:tc>
                <w:tcPr>
                  <w:tcW w:w="383" w:type="pct"/>
                  <w:vAlign w:val="center"/>
                </w:tcPr>
                <w:p w14:paraId="3CC52304">
                  <w:pPr>
                    <w:adjustRightInd w:val="0"/>
                    <w:snapToGrid w:val="0"/>
                    <w:jc w:val="center"/>
                    <w:rPr>
                      <w:bCs/>
                      <w:color w:val="auto"/>
                      <w:szCs w:val="21"/>
                    </w:rPr>
                  </w:pPr>
                  <w:r>
                    <w:rPr>
                      <w:bCs/>
                      <w:color w:val="auto"/>
                      <w:szCs w:val="21"/>
                    </w:rPr>
                    <w:t>常温</w:t>
                  </w:r>
                </w:p>
              </w:tc>
              <w:tc>
                <w:tcPr>
                  <w:tcW w:w="441" w:type="pct"/>
                  <w:vAlign w:val="center"/>
                </w:tcPr>
                <w:p w14:paraId="71DD3468">
                  <w:pPr>
                    <w:adjustRightInd w:val="0"/>
                    <w:snapToGrid w:val="0"/>
                    <w:jc w:val="center"/>
                    <w:rPr>
                      <w:bCs/>
                      <w:color w:val="auto"/>
                      <w:szCs w:val="21"/>
                    </w:rPr>
                  </w:pPr>
                  <w:r>
                    <w:rPr>
                      <w:bCs/>
                      <w:color w:val="auto"/>
                      <w:szCs w:val="21"/>
                    </w:rPr>
                    <w:t>5</w:t>
                  </w:r>
                </w:p>
              </w:tc>
              <w:tc>
                <w:tcPr>
                  <w:tcW w:w="711" w:type="pct"/>
                  <w:vAlign w:val="center"/>
                </w:tcPr>
                <w:p w14:paraId="4E305F75">
                  <w:pPr>
                    <w:adjustRightInd w:val="0"/>
                    <w:snapToGrid w:val="0"/>
                    <w:jc w:val="center"/>
                    <w:rPr>
                      <w:rFonts w:hint="default" w:eastAsia="宋体"/>
                      <w:bCs/>
                      <w:color w:val="auto"/>
                      <w:szCs w:val="21"/>
                      <w:lang w:val="en-US" w:eastAsia="zh-CN"/>
                    </w:rPr>
                  </w:pPr>
                  <w:r>
                    <w:rPr>
                      <w:rFonts w:hint="eastAsia"/>
                      <w:bCs/>
                      <w:color w:val="auto"/>
                      <w:szCs w:val="21"/>
                    </w:rPr>
                    <w:t>除油粉</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30CAF814">
                  <w:pPr>
                    <w:adjustRightInd w:val="0"/>
                    <w:snapToGrid w:val="0"/>
                    <w:jc w:val="center"/>
                    <w:rPr>
                      <w:bCs/>
                      <w:color w:val="auto"/>
                      <w:szCs w:val="21"/>
                    </w:rPr>
                  </w:pPr>
                  <w:r>
                    <w:rPr>
                      <w:color w:val="auto"/>
                      <w:szCs w:val="21"/>
                    </w:rPr>
                    <w:t>5</w:t>
                  </w:r>
                </w:p>
              </w:tc>
              <w:tc>
                <w:tcPr>
                  <w:tcW w:w="364" w:type="pct"/>
                  <w:vAlign w:val="center"/>
                </w:tcPr>
                <w:p w14:paraId="759BD24E">
                  <w:pPr>
                    <w:adjustRightInd w:val="0"/>
                    <w:snapToGrid w:val="0"/>
                    <w:jc w:val="center"/>
                    <w:rPr>
                      <w:bCs/>
                      <w:color w:val="auto"/>
                      <w:szCs w:val="21"/>
                    </w:rPr>
                  </w:pPr>
                  <w:r>
                    <w:rPr>
                      <w:bCs/>
                      <w:color w:val="auto"/>
                      <w:szCs w:val="21"/>
                    </w:rPr>
                    <w:t>浸泡</w:t>
                  </w:r>
                </w:p>
              </w:tc>
            </w:tr>
            <w:tr w14:paraId="4EA7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2D5EC916">
                  <w:pPr>
                    <w:adjustRightInd w:val="0"/>
                    <w:snapToGrid w:val="0"/>
                    <w:jc w:val="center"/>
                    <w:rPr>
                      <w:bCs/>
                      <w:color w:val="auto"/>
                      <w:szCs w:val="21"/>
                    </w:rPr>
                  </w:pPr>
                  <w:r>
                    <w:rPr>
                      <w:bCs/>
                      <w:color w:val="auto"/>
                      <w:szCs w:val="21"/>
                    </w:rPr>
                    <w:t>2</w:t>
                  </w:r>
                </w:p>
              </w:tc>
              <w:tc>
                <w:tcPr>
                  <w:tcW w:w="624" w:type="pct"/>
                  <w:vAlign w:val="center"/>
                </w:tcPr>
                <w:p w14:paraId="285525BD">
                  <w:pPr>
                    <w:adjustRightInd w:val="0"/>
                    <w:snapToGrid w:val="0"/>
                    <w:jc w:val="center"/>
                    <w:rPr>
                      <w:bCs/>
                      <w:color w:val="auto"/>
                      <w:szCs w:val="21"/>
                    </w:rPr>
                  </w:pPr>
                  <w:r>
                    <w:rPr>
                      <w:rFonts w:hint="eastAsia"/>
                      <w:color w:val="auto"/>
                      <w:szCs w:val="21"/>
                    </w:rPr>
                    <w:t>清洗槽1</w:t>
                  </w:r>
                </w:p>
              </w:tc>
              <w:tc>
                <w:tcPr>
                  <w:tcW w:w="931" w:type="pct"/>
                  <w:vAlign w:val="center"/>
                </w:tcPr>
                <w:p w14:paraId="659587D8">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34894E8C">
                  <w:pPr>
                    <w:adjustRightInd w:val="0"/>
                    <w:snapToGrid w:val="0"/>
                    <w:jc w:val="center"/>
                    <w:rPr>
                      <w:bCs/>
                      <w:color w:val="auto"/>
                      <w:szCs w:val="21"/>
                    </w:rPr>
                  </w:pPr>
                  <w:r>
                    <w:rPr>
                      <w:bCs/>
                      <w:color w:val="auto"/>
                      <w:szCs w:val="21"/>
                    </w:rPr>
                    <w:t>1</w:t>
                  </w:r>
                </w:p>
              </w:tc>
              <w:tc>
                <w:tcPr>
                  <w:tcW w:w="430" w:type="pct"/>
                  <w:vAlign w:val="center"/>
                </w:tcPr>
                <w:p w14:paraId="12972BFA">
                  <w:pPr>
                    <w:adjustRightInd w:val="0"/>
                    <w:snapToGrid w:val="0"/>
                    <w:jc w:val="center"/>
                    <w:rPr>
                      <w:bCs/>
                      <w:color w:val="auto"/>
                      <w:szCs w:val="21"/>
                    </w:rPr>
                  </w:pPr>
                  <w:r>
                    <w:rPr>
                      <w:rFonts w:hint="eastAsia"/>
                      <w:bCs/>
                      <w:color w:val="auto"/>
                      <w:szCs w:val="21"/>
                    </w:rPr>
                    <w:t>4</w:t>
                  </w:r>
                </w:p>
              </w:tc>
              <w:tc>
                <w:tcPr>
                  <w:tcW w:w="383" w:type="pct"/>
                  <w:vAlign w:val="center"/>
                </w:tcPr>
                <w:p w14:paraId="4C7EC480">
                  <w:pPr>
                    <w:adjustRightInd w:val="0"/>
                    <w:snapToGrid w:val="0"/>
                    <w:jc w:val="center"/>
                    <w:rPr>
                      <w:bCs/>
                      <w:color w:val="auto"/>
                      <w:szCs w:val="21"/>
                    </w:rPr>
                  </w:pPr>
                  <w:r>
                    <w:rPr>
                      <w:bCs/>
                      <w:color w:val="auto"/>
                      <w:szCs w:val="21"/>
                    </w:rPr>
                    <w:t>常温</w:t>
                  </w:r>
                </w:p>
              </w:tc>
              <w:tc>
                <w:tcPr>
                  <w:tcW w:w="441" w:type="pct"/>
                  <w:vAlign w:val="center"/>
                </w:tcPr>
                <w:p w14:paraId="3645428F">
                  <w:pPr>
                    <w:adjustRightInd w:val="0"/>
                    <w:snapToGrid w:val="0"/>
                    <w:jc w:val="center"/>
                    <w:rPr>
                      <w:bCs/>
                      <w:color w:val="auto"/>
                      <w:szCs w:val="21"/>
                    </w:rPr>
                  </w:pPr>
                  <w:r>
                    <w:rPr>
                      <w:rFonts w:hint="eastAsia"/>
                      <w:bCs/>
                      <w:color w:val="auto"/>
                      <w:szCs w:val="21"/>
                    </w:rPr>
                    <w:t>1</w:t>
                  </w:r>
                </w:p>
              </w:tc>
              <w:tc>
                <w:tcPr>
                  <w:tcW w:w="711" w:type="pct"/>
                  <w:vAlign w:val="center"/>
                </w:tcPr>
                <w:p w14:paraId="1A173C8C">
                  <w:pPr>
                    <w:adjustRightInd w:val="0"/>
                    <w:snapToGrid w:val="0"/>
                    <w:jc w:val="center"/>
                    <w:rPr>
                      <w:bCs/>
                      <w:color w:val="auto"/>
                      <w:szCs w:val="21"/>
                    </w:rPr>
                  </w:pPr>
                  <w:r>
                    <w:rPr>
                      <w:rFonts w:hint="eastAsia"/>
                      <w:bCs/>
                      <w:color w:val="auto"/>
                      <w:szCs w:val="21"/>
                    </w:rPr>
                    <w:t>回用水</w:t>
                  </w:r>
                </w:p>
              </w:tc>
              <w:tc>
                <w:tcPr>
                  <w:tcW w:w="501" w:type="pct"/>
                  <w:vAlign w:val="center"/>
                </w:tcPr>
                <w:p w14:paraId="087A7D1C">
                  <w:pPr>
                    <w:adjustRightInd w:val="0"/>
                    <w:snapToGrid w:val="0"/>
                    <w:jc w:val="center"/>
                    <w:rPr>
                      <w:bCs/>
                      <w:color w:val="auto"/>
                      <w:szCs w:val="21"/>
                    </w:rPr>
                  </w:pPr>
                  <w:r>
                    <w:rPr>
                      <w:rFonts w:hint="eastAsia"/>
                      <w:color w:val="auto"/>
                      <w:szCs w:val="21"/>
                    </w:rPr>
                    <w:t>/</w:t>
                  </w:r>
                </w:p>
              </w:tc>
              <w:tc>
                <w:tcPr>
                  <w:tcW w:w="364" w:type="pct"/>
                  <w:vAlign w:val="center"/>
                </w:tcPr>
                <w:p w14:paraId="5E1E6221">
                  <w:pPr>
                    <w:adjustRightInd w:val="0"/>
                    <w:snapToGrid w:val="0"/>
                    <w:jc w:val="center"/>
                    <w:rPr>
                      <w:bCs/>
                      <w:color w:val="auto"/>
                      <w:szCs w:val="21"/>
                    </w:rPr>
                  </w:pPr>
                  <w:r>
                    <w:rPr>
                      <w:bCs/>
                      <w:color w:val="auto"/>
                      <w:szCs w:val="21"/>
                    </w:rPr>
                    <w:t>浸泡</w:t>
                  </w:r>
                </w:p>
              </w:tc>
            </w:tr>
            <w:tr w14:paraId="23550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070E66C9">
                  <w:pPr>
                    <w:adjustRightInd w:val="0"/>
                    <w:snapToGrid w:val="0"/>
                    <w:jc w:val="center"/>
                    <w:rPr>
                      <w:bCs/>
                      <w:color w:val="auto"/>
                      <w:szCs w:val="21"/>
                    </w:rPr>
                  </w:pPr>
                  <w:r>
                    <w:rPr>
                      <w:bCs/>
                      <w:color w:val="auto"/>
                      <w:szCs w:val="21"/>
                    </w:rPr>
                    <w:t>3</w:t>
                  </w:r>
                </w:p>
              </w:tc>
              <w:tc>
                <w:tcPr>
                  <w:tcW w:w="624" w:type="pct"/>
                  <w:vAlign w:val="center"/>
                </w:tcPr>
                <w:p w14:paraId="4E89E990">
                  <w:pPr>
                    <w:adjustRightInd w:val="0"/>
                    <w:snapToGrid w:val="0"/>
                    <w:jc w:val="center"/>
                    <w:rPr>
                      <w:color w:val="auto"/>
                      <w:szCs w:val="21"/>
                    </w:rPr>
                  </w:pPr>
                  <w:r>
                    <w:rPr>
                      <w:rFonts w:hint="eastAsia"/>
                      <w:color w:val="auto"/>
                      <w:szCs w:val="21"/>
                    </w:rPr>
                    <w:t>除锈槽</w:t>
                  </w:r>
                </w:p>
              </w:tc>
              <w:tc>
                <w:tcPr>
                  <w:tcW w:w="931" w:type="pct"/>
                  <w:vAlign w:val="center"/>
                </w:tcPr>
                <w:p w14:paraId="1BD20A2A">
                  <w:pPr>
                    <w:adjustRightInd w:val="0"/>
                    <w:snapToGrid w:val="0"/>
                    <w:jc w:val="center"/>
                    <w:rPr>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63DCA05B">
                  <w:pPr>
                    <w:adjustRightInd w:val="0"/>
                    <w:snapToGrid w:val="0"/>
                    <w:jc w:val="center"/>
                    <w:rPr>
                      <w:bCs/>
                      <w:color w:val="auto"/>
                      <w:szCs w:val="21"/>
                    </w:rPr>
                  </w:pPr>
                  <w:r>
                    <w:rPr>
                      <w:bCs/>
                      <w:color w:val="auto"/>
                      <w:szCs w:val="21"/>
                    </w:rPr>
                    <w:t>1</w:t>
                  </w:r>
                </w:p>
              </w:tc>
              <w:tc>
                <w:tcPr>
                  <w:tcW w:w="430" w:type="pct"/>
                  <w:vAlign w:val="center"/>
                </w:tcPr>
                <w:p w14:paraId="2200BE9E">
                  <w:pPr>
                    <w:adjustRightInd w:val="0"/>
                    <w:snapToGrid w:val="0"/>
                    <w:jc w:val="center"/>
                    <w:rPr>
                      <w:bCs/>
                      <w:color w:val="auto"/>
                      <w:szCs w:val="21"/>
                    </w:rPr>
                  </w:pPr>
                  <w:r>
                    <w:rPr>
                      <w:rFonts w:hint="eastAsia"/>
                      <w:bCs/>
                      <w:color w:val="auto"/>
                      <w:szCs w:val="21"/>
                    </w:rPr>
                    <w:t>4</w:t>
                  </w:r>
                </w:p>
              </w:tc>
              <w:tc>
                <w:tcPr>
                  <w:tcW w:w="383" w:type="pct"/>
                  <w:vAlign w:val="center"/>
                </w:tcPr>
                <w:p w14:paraId="119D7B08">
                  <w:pPr>
                    <w:adjustRightInd w:val="0"/>
                    <w:snapToGrid w:val="0"/>
                    <w:jc w:val="center"/>
                    <w:rPr>
                      <w:bCs/>
                      <w:color w:val="auto"/>
                      <w:szCs w:val="21"/>
                    </w:rPr>
                  </w:pPr>
                  <w:r>
                    <w:rPr>
                      <w:bCs/>
                      <w:color w:val="auto"/>
                      <w:szCs w:val="21"/>
                    </w:rPr>
                    <w:t>常温</w:t>
                  </w:r>
                </w:p>
              </w:tc>
              <w:tc>
                <w:tcPr>
                  <w:tcW w:w="441" w:type="pct"/>
                  <w:vAlign w:val="center"/>
                </w:tcPr>
                <w:p w14:paraId="6185AE42">
                  <w:pPr>
                    <w:adjustRightInd w:val="0"/>
                    <w:snapToGrid w:val="0"/>
                    <w:jc w:val="center"/>
                    <w:rPr>
                      <w:bCs/>
                      <w:color w:val="auto"/>
                      <w:szCs w:val="21"/>
                    </w:rPr>
                  </w:pPr>
                  <w:r>
                    <w:rPr>
                      <w:rFonts w:hint="eastAsia"/>
                      <w:bCs/>
                      <w:color w:val="auto"/>
                      <w:szCs w:val="21"/>
                    </w:rPr>
                    <w:t>5</w:t>
                  </w:r>
                </w:p>
              </w:tc>
              <w:tc>
                <w:tcPr>
                  <w:tcW w:w="711" w:type="pct"/>
                  <w:vAlign w:val="center"/>
                </w:tcPr>
                <w:p w14:paraId="607AF756">
                  <w:pPr>
                    <w:adjustRightInd w:val="0"/>
                    <w:snapToGrid w:val="0"/>
                    <w:jc w:val="center"/>
                    <w:rPr>
                      <w:bCs/>
                      <w:color w:val="auto"/>
                      <w:szCs w:val="21"/>
                    </w:rPr>
                  </w:pPr>
                  <w:r>
                    <w:rPr>
                      <w:rFonts w:hint="eastAsia"/>
                      <w:bCs/>
                      <w:color w:val="auto"/>
                      <w:szCs w:val="21"/>
                    </w:rPr>
                    <w:t>硫酸</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686F8484">
                  <w:pPr>
                    <w:adjustRightInd w:val="0"/>
                    <w:snapToGrid w:val="0"/>
                    <w:jc w:val="center"/>
                    <w:rPr>
                      <w:color w:val="auto"/>
                      <w:szCs w:val="21"/>
                    </w:rPr>
                  </w:pPr>
                  <w:r>
                    <w:rPr>
                      <w:rFonts w:hint="eastAsia"/>
                      <w:color w:val="auto"/>
                      <w:szCs w:val="21"/>
                    </w:rPr>
                    <w:t>10</w:t>
                  </w:r>
                </w:p>
              </w:tc>
              <w:tc>
                <w:tcPr>
                  <w:tcW w:w="364" w:type="pct"/>
                  <w:vAlign w:val="center"/>
                </w:tcPr>
                <w:p w14:paraId="193BB9D6">
                  <w:pPr>
                    <w:adjustRightInd w:val="0"/>
                    <w:snapToGrid w:val="0"/>
                    <w:jc w:val="center"/>
                    <w:rPr>
                      <w:bCs/>
                      <w:color w:val="auto"/>
                      <w:szCs w:val="21"/>
                    </w:rPr>
                  </w:pPr>
                  <w:r>
                    <w:rPr>
                      <w:bCs/>
                      <w:color w:val="auto"/>
                      <w:szCs w:val="21"/>
                    </w:rPr>
                    <w:t>浸泡</w:t>
                  </w:r>
                </w:p>
              </w:tc>
            </w:tr>
            <w:tr w14:paraId="6D518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0EF5FDAC">
                  <w:pPr>
                    <w:adjustRightInd w:val="0"/>
                    <w:snapToGrid w:val="0"/>
                    <w:jc w:val="center"/>
                    <w:rPr>
                      <w:bCs/>
                      <w:color w:val="auto"/>
                      <w:szCs w:val="21"/>
                    </w:rPr>
                  </w:pPr>
                  <w:r>
                    <w:rPr>
                      <w:bCs/>
                      <w:color w:val="auto"/>
                      <w:szCs w:val="21"/>
                    </w:rPr>
                    <w:t>4</w:t>
                  </w:r>
                </w:p>
              </w:tc>
              <w:tc>
                <w:tcPr>
                  <w:tcW w:w="624" w:type="pct"/>
                  <w:vAlign w:val="center"/>
                </w:tcPr>
                <w:p w14:paraId="0E117219">
                  <w:pPr>
                    <w:adjustRightInd w:val="0"/>
                    <w:snapToGrid w:val="0"/>
                    <w:jc w:val="center"/>
                    <w:rPr>
                      <w:color w:val="auto"/>
                      <w:szCs w:val="21"/>
                    </w:rPr>
                  </w:pPr>
                  <w:r>
                    <w:rPr>
                      <w:rFonts w:hint="eastAsia"/>
                      <w:color w:val="auto"/>
                      <w:szCs w:val="21"/>
                    </w:rPr>
                    <w:t>脱脂槽</w:t>
                  </w:r>
                </w:p>
              </w:tc>
              <w:tc>
                <w:tcPr>
                  <w:tcW w:w="931" w:type="pct"/>
                  <w:vAlign w:val="center"/>
                </w:tcPr>
                <w:p w14:paraId="4E52EEEA">
                  <w:pPr>
                    <w:adjustRightInd w:val="0"/>
                    <w:snapToGrid w:val="0"/>
                    <w:jc w:val="center"/>
                    <w:rPr>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5EA46BEF">
                  <w:pPr>
                    <w:adjustRightInd w:val="0"/>
                    <w:snapToGrid w:val="0"/>
                    <w:jc w:val="center"/>
                    <w:rPr>
                      <w:bCs/>
                      <w:color w:val="auto"/>
                      <w:szCs w:val="21"/>
                    </w:rPr>
                  </w:pPr>
                  <w:r>
                    <w:rPr>
                      <w:bCs/>
                      <w:color w:val="auto"/>
                      <w:szCs w:val="21"/>
                    </w:rPr>
                    <w:t>1</w:t>
                  </w:r>
                </w:p>
              </w:tc>
              <w:tc>
                <w:tcPr>
                  <w:tcW w:w="430" w:type="pct"/>
                  <w:vAlign w:val="center"/>
                </w:tcPr>
                <w:p w14:paraId="64CDA35D">
                  <w:pPr>
                    <w:adjustRightInd w:val="0"/>
                    <w:snapToGrid w:val="0"/>
                    <w:jc w:val="center"/>
                    <w:rPr>
                      <w:bCs/>
                      <w:color w:val="auto"/>
                      <w:szCs w:val="21"/>
                    </w:rPr>
                  </w:pPr>
                  <w:r>
                    <w:rPr>
                      <w:rFonts w:hint="eastAsia"/>
                      <w:bCs/>
                      <w:color w:val="auto"/>
                      <w:szCs w:val="21"/>
                    </w:rPr>
                    <w:t>4</w:t>
                  </w:r>
                </w:p>
              </w:tc>
              <w:tc>
                <w:tcPr>
                  <w:tcW w:w="383" w:type="pct"/>
                  <w:vAlign w:val="center"/>
                </w:tcPr>
                <w:p w14:paraId="40010412">
                  <w:pPr>
                    <w:adjustRightInd w:val="0"/>
                    <w:snapToGrid w:val="0"/>
                    <w:jc w:val="center"/>
                    <w:rPr>
                      <w:bCs/>
                      <w:color w:val="auto"/>
                      <w:szCs w:val="21"/>
                    </w:rPr>
                  </w:pPr>
                  <w:r>
                    <w:rPr>
                      <w:bCs/>
                      <w:color w:val="auto"/>
                      <w:szCs w:val="21"/>
                    </w:rPr>
                    <w:t>常温</w:t>
                  </w:r>
                </w:p>
              </w:tc>
              <w:tc>
                <w:tcPr>
                  <w:tcW w:w="441" w:type="pct"/>
                  <w:vAlign w:val="center"/>
                </w:tcPr>
                <w:p w14:paraId="020605DA">
                  <w:pPr>
                    <w:adjustRightInd w:val="0"/>
                    <w:snapToGrid w:val="0"/>
                    <w:jc w:val="center"/>
                    <w:rPr>
                      <w:bCs/>
                      <w:color w:val="auto"/>
                      <w:szCs w:val="21"/>
                    </w:rPr>
                  </w:pPr>
                  <w:r>
                    <w:rPr>
                      <w:rFonts w:hint="eastAsia"/>
                      <w:bCs/>
                      <w:color w:val="auto"/>
                      <w:szCs w:val="21"/>
                    </w:rPr>
                    <w:t>5</w:t>
                  </w:r>
                </w:p>
              </w:tc>
              <w:tc>
                <w:tcPr>
                  <w:tcW w:w="711" w:type="pct"/>
                  <w:vAlign w:val="center"/>
                </w:tcPr>
                <w:p w14:paraId="3C1B3178">
                  <w:pPr>
                    <w:adjustRightInd w:val="0"/>
                    <w:snapToGrid w:val="0"/>
                    <w:jc w:val="center"/>
                    <w:rPr>
                      <w:bCs/>
                      <w:color w:val="auto"/>
                      <w:szCs w:val="21"/>
                    </w:rPr>
                  </w:pPr>
                  <w:r>
                    <w:rPr>
                      <w:rFonts w:hint="eastAsia"/>
                      <w:bCs/>
                      <w:color w:val="auto"/>
                      <w:szCs w:val="21"/>
                    </w:rPr>
                    <w:t>脱脂剂</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7A45A80D">
                  <w:pPr>
                    <w:adjustRightInd w:val="0"/>
                    <w:snapToGrid w:val="0"/>
                    <w:jc w:val="center"/>
                    <w:rPr>
                      <w:color w:val="auto"/>
                      <w:szCs w:val="21"/>
                    </w:rPr>
                  </w:pPr>
                  <w:r>
                    <w:rPr>
                      <w:rFonts w:hint="eastAsia"/>
                      <w:color w:val="auto"/>
                      <w:szCs w:val="21"/>
                    </w:rPr>
                    <w:t>5</w:t>
                  </w:r>
                </w:p>
              </w:tc>
              <w:tc>
                <w:tcPr>
                  <w:tcW w:w="364" w:type="pct"/>
                  <w:vAlign w:val="center"/>
                </w:tcPr>
                <w:p w14:paraId="5D4CFB4C">
                  <w:pPr>
                    <w:adjustRightInd w:val="0"/>
                    <w:snapToGrid w:val="0"/>
                    <w:jc w:val="center"/>
                    <w:rPr>
                      <w:bCs/>
                      <w:color w:val="auto"/>
                      <w:szCs w:val="21"/>
                    </w:rPr>
                  </w:pPr>
                  <w:r>
                    <w:rPr>
                      <w:bCs/>
                      <w:color w:val="auto"/>
                      <w:szCs w:val="21"/>
                    </w:rPr>
                    <w:t>浸泡</w:t>
                  </w:r>
                </w:p>
              </w:tc>
            </w:tr>
            <w:tr w14:paraId="74D6E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6BB99B68">
                  <w:pPr>
                    <w:adjustRightInd w:val="0"/>
                    <w:snapToGrid w:val="0"/>
                    <w:jc w:val="center"/>
                    <w:rPr>
                      <w:bCs/>
                      <w:color w:val="auto"/>
                      <w:szCs w:val="21"/>
                    </w:rPr>
                  </w:pPr>
                  <w:r>
                    <w:rPr>
                      <w:bCs/>
                      <w:color w:val="auto"/>
                      <w:szCs w:val="21"/>
                    </w:rPr>
                    <w:t>5</w:t>
                  </w:r>
                </w:p>
              </w:tc>
              <w:tc>
                <w:tcPr>
                  <w:tcW w:w="624" w:type="pct"/>
                  <w:vAlign w:val="center"/>
                </w:tcPr>
                <w:p w14:paraId="4A8BDB64">
                  <w:pPr>
                    <w:adjustRightInd w:val="0"/>
                    <w:snapToGrid w:val="0"/>
                    <w:jc w:val="center"/>
                    <w:rPr>
                      <w:bCs/>
                      <w:color w:val="auto"/>
                      <w:szCs w:val="21"/>
                    </w:rPr>
                  </w:pPr>
                  <w:r>
                    <w:rPr>
                      <w:rFonts w:hint="eastAsia"/>
                      <w:color w:val="auto"/>
                      <w:szCs w:val="21"/>
                    </w:rPr>
                    <w:t>清洗槽2</w:t>
                  </w:r>
                </w:p>
              </w:tc>
              <w:tc>
                <w:tcPr>
                  <w:tcW w:w="931" w:type="pct"/>
                  <w:vAlign w:val="center"/>
                </w:tcPr>
                <w:p w14:paraId="726C79D8">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468B5099">
                  <w:pPr>
                    <w:adjustRightInd w:val="0"/>
                    <w:snapToGrid w:val="0"/>
                    <w:jc w:val="center"/>
                    <w:rPr>
                      <w:bCs/>
                      <w:color w:val="auto"/>
                      <w:szCs w:val="21"/>
                    </w:rPr>
                  </w:pPr>
                  <w:r>
                    <w:rPr>
                      <w:bCs/>
                      <w:color w:val="auto"/>
                      <w:szCs w:val="21"/>
                    </w:rPr>
                    <w:t>1</w:t>
                  </w:r>
                </w:p>
              </w:tc>
              <w:tc>
                <w:tcPr>
                  <w:tcW w:w="430" w:type="pct"/>
                  <w:vAlign w:val="center"/>
                </w:tcPr>
                <w:p w14:paraId="699FE49B">
                  <w:pPr>
                    <w:adjustRightInd w:val="0"/>
                    <w:snapToGrid w:val="0"/>
                    <w:jc w:val="center"/>
                    <w:rPr>
                      <w:bCs/>
                      <w:color w:val="auto"/>
                      <w:szCs w:val="21"/>
                    </w:rPr>
                  </w:pPr>
                  <w:r>
                    <w:rPr>
                      <w:rFonts w:hint="eastAsia"/>
                      <w:bCs/>
                      <w:color w:val="auto"/>
                      <w:szCs w:val="21"/>
                    </w:rPr>
                    <w:t>4</w:t>
                  </w:r>
                </w:p>
              </w:tc>
              <w:tc>
                <w:tcPr>
                  <w:tcW w:w="383" w:type="pct"/>
                  <w:vAlign w:val="center"/>
                </w:tcPr>
                <w:p w14:paraId="36120525">
                  <w:pPr>
                    <w:adjustRightInd w:val="0"/>
                    <w:snapToGrid w:val="0"/>
                    <w:jc w:val="center"/>
                    <w:rPr>
                      <w:bCs/>
                      <w:color w:val="auto"/>
                      <w:szCs w:val="21"/>
                    </w:rPr>
                  </w:pPr>
                  <w:r>
                    <w:rPr>
                      <w:bCs/>
                      <w:color w:val="auto"/>
                      <w:szCs w:val="21"/>
                    </w:rPr>
                    <w:t>常温</w:t>
                  </w:r>
                </w:p>
              </w:tc>
              <w:tc>
                <w:tcPr>
                  <w:tcW w:w="441" w:type="pct"/>
                  <w:vAlign w:val="center"/>
                </w:tcPr>
                <w:p w14:paraId="6C5C396D">
                  <w:pPr>
                    <w:adjustRightInd w:val="0"/>
                    <w:snapToGrid w:val="0"/>
                    <w:jc w:val="center"/>
                    <w:rPr>
                      <w:bCs/>
                      <w:color w:val="auto"/>
                      <w:szCs w:val="21"/>
                    </w:rPr>
                  </w:pPr>
                  <w:r>
                    <w:rPr>
                      <w:bCs/>
                      <w:color w:val="auto"/>
                      <w:szCs w:val="21"/>
                    </w:rPr>
                    <w:t>1</w:t>
                  </w:r>
                </w:p>
              </w:tc>
              <w:tc>
                <w:tcPr>
                  <w:tcW w:w="711" w:type="pct"/>
                  <w:vAlign w:val="center"/>
                </w:tcPr>
                <w:p w14:paraId="2913F466">
                  <w:pPr>
                    <w:adjustRightInd w:val="0"/>
                    <w:snapToGrid w:val="0"/>
                    <w:jc w:val="center"/>
                    <w:rPr>
                      <w:bCs/>
                      <w:color w:val="auto"/>
                      <w:szCs w:val="21"/>
                    </w:rPr>
                  </w:pPr>
                  <w:r>
                    <w:rPr>
                      <w:bCs/>
                      <w:color w:val="auto"/>
                      <w:szCs w:val="21"/>
                    </w:rPr>
                    <w:t>回用水</w:t>
                  </w:r>
                </w:p>
              </w:tc>
              <w:tc>
                <w:tcPr>
                  <w:tcW w:w="501" w:type="pct"/>
                  <w:vAlign w:val="center"/>
                </w:tcPr>
                <w:p w14:paraId="7D93B2CF">
                  <w:pPr>
                    <w:adjustRightInd w:val="0"/>
                    <w:snapToGrid w:val="0"/>
                    <w:jc w:val="center"/>
                    <w:rPr>
                      <w:bCs/>
                      <w:color w:val="auto"/>
                      <w:szCs w:val="21"/>
                    </w:rPr>
                  </w:pPr>
                  <w:r>
                    <w:rPr>
                      <w:rFonts w:hint="eastAsia"/>
                      <w:color w:val="auto"/>
                      <w:szCs w:val="21"/>
                    </w:rPr>
                    <w:t>/</w:t>
                  </w:r>
                </w:p>
              </w:tc>
              <w:tc>
                <w:tcPr>
                  <w:tcW w:w="364" w:type="pct"/>
                  <w:vAlign w:val="center"/>
                </w:tcPr>
                <w:p w14:paraId="263FB386">
                  <w:pPr>
                    <w:adjustRightInd w:val="0"/>
                    <w:snapToGrid w:val="0"/>
                    <w:jc w:val="center"/>
                    <w:rPr>
                      <w:bCs/>
                      <w:color w:val="auto"/>
                      <w:szCs w:val="21"/>
                    </w:rPr>
                  </w:pPr>
                  <w:r>
                    <w:rPr>
                      <w:bCs/>
                      <w:color w:val="auto"/>
                      <w:szCs w:val="21"/>
                    </w:rPr>
                    <w:t>浸泡</w:t>
                  </w:r>
                </w:p>
              </w:tc>
            </w:tr>
            <w:tr w14:paraId="5E581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7453CF78">
                  <w:pPr>
                    <w:adjustRightInd w:val="0"/>
                    <w:snapToGrid w:val="0"/>
                    <w:jc w:val="center"/>
                    <w:rPr>
                      <w:bCs/>
                      <w:color w:val="auto"/>
                      <w:szCs w:val="21"/>
                    </w:rPr>
                  </w:pPr>
                  <w:r>
                    <w:rPr>
                      <w:bCs/>
                      <w:color w:val="auto"/>
                      <w:szCs w:val="21"/>
                    </w:rPr>
                    <w:t>6</w:t>
                  </w:r>
                </w:p>
              </w:tc>
              <w:tc>
                <w:tcPr>
                  <w:tcW w:w="624" w:type="pct"/>
                  <w:vAlign w:val="center"/>
                </w:tcPr>
                <w:p w14:paraId="4E4B2FB2">
                  <w:pPr>
                    <w:adjustRightInd w:val="0"/>
                    <w:snapToGrid w:val="0"/>
                    <w:jc w:val="center"/>
                    <w:rPr>
                      <w:bCs/>
                      <w:color w:val="auto"/>
                      <w:szCs w:val="21"/>
                    </w:rPr>
                  </w:pPr>
                  <w:r>
                    <w:rPr>
                      <w:rFonts w:hint="eastAsia"/>
                      <w:color w:val="auto"/>
                      <w:szCs w:val="21"/>
                    </w:rPr>
                    <w:t>清洗槽3</w:t>
                  </w:r>
                </w:p>
              </w:tc>
              <w:tc>
                <w:tcPr>
                  <w:tcW w:w="931" w:type="pct"/>
                  <w:vAlign w:val="center"/>
                </w:tcPr>
                <w:p w14:paraId="3571984E">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61ECBD9A">
                  <w:pPr>
                    <w:adjustRightInd w:val="0"/>
                    <w:snapToGrid w:val="0"/>
                    <w:jc w:val="center"/>
                    <w:rPr>
                      <w:bCs/>
                      <w:color w:val="auto"/>
                      <w:szCs w:val="21"/>
                    </w:rPr>
                  </w:pPr>
                  <w:r>
                    <w:rPr>
                      <w:bCs/>
                      <w:color w:val="auto"/>
                      <w:szCs w:val="21"/>
                    </w:rPr>
                    <w:t>1</w:t>
                  </w:r>
                </w:p>
              </w:tc>
              <w:tc>
                <w:tcPr>
                  <w:tcW w:w="430" w:type="pct"/>
                  <w:vAlign w:val="center"/>
                </w:tcPr>
                <w:p w14:paraId="5232B1E8">
                  <w:pPr>
                    <w:adjustRightInd w:val="0"/>
                    <w:snapToGrid w:val="0"/>
                    <w:jc w:val="center"/>
                    <w:rPr>
                      <w:bCs/>
                      <w:color w:val="auto"/>
                      <w:szCs w:val="21"/>
                    </w:rPr>
                  </w:pPr>
                  <w:r>
                    <w:rPr>
                      <w:rFonts w:hint="eastAsia"/>
                      <w:bCs/>
                      <w:color w:val="auto"/>
                      <w:szCs w:val="21"/>
                    </w:rPr>
                    <w:t>4</w:t>
                  </w:r>
                </w:p>
              </w:tc>
              <w:tc>
                <w:tcPr>
                  <w:tcW w:w="383" w:type="pct"/>
                  <w:vAlign w:val="center"/>
                </w:tcPr>
                <w:p w14:paraId="7DDFFFDF">
                  <w:pPr>
                    <w:adjustRightInd w:val="0"/>
                    <w:snapToGrid w:val="0"/>
                    <w:jc w:val="center"/>
                    <w:rPr>
                      <w:bCs/>
                      <w:color w:val="auto"/>
                      <w:szCs w:val="21"/>
                    </w:rPr>
                  </w:pPr>
                  <w:r>
                    <w:rPr>
                      <w:bCs/>
                      <w:color w:val="auto"/>
                      <w:szCs w:val="21"/>
                    </w:rPr>
                    <w:t>常温</w:t>
                  </w:r>
                </w:p>
              </w:tc>
              <w:tc>
                <w:tcPr>
                  <w:tcW w:w="441" w:type="pct"/>
                  <w:vAlign w:val="center"/>
                </w:tcPr>
                <w:p w14:paraId="1568121D">
                  <w:pPr>
                    <w:adjustRightInd w:val="0"/>
                    <w:snapToGrid w:val="0"/>
                    <w:jc w:val="center"/>
                    <w:rPr>
                      <w:bCs/>
                      <w:color w:val="auto"/>
                      <w:szCs w:val="21"/>
                    </w:rPr>
                  </w:pPr>
                  <w:r>
                    <w:rPr>
                      <w:bCs/>
                      <w:color w:val="auto"/>
                      <w:szCs w:val="21"/>
                    </w:rPr>
                    <w:t>1</w:t>
                  </w:r>
                </w:p>
              </w:tc>
              <w:tc>
                <w:tcPr>
                  <w:tcW w:w="1308" w:type="dxa"/>
                  <w:vAlign w:val="center"/>
                </w:tcPr>
                <w:p w14:paraId="548B9F00">
                  <w:pPr>
                    <w:adjustRightInd w:val="0"/>
                    <w:snapToGrid w:val="0"/>
                    <w:jc w:val="center"/>
                    <w:rPr>
                      <w:bCs/>
                      <w:color w:val="auto"/>
                      <w:szCs w:val="21"/>
                    </w:rPr>
                  </w:pPr>
                  <w:r>
                    <w:rPr>
                      <w:rFonts w:hint="eastAsia"/>
                      <w:bCs/>
                      <w:color w:val="auto"/>
                      <w:szCs w:val="21"/>
                    </w:rPr>
                    <w:t>回用水</w:t>
                  </w:r>
                </w:p>
              </w:tc>
              <w:tc>
                <w:tcPr>
                  <w:tcW w:w="501" w:type="pct"/>
                  <w:vAlign w:val="center"/>
                </w:tcPr>
                <w:p w14:paraId="0B5FB33F">
                  <w:pPr>
                    <w:adjustRightInd w:val="0"/>
                    <w:snapToGrid w:val="0"/>
                    <w:jc w:val="center"/>
                    <w:rPr>
                      <w:bCs/>
                      <w:color w:val="auto"/>
                      <w:szCs w:val="21"/>
                    </w:rPr>
                  </w:pPr>
                  <w:r>
                    <w:rPr>
                      <w:color w:val="auto"/>
                      <w:szCs w:val="21"/>
                    </w:rPr>
                    <w:t>/</w:t>
                  </w:r>
                </w:p>
              </w:tc>
              <w:tc>
                <w:tcPr>
                  <w:tcW w:w="364" w:type="pct"/>
                  <w:vAlign w:val="center"/>
                </w:tcPr>
                <w:p w14:paraId="716C2F1B">
                  <w:pPr>
                    <w:adjustRightInd w:val="0"/>
                    <w:snapToGrid w:val="0"/>
                    <w:jc w:val="center"/>
                    <w:rPr>
                      <w:bCs/>
                      <w:color w:val="auto"/>
                      <w:szCs w:val="21"/>
                    </w:rPr>
                  </w:pPr>
                  <w:r>
                    <w:rPr>
                      <w:bCs/>
                      <w:color w:val="auto"/>
                      <w:szCs w:val="21"/>
                    </w:rPr>
                    <w:t>浸泡</w:t>
                  </w:r>
                </w:p>
              </w:tc>
            </w:tr>
            <w:tr w14:paraId="4F69F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74E9F06C">
                  <w:pPr>
                    <w:adjustRightInd w:val="0"/>
                    <w:snapToGrid w:val="0"/>
                    <w:jc w:val="center"/>
                    <w:rPr>
                      <w:bCs/>
                      <w:color w:val="auto"/>
                      <w:szCs w:val="21"/>
                    </w:rPr>
                  </w:pPr>
                  <w:r>
                    <w:rPr>
                      <w:bCs/>
                      <w:color w:val="auto"/>
                      <w:szCs w:val="21"/>
                    </w:rPr>
                    <w:t>7</w:t>
                  </w:r>
                </w:p>
              </w:tc>
              <w:tc>
                <w:tcPr>
                  <w:tcW w:w="624" w:type="pct"/>
                  <w:vAlign w:val="center"/>
                </w:tcPr>
                <w:p w14:paraId="4DB9668E">
                  <w:pPr>
                    <w:adjustRightInd w:val="0"/>
                    <w:snapToGrid w:val="0"/>
                    <w:jc w:val="center"/>
                    <w:rPr>
                      <w:color w:val="auto"/>
                      <w:szCs w:val="21"/>
                    </w:rPr>
                  </w:pPr>
                  <w:r>
                    <w:rPr>
                      <w:rFonts w:hint="eastAsia"/>
                      <w:color w:val="auto"/>
                      <w:szCs w:val="21"/>
                    </w:rPr>
                    <w:t>清洗槽4</w:t>
                  </w:r>
                </w:p>
              </w:tc>
              <w:tc>
                <w:tcPr>
                  <w:tcW w:w="931" w:type="pct"/>
                  <w:vAlign w:val="center"/>
                </w:tcPr>
                <w:p w14:paraId="5CA03139">
                  <w:pPr>
                    <w:adjustRightInd w:val="0"/>
                    <w:snapToGrid w:val="0"/>
                    <w:jc w:val="center"/>
                    <w:rPr>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088D372B">
                  <w:pPr>
                    <w:adjustRightInd w:val="0"/>
                    <w:snapToGrid w:val="0"/>
                    <w:jc w:val="center"/>
                    <w:rPr>
                      <w:bCs/>
                      <w:color w:val="auto"/>
                      <w:szCs w:val="21"/>
                    </w:rPr>
                  </w:pPr>
                  <w:r>
                    <w:rPr>
                      <w:bCs/>
                      <w:color w:val="auto"/>
                      <w:szCs w:val="21"/>
                    </w:rPr>
                    <w:t>1</w:t>
                  </w:r>
                </w:p>
              </w:tc>
              <w:tc>
                <w:tcPr>
                  <w:tcW w:w="430" w:type="pct"/>
                  <w:vAlign w:val="center"/>
                </w:tcPr>
                <w:p w14:paraId="2C8A2FD5">
                  <w:pPr>
                    <w:adjustRightInd w:val="0"/>
                    <w:snapToGrid w:val="0"/>
                    <w:jc w:val="center"/>
                    <w:rPr>
                      <w:bCs/>
                      <w:color w:val="auto"/>
                      <w:szCs w:val="21"/>
                    </w:rPr>
                  </w:pPr>
                  <w:r>
                    <w:rPr>
                      <w:rFonts w:hint="eastAsia"/>
                      <w:bCs/>
                      <w:color w:val="auto"/>
                      <w:szCs w:val="21"/>
                    </w:rPr>
                    <w:t>4</w:t>
                  </w:r>
                </w:p>
              </w:tc>
              <w:tc>
                <w:tcPr>
                  <w:tcW w:w="383" w:type="pct"/>
                  <w:vAlign w:val="center"/>
                </w:tcPr>
                <w:p w14:paraId="4C59D598">
                  <w:pPr>
                    <w:adjustRightInd w:val="0"/>
                    <w:snapToGrid w:val="0"/>
                    <w:jc w:val="center"/>
                    <w:rPr>
                      <w:bCs/>
                      <w:color w:val="auto"/>
                      <w:szCs w:val="21"/>
                    </w:rPr>
                  </w:pPr>
                  <w:r>
                    <w:rPr>
                      <w:bCs/>
                      <w:color w:val="auto"/>
                      <w:szCs w:val="21"/>
                    </w:rPr>
                    <w:t>常温</w:t>
                  </w:r>
                </w:p>
              </w:tc>
              <w:tc>
                <w:tcPr>
                  <w:tcW w:w="441" w:type="pct"/>
                  <w:vAlign w:val="center"/>
                </w:tcPr>
                <w:p w14:paraId="2D64128B">
                  <w:pPr>
                    <w:adjustRightInd w:val="0"/>
                    <w:snapToGrid w:val="0"/>
                    <w:jc w:val="center"/>
                    <w:rPr>
                      <w:bCs/>
                      <w:color w:val="auto"/>
                      <w:szCs w:val="21"/>
                    </w:rPr>
                  </w:pPr>
                  <w:r>
                    <w:rPr>
                      <w:bCs/>
                      <w:color w:val="auto"/>
                      <w:szCs w:val="21"/>
                    </w:rPr>
                    <w:t>1</w:t>
                  </w:r>
                </w:p>
              </w:tc>
              <w:tc>
                <w:tcPr>
                  <w:tcW w:w="1308" w:type="dxa"/>
                  <w:vAlign w:val="center"/>
                </w:tcPr>
                <w:p w14:paraId="73282EAB">
                  <w:pPr>
                    <w:adjustRightInd w:val="0"/>
                    <w:snapToGrid w:val="0"/>
                    <w:jc w:val="center"/>
                    <w:rPr>
                      <w:bCs/>
                      <w:color w:val="auto"/>
                      <w:szCs w:val="21"/>
                    </w:rPr>
                  </w:pPr>
                  <w:r>
                    <w:rPr>
                      <w:rFonts w:hint="eastAsia"/>
                      <w:bCs/>
                      <w:color w:val="auto"/>
                      <w:szCs w:val="21"/>
                    </w:rPr>
                    <w:t>回用水</w:t>
                  </w:r>
                </w:p>
              </w:tc>
              <w:tc>
                <w:tcPr>
                  <w:tcW w:w="501" w:type="pct"/>
                  <w:vAlign w:val="center"/>
                </w:tcPr>
                <w:p w14:paraId="67933D98">
                  <w:pPr>
                    <w:adjustRightInd w:val="0"/>
                    <w:snapToGrid w:val="0"/>
                    <w:jc w:val="center"/>
                    <w:rPr>
                      <w:color w:val="auto"/>
                      <w:szCs w:val="21"/>
                    </w:rPr>
                  </w:pPr>
                  <w:r>
                    <w:rPr>
                      <w:color w:val="auto"/>
                      <w:szCs w:val="21"/>
                    </w:rPr>
                    <w:t>/</w:t>
                  </w:r>
                </w:p>
              </w:tc>
              <w:tc>
                <w:tcPr>
                  <w:tcW w:w="364" w:type="pct"/>
                  <w:vAlign w:val="center"/>
                </w:tcPr>
                <w:p w14:paraId="16AEEA94">
                  <w:pPr>
                    <w:adjustRightInd w:val="0"/>
                    <w:snapToGrid w:val="0"/>
                    <w:jc w:val="center"/>
                    <w:rPr>
                      <w:bCs/>
                      <w:color w:val="auto"/>
                      <w:szCs w:val="21"/>
                    </w:rPr>
                  </w:pPr>
                  <w:r>
                    <w:rPr>
                      <w:bCs/>
                      <w:color w:val="auto"/>
                      <w:szCs w:val="21"/>
                    </w:rPr>
                    <w:t>浸泡</w:t>
                  </w:r>
                </w:p>
              </w:tc>
            </w:tr>
            <w:tr w14:paraId="782D0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291" w:type="pct"/>
                  <w:vAlign w:val="center"/>
                </w:tcPr>
                <w:p w14:paraId="2FCECA33">
                  <w:pPr>
                    <w:adjustRightInd w:val="0"/>
                    <w:snapToGrid w:val="0"/>
                    <w:jc w:val="center"/>
                    <w:rPr>
                      <w:bCs/>
                      <w:color w:val="auto"/>
                      <w:szCs w:val="21"/>
                    </w:rPr>
                  </w:pPr>
                  <w:r>
                    <w:rPr>
                      <w:bCs/>
                      <w:color w:val="auto"/>
                      <w:szCs w:val="21"/>
                    </w:rPr>
                    <w:t>8</w:t>
                  </w:r>
                </w:p>
              </w:tc>
              <w:tc>
                <w:tcPr>
                  <w:tcW w:w="624" w:type="pct"/>
                  <w:vAlign w:val="center"/>
                </w:tcPr>
                <w:p w14:paraId="2B2FDDE5">
                  <w:pPr>
                    <w:adjustRightInd w:val="0"/>
                    <w:snapToGrid w:val="0"/>
                    <w:jc w:val="center"/>
                    <w:rPr>
                      <w:bCs/>
                      <w:color w:val="auto"/>
                      <w:szCs w:val="21"/>
                    </w:rPr>
                  </w:pPr>
                  <w:r>
                    <w:rPr>
                      <w:rFonts w:hint="eastAsia"/>
                      <w:color w:val="auto"/>
                    </w:rPr>
                    <w:t>表调槽</w:t>
                  </w:r>
                </w:p>
              </w:tc>
              <w:tc>
                <w:tcPr>
                  <w:tcW w:w="931" w:type="pct"/>
                  <w:vAlign w:val="center"/>
                </w:tcPr>
                <w:p w14:paraId="66606C16">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1C1F764A">
                  <w:pPr>
                    <w:adjustRightInd w:val="0"/>
                    <w:snapToGrid w:val="0"/>
                    <w:jc w:val="center"/>
                    <w:rPr>
                      <w:bCs/>
                      <w:color w:val="auto"/>
                      <w:szCs w:val="21"/>
                    </w:rPr>
                  </w:pPr>
                  <w:r>
                    <w:rPr>
                      <w:bCs/>
                      <w:color w:val="auto"/>
                      <w:szCs w:val="21"/>
                    </w:rPr>
                    <w:t>1</w:t>
                  </w:r>
                </w:p>
              </w:tc>
              <w:tc>
                <w:tcPr>
                  <w:tcW w:w="430" w:type="pct"/>
                  <w:vAlign w:val="center"/>
                </w:tcPr>
                <w:p w14:paraId="7E09B6BE">
                  <w:pPr>
                    <w:adjustRightInd w:val="0"/>
                    <w:snapToGrid w:val="0"/>
                    <w:jc w:val="center"/>
                    <w:rPr>
                      <w:bCs/>
                      <w:color w:val="auto"/>
                      <w:szCs w:val="21"/>
                    </w:rPr>
                  </w:pPr>
                  <w:r>
                    <w:rPr>
                      <w:rFonts w:hint="eastAsia"/>
                      <w:bCs/>
                      <w:color w:val="auto"/>
                      <w:szCs w:val="21"/>
                    </w:rPr>
                    <w:t>4</w:t>
                  </w:r>
                </w:p>
              </w:tc>
              <w:tc>
                <w:tcPr>
                  <w:tcW w:w="383" w:type="pct"/>
                  <w:vAlign w:val="center"/>
                </w:tcPr>
                <w:p w14:paraId="55B48A43">
                  <w:pPr>
                    <w:adjustRightInd w:val="0"/>
                    <w:snapToGrid w:val="0"/>
                    <w:jc w:val="center"/>
                    <w:rPr>
                      <w:bCs/>
                      <w:color w:val="auto"/>
                      <w:szCs w:val="21"/>
                    </w:rPr>
                  </w:pPr>
                  <w:r>
                    <w:rPr>
                      <w:bCs/>
                      <w:color w:val="auto"/>
                      <w:szCs w:val="21"/>
                    </w:rPr>
                    <w:t>常温</w:t>
                  </w:r>
                </w:p>
              </w:tc>
              <w:tc>
                <w:tcPr>
                  <w:tcW w:w="441" w:type="pct"/>
                  <w:vAlign w:val="center"/>
                </w:tcPr>
                <w:p w14:paraId="0A291445">
                  <w:pPr>
                    <w:adjustRightInd w:val="0"/>
                    <w:snapToGrid w:val="0"/>
                    <w:jc w:val="center"/>
                    <w:rPr>
                      <w:bCs/>
                      <w:color w:val="auto"/>
                      <w:szCs w:val="21"/>
                    </w:rPr>
                  </w:pPr>
                  <w:r>
                    <w:rPr>
                      <w:bCs/>
                      <w:color w:val="auto"/>
                      <w:szCs w:val="21"/>
                    </w:rPr>
                    <w:t>5</w:t>
                  </w:r>
                </w:p>
              </w:tc>
              <w:tc>
                <w:tcPr>
                  <w:tcW w:w="711" w:type="pct"/>
                  <w:vAlign w:val="center"/>
                </w:tcPr>
                <w:p w14:paraId="64FB4C11">
                  <w:pPr>
                    <w:adjustRightInd w:val="0"/>
                    <w:snapToGrid w:val="0"/>
                    <w:jc w:val="center"/>
                    <w:rPr>
                      <w:bCs/>
                      <w:color w:val="auto"/>
                      <w:szCs w:val="21"/>
                    </w:rPr>
                  </w:pPr>
                  <w:r>
                    <w:rPr>
                      <w:rFonts w:hint="eastAsia"/>
                      <w:bCs/>
                      <w:color w:val="auto"/>
                      <w:szCs w:val="21"/>
                    </w:rPr>
                    <w:t>表调剂</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17A22070">
                  <w:pPr>
                    <w:adjustRightInd w:val="0"/>
                    <w:snapToGrid w:val="0"/>
                    <w:jc w:val="center"/>
                    <w:rPr>
                      <w:bCs/>
                      <w:color w:val="auto"/>
                      <w:szCs w:val="21"/>
                    </w:rPr>
                  </w:pPr>
                  <w:r>
                    <w:rPr>
                      <w:rFonts w:hint="eastAsia"/>
                      <w:bCs/>
                      <w:color w:val="auto"/>
                      <w:szCs w:val="21"/>
                    </w:rPr>
                    <w:t>0.3</w:t>
                  </w:r>
                </w:p>
              </w:tc>
              <w:tc>
                <w:tcPr>
                  <w:tcW w:w="364" w:type="pct"/>
                  <w:vAlign w:val="center"/>
                </w:tcPr>
                <w:p w14:paraId="41C3309E">
                  <w:pPr>
                    <w:adjustRightInd w:val="0"/>
                    <w:snapToGrid w:val="0"/>
                    <w:jc w:val="center"/>
                    <w:rPr>
                      <w:bCs/>
                      <w:color w:val="auto"/>
                      <w:szCs w:val="21"/>
                    </w:rPr>
                  </w:pPr>
                  <w:r>
                    <w:rPr>
                      <w:bCs/>
                      <w:color w:val="auto"/>
                      <w:szCs w:val="21"/>
                    </w:rPr>
                    <w:t>浸泡</w:t>
                  </w:r>
                </w:p>
              </w:tc>
            </w:tr>
            <w:tr w14:paraId="24F6F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291" w:type="pct"/>
                  <w:vMerge w:val="restart"/>
                  <w:vAlign w:val="center"/>
                </w:tcPr>
                <w:p w14:paraId="723D9800">
                  <w:pPr>
                    <w:adjustRightInd w:val="0"/>
                    <w:snapToGrid w:val="0"/>
                    <w:jc w:val="center"/>
                    <w:rPr>
                      <w:bCs/>
                      <w:color w:val="auto"/>
                      <w:szCs w:val="21"/>
                    </w:rPr>
                  </w:pPr>
                  <w:r>
                    <w:rPr>
                      <w:bCs/>
                      <w:color w:val="auto"/>
                      <w:szCs w:val="21"/>
                    </w:rPr>
                    <w:t>9</w:t>
                  </w:r>
                </w:p>
              </w:tc>
              <w:tc>
                <w:tcPr>
                  <w:tcW w:w="624" w:type="pct"/>
                  <w:vMerge w:val="restart"/>
                  <w:vAlign w:val="center"/>
                </w:tcPr>
                <w:p w14:paraId="3FFD1FED">
                  <w:pPr>
                    <w:adjustRightInd w:val="0"/>
                    <w:snapToGrid w:val="0"/>
                    <w:jc w:val="center"/>
                    <w:rPr>
                      <w:bCs/>
                      <w:color w:val="auto"/>
                      <w:szCs w:val="21"/>
                    </w:rPr>
                  </w:pPr>
                  <w:r>
                    <w:rPr>
                      <w:rFonts w:hint="eastAsia"/>
                      <w:color w:val="auto"/>
                    </w:rPr>
                    <w:t>磷化槽1</w:t>
                  </w:r>
                </w:p>
              </w:tc>
              <w:tc>
                <w:tcPr>
                  <w:tcW w:w="931" w:type="pct"/>
                  <w:vMerge w:val="restart"/>
                  <w:vAlign w:val="center"/>
                </w:tcPr>
                <w:p w14:paraId="6CBE9E89">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Merge w:val="restart"/>
                  <w:vAlign w:val="center"/>
                </w:tcPr>
                <w:p w14:paraId="67D4ECFF">
                  <w:pPr>
                    <w:adjustRightInd w:val="0"/>
                    <w:snapToGrid w:val="0"/>
                    <w:jc w:val="center"/>
                    <w:rPr>
                      <w:bCs/>
                      <w:color w:val="auto"/>
                      <w:szCs w:val="21"/>
                    </w:rPr>
                  </w:pPr>
                  <w:r>
                    <w:rPr>
                      <w:bCs/>
                      <w:color w:val="auto"/>
                      <w:szCs w:val="21"/>
                    </w:rPr>
                    <w:t>1</w:t>
                  </w:r>
                </w:p>
              </w:tc>
              <w:tc>
                <w:tcPr>
                  <w:tcW w:w="430" w:type="pct"/>
                  <w:vMerge w:val="restart"/>
                  <w:vAlign w:val="center"/>
                </w:tcPr>
                <w:p w14:paraId="6E94DCF5">
                  <w:pPr>
                    <w:adjustRightInd w:val="0"/>
                    <w:snapToGrid w:val="0"/>
                    <w:jc w:val="center"/>
                    <w:rPr>
                      <w:bCs/>
                      <w:color w:val="auto"/>
                      <w:szCs w:val="21"/>
                    </w:rPr>
                  </w:pPr>
                  <w:r>
                    <w:rPr>
                      <w:rFonts w:hint="eastAsia"/>
                      <w:bCs/>
                      <w:color w:val="auto"/>
                      <w:szCs w:val="21"/>
                    </w:rPr>
                    <w:t>4</w:t>
                  </w:r>
                </w:p>
              </w:tc>
              <w:tc>
                <w:tcPr>
                  <w:tcW w:w="383" w:type="pct"/>
                  <w:vMerge w:val="restart"/>
                  <w:vAlign w:val="center"/>
                </w:tcPr>
                <w:p w14:paraId="5FED998A">
                  <w:pPr>
                    <w:adjustRightInd w:val="0"/>
                    <w:snapToGrid w:val="0"/>
                    <w:jc w:val="center"/>
                    <w:rPr>
                      <w:bCs/>
                      <w:color w:val="auto"/>
                      <w:szCs w:val="21"/>
                    </w:rPr>
                  </w:pPr>
                  <w:r>
                    <w:rPr>
                      <w:bCs/>
                      <w:color w:val="auto"/>
                      <w:szCs w:val="21"/>
                    </w:rPr>
                    <w:t>常温</w:t>
                  </w:r>
                </w:p>
              </w:tc>
              <w:tc>
                <w:tcPr>
                  <w:tcW w:w="441" w:type="pct"/>
                  <w:vMerge w:val="restart"/>
                  <w:vAlign w:val="center"/>
                </w:tcPr>
                <w:p w14:paraId="39282AC2">
                  <w:pPr>
                    <w:adjustRightInd w:val="0"/>
                    <w:snapToGrid w:val="0"/>
                    <w:jc w:val="center"/>
                    <w:rPr>
                      <w:bCs/>
                      <w:color w:val="auto"/>
                      <w:szCs w:val="21"/>
                    </w:rPr>
                  </w:pPr>
                  <w:r>
                    <w:rPr>
                      <w:bCs/>
                      <w:color w:val="auto"/>
                      <w:szCs w:val="21"/>
                    </w:rPr>
                    <w:t>1</w:t>
                  </w:r>
                  <w:r>
                    <w:rPr>
                      <w:rFonts w:hint="eastAsia"/>
                      <w:bCs/>
                      <w:color w:val="auto"/>
                      <w:szCs w:val="21"/>
                    </w:rPr>
                    <w:t>5</w:t>
                  </w:r>
                </w:p>
              </w:tc>
              <w:tc>
                <w:tcPr>
                  <w:tcW w:w="711" w:type="pct"/>
                  <w:vAlign w:val="center"/>
                </w:tcPr>
                <w:p w14:paraId="54FD3655">
                  <w:pPr>
                    <w:adjustRightInd w:val="0"/>
                    <w:snapToGrid w:val="0"/>
                    <w:jc w:val="center"/>
                    <w:rPr>
                      <w:bCs/>
                      <w:color w:val="auto"/>
                      <w:szCs w:val="21"/>
                    </w:rPr>
                  </w:pPr>
                  <w:r>
                    <w:rPr>
                      <w:bCs/>
                      <w:color w:val="auto"/>
                      <w:szCs w:val="21"/>
                    </w:rPr>
                    <w:t>磷化剂</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111A3D43">
                  <w:pPr>
                    <w:adjustRightInd w:val="0"/>
                    <w:snapToGrid w:val="0"/>
                    <w:jc w:val="center"/>
                    <w:rPr>
                      <w:bCs/>
                      <w:color w:val="auto"/>
                      <w:szCs w:val="21"/>
                    </w:rPr>
                  </w:pPr>
                  <w:r>
                    <w:rPr>
                      <w:color w:val="auto"/>
                      <w:szCs w:val="21"/>
                    </w:rPr>
                    <w:t>5</w:t>
                  </w:r>
                </w:p>
              </w:tc>
              <w:tc>
                <w:tcPr>
                  <w:tcW w:w="364" w:type="pct"/>
                  <w:vMerge w:val="restart"/>
                  <w:vAlign w:val="center"/>
                </w:tcPr>
                <w:p w14:paraId="36ACF9C6">
                  <w:pPr>
                    <w:adjustRightInd w:val="0"/>
                    <w:snapToGrid w:val="0"/>
                    <w:jc w:val="center"/>
                    <w:rPr>
                      <w:bCs/>
                      <w:color w:val="auto"/>
                      <w:szCs w:val="21"/>
                    </w:rPr>
                  </w:pPr>
                  <w:r>
                    <w:rPr>
                      <w:bCs/>
                      <w:color w:val="auto"/>
                      <w:szCs w:val="21"/>
                    </w:rPr>
                    <w:t>浸泡</w:t>
                  </w:r>
                </w:p>
              </w:tc>
            </w:tr>
            <w:tr w14:paraId="45A4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291" w:type="pct"/>
                  <w:vMerge w:val="continue"/>
                  <w:vAlign w:val="center"/>
                </w:tcPr>
                <w:p w14:paraId="3083BA4F">
                  <w:pPr>
                    <w:adjustRightInd w:val="0"/>
                    <w:snapToGrid w:val="0"/>
                    <w:jc w:val="center"/>
                    <w:rPr>
                      <w:color w:val="auto"/>
                    </w:rPr>
                  </w:pPr>
                </w:p>
              </w:tc>
              <w:tc>
                <w:tcPr>
                  <w:tcW w:w="624" w:type="pct"/>
                  <w:vMerge w:val="continue"/>
                  <w:vAlign w:val="center"/>
                </w:tcPr>
                <w:p w14:paraId="488F48FB">
                  <w:pPr>
                    <w:adjustRightInd w:val="0"/>
                    <w:snapToGrid w:val="0"/>
                    <w:jc w:val="center"/>
                    <w:rPr>
                      <w:color w:val="auto"/>
                    </w:rPr>
                  </w:pPr>
                </w:p>
              </w:tc>
              <w:tc>
                <w:tcPr>
                  <w:tcW w:w="931" w:type="pct"/>
                  <w:vMerge w:val="continue"/>
                  <w:vAlign w:val="center"/>
                </w:tcPr>
                <w:p w14:paraId="3BEFAEAF">
                  <w:pPr>
                    <w:adjustRightInd w:val="0"/>
                    <w:snapToGrid w:val="0"/>
                    <w:jc w:val="center"/>
                    <w:rPr>
                      <w:color w:val="auto"/>
                    </w:rPr>
                  </w:pPr>
                </w:p>
              </w:tc>
              <w:tc>
                <w:tcPr>
                  <w:tcW w:w="320" w:type="pct"/>
                  <w:vMerge w:val="continue"/>
                  <w:vAlign w:val="center"/>
                </w:tcPr>
                <w:p w14:paraId="750D3FD2">
                  <w:pPr>
                    <w:adjustRightInd w:val="0"/>
                    <w:snapToGrid w:val="0"/>
                    <w:jc w:val="center"/>
                    <w:rPr>
                      <w:color w:val="auto"/>
                    </w:rPr>
                  </w:pPr>
                </w:p>
              </w:tc>
              <w:tc>
                <w:tcPr>
                  <w:tcW w:w="430" w:type="pct"/>
                  <w:vMerge w:val="continue"/>
                  <w:vAlign w:val="center"/>
                </w:tcPr>
                <w:p w14:paraId="185649BC">
                  <w:pPr>
                    <w:adjustRightInd w:val="0"/>
                    <w:snapToGrid w:val="0"/>
                    <w:jc w:val="center"/>
                    <w:rPr>
                      <w:color w:val="auto"/>
                    </w:rPr>
                  </w:pPr>
                </w:p>
              </w:tc>
              <w:tc>
                <w:tcPr>
                  <w:tcW w:w="383" w:type="pct"/>
                  <w:vMerge w:val="continue"/>
                  <w:vAlign w:val="center"/>
                </w:tcPr>
                <w:p w14:paraId="4157813F">
                  <w:pPr>
                    <w:adjustRightInd w:val="0"/>
                    <w:snapToGrid w:val="0"/>
                    <w:jc w:val="center"/>
                    <w:rPr>
                      <w:color w:val="auto"/>
                    </w:rPr>
                  </w:pPr>
                </w:p>
              </w:tc>
              <w:tc>
                <w:tcPr>
                  <w:tcW w:w="441" w:type="pct"/>
                  <w:vMerge w:val="continue"/>
                  <w:vAlign w:val="center"/>
                </w:tcPr>
                <w:p w14:paraId="55062075">
                  <w:pPr>
                    <w:adjustRightInd w:val="0"/>
                    <w:snapToGrid w:val="0"/>
                    <w:jc w:val="center"/>
                    <w:rPr>
                      <w:color w:val="auto"/>
                    </w:rPr>
                  </w:pPr>
                </w:p>
              </w:tc>
              <w:tc>
                <w:tcPr>
                  <w:tcW w:w="711" w:type="pct"/>
                  <w:vAlign w:val="center"/>
                </w:tcPr>
                <w:p w14:paraId="671808C9">
                  <w:pPr>
                    <w:adjustRightInd w:val="0"/>
                    <w:snapToGrid w:val="0"/>
                    <w:jc w:val="center"/>
                    <w:rPr>
                      <w:bCs/>
                      <w:color w:val="auto"/>
                      <w:szCs w:val="21"/>
                    </w:rPr>
                  </w:pPr>
                  <w:r>
                    <w:rPr>
                      <w:bCs/>
                      <w:color w:val="auto"/>
                      <w:szCs w:val="21"/>
                    </w:rPr>
                    <w:t>促进剂</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2015F085">
                  <w:pPr>
                    <w:adjustRightInd w:val="0"/>
                    <w:snapToGrid w:val="0"/>
                    <w:jc w:val="center"/>
                    <w:rPr>
                      <w:bCs/>
                      <w:color w:val="auto"/>
                      <w:szCs w:val="21"/>
                    </w:rPr>
                  </w:pPr>
                  <w:r>
                    <w:rPr>
                      <w:bCs/>
                      <w:color w:val="auto"/>
                      <w:szCs w:val="21"/>
                    </w:rPr>
                    <w:t>1.2</w:t>
                  </w:r>
                </w:p>
              </w:tc>
              <w:tc>
                <w:tcPr>
                  <w:tcW w:w="364" w:type="pct"/>
                  <w:vMerge w:val="continue"/>
                  <w:vAlign w:val="center"/>
                </w:tcPr>
                <w:p w14:paraId="04B8EE92">
                  <w:pPr>
                    <w:adjustRightInd w:val="0"/>
                    <w:snapToGrid w:val="0"/>
                    <w:jc w:val="center"/>
                    <w:rPr>
                      <w:bCs/>
                      <w:color w:val="auto"/>
                      <w:szCs w:val="21"/>
                    </w:rPr>
                  </w:pPr>
                </w:p>
              </w:tc>
            </w:tr>
            <w:tr w14:paraId="6446D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291" w:type="pct"/>
                  <w:vMerge w:val="restart"/>
                  <w:vAlign w:val="center"/>
                </w:tcPr>
                <w:p w14:paraId="64E7FA46">
                  <w:pPr>
                    <w:adjustRightInd w:val="0"/>
                    <w:snapToGrid w:val="0"/>
                    <w:jc w:val="center"/>
                    <w:rPr>
                      <w:bCs/>
                      <w:color w:val="auto"/>
                      <w:szCs w:val="21"/>
                    </w:rPr>
                  </w:pPr>
                  <w:r>
                    <w:rPr>
                      <w:bCs/>
                      <w:color w:val="auto"/>
                      <w:szCs w:val="21"/>
                    </w:rPr>
                    <w:t>10</w:t>
                  </w:r>
                </w:p>
              </w:tc>
              <w:tc>
                <w:tcPr>
                  <w:tcW w:w="624" w:type="pct"/>
                  <w:vMerge w:val="restart"/>
                  <w:vAlign w:val="center"/>
                </w:tcPr>
                <w:p w14:paraId="32793A6E">
                  <w:pPr>
                    <w:adjustRightInd w:val="0"/>
                    <w:snapToGrid w:val="0"/>
                    <w:jc w:val="center"/>
                    <w:rPr>
                      <w:color w:val="auto"/>
                      <w:szCs w:val="21"/>
                    </w:rPr>
                  </w:pPr>
                  <w:r>
                    <w:rPr>
                      <w:rFonts w:hint="eastAsia"/>
                      <w:color w:val="auto"/>
                    </w:rPr>
                    <w:t>磷化槽2</w:t>
                  </w:r>
                </w:p>
              </w:tc>
              <w:tc>
                <w:tcPr>
                  <w:tcW w:w="931" w:type="pct"/>
                  <w:vMerge w:val="restart"/>
                  <w:vAlign w:val="center"/>
                </w:tcPr>
                <w:p w14:paraId="6FC3501F">
                  <w:pPr>
                    <w:adjustRightInd w:val="0"/>
                    <w:snapToGrid w:val="0"/>
                    <w:jc w:val="center"/>
                    <w:rPr>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Merge w:val="restart"/>
                  <w:vAlign w:val="center"/>
                </w:tcPr>
                <w:p w14:paraId="32E59E03">
                  <w:pPr>
                    <w:adjustRightInd w:val="0"/>
                    <w:snapToGrid w:val="0"/>
                    <w:jc w:val="center"/>
                    <w:rPr>
                      <w:bCs/>
                      <w:color w:val="auto"/>
                      <w:szCs w:val="21"/>
                    </w:rPr>
                  </w:pPr>
                  <w:r>
                    <w:rPr>
                      <w:bCs/>
                      <w:color w:val="auto"/>
                      <w:szCs w:val="21"/>
                    </w:rPr>
                    <w:t>1</w:t>
                  </w:r>
                </w:p>
              </w:tc>
              <w:tc>
                <w:tcPr>
                  <w:tcW w:w="430" w:type="pct"/>
                  <w:vMerge w:val="restart"/>
                  <w:vAlign w:val="center"/>
                </w:tcPr>
                <w:p w14:paraId="2DEBB088">
                  <w:pPr>
                    <w:adjustRightInd w:val="0"/>
                    <w:snapToGrid w:val="0"/>
                    <w:jc w:val="center"/>
                    <w:rPr>
                      <w:bCs/>
                      <w:color w:val="auto"/>
                      <w:szCs w:val="21"/>
                    </w:rPr>
                  </w:pPr>
                  <w:r>
                    <w:rPr>
                      <w:rFonts w:hint="eastAsia"/>
                      <w:bCs/>
                      <w:color w:val="auto"/>
                      <w:szCs w:val="21"/>
                    </w:rPr>
                    <w:t>4</w:t>
                  </w:r>
                </w:p>
              </w:tc>
              <w:tc>
                <w:tcPr>
                  <w:tcW w:w="383" w:type="pct"/>
                  <w:vMerge w:val="restart"/>
                  <w:vAlign w:val="center"/>
                </w:tcPr>
                <w:p w14:paraId="45E02A45">
                  <w:pPr>
                    <w:adjustRightInd w:val="0"/>
                    <w:snapToGrid w:val="0"/>
                    <w:jc w:val="center"/>
                    <w:rPr>
                      <w:bCs/>
                      <w:color w:val="auto"/>
                      <w:szCs w:val="21"/>
                    </w:rPr>
                  </w:pPr>
                  <w:r>
                    <w:rPr>
                      <w:bCs/>
                      <w:color w:val="auto"/>
                      <w:szCs w:val="21"/>
                    </w:rPr>
                    <w:t>常温</w:t>
                  </w:r>
                </w:p>
              </w:tc>
              <w:tc>
                <w:tcPr>
                  <w:tcW w:w="441" w:type="pct"/>
                  <w:vMerge w:val="restart"/>
                  <w:vAlign w:val="center"/>
                </w:tcPr>
                <w:p w14:paraId="43C2833D">
                  <w:pPr>
                    <w:adjustRightInd w:val="0"/>
                    <w:snapToGrid w:val="0"/>
                    <w:jc w:val="center"/>
                    <w:rPr>
                      <w:bCs/>
                      <w:color w:val="auto"/>
                      <w:szCs w:val="21"/>
                    </w:rPr>
                  </w:pPr>
                  <w:r>
                    <w:rPr>
                      <w:bCs/>
                      <w:color w:val="auto"/>
                      <w:szCs w:val="21"/>
                    </w:rPr>
                    <w:t>1</w:t>
                  </w:r>
                  <w:r>
                    <w:rPr>
                      <w:rFonts w:hint="eastAsia"/>
                      <w:bCs/>
                      <w:color w:val="auto"/>
                      <w:szCs w:val="21"/>
                    </w:rPr>
                    <w:t>5</w:t>
                  </w:r>
                </w:p>
              </w:tc>
              <w:tc>
                <w:tcPr>
                  <w:tcW w:w="711" w:type="pct"/>
                  <w:vAlign w:val="center"/>
                </w:tcPr>
                <w:p w14:paraId="1831A3C3">
                  <w:pPr>
                    <w:adjustRightInd w:val="0"/>
                    <w:snapToGrid w:val="0"/>
                    <w:jc w:val="center"/>
                    <w:rPr>
                      <w:bCs/>
                      <w:color w:val="auto"/>
                      <w:szCs w:val="21"/>
                    </w:rPr>
                  </w:pPr>
                  <w:r>
                    <w:rPr>
                      <w:bCs/>
                      <w:color w:val="auto"/>
                      <w:szCs w:val="21"/>
                    </w:rPr>
                    <w:t>磷化剂</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43643932">
                  <w:pPr>
                    <w:adjustRightInd w:val="0"/>
                    <w:snapToGrid w:val="0"/>
                    <w:jc w:val="center"/>
                    <w:rPr>
                      <w:color w:val="auto"/>
                      <w:szCs w:val="21"/>
                    </w:rPr>
                  </w:pPr>
                  <w:r>
                    <w:rPr>
                      <w:color w:val="auto"/>
                      <w:szCs w:val="21"/>
                    </w:rPr>
                    <w:t>5</w:t>
                  </w:r>
                </w:p>
              </w:tc>
              <w:tc>
                <w:tcPr>
                  <w:tcW w:w="364" w:type="pct"/>
                  <w:vMerge w:val="restart"/>
                  <w:vAlign w:val="center"/>
                </w:tcPr>
                <w:p w14:paraId="76F30655">
                  <w:pPr>
                    <w:adjustRightInd w:val="0"/>
                    <w:snapToGrid w:val="0"/>
                    <w:jc w:val="center"/>
                    <w:rPr>
                      <w:bCs/>
                      <w:color w:val="auto"/>
                      <w:szCs w:val="21"/>
                    </w:rPr>
                  </w:pPr>
                  <w:r>
                    <w:rPr>
                      <w:bCs/>
                      <w:color w:val="auto"/>
                      <w:szCs w:val="21"/>
                    </w:rPr>
                    <w:t>浸泡</w:t>
                  </w:r>
                </w:p>
              </w:tc>
            </w:tr>
            <w:tr w14:paraId="5DF6D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291" w:type="pct"/>
                  <w:vMerge w:val="continue"/>
                  <w:vAlign w:val="center"/>
                </w:tcPr>
                <w:p w14:paraId="0D87AF78">
                  <w:pPr>
                    <w:adjustRightInd w:val="0"/>
                    <w:snapToGrid w:val="0"/>
                    <w:jc w:val="center"/>
                    <w:rPr>
                      <w:color w:val="auto"/>
                    </w:rPr>
                  </w:pPr>
                </w:p>
              </w:tc>
              <w:tc>
                <w:tcPr>
                  <w:tcW w:w="624" w:type="pct"/>
                  <w:vMerge w:val="continue"/>
                  <w:vAlign w:val="center"/>
                </w:tcPr>
                <w:p w14:paraId="29634272">
                  <w:pPr>
                    <w:adjustRightInd w:val="0"/>
                    <w:snapToGrid w:val="0"/>
                    <w:jc w:val="center"/>
                    <w:rPr>
                      <w:color w:val="auto"/>
                    </w:rPr>
                  </w:pPr>
                </w:p>
              </w:tc>
              <w:tc>
                <w:tcPr>
                  <w:tcW w:w="931" w:type="pct"/>
                  <w:vMerge w:val="continue"/>
                  <w:vAlign w:val="center"/>
                </w:tcPr>
                <w:p w14:paraId="5FF8DD90">
                  <w:pPr>
                    <w:adjustRightInd w:val="0"/>
                    <w:snapToGrid w:val="0"/>
                    <w:jc w:val="center"/>
                    <w:rPr>
                      <w:color w:val="auto"/>
                    </w:rPr>
                  </w:pPr>
                </w:p>
              </w:tc>
              <w:tc>
                <w:tcPr>
                  <w:tcW w:w="320" w:type="pct"/>
                  <w:vMerge w:val="continue"/>
                  <w:vAlign w:val="center"/>
                </w:tcPr>
                <w:p w14:paraId="6958C875">
                  <w:pPr>
                    <w:adjustRightInd w:val="0"/>
                    <w:snapToGrid w:val="0"/>
                    <w:jc w:val="center"/>
                    <w:rPr>
                      <w:color w:val="auto"/>
                    </w:rPr>
                  </w:pPr>
                </w:p>
              </w:tc>
              <w:tc>
                <w:tcPr>
                  <w:tcW w:w="430" w:type="pct"/>
                  <w:vMerge w:val="continue"/>
                  <w:vAlign w:val="center"/>
                </w:tcPr>
                <w:p w14:paraId="0E0F26F8">
                  <w:pPr>
                    <w:adjustRightInd w:val="0"/>
                    <w:snapToGrid w:val="0"/>
                    <w:jc w:val="center"/>
                    <w:rPr>
                      <w:color w:val="auto"/>
                    </w:rPr>
                  </w:pPr>
                </w:p>
              </w:tc>
              <w:tc>
                <w:tcPr>
                  <w:tcW w:w="383" w:type="pct"/>
                  <w:vMerge w:val="continue"/>
                  <w:vAlign w:val="center"/>
                </w:tcPr>
                <w:p w14:paraId="7656B23C">
                  <w:pPr>
                    <w:adjustRightInd w:val="0"/>
                    <w:snapToGrid w:val="0"/>
                    <w:jc w:val="center"/>
                    <w:rPr>
                      <w:color w:val="auto"/>
                    </w:rPr>
                  </w:pPr>
                </w:p>
              </w:tc>
              <w:tc>
                <w:tcPr>
                  <w:tcW w:w="441" w:type="pct"/>
                  <w:vMerge w:val="continue"/>
                  <w:vAlign w:val="center"/>
                </w:tcPr>
                <w:p w14:paraId="7700A633">
                  <w:pPr>
                    <w:adjustRightInd w:val="0"/>
                    <w:snapToGrid w:val="0"/>
                    <w:jc w:val="center"/>
                    <w:rPr>
                      <w:color w:val="auto"/>
                    </w:rPr>
                  </w:pPr>
                </w:p>
              </w:tc>
              <w:tc>
                <w:tcPr>
                  <w:tcW w:w="711" w:type="pct"/>
                  <w:vAlign w:val="center"/>
                </w:tcPr>
                <w:p w14:paraId="6EF4DCD9">
                  <w:pPr>
                    <w:adjustRightInd w:val="0"/>
                    <w:snapToGrid w:val="0"/>
                    <w:jc w:val="center"/>
                    <w:rPr>
                      <w:bCs/>
                      <w:color w:val="auto"/>
                      <w:szCs w:val="21"/>
                    </w:rPr>
                  </w:pPr>
                  <w:r>
                    <w:rPr>
                      <w:bCs/>
                      <w:color w:val="auto"/>
                      <w:szCs w:val="21"/>
                    </w:rPr>
                    <w:t>促进剂</w:t>
                  </w:r>
                  <w:r>
                    <w:rPr>
                      <w:rFonts w:hint="eastAsia"/>
                      <w:bCs/>
                      <w:color w:val="auto"/>
                      <w:szCs w:val="21"/>
                      <w:lang w:eastAsia="zh-CN"/>
                    </w:rPr>
                    <w:t>、</w:t>
                  </w:r>
                  <w:r>
                    <w:rPr>
                      <w:rFonts w:hint="eastAsia"/>
                      <w:bCs/>
                      <w:color w:val="auto"/>
                      <w:szCs w:val="21"/>
                      <w:lang w:val="en-US" w:eastAsia="zh-CN"/>
                    </w:rPr>
                    <w:t>新鲜水</w:t>
                  </w:r>
                </w:p>
              </w:tc>
              <w:tc>
                <w:tcPr>
                  <w:tcW w:w="501" w:type="pct"/>
                  <w:vAlign w:val="center"/>
                </w:tcPr>
                <w:p w14:paraId="42C96772">
                  <w:pPr>
                    <w:adjustRightInd w:val="0"/>
                    <w:snapToGrid w:val="0"/>
                    <w:jc w:val="center"/>
                    <w:rPr>
                      <w:bCs/>
                      <w:color w:val="auto"/>
                      <w:szCs w:val="21"/>
                    </w:rPr>
                  </w:pPr>
                  <w:r>
                    <w:rPr>
                      <w:bCs/>
                      <w:color w:val="auto"/>
                      <w:szCs w:val="21"/>
                    </w:rPr>
                    <w:t>1.2</w:t>
                  </w:r>
                </w:p>
              </w:tc>
              <w:tc>
                <w:tcPr>
                  <w:tcW w:w="364" w:type="pct"/>
                  <w:vMerge w:val="continue"/>
                  <w:vAlign w:val="center"/>
                </w:tcPr>
                <w:p w14:paraId="43924892">
                  <w:pPr>
                    <w:adjustRightInd w:val="0"/>
                    <w:snapToGrid w:val="0"/>
                    <w:jc w:val="center"/>
                    <w:rPr>
                      <w:bCs/>
                      <w:color w:val="auto"/>
                      <w:szCs w:val="21"/>
                    </w:rPr>
                  </w:pPr>
                </w:p>
              </w:tc>
            </w:tr>
            <w:tr w14:paraId="75E8B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62F4C8B6">
                  <w:pPr>
                    <w:adjustRightInd w:val="0"/>
                    <w:snapToGrid w:val="0"/>
                    <w:jc w:val="center"/>
                    <w:rPr>
                      <w:bCs/>
                      <w:color w:val="auto"/>
                      <w:szCs w:val="21"/>
                    </w:rPr>
                  </w:pPr>
                  <w:r>
                    <w:rPr>
                      <w:bCs/>
                      <w:color w:val="auto"/>
                      <w:szCs w:val="21"/>
                    </w:rPr>
                    <w:t>11</w:t>
                  </w:r>
                </w:p>
              </w:tc>
              <w:tc>
                <w:tcPr>
                  <w:tcW w:w="624" w:type="pct"/>
                  <w:vAlign w:val="center"/>
                </w:tcPr>
                <w:p w14:paraId="63C4D704">
                  <w:pPr>
                    <w:adjustRightInd w:val="0"/>
                    <w:snapToGrid w:val="0"/>
                    <w:jc w:val="center"/>
                    <w:rPr>
                      <w:bCs/>
                      <w:color w:val="auto"/>
                      <w:szCs w:val="21"/>
                    </w:rPr>
                  </w:pPr>
                  <w:r>
                    <w:rPr>
                      <w:rFonts w:hint="eastAsia"/>
                      <w:color w:val="auto"/>
                    </w:rPr>
                    <w:t>清洗槽5</w:t>
                  </w:r>
                </w:p>
              </w:tc>
              <w:tc>
                <w:tcPr>
                  <w:tcW w:w="931" w:type="pct"/>
                  <w:vAlign w:val="center"/>
                </w:tcPr>
                <w:p w14:paraId="117999AF">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01099144">
                  <w:pPr>
                    <w:adjustRightInd w:val="0"/>
                    <w:snapToGrid w:val="0"/>
                    <w:jc w:val="center"/>
                    <w:rPr>
                      <w:bCs/>
                      <w:color w:val="auto"/>
                      <w:szCs w:val="21"/>
                    </w:rPr>
                  </w:pPr>
                  <w:r>
                    <w:rPr>
                      <w:bCs/>
                      <w:color w:val="auto"/>
                      <w:szCs w:val="21"/>
                    </w:rPr>
                    <w:t>1</w:t>
                  </w:r>
                </w:p>
              </w:tc>
              <w:tc>
                <w:tcPr>
                  <w:tcW w:w="430" w:type="pct"/>
                  <w:vAlign w:val="center"/>
                </w:tcPr>
                <w:p w14:paraId="67168424">
                  <w:pPr>
                    <w:adjustRightInd w:val="0"/>
                    <w:snapToGrid w:val="0"/>
                    <w:jc w:val="center"/>
                    <w:rPr>
                      <w:bCs/>
                      <w:color w:val="auto"/>
                      <w:szCs w:val="21"/>
                    </w:rPr>
                  </w:pPr>
                  <w:r>
                    <w:rPr>
                      <w:rFonts w:hint="eastAsia"/>
                      <w:bCs/>
                      <w:color w:val="auto"/>
                      <w:szCs w:val="21"/>
                    </w:rPr>
                    <w:t>4</w:t>
                  </w:r>
                </w:p>
              </w:tc>
              <w:tc>
                <w:tcPr>
                  <w:tcW w:w="383" w:type="pct"/>
                  <w:vAlign w:val="center"/>
                </w:tcPr>
                <w:p w14:paraId="65D839E2">
                  <w:pPr>
                    <w:adjustRightInd w:val="0"/>
                    <w:snapToGrid w:val="0"/>
                    <w:jc w:val="center"/>
                    <w:rPr>
                      <w:bCs/>
                      <w:color w:val="auto"/>
                      <w:szCs w:val="21"/>
                    </w:rPr>
                  </w:pPr>
                  <w:r>
                    <w:rPr>
                      <w:bCs/>
                      <w:color w:val="auto"/>
                      <w:szCs w:val="21"/>
                    </w:rPr>
                    <w:t>常温</w:t>
                  </w:r>
                </w:p>
              </w:tc>
              <w:tc>
                <w:tcPr>
                  <w:tcW w:w="441" w:type="pct"/>
                  <w:vAlign w:val="center"/>
                </w:tcPr>
                <w:p w14:paraId="3331927B">
                  <w:pPr>
                    <w:adjustRightInd w:val="0"/>
                    <w:snapToGrid w:val="0"/>
                    <w:jc w:val="center"/>
                    <w:rPr>
                      <w:bCs/>
                      <w:color w:val="auto"/>
                      <w:szCs w:val="21"/>
                    </w:rPr>
                  </w:pPr>
                  <w:r>
                    <w:rPr>
                      <w:bCs/>
                      <w:color w:val="auto"/>
                      <w:szCs w:val="21"/>
                    </w:rPr>
                    <w:t>1</w:t>
                  </w:r>
                </w:p>
              </w:tc>
              <w:tc>
                <w:tcPr>
                  <w:tcW w:w="711" w:type="pct"/>
                  <w:vAlign w:val="center"/>
                </w:tcPr>
                <w:p w14:paraId="0FCD4A6F">
                  <w:pPr>
                    <w:adjustRightInd w:val="0"/>
                    <w:snapToGrid w:val="0"/>
                    <w:jc w:val="center"/>
                    <w:rPr>
                      <w:bCs/>
                      <w:color w:val="auto"/>
                      <w:szCs w:val="21"/>
                    </w:rPr>
                  </w:pPr>
                  <w:r>
                    <w:rPr>
                      <w:rFonts w:hint="eastAsia"/>
                      <w:bCs/>
                      <w:color w:val="auto"/>
                      <w:szCs w:val="21"/>
                    </w:rPr>
                    <w:t>新鲜水</w:t>
                  </w:r>
                </w:p>
              </w:tc>
              <w:tc>
                <w:tcPr>
                  <w:tcW w:w="501" w:type="pct"/>
                  <w:vAlign w:val="center"/>
                </w:tcPr>
                <w:p w14:paraId="51AD3E51">
                  <w:pPr>
                    <w:adjustRightInd w:val="0"/>
                    <w:snapToGrid w:val="0"/>
                    <w:jc w:val="center"/>
                    <w:rPr>
                      <w:bCs/>
                      <w:color w:val="auto"/>
                      <w:szCs w:val="21"/>
                    </w:rPr>
                  </w:pPr>
                  <w:r>
                    <w:rPr>
                      <w:rFonts w:hint="eastAsia"/>
                      <w:color w:val="auto"/>
                      <w:szCs w:val="21"/>
                    </w:rPr>
                    <w:t>/</w:t>
                  </w:r>
                </w:p>
              </w:tc>
              <w:tc>
                <w:tcPr>
                  <w:tcW w:w="364" w:type="pct"/>
                  <w:vAlign w:val="center"/>
                </w:tcPr>
                <w:p w14:paraId="7E3C99E4">
                  <w:pPr>
                    <w:adjustRightInd w:val="0"/>
                    <w:snapToGrid w:val="0"/>
                    <w:jc w:val="center"/>
                    <w:rPr>
                      <w:bCs/>
                      <w:color w:val="auto"/>
                      <w:szCs w:val="21"/>
                    </w:rPr>
                  </w:pPr>
                  <w:r>
                    <w:rPr>
                      <w:bCs/>
                      <w:color w:val="auto"/>
                      <w:szCs w:val="21"/>
                    </w:rPr>
                    <w:t>浸泡</w:t>
                  </w:r>
                </w:p>
              </w:tc>
            </w:tr>
            <w:tr w14:paraId="1C308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Align w:val="center"/>
                </w:tcPr>
                <w:p w14:paraId="7B0DBC3E">
                  <w:pPr>
                    <w:adjustRightInd w:val="0"/>
                    <w:snapToGrid w:val="0"/>
                    <w:jc w:val="center"/>
                    <w:rPr>
                      <w:bCs/>
                      <w:color w:val="auto"/>
                      <w:szCs w:val="21"/>
                    </w:rPr>
                  </w:pPr>
                  <w:r>
                    <w:rPr>
                      <w:bCs/>
                      <w:color w:val="auto"/>
                      <w:szCs w:val="21"/>
                    </w:rPr>
                    <w:t>12</w:t>
                  </w:r>
                </w:p>
              </w:tc>
              <w:tc>
                <w:tcPr>
                  <w:tcW w:w="624" w:type="pct"/>
                  <w:vAlign w:val="center"/>
                </w:tcPr>
                <w:p w14:paraId="58FB893D">
                  <w:pPr>
                    <w:adjustRightInd w:val="0"/>
                    <w:snapToGrid w:val="0"/>
                    <w:jc w:val="center"/>
                    <w:rPr>
                      <w:bCs/>
                      <w:color w:val="auto"/>
                      <w:szCs w:val="21"/>
                    </w:rPr>
                  </w:pPr>
                  <w:r>
                    <w:rPr>
                      <w:rFonts w:hint="eastAsia"/>
                      <w:color w:val="auto"/>
                    </w:rPr>
                    <w:t>清洗槽6</w:t>
                  </w:r>
                </w:p>
              </w:tc>
              <w:tc>
                <w:tcPr>
                  <w:tcW w:w="931" w:type="pct"/>
                  <w:vAlign w:val="center"/>
                </w:tcPr>
                <w:p w14:paraId="44CCC699">
                  <w:pPr>
                    <w:adjustRightInd w:val="0"/>
                    <w:snapToGrid w:val="0"/>
                    <w:jc w:val="center"/>
                    <w:rPr>
                      <w:bCs/>
                      <w:color w:val="auto"/>
                      <w:szCs w:val="21"/>
                    </w:rPr>
                  </w:pPr>
                  <w:r>
                    <w:rPr>
                      <w:rFonts w:hint="eastAsia"/>
                      <w:color w:val="auto"/>
                      <w:kern w:val="0"/>
                      <w:szCs w:val="21"/>
                      <w:lang w:bidi="ar"/>
                    </w:rPr>
                    <w:t>2.4</w:t>
                  </w:r>
                  <w:r>
                    <w:rPr>
                      <w:color w:val="auto"/>
                      <w:kern w:val="0"/>
                      <w:szCs w:val="21"/>
                      <w:lang w:bidi="ar"/>
                    </w:rPr>
                    <w:t>×</w:t>
                  </w:r>
                  <w:r>
                    <w:rPr>
                      <w:rFonts w:hint="eastAsia"/>
                      <w:color w:val="auto"/>
                      <w:kern w:val="0"/>
                      <w:szCs w:val="21"/>
                      <w:lang w:bidi="ar"/>
                    </w:rPr>
                    <w:t>1.4</w:t>
                  </w:r>
                  <w:r>
                    <w:rPr>
                      <w:color w:val="auto"/>
                      <w:kern w:val="0"/>
                      <w:szCs w:val="21"/>
                      <w:lang w:bidi="ar"/>
                    </w:rPr>
                    <w:t>×</w:t>
                  </w:r>
                  <w:r>
                    <w:rPr>
                      <w:rFonts w:hint="eastAsia"/>
                      <w:color w:val="auto"/>
                      <w:kern w:val="0"/>
                      <w:szCs w:val="21"/>
                      <w:lang w:bidi="ar"/>
                    </w:rPr>
                    <w:t>1.4</w:t>
                  </w:r>
                </w:p>
              </w:tc>
              <w:tc>
                <w:tcPr>
                  <w:tcW w:w="320" w:type="pct"/>
                  <w:vAlign w:val="center"/>
                </w:tcPr>
                <w:p w14:paraId="7EEBA276">
                  <w:pPr>
                    <w:adjustRightInd w:val="0"/>
                    <w:snapToGrid w:val="0"/>
                    <w:jc w:val="center"/>
                    <w:rPr>
                      <w:bCs/>
                      <w:color w:val="auto"/>
                      <w:szCs w:val="21"/>
                    </w:rPr>
                  </w:pPr>
                  <w:r>
                    <w:rPr>
                      <w:bCs/>
                      <w:color w:val="auto"/>
                      <w:szCs w:val="21"/>
                    </w:rPr>
                    <w:t>1</w:t>
                  </w:r>
                </w:p>
              </w:tc>
              <w:tc>
                <w:tcPr>
                  <w:tcW w:w="430" w:type="pct"/>
                  <w:vAlign w:val="center"/>
                </w:tcPr>
                <w:p w14:paraId="30C482A0">
                  <w:pPr>
                    <w:adjustRightInd w:val="0"/>
                    <w:snapToGrid w:val="0"/>
                    <w:jc w:val="center"/>
                    <w:rPr>
                      <w:bCs/>
                      <w:color w:val="auto"/>
                      <w:szCs w:val="21"/>
                    </w:rPr>
                  </w:pPr>
                  <w:r>
                    <w:rPr>
                      <w:rFonts w:hint="eastAsia"/>
                      <w:bCs/>
                      <w:color w:val="auto"/>
                      <w:szCs w:val="21"/>
                    </w:rPr>
                    <w:t>4</w:t>
                  </w:r>
                </w:p>
              </w:tc>
              <w:tc>
                <w:tcPr>
                  <w:tcW w:w="383" w:type="pct"/>
                  <w:vAlign w:val="center"/>
                </w:tcPr>
                <w:p w14:paraId="7DD41468">
                  <w:pPr>
                    <w:adjustRightInd w:val="0"/>
                    <w:snapToGrid w:val="0"/>
                    <w:jc w:val="center"/>
                    <w:rPr>
                      <w:bCs/>
                      <w:color w:val="auto"/>
                      <w:szCs w:val="21"/>
                    </w:rPr>
                  </w:pPr>
                  <w:r>
                    <w:rPr>
                      <w:bCs/>
                      <w:color w:val="auto"/>
                      <w:szCs w:val="21"/>
                    </w:rPr>
                    <w:t>常温</w:t>
                  </w:r>
                </w:p>
              </w:tc>
              <w:tc>
                <w:tcPr>
                  <w:tcW w:w="441" w:type="pct"/>
                  <w:vAlign w:val="center"/>
                </w:tcPr>
                <w:p w14:paraId="4C1FC348">
                  <w:pPr>
                    <w:adjustRightInd w:val="0"/>
                    <w:snapToGrid w:val="0"/>
                    <w:jc w:val="center"/>
                    <w:rPr>
                      <w:bCs/>
                      <w:color w:val="auto"/>
                      <w:szCs w:val="21"/>
                    </w:rPr>
                  </w:pPr>
                  <w:r>
                    <w:rPr>
                      <w:bCs/>
                      <w:color w:val="auto"/>
                      <w:szCs w:val="21"/>
                    </w:rPr>
                    <w:t>1</w:t>
                  </w:r>
                </w:p>
              </w:tc>
              <w:tc>
                <w:tcPr>
                  <w:tcW w:w="711" w:type="pct"/>
                  <w:vAlign w:val="center"/>
                </w:tcPr>
                <w:p w14:paraId="79937167">
                  <w:pPr>
                    <w:adjustRightInd w:val="0"/>
                    <w:snapToGrid w:val="0"/>
                    <w:jc w:val="center"/>
                    <w:rPr>
                      <w:bCs/>
                      <w:color w:val="auto"/>
                      <w:szCs w:val="21"/>
                    </w:rPr>
                  </w:pPr>
                  <w:r>
                    <w:rPr>
                      <w:rFonts w:hint="eastAsia"/>
                      <w:bCs/>
                      <w:color w:val="auto"/>
                      <w:szCs w:val="21"/>
                    </w:rPr>
                    <w:t>新鲜水</w:t>
                  </w:r>
                </w:p>
              </w:tc>
              <w:tc>
                <w:tcPr>
                  <w:tcW w:w="501" w:type="pct"/>
                  <w:vAlign w:val="center"/>
                </w:tcPr>
                <w:p w14:paraId="28726ADD">
                  <w:pPr>
                    <w:adjustRightInd w:val="0"/>
                    <w:snapToGrid w:val="0"/>
                    <w:jc w:val="center"/>
                    <w:rPr>
                      <w:bCs/>
                      <w:color w:val="auto"/>
                      <w:szCs w:val="21"/>
                    </w:rPr>
                  </w:pPr>
                  <w:r>
                    <w:rPr>
                      <w:rFonts w:hint="eastAsia"/>
                      <w:color w:val="auto"/>
                      <w:szCs w:val="21"/>
                    </w:rPr>
                    <w:t>/</w:t>
                  </w:r>
                </w:p>
              </w:tc>
              <w:tc>
                <w:tcPr>
                  <w:tcW w:w="364" w:type="pct"/>
                  <w:vAlign w:val="center"/>
                </w:tcPr>
                <w:p w14:paraId="487A703C">
                  <w:pPr>
                    <w:adjustRightInd w:val="0"/>
                    <w:snapToGrid w:val="0"/>
                    <w:jc w:val="center"/>
                    <w:rPr>
                      <w:bCs/>
                      <w:color w:val="auto"/>
                      <w:szCs w:val="21"/>
                    </w:rPr>
                  </w:pPr>
                  <w:r>
                    <w:rPr>
                      <w:bCs/>
                      <w:color w:val="auto"/>
                      <w:szCs w:val="21"/>
                    </w:rPr>
                    <w:t>浸泡</w:t>
                  </w:r>
                </w:p>
              </w:tc>
            </w:tr>
            <w:tr w14:paraId="65014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10"/>
                  <w:vAlign w:val="center"/>
                </w:tcPr>
                <w:p w14:paraId="0BB9766F">
                  <w:pPr>
                    <w:adjustRightInd w:val="0"/>
                    <w:snapToGrid w:val="0"/>
                    <w:rPr>
                      <w:bCs/>
                      <w:color w:val="auto"/>
                      <w:szCs w:val="21"/>
                    </w:rPr>
                  </w:pPr>
                  <w:r>
                    <w:rPr>
                      <w:rFonts w:hint="eastAsia"/>
                      <w:bCs/>
                      <w:color w:val="auto"/>
                      <w:szCs w:val="21"/>
                    </w:rPr>
                    <w:t>说明：本报告所述槽体规格均为内槽规格。</w:t>
                  </w:r>
                </w:p>
              </w:tc>
            </w:tr>
          </w:tbl>
          <w:p w14:paraId="0CE6593F">
            <w:pPr>
              <w:widowControl/>
              <w:adjustRightInd w:val="0"/>
              <w:snapToGrid w:val="0"/>
              <w:spacing w:line="360" w:lineRule="auto"/>
              <w:ind w:firstLine="480" w:firstLineChars="200"/>
              <w:rPr>
                <w:rFonts w:ascii="Times New Roman" w:hAnsi="Times New Roman" w:eastAsia="宋体" w:cs="Times New Roman"/>
                <w:bCs/>
                <w:color w:val="auto"/>
                <w:sz w:val="24"/>
              </w:rPr>
            </w:pPr>
            <w:r>
              <w:rPr>
                <w:rFonts w:ascii="Times New Roman" w:hAnsi="Times New Roman" w:eastAsia="宋体" w:cs="Times New Roman"/>
                <w:bCs/>
                <w:color w:val="auto"/>
                <w:sz w:val="24"/>
              </w:rPr>
              <w:t>项目前处理线运行时槽体连接图见下图：</w:t>
            </w:r>
          </w:p>
          <w:p w14:paraId="143F8357">
            <w:pPr>
              <w:pStyle w:val="2"/>
              <w:jc w:val="center"/>
              <w:rPr>
                <w:rFonts w:hint="eastAsia" w:eastAsia="宋体"/>
                <w:b/>
                <w:color w:val="auto"/>
                <w:sz w:val="24"/>
                <w:lang w:val="en-US" w:eastAsia="zh-CN"/>
              </w:rPr>
            </w:pPr>
            <w:r>
              <w:rPr>
                <w:b/>
                <w:color w:val="auto"/>
                <w:sz w:val="24"/>
              </w:rPr>
              <w:object>
                <v:shape id="_x0000_i1025" o:spt="75" type="#_x0000_t75" style="height:240.9pt;width:454.65pt;" o:ole="t" filled="f" o:preferrelative="t" stroked="f" coordsize="21600,21600">
                  <v:path/>
                  <v:fill on="f" focussize="0,0"/>
                  <v:stroke on="f"/>
                  <v:imagedata r:id="rId17" cropbottom="6798f" o:title=""/>
                  <o:lock v:ext="edit" aspectratio="f"/>
                  <w10:wrap type="none"/>
                  <w10:anchorlock/>
                </v:shape>
                <o:OLEObject Type="Embed" ProgID="Visio.Drawing.15" ShapeID="_x0000_i1025" DrawAspect="Content" ObjectID="_1468075725" r:id="rId16">
                  <o:LockedField>false</o:LockedField>
                </o:OLEObject>
              </w:object>
            </w:r>
          </w:p>
          <w:p w14:paraId="7F8F2FD2">
            <w:pPr>
              <w:numPr>
                <w:ilvl w:val="0"/>
                <w:numId w:val="12"/>
              </w:numPr>
              <w:spacing w:line="360" w:lineRule="auto"/>
              <w:ind w:firstLine="422" w:firstLineChars="200"/>
              <w:jc w:val="center"/>
              <w:rPr>
                <w:color w:val="auto"/>
              </w:rPr>
            </w:pPr>
            <w:r>
              <w:rPr>
                <w:b/>
                <w:bCs/>
                <w:color w:val="auto"/>
              </w:rPr>
              <w:t>项目前处理线运行时槽体连接示意图（</w:t>
            </w:r>
            <w:r>
              <w:rPr>
                <w:rFonts w:hint="eastAsia"/>
                <w:b/>
                <w:bCs/>
                <w:color w:val="auto"/>
                <w:lang w:val="en-US" w:eastAsia="zh-CN"/>
              </w:rPr>
              <w:t>半自动</w:t>
            </w:r>
            <w:r>
              <w:rPr>
                <w:b/>
                <w:bCs/>
                <w:color w:val="auto"/>
              </w:rPr>
              <w:t>线）</w:t>
            </w:r>
          </w:p>
          <w:p w14:paraId="7C85D61D">
            <w:pPr>
              <w:widowControl/>
              <w:adjustRightInd w:val="0"/>
              <w:snapToGrid w:val="0"/>
              <w:spacing w:before="120" w:beforeLines="50" w:line="360" w:lineRule="auto"/>
              <w:ind w:firstLine="241" w:firstLineChars="100"/>
              <w:rPr>
                <w:b/>
                <w:bCs/>
                <w:color w:val="auto"/>
                <w:sz w:val="24"/>
              </w:rPr>
            </w:pPr>
            <w:r>
              <w:rPr>
                <w:b/>
                <w:bCs/>
                <w:color w:val="auto"/>
                <w:sz w:val="24"/>
              </w:rPr>
              <w:t>（</w:t>
            </w:r>
            <w:r>
              <w:rPr>
                <w:rFonts w:hint="eastAsia"/>
                <w:b/>
                <w:bCs/>
                <w:color w:val="auto"/>
                <w:sz w:val="24"/>
                <w:lang w:val="en-US" w:eastAsia="zh-CN"/>
              </w:rPr>
              <w:t>2</w:t>
            </w:r>
            <w:r>
              <w:rPr>
                <w:b/>
                <w:bCs/>
                <w:color w:val="auto"/>
                <w:sz w:val="24"/>
              </w:rPr>
              <w:t>）匹配性分析</w:t>
            </w:r>
          </w:p>
          <w:p w14:paraId="357404FB">
            <w:pPr>
              <w:widowControl/>
              <w:adjustRightInd w:val="0"/>
              <w:snapToGrid w:val="0"/>
              <w:spacing w:line="360" w:lineRule="auto"/>
              <w:ind w:firstLine="482" w:firstLineChars="200"/>
              <w:rPr>
                <w:b/>
                <w:color w:val="auto"/>
                <w:sz w:val="24"/>
              </w:rPr>
            </w:pPr>
            <w:r>
              <w:rPr>
                <w:rFonts w:hint="eastAsia"/>
                <w:b/>
                <w:color w:val="auto"/>
                <w:sz w:val="24"/>
              </w:rPr>
              <w:t>1）前处理工序匹配性分析</w:t>
            </w:r>
          </w:p>
          <w:p w14:paraId="3EEFE122">
            <w:pPr>
              <w:widowControl/>
              <w:adjustRightInd w:val="0"/>
              <w:snapToGrid w:val="0"/>
              <w:spacing w:line="360" w:lineRule="auto"/>
              <w:ind w:firstLine="480" w:firstLineChars="200"/>
              <w:rPr>
                <w:bCs/>
                <w:color w:val="auto"/>
                <w:sz w:val="24"/>
              </w:rPr>
            </w:pPr>
            <w:r>
              <w:rPr>
                <w:bCs/>
                <w:color w:val="auto"/>
                <w:sz w:val="24"/>
              </w:rPr>
              <w:t>项目</w:t>
            </w:r>
            <w:r>
              <w:rPr>
                <w:rFonts w:hint="eastAsia"/>
                <w:bCs/>
                <w:color w:val="auto"/>
                <w:sz w:val="24"/>
              </w:rPr>
              <w:t>拟建1条前处理线，运行方式为半自动运行，所有工件叠放在挂篮内，使用龙门行车提升和下降完成工件清洗，挂篮规格为2.3×1.3×1.3m。共设12个前处理槽，前处理加工时根据工件材质选择进入不同的前处理槽，不存在两种材质工件同时进行前处理加工的情况。根据建设单位提供资料，碳钢材质产品前处理工艺为：除油→清洗槽1→除锈槽→清洗槽2→清洗槽3→表调槽→磷化槽1→清洗槽5；铝制产品前处理工艺为：脱脂槽→清洗槽4→表调槽→磷化槽2→清洗槽6。由此可见表调槽为共用槽体，年工作时间为10h/d，300d/a，其他槽体的年工作时间根据两种材质工件的生产时间确定。各类产品的</w:t>
            </w:r>
            <w:r>
              <w:rPr>
                <w:bCs/>
                <w:color w:val="auto"/>
                <w:sz w:val="24"/>
              </w:rPr>
              <w:t>前处理</w:t>
            </w:r>
            <w:r>
              <w:rPr>
                <w:rFonts w:hint="eastAsia"/>
                <w:bCs/>
                <w:color w:val="auto"/>
                <w:sz w:val="24"/>
              </w:rPr>
              <w:t>加工工序的</w:t>
            </w:r>
            <w:r>
              <w:rPr>
                <w:bCs/>
                <w:color w:val="auto"/>
                <w:sz w:val="24"/>
              </w:rPr>
              <w:t>时间分配如下：</w:t>
            </w:r>
          </w:p>
          <w:p w14:paraId="139CA7ED">
            <w:pPr>
              <w:widowControl/>
              <w:adjustRightInd w:val="0"/>
              <w:snapToGrid w:val="0"/>
              <w:spacing w:line="360" w:lineRule="auto"/>
              <w:ind w:firstLine="480" w:firstLineChars="200"/>
              <w:rPr>
                <w:bCs/>
                <w:color w:val="auto"/>
                <w:sz w:val="24"/>
              </w:rPr>
            </w:pPr>
            <w:r>
              <w:rPr>
                <w:rFonts w:hint="eastAsia"/>
                <w:bCs/>
                <w:color w:val="auto"/>
                <w:sz w:val="24"/>
              </w:rPr>
              <w:t>自行车车架</w:t>
            </w:r>
            <w:r>
              <w:rPr>
                <w:bCs/>
                <w:color w:val="auto"/>
                <w:sz w:val="24"/>
              </w:rPr>
              <w:t>：</w:t>
            </w:r>
            <w:r>
              <w:rPr>
                <w:rFonts w:hint="eastAsia"/>
                <w:bCs/>
                <w:color w:val="auto"/>
                <w:sz w:val="24"/>
              </w:rPr>
              <w:t>碳钢产品</w:t>
            </w:r>
            <w:r>
              <w:rPr>
                <w:bCs/>
                <w:color w:val="auto"/>
                <w:sz w:val="24"/>
              </w:rPr>
              <w:t>年</w:t>
            </w:r>
            <w:r>
              <w:rPr>
                <w:rFonts w:hint="eastAsia"/>
                <w:bCs/>
                <w:color w:val="auto"/>
                <w:sz w:val="24"/>
              </w:rPr>
              <w:t>加工时间65天</w:t>
            </w:r>
            <w:r>
              <w:rPr>
                <w:bCs/>
                <w:color w:val="auto"/>
                <w:sz w:val="24"/>
              </w:rPr>
              <w:t>，每天</w:t>
            </w:r>
            <w:r>
              <w:rPr>
                <w:rFonts w:hint="eastAsia"/>
                <w:bCs/>
                <w:color w:val="auto"/>
                <w:sz w:val="24"/>
              </w:rPr>
              <w:t>10</w:t>
            </w:r>
            <w:r>
              <w:rPr>
                <w:bCs/>
                <w:color w:val="auto"/>
                <w:sz w:val="24"/>
              </w:rPr>
              <w:t>h</w:t>
            </w:r>
            <w:r>
              <w:rPr>
                <w:rFonts w:hint="eastAsia"/>
                <w:bCs/>
                <w:color w:val="auto"/>
                <w:sz w:val="24"/>
              </w:rPr>
              <w:t>；铝制产品年加工时间20天</w:t>
            </w:r>
            <w:r>
              <w:rPr>
                <w:bCs/>
                <w:color w:val="auto"/>
                <w:sz w:val="24"/>
              </w:rPr>
              <w:t>，每天</w:t>
            </w:r>
            <w:r>
              <w:rPr>
                <w:rFonts w:hint="eastAsia"/>
                <w:bCs/>
                <w:color w:val="auto"/>
                <w:sz w:val="24"/>
              </w:rPr>
              <w:t>10</w:t>
            </w:r>
            <w:r>
              <w:rPr>
                <w:bCs/>
                <w:color w:val="auto"/>
                <w:sz w:val="24"/>
              </w:rPr>
              <w:t>h。合计年处理</w:t>
            </w:r>
            <w:r>
              <w:rPr>
                <w:rFonts w:hint="eastAsia"/>
                <w:bCs/>
                <w:color w:val="auto"/>
                <w:sz w:val="24"/>
              </w:rPr>
              <w:t>85</w:t>
            </w:r>
            <w:r>
              <w:rPr>
                <w:bCs/>
                <w:color w:val="auto"/>
                <w:sz w:val="24"/>
              </w:rPr>
              <w:t>天，每天1</w:t>
            </w:r>
            <w:r>
              <w:rPr>
                <w:rFonts w:hint="eastAsia"/>
                <w:bCs/>
                <w:color w:val="auto"/>
                <w:sz w:val="24"/>
              </w:rPr>
              <w:t>0</w:t>
            </w:r>
            <w:r>
              <w:rPr>
                <w:bCs/>
                <w:color w:val="auto"/>
                <w:sz w:val="24"/>
              </w:rPr>
              <w:t>h。</w:t>
            </w:r>
          </w:p>
          <w:p w14:paraId="7BE2E904">
            <w:pPr>
              <w:widowControl/>
              <w:adjustRightInd w:val="0"/>
              <w:snapToGrid w:val="0"/>
              <w:spacing w:line="360" w:lineRule="auto"/>
              <w:ind w:firstLine="480" w:firstLineChars="200"/>
              <w:rPr>
                <w:color w:val="auto"/>
              </w:rPr>
            </w:pPr>
            <w:r>
              <w:rPr>
                <w:rFonts w:hint="eastAsia"/>
                <w:bCs/>
                <w:color w:val="auto"/>
                <w:sz w:val="24"/>
              </w:rPr>
              <w:t>电动助力车车架</w:t>
            </w:r>
            <w:r>
              <w:rPr>
                <w:bCs/>
                <w:color w:val="auto"/>
                <w:sz w:val="24"/>
              </w:rPr>
              <w:t>：</w:t>
            </w:r>
            <w:r>
              <w:rPr>
                <w:rFonts w:hint="eastAsia"/>
                <w:bCs/>
                <w:color w:val="auto"/>
                <w:sz w:val="24"/>
              </w:rPr>
              <w:t>碳钢产品</w:t>
            </w:r>
            <w:r>
              <w:rPr>
                <w:bCs/>
                <w:color w:val="auto"/>
                <w:sz w:val="24"/>
              </w:rPr>
              <w:t>年</w:t>
            </w:r>
            <w:r>
              <w:rPr>
                <w:rFonts w:hint="eastAsia"/>
                <w:bCs/>
                <w:color w:val="auto"/>
                <w:sz w:val="24"/>
              </w:rPr>
              <w:t>加工时间125天</w:t>
            </w:r>
            <w:r>
              <w:rPr>
                <w:bCs/>
                <w:color w:val="auto"/>
                <w:sz w:val="24"/>
              </w:rPr>
              <w:t>，每天</w:t>
            </w:r>
            <w:r>
              <w:rPr>
                <w:rFonts w:hint="eastAsia"/>
                <w:bCs/>
                <w:color w:val="auto"/>
                <w:sz w:val="24"/>
              </w:rPr>
              <w:t>10</w:t>
            </w:r>
            <w:r>
              <w:rPr>
                <w:bCs/>
                <w:color w:val="auto"/>
                <w:sz w:val="24"/>
              </w:rPr>
              <w:t>h</w:t>
            </w:r>
            <w:r>
              <w:rPr>
                <w:rFonts w:hint="eastAsia"/>
                <w:bCs/>
                <w:color w:val="auto"/>
                <w:sz w:val="24"/>
              </w:rPr>
              <w:t>；铝制产品年加工时间30天</w:t>
            </w:r>
            <w:r>
              <w:rPr>
                <w:bCs/>
                <w:color w:val="auto"/>
                <w:sz w:val="24"/>
              </w:rPr>
              <w:t>，每天</w:t>
            </w:r>
            <w:r>
              <w:rPr>
                <w:rFonts w:hint="eastAsia"/>
                <w:bCs/>
                <w:color w:val="auto"/>
                <w:sz w:val="24"/>
              </w:rPr>
              <w:t>10</w:t>
            </w:r>
            <w:r>
              <w:rPr>
                <w:bCs/>
                <w:color w:val="auto"/>
                <w:sz w:val="24"/>
              </w:rPr>
              <w:t>h。合计年处理</w:t>
            </w:r>
            <w:r>
              <w:rPr>
                <w:rFonts w:hint="eastAsia"/>
                <w:bCs/>
                <w:color w:val="auto"/>
                <w:sz w:val="24"/>
              </w:rPr>
              <w:t>155</w:t>
            </w:r>
            <w:r>
              <w:rPr>
                <w:bCs/>
                <w:color w:val="auto"/>
                <w:sz w:val="24"/>
              </w:rPr>
              <w:t>天，每天1</w:t>
            </w:r>
            <w:r>
              <w:rPr>
                <w:rFonts w:hint="eastAsia"/>
                <w:bCs/>
                <w:color w:val="auto"/>
                <w:sz w:val="24"/>
              </w:rPr>
              <w:t>0</w:t>
            </w:r>
            <w:r>
              <w:rPr>
                <w:bCs/>
                <w:color w:val="auto"/>
                <w:sz w:val="24"/>
              </w:rPr>
              <w:t>h。</w:t>
            </w:r>
          </w:p>
          <w:p w14:paraId="4B1227F4">
            <w:pPr>
              <w:widowControl/>
              <w:adjustRightInd w:val="0"/>
              <w:snapToGrid w:val="0"/>
              <w:spacing w:line="360" w:lineRule="auto"/>
              <w:ind w:firstLine="480" w:firstLineChars="200"/>
              <w:rPr>
                <w:bCs/>
                <w:color w:val="auto"/>
                <w:sz w:val="24"/>
              </w:rPr>
            </w:pPr>
            <w:r>
              <w:rPr>
                <w:rFonts w:hint="eastAsia"/>
                <w:bCs/>
                <w:color w:val="auto"/>
                <w:sz w:val="24"/>
              </w:rPr>
              <w:t>家私配件：碳钢产品</w:t>
            </w:r>
            <w:r>
              <w:rPr>
                <w:bCs/>
                <w:color w:val="auto"/>
                <w:sz w:val="24"/>
              </w:rPr>
              <w:t>年</w:t>
            </w:r>
            <w:r>
              <w:rPr>
                <w:rFonts w:hint="eastAsia"/>
                <w:bCs/>
                <w:color w:val="auto"/>
                <w:sz w:val="24"/>
              </w:rPr>
              <w:t>加工时间45天</w:t>
            </w:r>
            <w:r>
              <w:rPr>
                <w:bCs/>
                <w:color w:val="auto"/>
                <w:sz w:val="24"/>
              </w:rPr>
              <w:t>，每天</w:t>
            </w:r>
            <w:r>
              <w:rPr>
                <w:rFonts w:hint="eastAsia"/>
                <w:bCs/>
                <w:color w:val="auto"/>
                <w:sz w:val="24"/>
              </w:rPr>
              <w:t>10</w:t>
            </w:r>
            <w:r>
              <w:rPr>
                <w:bCs/>
                <w:color w:val="auto"/>
                <w:sz w:val="24"/>
              </w:rPr>
              <w:t>h</w:t>
            </w:r>
            <w:r>
              <w:rPr>
                <w:rFonts w:hint="eastAsia"/>
                <w:bCs/>
                <w:color w:val="auto"/>
                <w:sz w:val="24"/>
              </w:rPr>
              <w:t>；铝制产品年加工时间15天</w:t>
            </w:r>
            <w:r>
              <w:rPr>
                <w:bCs/>
                <w:color w:val="auto"/>
                <w:sz w:val="24"/>
              </w:rPr>
              <w:t>，每天</w:t>
            </w:r>
            <w:r>
              <w:rPr>
                <w:rFonts w:hint="eastAsia"/>
                <w:bCs/>
                <w:color w:val="auto"/>
                <w:sz w:val="24"/>
              </w:rPr>
              <w:t>10</w:t>
            </w:r>
            <w:r>
              <w:rPr>
                <w:bCs/>
                <w:color w:val="auto"/>
                <w:sz w:val="24"/>
              </w:rPr>
              <w:t>h。合计年处理</w:t>
            </w:r>
            <w:r>
              <w:rPr>
                <w:rFonts w:hint="eastAsia"/>
                <w:bCs/>
                <w:color w:val="auto"/>
                <w:sz w:val="24"/>
              </w:rPr>
              <w:t>60</w:t>
            </w:r>
            <w:r>
              <w:rPr>
                <w:bCs/>
                <w:color w:val="auto"/>
                <w:sz w:val="24"/>
              </w:rPr>
              <w:t>天，每天1</w:t>
            </w:r>
            <w:r>
              <w:rPr>
                <w:rFonts w:hint="eastAsia"/>
                <w:bCs/>
                <w:color w:val="auto"/>
                <w:sz w:val="24"/>
              </w:rPr>
              <w:t>0</w:t>
            </w:r>
            <w:r>
              <w:rPr>
                <w:bCs/>
                <w:color w:val="auto"/>
                <w:sz w:val="24"/>
              </w:rPr>
              <w:t>h。</w:t>
            </w:r>
          </w:p>
          <w:p w14:paraId="12938BE4">
            <w:pPr>
              <w:widowControl/>
              <w:adjustRightInd w:val="0"/>
              <w:snapToGrid w:val="0"/>
              <w:spacing w:line="360" w:lineRule="auto"/>
              <w:ind w:firstLine="480" w:firstLineChars="200"/>
              <w:rPr>
                <w:bCs/>
                <w:color w:val="auto"/>
                <w:kern w:val="0"/>
                <w:sz w:val="24"/>
                <w:lang w:bidi="ar"/>
              </w:rPr>
            </w:pPr>
            <w:r>
              <w:rPr>
                <w:bCs/>
                <w:color w:val="auto"/>
                <w:sz w:val="24"/>
              </w:rPr>
              <w:t>前处理线匹配性分析见下表</w:t>
            </w:r>
            <w:r>
              <w:rPr>
                <w:bCs/>
                <w:color w:val="auto"/>
                <w:kern w:val="0"/>
                <w:sz w:val="24"/>
                <w:lang w:bidi="ar"/>
              </w:rPr>
              <w:t>。</w:t>
            </w:r>
          </w:p>
          <w:p w14:paraId="416A71E9">
            <w:pPr>
              <w:numPr>
                <w:ilvl w:val="0"/>
                <w:numId w:val="10"/>
              </w:numPr>
              <w:adjustRightInd w:val="0"/>
              <w:snapToGrid w:val="0"/>
              <w:jc w:val="center"/>
              <w:rPr>
                <w:b/>
                <w:color w:val="auto"/>
                <w:szCs w:val="21"/>
              </w:rPr>
            </w:pPr>
            <w:r>
              <w:rPr>
                <w:b/>
                <w:color w:val="auto"/>
                <w:szCs w:val="21"/>
              </w:rPr>
              <w:t>本项目前处理线匹配性分析一览表</w:t>
            </w:r>
          </w:p>
          <w:tbl>
            <w:tblPr>
              <w:tblStyle w:val="35"/>
              <w:tblW w:w="92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14"/>
              <w:gridCol w:w="465"/>
              <w:gridCol w:w="584"/>
              <w:gridCol w:w="611"/>
              <w:gridCol w:w="614"/>
              <w:gridCol w:w="849"/>
              <w:gridCol w:w="1095"/>
              <w:gridCol w:w="638"/>
              <w:gridCol w:w="789"/>
              <w:gridCol w:w="870"/>
              <w:gridCol w:w="849"/>
              <w:gridCol w:w="708"/>
            </w:tblGrid>
            <w:tr w14:paraId="2CC1D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231" w:type="pct"/>
                  <w:vMerge w:val="restart"/>
                  <w:vAlign w:val="center"/>
                </w:tcPr>
                <w:p w14:paraId="2BA0C772">
                  <w:pPr>
                    <w:widowControl/>
                    <w:jc w:val="center"/>
                    <w:textAlignment w:val="center"/>
                    <w:rPr>
                      <w:b/>
                      <w:bCs/>
                      <w:color w:val="auto"/>
                      <w:kern w:val="0"/>
                      <w:szCs w:val="21"/>
                      <w:lang w:bidi="ar"/>
                    </w:rPr>
                  </w:pPr>
                  <w:r>
                    <w:rPr>
                      <w:b/>
                      <w:bCs/>
                      <w:color w:val="auto"/>
                      <w:kern w:val="0"/>
                      <w:szCs w:val="21"/>
                      <w:lang w:bidi="ar"/>
                    </w:rPr>
                    <w:t>序号</w:t>
                  </w:r>
                </w:p>
              </w:tc>
              <w:tc>
                <w:tcPr>
                  <w:tcW w:w="388" w:type="pct"/>
                  <w:vMerge w:val="restart"/>
                  <w:vAlign w:val="center"/>
                </w:tcPr>
                <w:p w14:paraId="5210250C">
                  <w:pPr>
                    <w:widowControl/>
                    <w:jc w:val="center"/>
                    <w:textAlignment w:val="center"/>
                    <w:rPr>
                      <w:b/>
                      <w:bCs/>
                      <w:color w:val="auto"/>
                      <w:szCs w:val="21"/>
                    </w:rPr>
                  </w:pPr>
                  <w:r>
                    <w:rPr>
                      <w:rFonts w:hint="eastAsia"/>
                      <w:b/>
                      <w:bCs/>
                      <w:color w:val="auto"/>
                      <w:kern w:val="0"/>
                      <w:szCs w:val="21"/>
                      <w:lang w:bidi="ar"/>
                    </w:rPr>
                    <w:t>产品</w:t>
                  </w:r>
                </w:p>
              </w:tc>
              <w:tc>
                <w:tcPr>
                  <w:tcW w:w="253" w:type="pct"/>
                  <w:vMerge w:val="restart"/>
                  <w:vAlign w:val="center"/>
                </w:tcPr>
                <w:p w14:paraId="506A25E2">
                  <w:pPr>
                    <w:widowControl/>
                    <w:jc w:val="center"/>
                    <w:textAlignment w:val="center"/>
                    <w:rPr>
                      <w:b/>
                      <w:bCs/>
                      <w:color w:val="auto"/>
                      <w:szCs w:val="21"/>
                    </w:rPr>
                  </w:pPr>
                  <w:r>
                    <w:rPr>
                      <w:rFonts w:hint="eastAsia"/>
                      <w:b/>
                      <w:bCs/>
                      <w:color w:val="auto"/>
                      <w:szCs w:val="21"/>
                    </w:rPr>
                    <w:t>材质</w:t>
                  </w:r>
                </w:p>
              </w:tc>
              <w:tc>
                <w:tcPr>
                  <w:tcW w:w="982" w:type="pct"/>
                  <w:gridSpan w:val="3"/>
                  <w:vAlign w:val="center"/>
                </w:tcPr>
                <w:p w14:paraId="133C37DB">
                  <w:pPr>
                    <w:widowControl/>
                    <w:jc w:val="center"/>
                    <w:textAlignment w:val="center"/>
                    <w:rPr>
                      <w:b/>
                      <w:bCs/>
                      <w:color w:val="auto"/>
                      <w:kern w:val="0"/>
                      <w:szCs w:val="21"/>
                      <w:lang w:bidi="ar"/>
                    </w:rPr>
                  </w:pPr>
                  <w:r>
                    <w:rPr>
                      <w:rFonts w:hint="eastAsia"/>
                      <w:b/>
                      <w:bCs/>
                      <w:color w:val="auto"/>
                      <w:kern w:val="0"/>
                      <w:szCs w:val="21"/>
                      <w:lang w:bidi="ar"/>
                    </w:rPr>
                    <w:t>整体尺寸（m）</w:t>
                  </w:r>
                </w:p>
              </w:tc>
              <w:tc>
                <w:tcPr>
                  <w:tcW w:w="460" w:type="pct"/>
                  <w:vMerge w:val="restart"/>
                  <w:vAlign w:val="center"/>
                </w:tcPr>
                <w:p w14:paraId="08377D7E">
                  <w:pPr>
                    <w:widowControl/>
                    <w:jc w:val="center"/>
                    <w:textAlignment w:val="center"/>
                    <w:rPr>
                      <w:b/>
                      <w:bCs/>
                      <w:color w:val="auto"/>
                      <w:szCs w:val="21"/>
                    </w:rPr>
                  </w:pPr>
                  <w:r>
                    <w:rPr>
                      <w:rFonts w:hint="eastAsia"/>
                      <w:b/>
                      <w:bCs/>
                      <w:color w:val="auto"/>
                      <w:kern w:val="0"/>
                      <w:szCs w:val="21"/>
                      <w:lang w:bidi="ar"/>
                    </w:rPr>
                    <w:t>每</w:t>
                  </w:r>
                  <w:r>
                    <w:rPr>
                      <w:b/>
                      <w:bCs/>
                      <w:color w:val="auto"/>
                      <w:kern w:val="0"/>
                      <w:szCs w:val="21"/>
                      <w:lang w:bidi="ar"/>
                    </w:rPr>
                    <w:t>批次</w:t>
                  </w:r>
                  <w:r>
                    <w:rPr>
                      <w:rFonts w:hint="eastAsia"/>
                      <w:b/>
                      <w:bCs/>
                      <w:color w:val="auto"/>
                      <w:kern w:val="0"/>
                      <w:szCs w:val="21"/>
                      <w:lang w:bidi="ar"/>
                    </w:rPr>
                    <w:t>工件数</w:t>
                  </w:r>
                  <w:r>
                    <w:rPr>
                      <w:b/>
                      <w:bCs/>
                      <w:color w:val="auto"/>
                      <w:kern w:val="0"/>
                      <w:szCs w:val="21"/>
                      <w:lang w:bidi="ar"/>
                    </w:rPr>
                    <w:t>（件）</w:t>
                  </w:r>
                </w:p>
              </w:tc>
              <w:tc>
                <w:tcPr>
                  <w:tcW w:w="595" w:type="pct"/>
                  <w:vMerge w:val="restart"/>
                  <w:vAlign w:val="center"/>
                </w:tcPr>
                <w:p w14:paraId="53D5EF56">
                  <w:pPr>
                    <w:widowControl/>
                    <w:jc w:val="center"/>
                    <w:textAlignment w:val="center"/>
                    <w:rPr>
                      <w:b/>
                      <w:bCs/>
                      <w:color w:val="auto"/>
                      <w:szCs w:val="21"/>
                    </w:rPr>
                  </w:pPr>
                  <w:r>
                    <w:rPr>
                      <w:rFonts w:hint="eastAsia"/>
                      <w:b/>
                      <w:bCs/>
                      <w:color w:val="auto"/>
                      <w:kern w:val="0"/>
                      <w:szCs w:val="21"/>
                      <w:lang w:bidi="ar"/>
                    </w:rPr>
                    <w:t>每批次工件加工</w:t>
                  </w:r>
                  <w:r>
                    <w:rPr>
                      <w:b/>
                      <w:bCs/>
                      <w:color w:val="auto"/>
                      <w:kern w:val="0"/>
                      <w:szCs w:val="21"/>
                      <w:lang w:bidi="ar"/>
                    </w:rPr>
                    <w:t>时间（min）</w:t>
                  </w:r>
                </w:p>
              </w:tc>
              <w:tc>
                <w:tcPr>
                  <w:tcW w:w="346" w:type="pct"/>
                  <w:vMerge w:val="restart"/>
                  <w:vAlign w:val="center"/>
                </w:tcPr>
                <w:p w14:paraId="514BA8A8">
                  <w:pPr>
                    <w:widowControl/>
                    <w:jc w:val="center"/>
                    <w:textAlignment w:val="center"/>
                    <w:rPr>
                      <w:b/>
                      <w:bCs/>
                      <w:color w:val="auto"/>
                      <w:szCs w:val="21"/>
                    </w:rPr>
                  </w:pPr>
                  <w:r>
                    <w:rPr>
                      <w:b/>
                      <w:bCs/>
                      <w:color w:val="auto"/>
                      <w:kern w:val="0"/>
                      <w:szCs w:val="21"/>
                      <w:lang w:bidi="ar"/>
                    </w:rPr>
                    <w:t>每</w:t>
                  </w:r>
                  <w:r>
                    <w:rPr>
                      <w:rFonts w:hint="eastAsia"/>
                      <w:b/>
                      <w:bCs/>
                      <w:color w:val="auto"/>
                      <w:kern w:val="0"/>
                      <w:szCs w:val="21"/>
                      <w:lang w:bidi="ar"/>
                    </w:rPr>
                    <w:t>日</w:t>
                  </w:r>
                  <w:r>
                    <w:rPr>
                      <w:b/>
                      <w:bCs/>
                      <w:color w:val="auto"/>
                      <w:kern w:val="0"/>
                      <w:szCs w:val="21"/>
                      <w:lang w:bidi="ar"/>
                    </w:rPr>
                    <w:t>加工批次</w:t>
                  </w:r>
                </w:p>
              </w:tc>
              <w:tc>
                <w:tcPr>
                  <w:tcW w:w="428" w:type="pct"/>
                  <w:vMerge w:val="restart"/>
                  <w:vAlign w:val="center"/>
                </w:tcPr>
                <w:p w14:paraId="5E921CE1">
                  <w:pPr>
                    <w:widowControl/>
                    <w:jc w:val="center"/>
                    <w:textAlignment w:val="center"/>
                    <w:rPr>
                      <w:b/>
                      <w:bCs/>
                      <w:color w:val="auto"/>
                      <w:kern w:val="0"/>
                      <w:szCs w:val="21"/>
                      <w:lang w:bidi="ar"/>
                    </w:rPr>
                  </w:pPr>
                  <w:r>
                    <w:rPr>
                      <w:b/>
                      <w:bCs/>
                      <w:color w:val="auto"/>
                      <w:kern w:val="0"/>
                      <w:szCs w:val="21"/>
                      <w:lang w:bidi="ar"/>
                    </w:rPr>
                    <w:t>加工</w:t>
                  </w:r>
                </w:p>
                <w:p w14:paraId="266ADA80">
                  <w:pPr>
                    <w:widowControl/>
                    <w:jc w:val="center"/>
                    <w:textAlignment w:val="center"/>
                    <w:rPr>
                      <w:b/>
                      <w:bCs/>
                      <w:color w:val="auto"/>
                      <w:szCs w:val="21"/>
                    </w:rPr>
                  </w:pPr>
                  <w:r>
                    <w:rPr>
                      <w:b/>
                      <w:bCs/>
                      <w:color w:val="auto"/>
                      <w:kern w:val="0"/>
                      <w:szCs w:val="21"/>
                      <w:lang w:bidi="ar"/>
                    </w:rPr>
                    <w:t>时间</w:t>
                  </w:r>
                </w:p>
              </w:tc>
              <w:tc>
                <w:tcPr>
                  <w:tcW w:w="472" w:type="pct"/>
                  <w:vMerge w:val="restart"/>
                  <w:vAlign w:val="center"/>
                </w:tcPr>
                <w:p w14:paraId="6C4D3684">
                  <w:pPr>
                    <w:widowControl/>
                    <w:jc w:val="center"/>
                    <w:textAlignment w:val="center"/>
                    <w:rPr>
                      <w:b/>
                      <w:bCs/>
                      <w:color w:val="auto"/>
                      <w:kern w:val="0"/>
                      <w:szCs w:val="21"/>
                      <w:lang w:bidi="ar"/>
                    </w:rPr>
                  </w:pPr>
                  <w:r>
                    <w:rPr>
                      <w:b/>
                      <w:bCs/>
                      <w:color w:val="auto"/>
                      <w:kern w:val="0"/>
                      <w:szCs w:val="21"/>
                      <w:lang w:bidi="ar"/>
                    </w:rPr>
                    <w:t>理论年产量</w:t>
                  </w:r>
                </w:p>
                <w:p w14:paraId="693153DF">
                  <w:pPr>
                    <w:widowControl/>
                    <w:jc w:val="center"/>
                    <w:textAlignment w:val="center"/>
                    <w:rPr>
                      <w:b/>
                      <w:bCs/>
                      <w:color w:val="auto"/>
                      <w:szCs w:val="21"/>
                    </w:rPr>
                  </w:pPr>
                  <w:r>
                    <w:rPr>
                      <w:b/>
                      <w:bCs/>
                      <w:color w:val="auto"/>
                      <w:kern w:val="0"/>
                      <w:szCs w:val="21"/>
                      <w:lang w:bidi="ar"/>
                    </w:rPr>
                    <w:t>（件）</w:t>
                  </w:r>
                </w:p>
              </w:tc>
              <w:tc>
                <w:tcPr>
                  <w:tcW w:w="461" w:type="pct"/>
                  <w:vMerge w:val="restart"/>
                  <w:vAlign w:val="center"/>
                </w:tcPr>
                <w:p w14:paraId="4AC73CD4">
                  <w:pPr>
                    <w:widowControl/>
                    <w:jc w:val="center"/>
                    <w:textAlignment w:val="center"/>
                    <w:rPr>
                      <w:b/>
                      <w:bCs/>
                      <w:color w:val="auto"/>
                      <w:szCs w:val="21"/>
                    </w:rPr>
                  </w:pPr>
                  <w:r>
                    <w:rPr>
                      <w:b/>
                      <w:bCs/>
                      <w:color w:val="auto"/>
                      <w:kern w:val="0"/>
                      <w:szCs w:val="21"/>
                      <w:lang w:bidi="ar"/>
                    </w:rPr>
                    <w:t>本项目申报产量（件）</w:t>
                  </w:r>
                </w:p>
              </w:tc>
              <w:tc>
                <w:tcPr>
                  <w:tcW w:w="379" w:type="pct"/>
                  <w:vMerge w:val="restart"/>
                  <w:vAlign w:val="center"/>
                </w:tcPr>
                <w:p w14:paraId="587572CC">
                  <w:pPr>
                    <w:widowControl/>
                    <w:jc w:val="center"/>
                    <w:textAlignment w:val="center"/>
                    <w:rPr>
                      <w:b/>
                      <w:bCs/>
                      <w:color w:val="auto"/>
                      <w:kern w:val="0"/>
                      <w:szCs w:val="21"/>
                      <w:lang w:bidi="ar"/>
                    </w:rPr>
                  </w:pPr>
                  <w:r>
                    <w:rPr>
                      <w:rFonts w:hint="eastAsia"/>
                      <w:b/>
                      <w:bCs/>
                      <w:color w:val="auto"/>
                      <w:kern w:val="0"/>
                      <w:szCs w:val="21"/>
                      <w:lang w:bidi="ar"/>
                    </w:rPr>
                    <w:t>设备利用率%</w:t>
                  </w:r>
                </w:p>
              </w:tc>
            </w:tr>
            <w:tr w14:paraId="3AF1E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231" w:type="pct"/>
                  <w:vMerge w:val="continue"/>
                  <w:vAlign w:val="center"/>
                </w:tcPr>
                <w:p w14:paraId="2375FA3C">
                  <w:pPr>
                    <w:widowControl/>
                    <w:jc w:val="center"/>
                    <w:textAlignment w:val="center"/>
                    <w:rPr>
                      <w:color w:val="auto"/>
                    </w:rPr>
                  </w:pPr>
                </w:p>
              </w:tc>
              <w:tc>
                <w:tcPr>
                  <w:tcW w:w="388" w:type="pct"/>
                  <w:vMerge w:val="continue"/>
                  <w:vAlign w:val="center"/>
                </w:tcPr>
                <w:p w14:paraId="000D9F60">
                  <w:pPr>
                    <w:widowControl/>
                    <w:jc w:val="center"/>
                    <w:textAlignment w:val="center"/>
                    <w:rPr>
                      <w:color w:val="auto"/>
                    </w:rPr>
                  </w:pPr>
                </w:p>
              </w:tc>
              <w:tc>
                <w:tcPr>
                  <w:tcW w:w="253" w:type="pct"/>
                  <w:vMerge w:val="continue"/>
                  <w:vAlign w:val="center"/>
                </w:tcPr>
                <w:p w14:paraId="25A7D59B">
                  <w:pPr>
                    <w:widowControl/>
                    <w:jc w:val="center"/>
                    <w:textAlignment w:val="center"/>
                    <w:rPr>
                      <w:color w:val="auto"/>
                    </w:rPr>
                  </w:pPr>
                </w:p>
              </w:tc>
              <w:tc>
                <w:tcPr>
                  <w:tcW w:w="316" w:type="pct"/>
                  <w:vAlign w:val="center"/>
                </w:tcPr>
                <w:p w14:paraId="32BA69D6">
                  <w:pPr>
                    <w:widowControl/>
                    <w:jc w:val="center"/>
                    <w:textAlignment w:val="center"/>
                    <w:rPr>
                      <w:b/>
                      <w:bCs/>
                      <w:color w:val="auto"/>
                      <w:kern w:val="0"/>
                      <w:szCs w:val="21"/>
                      <w:lang w:bidi="ar"/>
                    </w:rPr>
                  </w:pPr>
                  <w:r>
                    <w:rPr>
                      <w:rFonts w:hint="eastAsia"/>
                      <w:b/>
                      <w:bCs/>
                      <w:color w:val="auto"/>
                      <w:kern w:val="0"/>
                      <w:szCs w:val="21"/>
                      <w:lang w:bidi="ar"/>
                    </w:rPr>
                    <w:t>长</w:t>
                  </w:r>
                </w:p>
              </w:tc>
              <w:tc>
                <w:tcPr>
                  <w:tcW w:w="332" w:type="pct"/>
                  <w:vAlign w:val="center"/>
                </w:tcPr>
                <w:p w14:paraId="347B05A5">
                  <w:pPr>
                    <w:widowControl/>
                    <w:jc w:val="center"/>
                    <w:textAlignment w:val="center"/>
                    <w:rPr>
                      <w:b/>
                      <w:bCs/>
                      <w:color w:val="auto"/>
                      <w:kern w:val="0"/>
                      <w:szCs w:val="21"/>
                      <w:lang w:bidi="ar"/>
                    </w:rPr>
                  </w:pPr>
                  <w:r>
                    <w:rPr>
                      <w:rFonts w:hint="eastAsia"/>
                      <w:b/>
                      <w:bCs/>
                      <w:color w:val="auto"/>
                      <w:kern w:val="0"/>
                      <w:szCs w:val="21"/>
                      <w:lang w:bidi="ar"/>
                    </w:rPr>
                    <w:t>宽</w:t>
                  </w:r>
                </w:p>
              </w:tc>
              <w:tc>
                <w:tcPr>
                  <w:tcW w:w="332" w:type="pct"/>
                  <w:vAlign w:val="center"/>
                </w:tcPr>
                <w:p w14:paraId="6E9448AE">
                  <w:pPr>
                    <w:widowControl/>
                    <w:jc w:val="center"/>
                    <w:textAlignment w:val="center"/>
                    <w:rPr>
                      <w:b/>
                      <w:bCs/>
                      <w:color w:val="auto"/>
                      <w:kern w:val="0"/>
                      <w:szCs w:val="21"/>
                      <w:lang w:bidi="ar"/>
                    </w:rPr>
                  </w:pPr>
                  <w:r>
                    <w:rPr>
                      <w:rFonts w:hint="eastAsia"/>
                      <w:b/>
                      <w:bCs/>
                      <w:color w:val="auto"/>
                      <w:kern w:val="0"/>
                      <w:szCs w:val="21"/>
                      <w:lang w:bidi="ar"/>
                    </w:rPr>
                    <w:t>高</w:t>
                  </w:r>
                </w:p>
              </w:tc>
              <w:tc>
                <w:tcPr>
                  <w:tcW w:w="460" w:type="pct"/>
                  <w:vMerge w:val="continue"/>
                  <w:vAlign w:val="center"/>
                </w:tcPr>
                <w:p w14:paraId="49B52ED3">
                  <w:pPr>
                    <w:widowControl/>
                    <w:jc w:val="center"/>
                    <w:textAlignment w:val="center"/>
                    <w:rPr>
                      <w:b/>
                      <w:bCs/>
                      <w:color w:val="auto"/>
                      <w:kern w:val="0"/>
                      <w:szCs w:val="21"/>
                      <w:lang w:bidi="ar"/>
                    </w:rPr>
                  </w:pPr>
                </w:p>
              </w:tc>
              <w:tc>
                <w:tcPr>
                  <w:tcW w:w="595" w:type="pct"/>
                  <w:vMerge w:val="continue"/>
                  <w:vAlign w:val="center"/>
                </w:tcPr>
                <w:p w14:paraId="46D238FB">
                  <w:pPr>
                    <w:widowControl/>
                    <w:jc w:val="center"/>
                    <w:textAlignment w:val="center"/>
                    <w:rPr>
                      <w:b/>
                      <w:bCs/>
                      <w:color w:val="auto"/>
                      <w:kern w:val="0"/>
                      <w:szCs w:val="21"/>
                      <w:lang w:bidi="ar"/>
                    </w:rPr>
                  </w:pPr>
                </w:p>
              </w:tc>
              <w:tc>
                <w:tcPr>
                  <w:tcW w:w="346" w:type="pct"/>
                  <w:vMerge w:val="continue"/>
                  <w:vAlign w:val="center"/>
                </w:tcPr>
                <w:p w14:paraId="09E0D758">
                  <w:pPr>
                    <w:widowControl/>
                    <w:jc w:val="center"/>
                    <w:textAlignment w:val="center"/>
                    <w:rPr>
                      <w:b/>
                      <w:bCs/>
                      <w:color w:val="auto"/>
                      <w:kern w:val="0"/>
                      <w:szCs w:val="21"/>
                      <w:lang w:bidi="ar"/>
                    </w:rPr>
                  </w:pPr>
                </w:p>
              </w:tc>
              <w:tc>
                <w:tcPr>
                  <w:tcW w:w="428" w:type="pct"/>
                  <w:vMerge w:val="continue"/>
                  <w:vAlign w:val="center"/>
                </w:tcPr>
                <w:p w14:paraId="11B1FC80">
                  <w:pPr>
                    <w:widowControl/>
                    <w:jc w:val="center"/>
                    <w:textAlignment w:val="center"/>
                    <w:rPr>
                      <w:b/>
                      <w:bCs/>
                      <w:color w:val="auto"/>
                      <w:kern w:val="0"/>
                      <w:szCs w:val="21"/>
                      <w:lang w:bidi="ar"/>
                    </w:rPr>
                  </w:pPr>
                </w:p>
              </w:tc>
              <w:tc>
                <w:tcPr>
                  <w:tcW w:w="472" w:type="pct"/>
                  <w:vMerge w:val="continue"/>
                  <w:vAlign w:val="center"/>
                </w:tcPr>
                <w:p w14:paraId="74307072">
                  <w:pPr>
                    <w:widowControl/>
                    <w:jc w:val="center"/>
                    <w:textAlignment w:val="center"/>
                    <w:rPr>
                      <w:b/>
                      <w:bCs/>
                      <w:color w:val="auto"/>
                      <w:kern w:val="0"/>
                      <w:szCs w:val="21"/>
                      <w:lang w:bidi="ar"/>
                    </w:rPr>
                  </w:pPr>
                </w:p>
              </w:tc>
              <w:tc>
                <w:tcPr>
                  <w:tcW w:w="461" w:type="pct"/>
                  <w:vMerge w:val="continue"/>
                  <w:vAlign w:val="center"/>
                </w:tcPr>
                <w:p w14:paraId="0156BD3B">
                  <w:pPr>
                    <w:widowControl/>
                    <w:jc w:val="center"/>
                    <w:textAlignment w:val="center"/>
                    <w:rPr>
                      <w:b/>
                      <w:bCs/>
                      <w:color w:val="auto"/>
                      <w:kern w:val="0"/>
                      <w:szCs w:val="21"/>
                      <w:lang w:bidi="ar"/>
                    </w:rPr>
                  </w:pPr>
                </w:p>
              </w:tc>
              <w:tc>
                <w:tcPr>
                  <w:tcW w:w="379" w:type="pct"/>
                  <w:vMerge w:val="continue"/>
                  <w:vAlign w:val="center"/>
                </w:tcPr>
                <w:p w14:paraId="77A61EA0">
                  <w:pPr>
                    <w:widowControl/>
                    <w:jc w:val="center"/>
                    <w:textAlignment w:val="center"/>
                    <w:rPr>
                      <w:b/>
                      <w:bCs/>
                      <w:color w:val="auto"/>
                      <w:kern w:val="0"/>
                      <w:szCs w:val="21"/>
                      <w:lang w:bidi="ar"/>
                    </w:rPr>
                  </w:pPr>
                </w:p>
              </w:tc>
            </w:tr>
            <w:tr w14:paraId="51F85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31" w:type="pct"/>
                  <w:vAlign w:val="center"/>
                </w:tcPr>
                <w:p w14:paraId="6D5FE667">
                  <w:pPr>
                    <w:widowControl/>
                    <w:jc w:val="center"/>
                    <w:textAlignment w:val="center"/>
                    <w:rPr>
                      <w:color w:val="auto"/>
                      <w:kern w:val="0"/>
                      <w:szCs w:val="21"/>
                      <w:lang w:bidi="ar"/>
                    </w:rPr>
                  </w:pPr>
                  <w:r>
                    <w:rPr>
                      <w:color w:val="auto"/>
                      <w:kern w:val="0"/>
                      <w:szCs w:val="21"/>
                      <w:lang w:bidi="ar"/>
                    </w:rPr>
                    <w:t>1</w:t>
                  </w:r>
                </w:p>
              </w:tc>
              <w:tc>
                <w:tcPr>
                  <w:tcW w:w="388" w:type="pct"/>
                  <w:vAlign w:val="center"/>
                </w:tcPr>
                <w:p w14:paraId="1316F9A7">
                  <w:pPr>
                    <w:widowControl/>
                    <w:jc w:val="center"/>
                    <w:textAlignment w:val="center"/>
                    <w:rPr>
                      <w:color w:val="auto"/>
                      <w:kern w:val="0"/>
                      <w:szCs w:val="21"/>
                      <w:lang w:bidi="ar"/>
                    </w:rPr>
                  </w:pPr>
                  <w:r>
                    <w:rPr>
                      <w:rFonts w:hint="eastAsia"/>
                      <w:color w:val="auto"/>
                      <w:kern w:val="0"/>
                      <w:szCs w:val="21"/>
                      <w:lang w:bidi="ar"/>
                    </w:rPr>
                    <w:t>自行车车架</w:t>
                  </w:r>
                </w:p>
              </w:tc>
              <w:tc>
                <w:tcPr>
                  <w:tcW w:w="253" w:type="pct"/>
                  <w:vAlign w:val="center"/>
                </w:tcPr>
                <w:p w14:paraId="7374356F">
                  <w:pPr>
                    <w:widowControl/>
                    <w:jc w:val="center"/>
                    <w:textAlignment w:val="center"/>
                    <w:rPr>
                      <w:color w:val="auto"/>
                      <w:kern w:val="0"/>
                      <w:szCs w:val="21"/>
                      <w:lang w:bidi="ar"/>
                    </w:rPr>
                  </w:pPr>
                  <w:r>
                    <w:rPr>
                      <w:rFonts w:hint="eastAsia"/>
                      <w:color w:val="auto"/>
                      <w:kern w:val="0"/>
                      <w:szCs w:val="21"/>
                      <w:lang w:bidi="ar"/>
                    </w:rPr>
                    <w:t>碳钢</w:t>
                  </w:r>
                </w:p>
              </w:tc>
              <w:tc>
                <w:tcPr>
                  <w:tcW w:w="316" w:type="pct"/>
                  <w:vAlign w:val="center"/>
                </w:tcPr>
                <w:p w14:paraId="4C32E540">
                  <w:pPr>
                    <w:widowControl/>
                    <w:jc w:val="center"/>
                    <w:textAlignment w:val="center"/>
                    <w:rPr>
                      <w:color w:val="auto"/>
                      <w:kern w:val="0"/>
                      <w:szCs w:val="21"/>
                      <w:lang w:bidi="ar"/>
                    </w:rPr>
                  </w:pPr>
                  <w:r>
                    <w:rPr>
                      <w:color w:val="auto"/>
                      <w:kern w:val="0"/>
                      <w:szCs w:val="21"/>
                      <w:lang w:bidi="ar"/>
                    </w:rPr>
                    <w:t>1</w:t>
                  </w:r>
                </w:p>
              </w:tc>
              <w:tc>
                <w:tcPr>
                  <w:tcW w:w="332" w:type="pct"/>
                  <w:vAlign w:val="center"/>
                </w:tcPr>
                <w:p w14:paraId="5791A0E4">
                  <w:pPr>
                    <w:widowControl/>
                    <w:jc w:val="center"/>
                    <w:textAlignment w:val="center"/>
                    <w:rPr>
                      <w:color w:val="auto"/>
                      <w:kern w:val="0"/>
                      <w:szCs w:val="21"/>
                      <w:lang w:bidi="ar"/>
                    </w:rPr>
                  </w:pPr>
                  <w:r>
                    <w:rPr>
                      <w:color w:val="auto"/>
                      <w:kern w:val="0"/>
                      <w:szCs w:val="21"/>
                      <w:lang w:bidi="ar"/>
                    </w:rPr>
                    <w:t>0.04</w:t>
                  </w:r>
                </w:p>
              </w:tc>
              <w:tc>
                <w:tcPr>
                  <w:tcW w:w="332" w:type="pct"/>
                  <w:vAlign w:val="center"/>
                </w:tcPr>
                <w:p w14:paraId="08D6201A">
                  <w:pPr>
                    <w:widowControl/>
                    <w:jc w:val="center"/>
                    <w:textAlignment w:val="center"/>
                    <w:rPr>
                      <w:color w:val="auto"/>
                      <w:kern w:val="0"/>
                      <w:szCs w:val="21"/>
                      <w:lang w:bidi="ar"/>
                    </w:rPr>
                  </w:pPr>
                  <w:r>
                    <w:rPr>
                      <w:color w:val="auto"/>
                      <w:kern w:val="0"/>
                      <w:szCs w:val="21"/>
                      <w:lang w:bidi="ar"/>
                    </w:rPr>
                    <w:t>0.6</w:t>
                  </w:r>
                </w:p>
              </w:tc>
              <w:tc>
                <w:tcPr>
                  <w:tcW w:w="460" w:type="pct"/>
                  <w:vAlign w:val="center"/>
                </w:tcPr>
                <w:p w14:paraId="199A2DAF">
                  <w:pPr>
                    <w:widowControl/>
                    <w:jc w:val="center"/>
                    <w:textAlignment w:val="center"/>
                    <w:rPr>
                      <w:color w:val="auto"/>
                      <w:kern w:val="0"/>
                      <w:szCs w:val="21"/>
                      <w:lang w:bidi="ar"/>
                    </w:rPr>
                  </w:pPr>
                  <w:r>
                    <w:rPr>
                      <w:color w:val="auto"/>
                      <w:kern w:val="0"/>
                      <w:szCs w:val="21"/>
                      <w:lang w:bidi="ar"/>
                    </w:rPr>
                    <w:t>64</w:t>
                  </w:r>
                </w:p>
              </w:tc>
              <w:tc>
                <w:tcPr>
                  <w:tcW w:w="595" w:type="pct"/>
                  <w:vAlign w:val="center"/>
                </w:tcPr>
                <w:p w14:paraId="4AD75ACE">
                  <w:pPr>
                    <w:widowControl/>
                    <w:jc w:val="center"/>
                    <w:textAlignment w:val="center"/>
                    <w:rPr>
                      <w:color w:val="auto"/>
                      <w:kern w:val="0"/>
                      <w:szCs w:val="21"/>
                      <w:lang w:bidi="ar"/>
                    </w:rPr>
                  </w:pPr>
                  <w:r>
                    <w:rPr>
                      <w:color w:val="auto"/>
                      <w:kern w:val="0"/>
                      <w:szCs w:val="21"/>
                      <w:lang w:bidi="ar"/>
                    </w:rPr>
                    <w:t>34</w:t>
                  </w:r>
                </w:p>
              </w:tc>
              <w:tc>
                <w:tcPr>
                  <w:tcW w:w="346" w:type="pct"/>
                  <w:vAlign w:val="center"/>
                </w:tcPr>
                <w:p w14:paraId="42C36E92">
                  <w:pPr>
                    <w:widowControl/>
                    <w:jc w:val="center"/>
                    <w:textAlignment w:val="center"/>
                    <w:rPr>
                      <w:color w:val="auto"/>
                      <w:kern w:val="0"/>
                      <w:szCs w:val="21"/>
                      <w:lang w:bidi="ar"/>
                    </w:rPr>
                  </w:pPr>
                  <w:r>
                    <w:rPr>
                      <w:color w:val="auto"/>
                      <w:kern w:val="0"/>
                      <w:szCs w:val="21"/>
                      <w:lang w:bidi="ar"/>
                    </w:rPr>
                    <w:t>32</w:t>
                  </w:r>
                </w:p>
              </w:tc>
              <w:tc>
                <w:tcPr>
                  <w:tcW w:w="428" w:type="pct"/>
                  <w:vAlign w:val="center"/>
                </w:tcPr>
                <w:p w14:paraId="5E75B9CB">
                  <w:pPr>
                    <w:widowControl/>
                    <w:jc w:val="center"/>
                    <w:textAlignment w:val="center"/>
                    <w:rPr>
                      <w:color w:val="auto"/>
                      <w:kern w:val="0"/>
                      <w:szCs w:val="21"/>
                      <w:lang w:bidi="ar"/>
                    </w:rPr>
                  </w:pPr>
                  <w:r>
                    <w:rPr>
                      <w:color w:val="auto"/>
                      <w:kern w:val="0"/>
                      <w:szCs w:val="21"/>
                      <w:lang w:bidi="ar"/>
                    </w:rPr>
                    <w:t>10h/d</w:t>
                  </w:r>
                  <w:r>
                    <w:rPr>
                      <w:rFonts w:hint="eastAsia"/>
                      <w:color w:val="auto"/>
                      <w:kern w:val="0"/>
                      <w:szCs w:val="21"/>
                      <w:lang w:bidi="ar"/>
                    </w:rPr>
                    <w:t xml:space="preserve"> </w:t>
                  </w:r>
                  <w:r>
                    <w:rPr>
                      <w:color w:val="auto"/>
                      <w:kern w:val="0"/>
                      <w:szCs w:val="21"/>
                      <w:lang w:bidi="ar"/>
                    </w:rPr>
                    <w:t>65d/a</w:t>
                  </w:r>
                </w:p>
              </w:tc>
              <w:tc>
                <w:tcPr>
                  <w:tcW w:w="472" w:type="pct"/>
                  <w:vAlign w:val="center"/>
                </w:tcPr>
                <w:p w14:paraId="65658A05">
                  <w:pPr>
                    <w:widowControl/>
                    <w:jc w:val="center"/>
                    <w:textAlignment w:val="center"/>
                    <w:rPr>
                      <w:color w:val="auto"/>
                      <w:kern w:val="0"/>
                      <w:szCs w:val="21"/>
                      <w:lang w:bidi="ar"/>
                    </w:rPr>
                  </w:pPr>
                  <w:r>
                    <w:rPr>
                      <w:color w:val="auto"/>
                      <w:kern w:val="0"/>
                      <w:szCs w:val="21"/>
                      <w:lang w:bidi="ar"/>
                    </w:rPr>
                    <w:t>133120</w:t>
                  </w:r>
                </w:p>
              </w:tc>
              <w:tc>
                <w:tcPr>
                  <w:tcW w:w="461" w:type="pct"/>
                  <w:vAlign w:val="center"/>
                </w:tcPr>
                <w:p w14:paraId="036CC387">
                  <w:pPr>
                    <w:widowControl/>
                    <w:jc w:val="center"/>
                    <w:textAlignment w:val="center"/>
                    <w:rPr>
                      <w:color w:val="auto"/>
                      <w:kern w:val="0"/>
                      <w:szCs w:val="21"/>
                      <w:lang w:bidi="ar"/>
                    </w:rPr>
                  </w:pPr>
                  <w:r>
                    <w:rPr>
                      <w:color w:val="auto"/>
                      <w:kern w:val="0"/>
                      <w:szCs w:val="21"/>
                      <w:lang w:bidi="ar"/>
                    </w:rPr>
                    <w:t>90000</w:t>
                  </w:r>
                </w:p>
              </w:tc>
              <w:tc>
                <w:tcPr>
                  <w:tcW w:w="379" w:type="pct"/>
                  <w:vAlign w:val="center"/>
                </w:tcPr>
                <w:p w14:paraId="7E95C01F">
                  <w:pPr>
                    <w:widowControl/>
                    <w:jc w:val="center"/>
                    <w:textAlignment w:val="center"/>
                    <w:rPr>
                      <w:color w:val="auto"/>
                      <w:kern w:val="0"/>
                      <w:szCs w:val="21"/>
                      <w:lang w:bidi="ar"/>
                    </w:rPr>
                  </w:pPr>
                  <w:r>
                    <w:rPr>
                      <w:color w:val="auto"/>
                      <w:kern w:val="0"/>
                      <w:szCs w:val="21"/>
                      <w:lang w:bidi="ar"/>
                    </w:rPr>
                    <w:t>6</w:t>
                  </w:r>
                  <w:r>
                    <w:rPr>
                      <w:rFonts w:hint="eastAsia"/>
                      <w:color w:val="auto"/>
                      <w:kern w:val="0"/>
                      <w:szCs w:val="21"/>
                      <w:lang w:bidi="ar"/>
                    </w:rPr>
                    <w:t>7</w:t>
                  </w:r>
                  <w:r>
                    <w:rPr>
                      <w:color w:val="auto"/>
                      <w:kern w:val="0"/>
                      <w:szCs w:val="21"/>
                      <w:lang w:bidi="ar"/>
                    </w:rPr>
                    <w:t>%</w:t>
                  </w:r>
                </w:p>
              </w:tc>
            </w:tr>
            <w:tr w14:paraId="22058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31" w:type="pct"/>
                  <w:vAlign w:val="center"/>
                </w:tcPr>
                <w:p w14:paraId="3FAD0B52">
                  <w:pPr>
                    <w:widowControl/>
                    <w:jc w:val="center"/>
                    <w:textAlignment w:val="center"/>
                    <w:rPr>
                      <w:color w:val="auto"/>
                      <w:kern w:val="0"/>
                      <w:szCs w:val="21"/>
                      <w:lang w:bidi="ar"/>
                    </w:rPr>
                  </w:pPr>
                  <w:r>
                    <w:rPr>
                      <w:color w:val="auto"/>
                      <w:kern w:val="0"/>
                      <w:szCs w:val="21"/>
                      <w:lang w:bidi="ar"/>
                    </w:rPr>
                    <w:t>2</w:t>
                  </w:r>
                </w:p>
              </w:tc>
              <w:tc>
                <w:tcPr>
                  <w:tcW w:w="388" w:type="pct"/>
                  <w:vAlign w:val="center"/>
                </w:tcPr>
                <w:p w14:paraId="6C983056">
                  <w:pPr>
                    <w:widowControl/>
                    <w:jc w:val="center"/>
                    <w:textAlignment w:val="center"/>
                    <w:rPr>
                      <w:color w:val="auto"/>
                      <w:kern w:val="0"/>
                      <w:szCs w:val="21"/>
                      <w:lang w:bidi="ar"/>
                    </w:rPr>
                  </w:pPr>
                  <w:r>
                    <w:rPr>
                      <w:rFonts w:hint="eastAsia"/>
                      <w:color w:val="auto"/>
                      <w:kern w:val="0"/>
                      <w:szCs w:val="21"/>
                      <w:lang w:bidi="ar"/>
                    </w:rPr>
                    <w:t>自行车车架</w:t>
                  </w:r>
                </w:p>
              </w:tc>
              <w:tc>
                <w:tcPr>
                  <w:tcW w:w="253" w:type="pct"/>
                  <w:vAlign w:val="center"/>
                </w:tcPr>
                <w:p w14:paraId="2583547F">
                  <w:pPr>
                    <w:widowControl/>
                    <w:jc w:val="center"/>
                    <w:textAlignment w:val="center"/>
                    <w:rPr>
                      <w:color w:val="auto"/>
                      <w:kern w:val="0"/>
                      <w:szCs w:val="21"/>
                      <w:lang w:bidi="ar"/>
                    </w:rPr>
                  </w:pPr>
                  <w:r>
                    <w:rPr>
                      <w:rFonts w:hint="eastAsia"/>
                      <w:color w:val="auto"/>
                      <w:kern w:val="0"/>
                      <w:szCs w:val="21"/>
                      <w:lang w:bidi="ar"/>
                    </w:rPr>
                    <w:t>铝制</w:t>
                  </w:r>
                </w:p>
              </w:tc>
              <w:tc>
                <w:tcPr>
                  <w:tcW w:w="316" w:type="pct"/>
                  <w:vAlign w:val="center"/>
                </w:tcPr>
                <w:p w14:paraId="3A4D4C5A">
                  <w:pPr>
                    <w:widowControl/>
                    <w:jc w:val="center"/>
                    <w:textAlignment w:val="center"/>
                    <w:rPr>
                      <w:color w:val="auto"/>
                      <w:kern w:val="0"/>
                      <w:szCs w:val="21"/>
                      <w:lang w:bidi="ar"/>
                    </w:rPr>
                  </w:pPr>
                  <w:r>
                    <w:rPr>
                      <w:color w:val="auto"/>
                      <w:kern w:val="0"/>
                      <w:szCs w:val="21"/>
                      <w:lang w:bidi="ar"/>
                    </w:rPr>
                    <w:t>1</w:t>
                  </w:r>
                </w:p>
              </w:tc>
              <w:tc>
                <w:tcPr>
                  <w:tcW w:w="332" w:type="pct"/>
                  <w:vAlign w:val="center"/>
                </w:tcPr>
                <w:p w14:paraId="4276E5B9">
                  <w:pPr>
                    <w:widowControl/>
                    <w:jc w:val="center"/>
                    <w:textAlignment w:val="center"/>
                    <w:rPr>
                      <w:color w:val="auto"/>
                      <w:kern w:val="0"/>
                      <w:szCs w:val="21"/>
                      <w:lang w:bidi="ar"/>
                    </w:rPr>
                  </w:pPr>
                  <w:r>
                    <w:rPr>
                      <w:color w:val="auto"/>
                      <w:kern w:val="0"/>
                      <w:szCs w:val="21"/>
                      <w:lang w:bidi="ar"/>
                    </w:rPr>
                    <w:t>0.04</w:t>
                  </w:r>
                </w:p>
              </w:tc>
              <w:tc>
                <w:tcPr>
                  <w:tcW w:w="332" w:type="pct"/>
                  <w:vAlign w:val="center"/>
                </w:tcPr>
                <w:p w14:paraId="6657B98E">
                  <w:pPr>
                    <w:widowControl/>
                    <w:jc w:val="center"/>
                    <w:textAlignment w:val="center"/>
                    <w:rPr>
                      <w:color w:val="auto"/>
                      <w:kern w:val="0"/>
                      <w:szCs w:val="21"/>
                      <w:lang w:bidi="ar"/>
                    </w:rPr>
                  </w:pPr>
                  <w:r>
                    <w:rPr>
                      <w:color w:val="auto"/>
                      <w:kern w:val="0"/>
                      <w:szCs w:val="21"/>
                      <w:lang w:bidi="ar"/>
                    </w:rPr>
                    <w:t>0.6</w:t>
                  </w:r>
                </w:p>
              </w:tc>
              <w:tc>
                <w:tcPr>
                  <w:tcW w:w="460" w:type="pct"/>
                  <w:vAlign w:val="center"/>
                </w:tcPr>
                <w:p w14:paraId="4E766423">
                  <w:pPr>
                    <w:widowControl/>
                    <w:jc w:val="center"/>
                    <w:textAlignment w:val="center"/>
                    <w:rPr>
                      <w:color w:val="auto"/>
                      <w:kern w:val="0"/>
                      <w:szCs w:val="21"/>
                      <w:lang w:bidi="ar"/>
                    </w:rPr>
                  </w:pPr>
                  <w:r>
                    <w:rPr>
                      <w:color w:val="auto"/>
                      <w:kern w:val="0"/>
                      <w:szCs w:val="21"/>
                      <w:lang w:bidi="ar"/>
                    </w:rPr>
                    <w:t>64</w:t>
                  </w:r>
                </w:p>
              </w:tc>
              <w:tc>
                <w:tcPr>
                  <w:tcW w:w="595" w:type="pct"/>
                  <w:vAlign w:val="center"/>
                </w:tcPr>
                <w:p w14:paraId="2EEC6D9B">
                  <w:pPr>
                    <w:widowControl/>
                    <w:jc w:val="center"/>
                    <w:textAlignment w:val="center"/>
                    <w:rPr>
                      <w:color w:val="auto"/>
                      <w:kern w:val="0"/>
                      <w:szCs w:val="21"/>
                      <w:lang w:bidi="ar"/>
                    </w:rPr>
                  </w:pPr>
                  <w:r>
                    <w:rPr>
                      <w:color w:val="auto"/>
                      <w:kern w:val="0"/>
                      <w:szCs w:val="21"/>
                      <w:lang w:bidi="ar"/>
                    </w:rPr>
                    <w:t>27</w:t>
                  </w:r>
                </w:p>
              </w:tc>
              <w:tc>
                <w:tcPr>
                  <w:tcW w:w="346" w:type="pct"/>
                  <w:vAlign w:val="center"/>
                </w:tcPr>
                <w:p w14:paraId="3F359373">
                  <w:pPr>
                    <w:widowControl/>
                    <w:jc w:val="center"/>
                    <w:textAlignment w:val="center"/>
                    <w:rPr>
                      <w:color w:val="auto"/>
                      <w:kern w:val="0"/>
                      <w:szCs w:val="21"/>
                      <w:lang w:bidi="ar"/>
                    </w:rPr>
                  </w:pPr>
                  <w:r>
                    <w:rPr>
                      <w:color w:val="auto"/>
                      <w:kern w:val="0"/>
                      <w:szCs w:val="21"/>
                      <w:lang w:bidi="ar"/>
                    </w:rPr>
                    <w:t>38</w:t>
                  </w:r>
                </w:p>
              </w:tc>
              <w:tc>
                <w:tcPr>
                  <w:tcW w:w="428" w:type="pct"/>
                  <w:vAlign w:val="center"/>
                </w:tcPr>
                <w:p w14:paraId="056668D7">
                  <w:pPr>
                    <w:widowControl/>
                    <w:jc w:val="center"/>
                    <w:textAlignment w:val="center"/>
                    <w:rPr>
                      <w:color w:val="auto"/>
                      <w:kern w:val="0"/>
                      <w:szCs w:val="21"/>
                      <w:lang w:bidi="ar"/>
                    </w:rPr>
                  </w:pPr>
                  <w:r>
                    <w:rPr>
                      <w:color w:val="auto"/>
                      <w:kern w:val="0"/>
                      <w:szCs w:val="21"/>
                      <w:lang w:bidi="ar"/>
                    </w:rPr>
                    <w:t>10h/d</w:t>
                  </w:r>
                  <w:r>
                    <w:rPr>
                      <w:rFonts w:hint="eastAsia"/>
                      <w:color w:val="auto"/>
                      <w:kern w:val="0"/>
                      <w:szCs w:val="21"/>
                      <w:lang w:bidi="ar"/>
                    </w:rPr>
                    <w:t xml:space="preserve"> </w:t>
                  </w:r>
                  <w:r>
                    <w:rPr>
                      <w:color w:val="auto"/>
                      <w:kern w:val="0"/>
                      <w:szCs w:val="21"/>
                      <w:lang w:bidi="ar"/>
                    </w:rPr>
                    <w:t>20d/a</w:t>
                  </w:r>
                </w:p>
              </w:tc>
              <w:tc>
                <w:tcPr>
                  <w:tcW w:w="472" w:type="pct"/>
                  <w:vAlign w:val="center"/>
                </w:tcPr>
                <w:p w14:paraId="44D0AD36">
                  <w:pPr>
                    <w:widowControl/>
                    <w:jc w:val="center"/>
                    <w:textAlignment w:val="center"/>
                    <w:rPr>
                      <w:color w:val="auto"/>
                      <w:kern w:val="0"/>
                      <w:szCs w:val="21"/>
                      <w:lang w:bidi="ar"/>
                    </w:rPr>
                  </w:pPr>
                  <w:r>
                    <w:rPr>
                      <w:color w:val="auto"/>
                      <w:kern w:val="0"/>
                      <w:szCs w:val="21"/>
                      <w:lang w:bidi="ar"/>
                    </w:rPr>
                    <w:t>48640</w:t>
                  </w:r>
                </w:p>
              </w:tc>
              <w:tc>
                <w:tcPr>
                  <w:tcW w:w="461" w:type="pct"/>
                  <w:vAlign w:val="center"/>
                </w:tcPr>
                <w:p w14:paraId="1491D7CC">
                  <w:pPr>
                    <w:widowControl/>
                    <w:jc w:val="center"/>
                    <w:textAlignment w:val="center"/>
                    <w:rPr>
                      <w:color w:val="auto"/>
                      <w:kern w:val="0"/>
                      <w:szCs w:val="21"/>
                      <w:lang w:bidi="ar"/>
                    </w:rPr>
                  </w:pPr>
                  <w:r>
                    <w:rPr>
                      <w:color w:val="auto"/>
                      <w:kern w:val="0"/>
                      <w:szCs w:val="21"/>
                      <w:lang w:bidi="ar"/>
                    </w:rPr>
                    <w:t>36000</w:t>
                  </w:r>
                </w:p>
              </w:tc>
              <w:tc>
                <w:tcPr>
                  <w:tcW w:w="379" w:type="pct"/>
                  <w:vAlign w:val="center"/>
                </w:tcPr>
                <w:p w14:paraId="3A106528">
                  <w:pPr>
                    <w:widowControl/>
                    <w:jc w:val="center"/>
                    <w:textAlignment w:val="center"/>
                    <w:rPr>
                      <w:color w:val="auto"/>
                      <w:kern w:val="0"/>
                      <w:szCs w:val="21"/>
                      <w:lang w:bidi="ar"/>
                    </w:rPr>
                  </w:pPr>
                  <w:r>
                    <w:rPr>
                      <w:color w:val="auto"/>
                      <w:kern w:val="0"/>
                      <w:szCs w:val="21"/>
                      <w:lang w:bidi="ar"/>
                    </w:rPr>
                    <w:t>74%</w:t>
                  </w:r>
                </w:p>
              </w:tc>
            </w:tr>
            <w:tr w14:paraId="046E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31" w:type="pct"/>
                  <w:vAlign w:val="center"/>
                </w:tcPr>
                <w:p w14:paraId="48B05BFA">
                  <w:pPr>
                    <w:widowControl/>
                    <w:jc w:val="center"/>
                    <w:textAlignment w:val="center"/>
                    <w:rPr>
                      <w:color w:val="auto"/>
                      <w:kern w:val="0"/>
                      <w:szCs w:val="21"/>
                      <w:lang w:bidi="ar"/>
                    </w:rPr>
                  </w:pPr>
                  <w:r>
                    <w:rPr>
                      <w:color w:val="auto"/>
                      <w:kern w:val="0"/>
                      <w:szCs w:val="21"/>
                      <w:lang w:bidi="ar"/>
                    </w:rPr>
                    <w:t>3</w:t>
                  </w:r>
                </w:p>
              </w:tc>
              <w:tc>
                <w:tcPr>
                  <w:tcW w:w="388" w:type="pct"/>
                  <w:vAlign w:val="center"/>
                </w:tcPr>
                <w:p w14:paraId="30C56AE6">
                  <w:pPr>
                    <w:pStyle w:val="127"/>
                    <w:rPr>
                      <w:color w:val="auto"/>
                      <w:szCs w:val="21"/>
                      <w:lang w:bidi="ar"/>
                    </w:rPr>
                  </w:pPr>
                  <w:r>
                    <w:rPr>
                      <w:rFonts w:hint="eastAsia"/>
                      <w:color w:val="auto"/>
                    </w:rPr>
                    <w:t>电动助力车车架</w:t>
                  </w:r>
                </w:p>
              </w:tc>
              <w:tc>
                <w:tcPr>
                  <w:tcW w:w="253" w:type="pct"/>
                  <w:vAlign w:val="center"/>
                </w:tcPr>
                <w:p w14:paraId="20A2D4AB">
                  <w:pPr>
                    <w:widowControl/>
                    <w:jc w:val="center"/>
                    <w:textAlignment w:val="center"/>
                    <w:rPr>
                      <w:color w:val="auto"/>
                      <w:kern w:val="0"/>
                      <w:szCs w:val="21"/>
                      <w:lang w:bidi="ar"/>
                    </w:rPr>
                  </w:pPr>
                  <w:r>
                    <w:rPr>
                      <w:rFonts w:hint="eastAsia"/>
                      <w:color w:val="auto"/>
                      <w:kern w:val="0"/>
                      <w:szCs w:val="21"/>
                      <w:lang w:bidi="ar"/>
                    </w:rPr>
                    <w:t>碳钢</w:t>
                  </w:r>
                </w:p>
              </w:tc>
              <w:tc>
                <w:tcPr>
                  <w:tcW w:w="316" w:type="pct"/>
                  <w:vAlign w:val="center"/>
                </w:tcPr>
                <w:p w14:paraId="21C5792B">
                  <w:pPr>
                    <w:widowControl/>
                    <w:jc w:val="center"/>
                    <w:textAlignment w:val="center"/>
                    <w:rPr>
                      <w:color w:val="auto"/>
                      <w:kern w:val="0"/>
                      <w:szCs w:val="21"/>
                      <w:lang w:bidi="ar"/>
                    </w:rPr>
                  </w:pPr>
                  <w:r>
                    <w:rPr>
                      <w:color w:val="auto"/>
                      <w:kern w:val="0"/>
                      <w:szCs w:val="21"/>
                      <w:lang w:bidi="ar"/>
                    </w:rPr>
                    <w:t>1.1</w:t>
                  </w:r>
                </w:p>
              </w:tc>
              <w:tc>
                <w:tcPr>
                  <w:tcW w:w="332" w:type="pct"/>
                  <w:vAlign w:val="center"/>
                </w:tcPr>
                <w:p w14:paraId="2FC62051">
                  <w:pPr>
                    <w:widowControl/>
                    <w:jc w:val="center"/>
                    <w:textAlignment w:val="center"/>
                    <w:rPr>
                      <w:color w:val="auto"/>
                      <w:kern w:val="0"/>
                      <w:szCs w:val="21"/>
                      <w:lang w:bidi="ar"/>
                    </w:rPr>
                  </w:pPr>
                  <w:r>
                    <w:rPr>
                      <w:color w:val="auto"/>
                      <w:kern w:val="0"/>
                      <w:szCs w:val="21"/>
                      <w:lang w:bidi="ar"/>
                    </w:rPr>
                    <w:t>0.18</w:t>
                  </w:r>
                </w:p>
              </w:tc>
              <w:tc>
                <w:tcPr>
                  <w:tcW w:w="332" w:type="pct"/>
                  <w:vAlign w:val="center"/>
                </w:tcPr>
                <w:p w14:paraId="5ED29805">
                  <w:pPr>
                    <w:widowControl/>
                    <w:jc w:val="center"/>
                    <w:textAlignment w:val="center"/>
                    <w:rPr>
                      <w:color w:val="auto"/>
                      <w:kern w:val="0"/>
                      <w:szCs w:val="21"/>
                      <w:lang w:bidi="ar"/>
                    </w:rPr>
                  </w:pPr>
                  <w:r>
                    <w:rPr>
                      <w:color w:val="auto"/>
                      <w:kern w:val="0"/>
                      <w:szCs w:val="21"/>
                      <w:lang w:bidi="ar"/>
                    </w:rPr>
                    <w:t>0.65</w:t>
                  </w:r>
                </w:p>
              </w:tc>
              <w:tc>
                <w:tcPr>
                  <w:tcW w:w="460" w:type="pct"/>
                  <w:vAlign w:val="center"/>
                </w:tcPr>
                <w:p w14:paraId="501ED46D">
                  <w:pPr>
                    <w:widowControl/>
                    <w:jc w:val="center"/>
                    <w:textAlignment w:val="center"/>
                    <w:rPr>
                      <w:color w:val="auto"/>
                      <w:kern w:val="0"/>
                      <w:szCs w:val="21"/>
                      <w:lang w:bidi="ar"/>
                    </w:rPr>
                  </w:pPr>
                  <w:r>
                    <w:rPr>
                      <w:color w:val="auto"/>
                      <w:kern w:val="0"/>
                      <w:szCs w:val="21"/>
                      <w:lang w:bidi="ar"/>
                    </w:rPr>
                    <w:t>32</w:t>
                  </w:r>
                </w:p>
              </w:tc>
              <w:tc>
                <w:tcPr>
                  <w:tcW w:w="595" w:type="pct"/>
                  <w:vAlign w:val="center"/>
                </w:tcPr>
                <w:p w14:paraId="49C846EB">
                  <w:pPr>
                    <w:widowControl/>
                    <w:jc w:val="center"/>
                    <w:textAlignment w:val="center"/>
                    <w:rPr>
                      <w:color w:val="auto"/>
                      <w:kern w:val="0"/>
                      <w:szCs w:val="21"/>
                      <w:lang w:bidi="ar"/>
                    </w:rPr>
                  </w:pPr>
                  <w:r>
                    <w:rPr>
                      <w:color w:val="auto"/>
                      <w:kern w:val="0"/>
                      <w:szCs w:val="21"/>
                      <w:lang w:bidi="ar"/>
                    </w:rPr>
                    <w:t>34</w:t>
                  </w:r>
                </w:p>
              </w:tc>
              <w:tc>
                <w:tcPr>
                  <w:tcW w:w="346" w:type="pct"/>
                  <w:vAlign w:val="center"/>
                </w:tcPr>
                <w:p w14:paraId="23557FBD">
                  <w:pPr>
                    <w:widowControl/>
                    <w:jc w:val="center"/>
                    <w:textAlignment w:val="center"/>
                    <w:rPr>
                      <w:color w:val="auto"/>
                      <w:kern w:val="0"/>
                      <w:szCs w:val="21"/>
                      <w:lang w:bidi="ar"/>
                    </w:rPr>
                  </w:pPr>
                  <w:r>
                    <w:rPr>
                      <w:color w:val="auto"/>
                      <w:kern w:val="0"/>
                      <w:szCs w:val="21"/>
                      <w:lang w:bidi="ar"/>
                    </w:rPr>
                    <w:t>32</w:t>
                  </w:r>
                </w:p>
              </w:tc>
              <w:tc>
                <w:tcPr>
                  <w:tcW w:w="428" w:type="pct"/>
                  <w:vAlign w:val="center"/>
                </w:tcPr>
                <w:p w14:paraId="22122B63">
                  <w:pPr>
                    <w:widowControl/>
                    <w:jc w:val="center"/>
                    <w:textAlignment w:val="center"/>
                    <w:rPr>
                      <w:color w:val="auto"/>
                      <w:kern w:val="0"/>
                      <w:szCs w:val="21"/>
                      <w:lang w:bidi="ar"/>
                    </w:rPr>
                  </w:pPr>
                  <w:r>
                    <w:rPr>
                      <w:color w:val="auto"/>
                      <w:kern w:val="0"/>
                      <w:szCs w:val="21"/>
                      <w:lang w:bidi="ar"/>
                    </w:rPr>
                    <w:t>10h/d</w:t>
                  </w:r>
                  <w:r>
                    <w:rPr>
                      <w:rFonts w:hint="eastAsia"/>
                      <w:color w:val="auto"/>
                      <w:kern w:val="0"/>
                      <w:szCs w:val="21"/>
                      <w:lang w:bidi="ar"/>
                    </w:rPr>
                    <w:t xml:space="preserve"> </w:t>
                  </w:r>
                  <w:r>
                    <w:rPr>
                      <w:color w:val="auto"/>
                      <w:kern w:val="0"/>
                      <w:szCs w:val="21"/>
                      <w:lang w:bidi="ar"/>
                    </w:rPr>
                    <w:t>125d/a</w:t>
                  </w:r>
                </w:p>
              </w:tc>
              <w:tc>
                <w:tcPr>
                  <w:tcW w:w="472" w:type="pct"/>
                  <w:vAlign w:val="center"/>
                </w:tcPr>
                <w:p w14:paraId="2E173182">
                  <w:pPr>
                    <w:widowControl/>
                    <w:jc w:val="center"/>
                    <w:textAlignment w:val="center"/>
                    <w:rPr>
                      <w:color w:val="auto"/>
                      <w:kern w:val="0"/>
                      <w:szCs w:val="21"/>
                      <w:lang w:bidi="ar"/>
                    </w:rPr>
                  </w:pPr>
                  <w:r>
                    <w:rPr>
                      <w:color w:val="auto"/>
                      <w:kern w:val="0"/>
                      <w:szCs w:val="21"/>
                      <w:lang w:bidi="ar"/>
                    </w:rPr>
                    <w:t>128000</w:t>
                  </w:r>
                </w:p>
              </w:tc>
              <w:tc>
                <w:tcPr>
                  <w:tcW w:w="461" w:type="pct"/>
                  <w:vAlign w:val="center"/>
                </w:tcPr>
                <w:p w14:paraId="4AD31913">
                  <w:pPr>
                    <w:widowControl/>
                    <w:jc w:val="center"/>
                    <w:textAlignment w:val="center"/>
                    <w:rPr>
                      <w:color w:val="auto"/>
                      <w:kern w:val="0"/>
                      <w:szCs w:val="21"/>
                      <w:lang w:bidi="ar"/>
                    </w:rPr>
                  </w:pPr>
                  <w:r>
                    <w:rPr>
                      <w:color w:val="auto"/>
                      <w:kern w:val="0"/>
                      <w:szCs w:val="21"/>
                      <w:lang w:bidi="ar"/>
                    </w:rPr>
                    <w:t>84000</w:t>
                  </w:r>
                </w:p>
              </w:tc>
              <w:tc>
                <w:tcPr>
                  <w:tcW w:w="379" w:type="pct"/>
                  <w:vAlign w:val="center"/>
                </w:tcPr>
                <w:p w14:paraId="1F75C75E">
                  <w:pPr>
                    <w:widowControl/>
                    <w:jc w:val="center"/>
                    <w:textAlignment w:val="center"/>
                    <w:rPr>
                      <w:color w:val="auto"/>
                      <w:kern w:val="0"/>
                      <w:szCs w:val="21"/>
                      <w:lang w:bidi="ar"/>
                    </w:rPr>
                  </w:pPr>
                  <w:r>
                    <w:rPr>
                      <w:color w:val="auto"/>
                      <w:kern w:val="0"/>
                      <w:szCs w:val="21"/>
                      <w:lang w:bidi="ar"/>
                    </w:rPr>
                    <w:t>6</w:t>
                  </w:r>
                  <w:r>
                    <w:rPr>
                      <w:rFonts w:hint="eastAsia"/>
                      <w:color w:val="auto"/>
                      <w:kern w:val="0"/>
                      <w:szCs w:val="21"/>
                      <w:lang w:bidi="ar"/>
                    </w:rPr>
                    <w:t>6</w:t>
                  </w:r>
                  <w:r>
                    <w:rPr>
                      <w:color w:val="auto"/>
                      <w:kern w:val="0"/>
                      <w:szCs w:val="21"/>
                      <w:lang w:bidi="ar"/>
                    </w:rPr>
                    <w:t>%</w:t>
                  </w:r>
                </w:p>
              </w:tc>
            </w:tr>
            <w:tr w14:paraId="1A53D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31" w:type="pct"/>
                  <w:vAlign w:val="center"/>
                </w:tcPr>
                <w:p w14:paraId="1327959A">
                  <w:pPr>
                    <w:widowControl/>
                    <w:jc w:val="center"/>
                    <w:textAlignment w:val="center"/>
                    <w:rPr>
                      <w:color w:val="auto"/>
                      <w:kern w:val="0"/>
                      <w:szCs w:val="21"/>
                      <w:lang w:bidi="ar"/>
                    </w:rPr>
                  </w:pPr>
                  <w:r>
                    <w:rPr>
                      <w:color w:val="auto"/>
                      <w:kern w:val="0"/>
                      <w:szCs w:val="21"/>
                      <w:lang w:bidi="ar"/>
                    </w:rPr>
                    <w:t>4</w:t>
                  </w:r>
                </w:p>
              </w:tc>
              <w:tc>
                <w:tcPr>
                  <w:tcW w:w="388" w:type="pct"/>
                  <w:vAlign w:val="center"/>
                </w:tcPr>
                <w:p w14:paraId="70A3014B">
                  <w:pPr>
                    <w:pStyle w:val="127"/>
                    <w:rPr>
                      <w:color w:val="auto"/>
                      <w:szCs w:val="21"/>
                      <w:lang w:bidi="ar"/>
                    </w:rPr>
                  </w:pPr>
                  <w:r>
                    <w:rPr>
                      <w:rFonts w:hint="eastAsia"/>
                      <w:color w:val="auto"/>
                    </w:rPr>
                    <w:t>电动助力车车架</w:t>
                  </w:r>
                </w:p>
              </w:tc>
              <w:tc>
                <w:tcPr>
                  <w:tcW w:w="253" w:type="pct"/>
                  <w:vAlign w:val="center"/>
                </w:tcPr>
                <w:p w14:paraId="38759DF9">
                  <w:pPr>
                    <w:widowControl/>
                    <w:jc w:val="center"/>
                    <w:textAlignment w:val="center"/>
                    <w:rPr>
                      <w:color w:val="auto"/>
                      <w:kern w:val="0"/>
                      <w:szCs w:val="21"/>
                      <w:lang w:bidi="ar"/>
                    </w:rPr>
                  </w:pPr>
                  <w:r>
                    <w:rPr>
                      <w:rFonts w:hint="eastAsia"/>
                      <w:color w:val="auto"/>
                      <w:kern w:val="0"/>
                      <w:szCs w:val="21"/>
                      <w:lang w:bidi="ar"/>
                    </w:rPr>
                    <w:t>铝制</w:t>
                  </w:r>
                </w:p>
              </w:tc>
              <w:tc>
                <w:tcPr>
                  <w:tcW w:w="316" w:type="pct"/>
                  <w:vAlign w:val="center"/>
                </w:tcPr>
                <w:p w14:paraId="133A1986">
                  <w:pPr>
                    <w:widowControl/>
                    <w:jc w:val="center"/>
                    <w:textAlignment w:val="center"/>
                    <w:rPr>
                      <w:color w:val="auto"/>
                      <w:kern w:val="0"/>
                      <w:szCs w:val="21"/>
                      <w:lang w:bidi="ar"/>
                    </w:rPr>
                  </w:pPr>
                  <w:r>
                    <w:rPr>
                      <w:color w:val="auto"/>
                      <w:kern w:val="0"/>
                      <w:szCs w:val="21"/>
                      <w:lang w:bidi="ar"/>
                    </w:rPr>
                    <w:t>1.1</w:t>
                  </w:r>
                </w:p>
              </w:tc>
              <w:tc>
                <w:tcPr>
                  <w:tcW w:w="332" w:type="pct"/>
                  <w:vAlign w:val="center"/>
                </w:tcPr>
                <w:p w14:paraId="36F1E8C5">
                  <w:pPr>
                    <w:widowControl/>
                    <w:jc w:val="center"/>
                    <w:textAlignment w:val="center"/>
                    <w:rPr>
                      <w:color w:val="auto"/>
                      <w:kern w:val="0"/>
                      <w:szCs w:val="21"/>
                      <w:lang w:bidi="ar"/>
                    </w:rPr>
                  </w:pPr>
                  <w:r>
                    <w:rPr>
                      <w:color w:val="auto"/>
                      <w:kern w:val="0"/>
                      <w:szCs w:val="21"/>
                      <w:lang w:bidi="ar"/>
                    </w:rPr>
                    <w:t>0.12</w:t>
                  </w:r>
                </w:p>
              </w:tc>
              <w:tc>
                <w:tcPr>
                  <w:tcW w:w="332" w:type="pct"/>
                  <w:vAlign w:val="center"/>
                </w:tcPr>
                <w:p w14:paraId="797BA528">
                  <w:pPr>
                    <w:widowControl/>
                    <w:jc w:val="center"/>
                    <w:textAlignment w:val="center"/>
                    <w:rPr>
                      <w:color w:val="auto"/>
                      <w:kern w:val="0"/>
                      <w:szCs w:val="21"/>
                      <w:lang w:bidi="ar"/>
                    </w:rPr>
                  </w:pPr>
                  <w:r>
                    <w:rPr>
                      <w:color w:val="auto"/>
                      <w:kern w:val="0"/>
                      <w:szCs w:val="21"/>
                      <w:lang w:bidi="ar"/>
                    </w:rPr>
                    <w:t>0.65</w:t>
                  </w:r>
                </w:p>
              </w:tc>
              <w:tc>
                <w:tcPr>
                  <w:tcW w:w="460" w:type="pct"/>
                  <w:vAlign w:val="center"/>
                </w:tcPr>
                <w:p w14:paraId="177BD656">
                  <w:pPr>
                    <w:widowControl/>
                    <w:jc w:val="center"/>
                    <w:textAlignment w:val="center"/>
                    <w:rPr>
                      <w:color w:val="auto"/>
                      <w:kern w:val="0"/>
                      <w:szCs w:val="21"/>
                      <w:lang w:bidi="ar"/>
                    </w:rPr>
                  </w:pPr>
                  <w:r>
                    <w:rPr>
                      <w:color w:val="auto"/>
                      <w:kern w:val="0"/>
                      <w:szCs w:val="21"/>
                      <w:lang w:bidi="ar"/>
                    </w:rPr>
                    <w:t>46</w:t>
                  </w:r>
                </w:p>
              </w:tc>
              <w:tc>
                <w:tcPr>
                  <w:tcW w:w="595" w:type="pct"/>
                  <w:vAlign w:val="center"/>
                </w:tcPr>
                <w:p w14:paraId="04DA5CD0">
                  <w:pPr>
                    <w:widowControl/>
                    <w:jc w:val="center"/>
                    <w:textAlignment w:val="center"/>
                    <w:rPr>
                      <w:color w:val="auto"/>
                      <w:kern w:val="0"/>
                      <w:szCs w:val="21"/>
                      <w:lang w:bidi="ar"/>
                    </w:rPr>
                  </w:pPr>
                  <w:r>
                    <w:rPr>
                      <w:color w:val="auto"/>
                      <w:kern w:val="0"/>
                      <w:szCs w:val="21"/>
                      <w:lang w:bidi="ar"/>
                    </w:rPr>
                    <w:t>27</w:t>
                  </w:r>
                </w:p>
              </w:tc>
              <w:tc>
                <w:tcPr>
                  <w:tcW w:w="346" w:type="pct"/>
                  <w:vAlign w:val="center"/>
                </w:tcPr>
                <w:p w14:paraId="48275A8C">
                  <w:pPr>
                    <w:widowControl/>
                    <w:jc w:val="center"/>
                    <w:textAlignment w:val="center"/>
                    <w:rPr>
                      <w:color w:val="auto"/>
                      <w:kern w:val="0"/>
                      <w:szCs w:val="21"/>
                      <w:lang w:bidi="ar"/>
                    </w:rPr>
                  </w:pPr>
                  <w:r>
                    <w:rPr>
                      <w:color w:val="auto"/>
                      <w:kern w:val="0"/>
                      <w:szCs w:val="21"/>
                      <w:lang w:bidi="ar"/>
                    </w:rPr>
                    <w:t>38</w:t>
                  </w:r>
                </w:p>
              </w:tc>
              <w:tc>
                <w:tcPr>
                  <w:tcW w:w="428" w:type="pct"/>
                  <w:vAlign w:val="center"/>
                </w:tcPr>
                <w:p w14:paraId="28C99589">
                  <w:pPr>
                    <w:widowControl/>
                    <w:jc w:val="center"/>
                    <w:textAlignment w:val="center"/>
                    <w:rPr>
                      <w:color w:val="auto"/>
                      <w:kern w:val="0"/>
                      <w:szCs w:val="21"/>
                      <w:lang w:bidi="ar"/>
                    </w:rPr>
                  </w:pPr>
                  <w:r>
                    <w:rPr>
                      <w:color w:val="auto"/>
                      <w:kern w:val="0"/>
                      <w:szCs w:val="21"/>
                      <w:lang w:bidi="ar"/>
                    </w:rPr>
                    <w:t>10h/d</w:t>
                  </w:r>
                  <w:r>
                    <w:rPr>
                      <w:rFonts w:hint="eastAsia"/>
                      <w:color w:val="auto"/>
                      <w:kern w:val="0"/>
                      <w:szCs w:val="21"/>
                      <w:lang w:bidi="ar"/>
                    </w:rPr>
                    <w:t xml:space="preserve"> </w:t>
                  </w:r>
                  <w:r>
                    <w:rPr>
                      <w:color w:val="auto"/>
                      <w:kern w:val="0"/>
                      <w:szCs w:val="21"/>
                      <w:lang w:bidi="ar"/>
                    </w:rPr>
                    <w:t>30d/a</w:t>
                  </w:r>
                </w:p>
              </w:tc>
              <w:tc>
                <w:tcPr>
                  <w:tcW w:w="472" w:type="pct"/>
                  <w:vAlign w:val="center"/>
                </w:tcPr>
                <w:p w14:paraId="587A7917">
                  <w:pPr>
                    <w:widowControl/>
                    <w:jc w:val="center"/>
                    <w:textAlignment w:val="center"/>
                    <w:rPr>
                      <w:color w:val="auto"/>
                      <w:kern w:val="0"/>
                      <w:szCs w:val="21"/>
                      <w:lang w:bidi="ar"/>
                    </w:rPr>
                  </w:pPr>
                  <w:r>
                    <w:rPr>
                      <w:color w:val="auto"/>
                      <w:kern w:val="0"/>
                      <w:szCs w:val="21"/>
                      <w:lang w:bidi="ar"/>
                    </w:rPr>
                    <w:t>52440</w:t>
                  </w:r>
                </w:p>
              </w:tc>
              <w:tc>
                <w:tcPr>
                  <w:tcW w:w="461" w:type="pct"/>
                  <w:vAlign w:val="center"/>
                </w:tcPr>
                <w:p w14:paraId="6D845CC4">
                  <w:pPr>
                    <w:widowControl/>
                    <w:jc w:val="center"/>
                    <w:textAlignment w:val="center"/>
                    <w:rPr>
                      <w:color w:val="auto"/>
                      <w:kern w:val="0"/>
                      <w:szCs w:val="21"/>
                      <w:lang w:bidi="ar"/>
                    </w:rPr>
                  </w:pPr>
                  <w:r>
                    <w:rPr>
                      <w:color w:val="auto"/>
                      <w:kern w:val="0"/>
                      <w:szCs w:val="21"/>
                      <w:lang w:bidi="ar"/>
                    </w:rPr>
                    <w:t>36000</w:t>
                  </w:r>
                </w:p>
              </w:tc>
              <w:tc>
                <w:tcPr>
                  <w:tcW w:w="379" w:type="pct"/>
                  <w:vAlign w:val="center"/>
                </w:tcPr>
                <w:p w14:paraId="09E7BD3F">
                  <w:pPr>
                    <w:widowControl/>
                    <w:jc w:val="center"/>
                    <w:textAlignment w:val="center"/>
                    <w:rPr>
                      <w:color w:val="auto"/>
                      <w:kern w:val="0"/>
                      <w:szCs w:val="21"/>
                      <w:lang w:bidi="ar"/>
                    </w:rPr>
                  </w:pPr>
                  <w:r>
                    <w:rPr>
                      <w:color w:val="auto"/>
                      <w:kern w:val="0"/>
                      <w:szCs w:val="21"/>
                      <w:lang w:bidi="ar"/>
                    </w:rPr>
                    <w:t>6</w:t>
                  </w:r>
                  <w:r>
                    <w:rPr>
                      <w:rFonts w:hint="eastAsia"/>
                      <w:color w:val="auto"/>
                      <w:kern w:val="0"/>
                      <w:szCs w:val="21"/>
                      <w:lang w:bidi="ar"/>
                    </w:rPr>
                    <w:t>9</w:t>
                  </w:r>
                  <w:r>
                    <w:rPr>
                      <w:color w:val="auto"/>
                      <w:kern w:val="0"/>
                      <w:szCs w:val="21"/>
                      <w:lang w:bidi="ar"/>
                    </w:rPr>
                    <w:t>%</w:t>
                  </w:r>
                </w:p>
              </w:tc>
            </w:tr>
            <w:tr w14:paraId="1C975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31" w:type="pct"/>
                  <w:vAlign w:val="center"/>
                </w:tcPr>
                <w:p w14:paraId="1EA09BF0">
                  <w:pPr>
                    <w:widowControl/>
                    <w:jc w:val="center"/>
                    <w:textAlignment w:val="center"/>
                    <w:rPr>
                      <w:color w:val="auto"/>
                      <w:kern w:val="0"/>
                      <w:szCs w:val="21"/>
                      <w:lang w:bidi="ar"/>
                    </w:rPr>
                  </w:pPr>
                  <w:r>
                    <w:rPr>
                      <w:rFonts w:hint="eastAsia"/>
                      <w:color w:val="auto"/>
                      <w:kern w:val="0"/>
                      <w:szCs w:val="21"/>
                      <w:lang w:bidi="ar"/>
                    </w:rPr>
                    <w:t>5</w:t>
                  </w:r>
                </w:p>
              </w:tc>
              <w:tc>
                <w:tcPr>
                  <w:tcW w:w="388" w:type="pct"/>
                  <w:vAlign w:val="center"/>
                </w:tcPr>
                <w:p w14:paraId="128B1218">
                  <w:pPr>
                    <w:widowControl/>
                    <w:jc w:val="center"/>
                    <w:textAlignment w:val="center"/>
                    <w:rPr>
                      <w:color w:val="auto"/>
                      <w:kern w:val="0"/>
                      <w:szCs w:val="21"/>
                      <w:lang w:bidi="ar"/>
                    </w:rPr>
                  </w:pPr>
                  <w:r>
                    <w:rPr>
                      <w:rFonts w:hint="eastAsia"/>
                      <w:color w:val="auto"/>
                    </w:rPr>
                    <w:t>家私配件</w:t>
                  </w:r>
                </w:p>
              </w:tc>
              <w:tc>
                <w:tcPr>
                  <w:tcW w:w="253" w:type="pct"/>
                  <w:vAlign w:val="center"/>
                </w:tcPr>
                <w:p w14:paraId="7C41D644">
                  <w:pPr>
                    <w:widowControl/>
                    <w:jc w:val="center"/>
                    <w:textAlignment w:val="center"/>
                    <w:rPr>
                      <w:color w:val="auto"/>
                      <w:kern w:val="0"/>
                      <w:szCs w:val="21"/>
                      <w:lang w:bidi="ar"/>
                    </w:rPr>
                  </w:pPr>
                  <w:r>
                    <w:rPr>
                      <w:rFonts w:hint="eastAsia"/>
                      <w:color w:val="auto"/>
                      <w:kern w:val="0"/>
                      <w:szCs w:val="21"/>
                      <w:lang w:bidi="ar"/>
                    </w:rPr>
                    <w:t>碳钢</w:t>
                  </w:r>
                </w:p>
              </w:tc>
              <w:tc>
                <w:tcPr>
                  <w:tcW w:w="316" w:type="pct"/>
                  <w:vAlign w:val="center"/>
                </w:tcPr>
                <w:p w14:paraId="04C5EDB6">
                  <w:pPr>
                    <w:widowControl/>
                    <w:jc w:val="center"/>
                    <w:textAlignment w:val="center"/>
                    <w:rPr>
                      <w:color w:val="auto"/>
                      <w:kern w:val="0"/>
                      <w:szCs w:val="21"/>
                      <w:lang w:bidi="ar"/>
                    </w:rPr>
                  </w:pPr>
                  <w:r>
                    <w:rPr>
                      <w:color w:val="auto"/>
                      <w:kern w:val="0"/>
                      <w:szCs w:val="21"/>
                      <w:lang w:bidi="ar"/>
                    </w:rPr>
                    <w:t>0.7</w:t>
                  </w:r>
                </w:p>
              </w:tc>
              <w:tc>
                <w:tcPr>
                  <w:tcW w:w="332" w:type="pct"/>
                  <w:vAlign w:val="center"/>
                </w:tcPr>
                <w:p w14:paraId="383D0E19">
                  <w:pPr>
                    <w:widowControl/>
                    <w:jc w:val="center"/>
                    <w:textAlignment w:val="center"/>
                    <w:rPr>
                      <w:color w:val="auto"/>
                      <w:kern w:val="0"/>
                      <w:szCs w:val="21"/>
                      <w:lang w:bidi="ar"/>
                    </w:rPr>
                  </w:pPr>
                  <w:r>
                    <w:rPr>
                      <w:color w:val="auto"/>
                      <w:kern w:val="0"/>
                      <w:szCs w:val="21"/>
                      <w:lang w:bidi="ar"/>
                    </w:rPr>
                    <w:t>0.55</w:t>
                  </w:r>
                </w:p>
              </w:tc>
              <w:tc>
                <w:tcPr>
                  <w:tcW w:w="332" w:type="pct"/>
                  <w:vAlign w:val="center"/>
                </w:tcPr>
                <w:p w14:paraId="1952AAA7">
                  <w:pPr>
                    <w:widowControl/>
                    <w:jc w:val="center"/>
                    <w:textAlignment w:val="center"/>
                    <w:rPr>
                      <w:color w:val="auto"/>
                      <w:kern w:val="0"/>
                      <w:szCs w:val="21"/>
                      <w:lang w:bidi="ar"/>
                    </w:rPr>
                  </w:pPr>
                  <w:r>
                    <w:rPr>
                      <w:color w:val="auto"/>
                      <w:kern w:val="0"/>
                      <w:szCs w:val="21"/>
                      <w:lang w:bidi="ar"/>
                    </w:rPr>
                    <w:t>0.83</w:t>
                  </w:r>
                </w:p>
              </w:tc>
              <w:tc>
                <w:tcPr>
                  <w:tcW w:w="460" w:type="pct"/>
                  <w:vAlign w:val="center"/>
                </w:tcPr>
                <w:p w14:paraId="13698CC8">
                  <w:pPr>
                    <w:widowControl/>
                    <w:jc w:val="center"/>
                    <w:textAlignment w:val="center"/>
                    <w:rPr>
                      <w:color w:val="auto"/>
                      <w:kern w:val="0"/>
                      <w:szCs w:val="21"/>
                      <w:lang w:bidi="ar"/>
                    </w:rPr>
                  </w:pPr>
                  <w:r>
                    <w:rPr>
                      <w:color w:val="auto"/>
                      <w:kern w:val="0"/>
                      <w:szCs w:val="21"/>
                      <w:lang w:bidi="ar"/>
                    </w:rPr>
                    <w:t>84</w:t>
                  </w:r>
                </w:p>
              </w:tc>
              <w:tc>
                <w:tcPr>
                  <w:tcW w:w="595" w:type="pct"/>
                  <w:vAlign w:val="center"/>
                </w:tcPr>
                <w:p w14:paraId="534A8C67">
                  <w:pPr>
                    <w:widowControl/>
                    <w:jc w:val="center"/>
                    <w:textAlignment w:val="center"/>
                    <w:rPr>
                      <w:color w:val="auto"/>
                      <w:kern w:val="0"/>
                      <w:szCs w:val="21"/>
                      <w:lang w:bidi="ar"/>
                    </w:rPr>
                  </w:pPr>
                  <w:r>
                    <w:rPr>
                      <w:color w:val="auto"/>
                      <w:kern w:val="0"/>
                      <w:szCs w:val="21"/>
                      <w:lang w:bidi="ar"/>
                    </w:rPr>
                    <w:t>34</w:t>
                  </w:r>
                </w:p>
              </w:tc>
              <w:tc>
                <w:tcPr>
                  <w:tcW w:w="346" w:type="pct"/>
                  <w:vAlign w:val="center"/>
                </w:tcPr>
                <w:p w14:paraId="6DF92AA6">
                  <w:pPr>
                    <w:widowControl/>
                    <w:jc w:val="center"/>
                    <w:textAlignment w:val="center"/>
                    <w:rPr>
                      <w:color w:val="auto"/>
                      <w:kern w:val="0"/>
                      <w:szCs w:val="21"/>
                      <w:lang w:bidi="ar"/>
                    </w:rPr>
                  </w:pPr>
                  <w:r>
                    <w:rPr>
                      <w:color w:val="auto"/>
                      <w:kern w:val="0"/>
                      <w:szCs w:val="21"/>
                      <w:lang w:bidi="ar"/>
                    </w:rPr>
                    <w:t>32</w:t>
                  </w:r>
                </w:p>
              </w:tc>
              <w:tc>
                <w:tcPr>
                  <w:tcW w:w="428" w:type="pct"/>
                  <w:vAlign w:val="center"/>
                </w:tcPr>
                <w:p w14:paraId="0AE61D57">
                  <w:pPr>
                    <w:widowControl/>
                    <w:jc w:val="center"/>
                    <w:textAlignment w:val="center"/>
                    <w:rPr>
                      <w:color w:val="auto"/>
                      <w:kern w:val="0"/>
                      <w:szCs w:val="21"/>
                      <w:lang w:bidi="ar"/>
                    </w:rPr>
                  </w:pPr>
                  <w:r>
                    <w:rPr>
                      <w:color w:val="auto"/>
                      <w:kern w:val="0"/>
                      <w:szCs w:val="21"/>
                      <w:lang w:bidi="ar"/>
                    </w:rPr>
                    <w:t>10h/d</w:t>
                  </w:r>
                  <w:r>
                    <w:rPr>
                      <w:rFonts w:hint="eastAsia"/>
                      <w:color w:val="auto"/>
                      <w:kern w:val="0"/>
                      <w:szCs w:val="21"/>
                      <w:lang w:bidi="ar"/>
                    </w:rPr>
                    <w:t xml:space="preserve"> </w:t>
                  </w:r>
                  <w:r>
                    <w:rPr>
                      <w:color w:val="auto"/>
                      <w:kern w:val="0"/>
                      <w:szCs w:val="21"/>
                      <w:lang w:bidi="ar"/>
                    </w:rPr>
                    <w:t>45d/a</w:t>
                  </w:r>
                </w:p>
              </w:tc>
              <w:tc>
                <w:tcPr>
                  <w:tcW w:w="472" w:type="pct"/>
                  <w:vAlign w:val="center"/>
                </w:tcPr>
                <w:p w14:paraId="39004FF9">
                  <w:pPr>
                    <w:widowControl/>
                    <w:jc w:val="center"/>
                    <w:textAlignment w:val="center"/>
                    <w:rPr>
                      <w:color w:val="auto"/>
                      <w:kern w:val="0"/>
                      <w:szCs w:val="21"/>
                      <w:lang w:bidi="ar"/>
                    </w:rPr>
                  </w:pPr>
                  <w:r>
                    <w:rPr>
                      <w:color w:val="auto"/>
                      <w:kern w:val="0"/>
                      <w:szCs w:val="21"/>
                      <w:lang w:bidi="ar"/>
                    </w:rPr>
                    <w:t>120960</w:t>
                  </w:r>
                </w:p>
              </w:tc>
              <w:tc>
                <w:tcPr>
                  <w:tcW w:w="461" w:type="pct"/>
                  <w:vAlign w:val="center"/>
                </w:tcPr>
                <w:p w14:paraId="5C08D43A">
                  <w:pPr>
                    <w:widowControl/>
                    <w:jc w:val="center"/>
                    <w:textAlignment w:val="center"/>
                    <w:rPr>
                      <w:color w:val="auto"/>
                      <w:kern w:val="0"/>
                      <w:szCs w:val="21"/>
                      <w:lang w:bidi="ar"/>
                    </w:rPr>
                  </w:pPr>
                  <w:r>
                    <w:rPr>
                      <w:color w:val="auto"/>
                      <w:kern w:val="0"/>
                      <w:szCs w:val="21"/>
                      <w:lang w:bidi="ar"/>
                    </w:rPr>
                    <w:t>84000</w:t>
                  </w:r>
                </w:p>
              </w:tc>
              <w:tc>
                <w:tcPr>
                  <w:tcW w:w="379" w:type="pct"/>
                  <w:vAlign w:val="center"/>
                </w:tcPr>
                <w:p w14:paraId="59C2ADEE">
                  <w:pPr>
                    <w:widowControl/>
                    <w:jc w:val="center"/>
                    <w:textAlignment w:val="center"/>
                    <w:rPr>
                      <w:color w:val="auto"/>
                      <w:kern w:val="0"/>
                      <w:szCs w:val="21"/>
                      <w:lang w:bidi="ar"/>
                    </w:rPr>
                  </w:pPr>
                  <w:r>
                    <w:rPr>
                      <w:color w:val="auto"/>
                      <w:kern w:val="0"/>
                      <w:szCs w:val="21"/>
                      <w:lang w:bidi="ar"/>
                    </w:rPr>
                    <w:t>6</w:t>
                  </w:r>
                  <w:r>
                    <w:rPr>
                      <w:rFonts w:hint="eastAsia"/>
                      <w:color w:val="auto"/>
                      <w:kern w:val="0"/>
                      <w:szCs w:val="21"/>
                      <w:lang w:bidi="ar"/>
                    </w:rPr>
                    <w:t>9</w:t>
                  </w:r>
                  <w:r>
                    <w:rPr>
                      <w:color w:val="auto"/>
                      <w:kern w:val="0"/>
                      <w:szCs w:val="21"/>
                      <w:lang w:bidi="ar"/>
                    </w:rPr>
                    <w:t>%</w:t>
                  </w:r>
                </w:p>
              </w:tc>
            </w:tr>
            <w:tr w14:paraId="310F5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31" w:type="pct"/>
                  <w:vAlign w:val="center"/>
                </w:tcPr>
                <w:p w14:paraId="75CF058C">
                  <w:pPr>
                    <w:widowControl/>
                    <w:jc w:val="center"/>
                    <w:textAlignment w:val="center"/>
                    <w:rPr>
                      <w:color w:val="auto"/>
                      <w:kern w:val="0"/>
                      <w:szCs w:val="21"/>
                      <w:lang w:bidi="ar"/>
                    </w:rPr>
                  </w:pPr>
                  <w:r>
                    <w:rPr>
                      <w:rFonts w:hint="eastAsia"/>
                      <w:color w:val="auto"/>
                      <w:kern w:val="0"/>
                      <w:szCs w:val="21"/>
                      <w:lang w:bidi="ar"/>
                    </w:rPr>
                    <w:t>6</w:t>
                  </w:r>
                </w:p>
              </w:tc>
              <w:tc>
                <w:tcPr>
                  <w:tcW w:w="388" w:type="pct"/>
                  <w:vAlign w:val="center"/>
                </w:tcPr>
                <w:p w14:paraId="2214C219">
                  <w:pPr>
                    <w:widowControl/>
                    <w:jc w:val="center"/>
                    <w:textAlignment w:val="center"/>
                    <w:rPr>
                      <w:color w:val="auto"/>
                      <w:kern w:val="0"/>
                      <w:szCs w:val="21"/>
                      <w:lang w:bidi="ar"/>
                    </w:rPr>
                  </w:pPr>
                  <w:r>
                    <w:rPr>
                      <w:rFonts w:hint="eastAsia"/>
                      <w:color w:val="auto"/>
                    </w:rPr>
                    <w:t>家私配件</w:t>
                  </w:r>
                </w:p>
              </w:tc>
              <w:tc>
                <w:tcPr>
                  <w:tcW w:w="253" w:type="pct"/>
                  <w:vAlign w:val="center"/>
                </w:tcPr>
                <w:p w14:paraId="116704D6">
                  <w:pPr>
                    <w:widowControl/>
                    <w:jc w:val="center"/>
                    <w:textAlignment w:val="center"/>
                    <w:rPr>
                      <w:color w:val="auto"/>
                      <w:kern w:val="0"/>
                      <w:szCs w:val="21"/>
                      <w:lang w:bidi="ar"/>
                    </w:rPr>
                  </w:pPr>
                  <w:r>
                    <w:rPr>
                      <w:rFonts w:hint="eastAsia"/>
                      <w:color w:val="auto"/>
                      <w:kern w:val="0"/>
                      <w:szCs w:val="21"/>
                      <w:lang w:bidi="ar"/>
                    </w:rPr>
                    <w:t>铝制</w:t>
                  </w:r>
                </w:p>
              </w:tc>
              <w:tc>
                <w:tcPr>
                  <w:tcW w:w="316" w:type="pct"/>
                  <w:vAlign w:val="center"/>
                </w:tcPr>
                <w:p w14:paraId="383151B8">
                  <w:pPr>
                    <w:widowControl/>
                    <w:jc w:val="center"/>
                    <w:textAlignment w:val="center"/>
                    <w:rPr>
                      <w:color w:val="auto"/>
                      <w:kern w:val="0"/>
                      <w:szCs w:val="21"/>
                      <w:lang w:bidi="ar"/>
                    </w:rPr>
                  </w:pPr>
                  <w:r>
                    <w:rPr>
                      <w:color w:val="auto"/>
                      <w:kern w:val="0"/>
                      <w:szCs w:val="21"/>
                      <w:lang w:bidi="ar"/>
                    </w:rPr>
                    <w:t>0.65</w:t>
                  </w:r>
                </w:p>
              </w:tc>
              <w:tc>
                <w:tcPr>
                  <w:tcW w:w="332" w:type="pct"/>
                  <w:vAlign w:val="center"/>
                </w:tcPr>
                <w:p w14:paraId="5718E0BA">
                  <w:pPr>
                    <w:widowControl/>
                    <w:jc w:val="center"/>
                    <w:textAlignment w:val="center"/>
                    <w:rPr>
                      <w:color w:val="auto"/>
                      <w:kern w:val="0"/>
                      <w:szCs w:val="21"/>
                      <w:lang w:bidi="ar"/>
                    </w:rPr>
                  </w:pPr>
                  <w:r>
                    <w:rPr>
                      <w:color w:val="auto"/>
                      <w:kern w:val="0"/>
                      <w:szCs w:val="21"/>
                      <w:lang w:bidi="ar"/>
                    </w:rPr>
                    <w:t>0.48</w:t>
                  </w:r>
                </w:p>
              </w:tc>
              <w:tc>
                <w:tcPr>
                  <w:tcW w:w="332" w:type="pct"/>
                  <w:vAlign w:val="center"/>
                </w:tcPr>
                <w:p w14:paraId="70721416">
                  <w:pPr>
                    <w:widowControl/>
                    <w:jc w:val="center"/>
                    <w:textAlignment w:val="center"/>
                    <w:rPr>
                      <w:color w:val="auto"/>
                      <w:kern w:val="0"/>
                      <w:szCs w:val="21"/>
                      <w:lang w:bidi="ar"/>
                    </w:rPr>
                  </w:pPr>
                  <w:r>
                    <w:rPr>
                      <w:color w:val="auto"/>
                      <w:kern w:val="0"/>
                      <w:szCs w:val="21"/>
                      <w:lang w:bidi="ar"/>
                    </w:rPr>
                    <w:t>0.52</w:t>
                  </w:r>
                </w:p>
              </w:tc>
              <w:tc>
                <w:tcPr>
                  <w:tcW w:w="460" w:type="pct"/>
                  <w:vAlign w:val="center"/>
                </w:tcPr>
                <w:p w14:paraId="63798BFF">
                  <w:pPr>
                    <w:widowControl/>
                    <w:jc w:val="center"/>
                    <w:textAlignment w:val="center"/>
                    <w:rPr>
                      <w:color w:val="auto"/>
                      <w:kern w:val="0"/>
                      <w:szCs w:val="21"/>
                      <w:lang w:bidi="ar"/>
                    </w:rPr>
                  </w:pPr>
                  <w:r>
                    <w:rPr>
                      <w:color w:val="auto"/>
                      <w:kern w:val="0"/>
                      <w:szCs w:val="21"/>
                      <w:lang w:bidi="ar"/>
                    </w:rPr>
                    <w:t>72</w:t>
                  </w:r>
                </w:p>
              </w:tc>
              <w:tc>
                <w:tcPr>
                  <w:tcW w:w="595" w:type="pct"/>
                  <w:vAlign w:val="center"/>
                </w:tcPr>
                <w:p w14:paraId="48FCA727">
                  <w:pPr>
                    <w:widowControl/>
                    <w:jc w:val="center"/>
                    <w:textAlignment w:val="center"/>
                    <w:rPr>
                      <w:color w:val="auto"/>
                      <w:kern w:val="0"/>
                      <w:szCs w:val="21"/>
                      <w:lang w:bidi="ar"/>
                    </w:rPr>
                  </w:pPr>
                  <w:r>
                    <w:rPr>
                      <w:color w:val="auto"/>
                      <w:kern w:val="0"/>
                      <w:szCs w:val="21"/>
                      <w:lang w:bidi="ar"/>
                    </w:rPr>
                    <w:t>27</w:t>
                  </w:r>
                </w:p>
              </w:tc>
              <w:tc>
                <w:tcPr>
                  <w:tcW w:w="346" w:type="pct"/>
                  <w:vAlign w:val="center"/>
                </w:tcPr>
                <w:p w14:paraId="1FA56421">
                  <w:pPr>
                    <w:widowControl/>
                    <w:jc w:val="center"/>
                    <w:textAlignment w:val="center"/>
                    <w:rPr>
                      <w:color w:val="auto"/>
                      <w:kern w:val="0"/>
                      <w:szCs w:val="21"/>
                      <w:lang w:bidi="ar"/>
                    </w:rPr>
                  </w:pPr>
                  <w:r>
                    <w:rPr>
                      <w:color w:val="auto"/>
                      <w:kern w:val="0"/>
                      <w:szCs w:val="21"/>
                      <w:lang w:bidi="ar"/>
                    </w:rPr>
                    <w:t>38</w:t>
                  </w:r>
                </w:p>
              </w:tc>
              <w:tc>
                <w:tcPr>
                  <w:tcW w:w="428" w:type="pct"/>
                  <w:vAlign w:val="center"/>
                </w:tcPr>
                <w:p w14:paraId="26FEFB1D">
                  <w:pPr>
                    <w:widowControl/>
                    <w:jc w:val="center"/>
                    <w:textAlignment w:val="center"/>
                    <w:rPr>
                      <w:color w:val="auto"/>
                      <w:kern w:val="0"/>
                      <w:szCs w:val="21"/>
                      <w:lang w:bidi="ar"/>
                    </w:rPr>
                  </w:pPr>
                  <w:r>
                    <w:rPr>
                      <w:color w:val="auto"/>
                      <w:kern w:val="0"/>
                      <w:szCs w:val="21"/>
                      <w:lang w:bidi="ar"/>
                    </w:rPr>
                    <w:t>10h/d</w:t>
                  </w:r>
                  <w:r>
                    <w:rPr>
                      <w:rFonts w:hint="eastAsia"/>
                      <w:color w:val="auto"/>
                      <w:kern w:val="0"/>
                      <w:szCs w:val="21"/>
                      <w:lang w:bidi="ar"/>
                    </w:rPr>
                    <w:t xml:space="preserve"> </w:t>
                  </w:r>
                  <w:r>
                    <w:rPr>
                      <w:color w:val="auto"/>
                      <w:kern w:val="0"/>
                      <w:szCs w:val="21"/>
                      <w:lang w:bidi="ar"/>
                    </w:rPr>
                    <w:t>15d/a</w:t>
                  </w:r>
                </w:p>
              </w:tc>
              <w:tc>
                <w:tcPr>
                  <w:tcW w:w="472" w:type="pct"/>
                  <w:vAlign w:val="center"/>
                </w:tcPr>
                <w:p w14:paraId="1EF4590F">
                  <w:pPr>
                    <w:widowControl/>
                    <w:jc w:val="center"/>
                    <w:textAlignment w:val="center"/>
                    <w:rPr>
                      <w:color w:val="auto"/>
                      <w:kern w:val="0"/>
                      <w:szCs w:val="21"/>
                      <w:lang w:bidi="ar"/>
                    </w:rPr>
                  </w:pPr>
                  <w:r>
                    <w:rPr>
                      <w:color w:val="auto"/>
                      <w:kern w:val="0"/>
                      <w:szCs w:val="21"/>
                      <w:lang w:bidi="ar"/>
                    </w:rPr>
                    <w:t>41040</w:t>
                  </w:r>
                </w:p>
              </w:tc>
              <w:tc>
                <w:tcPr>
                  <w:tcW w:w="461" w:type="pct"/>
                  <w:vAlign w:val="center"/>
                </w:tcPr>
                <w:p w14:paraId="1F095FE8">
                  <w:pPr>
                    <w:widowControl/>
                    <w:jc w:val="center"/>
                    <w:textAlignment w:val="center"/>
                    <w:rPr>
                      <w:color w:val="auto"/>
                      <w:kern w:val="0"/>
                      <w:szCs w:val="21"/>
                      <w:lang w:bidi="ar"/>
                    </w:rPr>
                  </w:pPr>
                  <w:r>
                    <w:rPr>
                      <w:color w:val="auto"/>
                      <w:kern w:val="0"/>
                      <w:szCs w:val="21"/>
                      <w:lang w:bidi="ar"/>
                    </w:rPr>
                    <w:t>30000</w:t>
                  </w:r>
                </w:p>
              </w:tc>
              <w:tc>
                <w:tcPr>
                  <w:tcW w:w="379" w:type="pct"/>
                  <w:vAlign w:val="center"/>
                </w:tcPr>
                <w:p w14:paraId="45B0F763">
                  <w:pPr>
                    <w:widowControl/>
                    <w:jc w:val="center"/>
                    <w:textAlignment w:val="center"/>
                    <w:rPr>
                      <w:color w:val="auto"/>
                      <w:kern w:val="0"/>
                      <w:szCs w:val="21"/>
                      <w:lang w:bidi="ar"/>
                    </w:rPr>
                  </w:pPr>
                  <w:r>
                    <w:rPr>
                      <w:color w:val="auto"/>
                      <w:kern w:val="0"/>
                      <w:szCs w:val="21"/>
                      <w:lang w:bidi="ar"/>
                    </w:rPr>
                    <w:t>73%</w:t>
                  </w:r>
                </w:p>
              </w:tc>
            </w:tr>
            <w:tr w14:paraId="2A7BA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5000" w:type="pct"/>
                  <w:gridSpan w:val="13"/>
                  <w:vAlign w:val="center"/>
                </w:tcPr>
                <w:p w14:paraId="35480C1E">
                  <w:pPr>
                    <w:widowControl/>
                    <w:textAlignment w:val="center"/>
                    <w:rPr>
                      <w:color w:val="auto"/>
                    </w:rPr>
                  </w:pPr>
                  <w:r>
                    <w:rPr>
                      <w:rFonts w:hint="eastAsia"/>
                      <w:color w:val="auto"/>
                    </w:rPr>
                    <w:t>备注：</w:t>
                  </w:r>
                </w:p>
                <w:p w14:paraId="28059844">
                  <w:pPr>
                    <w:widowControl/>
                    <w:numPr>
                      <w:ilvl w:val="0"/>
                      <w:numId w:val="13"/>
                    </w:numPr>
                    <w:textAlignment w:val="center"/>
                    <w:rPr>
                      <w:color w:val="auto"/>
                    </w:rPr>
                  </w:pPr>
                  <w:r>
                    <w:rPr>
                      <w:rFonts w:hint="eastAsia"/>
                      <w:color w:val="auto"/>
                    </w:rPr>
                    <w:t>每批次工件数</w:t>
                  </w:r>
                </w:p>
                <w:p w14:paraId="79AF3979">
                  <w:pPr>
                    <w:widowControl/>
                    <w:ind w:firstLine="420" w:firstLineChars="200"/>
                    <w:textAlignment w:val="center"/>
                    <w:rPr>
                      <w:color w:val="auto"/>
                    </w:rPr>
                  </w:pPr>
                  <w:r>
                    <w:rPr>
                      <w:rFonts w:eastAsia="微软雅黑"/>
                      <w:color w:val="auto"/>
                    </w:rPr>
                    <w:t>①</w:t>
                  </w:r>
                  <w:r>
                    <w:rPr>
                      <w:rFonts w:hint="eastAsia"/>
                      <w:color w:val="auto"/>
                    </w:rPr>
                    <w:t>碳钢材质和铝制自行车车架规格均为1×0.04×0.6m，自行车车架堆放于挂篮内，挂篮规格为2.3×1.3×1.3m。自行车车架的前侧最大宽度与后侧相当，将自行车车架立放可放置2层，每个车架间隔30mm，则每层可放32个车架（2.3m÷（0.04m+0.03m）=32.85），则每批次可加工自行车车架64个；</w:t>
                  </w:r>
                </w:p>
                <w:p w14:paraId="523CCFD1">
                  <w:pPr>
                    <w:widowControl/>
                    <w:ind w:firstLine="420" w:firstLineChars="200"/>
                    <w:textAlignment w:val="center"/>
                    <w:rPr>
                      <w:color w:val="auto"/>
                    </w:rPr>
                  </w:pPr>
                  <w:r>
                    <w:rPr>
                      <w:rFonts w:hint="eastAsia" w:ascii="宋体" w:hAnsi="宋体" w:cs="宋体"/>
                      <w:color w:val="auto"/>
                    </w:rPr>
                    <w:t>②</w:t>
                  </w:r>
                  <w:r>
                    <w:rPr>
                      <w:rFonts w:hint="eastAsia"/>
                      <w:color w:val="auto"/>
                    </w:rPr>
                    <w:t>碳钢材质电动助力车车架规格为1.1×0.18×0.65m，电动助力车车架堆放于挂篮内，挂篮规格为2.3×1.3×1.3m。根据表2-5车架规格尺寸可知，电动助力车车架前侧最大宽度与后侧相差0.13m，为确保每批次电动助力车车架清洗量最大化，以两个车架倒放为一组，车架间隔为20mm，则每组所需宽度为0.25m；将电动助力车车架立放可放置2层，每组车架间隔30mm，则每层可放16个车架（2.3m÷（0.25m+0.03m）×2=16.43，本报告取16），则每批次可加工电动助力车车架32个。</w:t>
                  </w:r>
                </w:p>
                <w:p w14:paraId="01FD5E52">
                  <w:pPr>
                    <w:widowControl/>
                    <w:ind w:firstLine="420" w:firstLineChars="200"/>
                    <w:textAlignment w:val="center"/>
                    <w:rPr>
                      <w:color w:val="auto"/>
                    </w:rPr>
                  </w:pPr>
                  <w:r>
                    <w:rPr>
                      <w:rFonts w:hint="eastAsia"/>
                      <w:color w:val="auto"/>
                    </w:rPr>
                    <w:t>铝制材质电动助力车车架规格为1.1×0.12×0.65m，电动助力车车架堆放于挂篮内，挂篮规格为2.3×1.3×1.3m。根据表2-5车架规格尺寸可知，电动助力车车架前侧最大宽度与后侧相差0.05m，为确保每批次电动助力车车架清洗量最大化，以两个车架倒放为一组，车架间隔为20mm，则每组所需宽度为0.16m；将电动助力车车架立放可放置2层，每组车架间隔30mm，则每层可放25个车架（2.3m÷（0.17m+0.03m）×2=23，本报告取23），则每批次可加工电动助力车车架46个。</w:t>
                  </w:r>
                </w:p>
                <w:p w14:paraId="701817A6">
                  <w:pPr>
                    <w:widowControl/>
                    <w:ind w:firstLine="420" w:firstLineChars="200"/>
                    <w:textAlignment w:val="center"/>
                    <w:rPr>
                      <w:color w:val="auto"/>
                    </w:rPr>
                  </w:pPr>
                  <w:r>
                    <w:rPr>
                      <w:rFonts w:hint="eastAsia" w:ascii="宋体" w:hAnsi="宋体" w:cs="宋体"/>
                      <w:color w:val="auto"/>
                    </w:rPr>
                    <w:t>③</w:t>
                  </w:r>
                  <w:r>
                    <w:rPr>
                      <w:rFonts w:hint="eastAsia"/>
                      <w:color w:val="auto"/>
                    </w:rPr>
                    <w:t>家私配件</w:t>
                  </w:r>
                </w:p>
                <w:p w14:paraId="67502D6C">
                  <w:pPr>
                    <w:widowControl/>
                    <w:ind w:firstLine="420" w:firstLineChars="200"/>
                    <w:textAlignment w:val="center"/>
                    <w:rPr>
                      <w:color w:val="auto"/>
                    </w:rPr>
                  </w:pPr>
                  <w:r>
                    <w:rPr>
                      <w:rFonts w:hint="eastAsia"/>
                      <w:color w:val="auto"/>
                    </w:rPr>
                    <w:t>碳钢材质：项目加工时家私配件状态为组装前配件，每套家私配件包括4个桌腿、2个台撑长管和2个台撑短管，每个配件的长度均不超过1.3m，则可将配件竖放在挂篮内，配件之间间隔为30mm，则可放置84套配件（2.3÷[4×（0.03+0.03）+2×（0.03+0.03）+2×（0.03+0.03）]=4.79，1.3÷（0.03+0.03）=21.67，因此每批次可放置21×4=84套）。</w:t>
                  </w:r>
                </w:p>
                <w:p w14:paraId="09EB6B38">
                  <w:pPr>
                    <w:widowControl/>
                    <w:ind w:firstLine="420" w:firstLineChars="200"/>
                    <w:textAlignment w:val="center"/>
                    <w:rPr>
                      <w:color w:val="auto"/>
                    </w:rPr>
                  </w:pPr>
                  <w:r>
                    <w:rPr>
                      <w:rFonts w:hint="eastAsia"/>
                      <w:color w:val="auto"/>
                    </w:rPr>
                    <w:t>铝制材质：项目加工时家私配件状态为组装前配件，每套家私配件包括4个铝制长管、6个铝制短管和4个边管，每个配件的长度均不超过0.65m，则可将配件竖放在挂篮内，可放置2层，配件之间间隔为30mm，则可放置72套配件（2.3÷[4×（0.04+0.03）+6×（0.04+0.03）+4×（0.04+0.03）]=2.05，1.3÷（0.04+0.03）=18.57，因此每批次可放置18×2×2=72套）。</w:t>
                  </w:r>
                </w:p>
                <w:p w14:paraId="277CF4CC">
                  <w:pPr>
                    <w:widowControl/>
                    <w:numPr>
                      <w:ilvl w:val="0"/>
                      <w:numId w:val="13"/>
                    </w:numPr>
                    <w:textAlignment w:val="center"/>
                    <w:rPr>
                      <w:color w:val="auto"/>
                    </w:rPr>
                  </w:pPr>
                  <w:r>
                    <w:rPr>
                      <w:rFonts w:hint="eastAsia"/>
                      <w:color w:val="auto"/>
                    </w:rPr>
                    <w:t>每批次工件加工时间</w:t>
                  </w:r>
                </w:p>
                <w:p w14:paraId="7FC80B73">
                  <w:pPr>
                    <w:widowControl/>
                    <w:ind w:firstLine="420" w:firstLineChars="200"/>
                    <w:textAlignment w:val="center"/>
                    <w:rPr>
                      <w:color w:val="auto"/>
                    </w:rPr>
                  </w:pPr>
                  <w:r>
                    <w:rPr>
                      <w:rFonts w:hint="eastAsia"/>
                      <w:color w:val="auto"/>
                    </w:rPr>
                    <w:t>碳钢工件：根据表2-7和碳钢工件的前处理工艺可知，每批次碳钢工件的加工时间=5+1+5+1+1+5+15+1=34min，磷化工序的停留时间为15min，磷化前加工时间合计为18min。前处理线持续运行，则每天第一批工件加工所需时间为34min，之后每批次工件加工所需时间至少为18min（当磷化前合计加工时间＞磷化加工时间时，按磷化前合计加工时间计），即可计算出每天可加工批次=1+（10*60-34）</w:t>
                  </w:r>
                  <w:r>
                    <w:rPr>
                      <w:color w:val="auto"/>
                    </w:rPr>
                    <w:t>÷</w:t>
                  </w:r>
                  <w:r>
                    <w:rPr>
                      <w:rFonts w:hint="eastAsia"/>
                      <w:color w:val="auto"/>
                    </w:rPr>
                    <w:t>18=32批次</w:t>
                  </w:r>
                </w:p>
                <w:p w14:paraId="386C36B6">
                  <w:pPr>
                    <w:widowControl/>
                    <w:ind w:firstLine="420" w:firstLineChars="200"/>
                    <w:textAlignment w:val="center"/>
                    <w:rPr>
                      <w:color w:val="auto"/>
                    </w:rPr>
                  </w:pPr>
                  <w:r>
                    <w:rPr>
                      <w:rFonts w:hint="eastAsia"/>
                      <w:color w:val="auto"/>
                    </w:rPr>
                    <w:t>铝制工件：根据表2-7和铝制工件的前处理工艺可知，每批次铝制工件的加工时间=5+1+5+15+1=27min，磷化工序的停留时间为15min，磷化前加工时间合计为11min。前处理线持续运行，则每天第一批工件加工所需时间为27min，之后每批次工件加工所需时间至少为15min（当磷化前合计加工时间＜磷化加工时间时，按磷化加工时间计），即可计算出每天可加工批次=1+（10*60-27）</w:t>
                  </w:r>
                  <w:r>
                    <w:rPr>
                      <w:color w:val="auto"/>
                    </w:rPr>
                    <w:t>÷</w:t>
                  </w:r>
                  <w:r>
                    <w:rPr>
                      <w:rFonts w:hint="eastAsia"/>
                      <w:color w:val="auto"/>
                    </w:rPr>
                    <w:t>15=38批次</w:t>
                  </w:r>
                </w:p>
              </w:tc>
            </w:tr>
          </w:tbl>
          <w:p w14:paraId="64F756EB">
            <w:pPr>
              <w:widowControl/>
              <w:adjustRightInd w:val="0"/>
              <w:snapToGrid w:val="0"/>
              <w:spacing w:before="120" w:beforeLines="50" w:line="360" w:lineRule="auto"/>
              <w:ind w:firstLine="480" w:firstLineChars="200"/>
              <w:rPr>
                <w:color w:val="auto"/>
                <w:kern w:val="0"/>
                <w:sz w:val="24"/>
                <w:lang w:bidi="ar"/>
              </w:rPr>
            </w:pPr>
            <w:r>
              <w:rPr>
                <w:color w:val="auto"/>
                <w:kern w:val="0"/>
                <w:sz w:val="24"/>
                <w:lang w:bidi="ar"/>
              </w:rPr>
              <w:t>由</w:t>
            </w:r>
            <w:r>
              <w:rPr>
                <w:rFonts w:hint="eastAsia"/>
                <w:color w:val="auto"/>
                <w:kern w:val="0"/>
                <w:sz w:val="24"/>
                <w:lang w:bidi="ar"/>
              </w:rPr>
              <w:t>上表</w:t>
            </w:r>
            <w:r>
              <w:rPr>
                <w:color w:val="auto"/>
                <w:kern w:val="0"/>
                <w:sz w:val="24"/>
                <w:lang w:bidi="ar"/>
              </w:rPr>
              <w:t>可知，项目前处理线</w:t>
            </w:r>
            <w:r>
              <w:rPr>
                <w:rFonts w:hint="eastAsia"/>
                <w:color w:val="auto"/>
                <w:kern w:val="0"/>
                <w:sz w:val="24"/>
                <w:lang w:bidi="ar"/>
              </w:rPr>
              <w:t>各槽体尺寸和生产能力均</w:t>
            </w:r>
            <w:r>
              <w:rPr>
                <w:color w:val="auto"/>
                <w:kern w:val="0"/>
                <w:sz w:val="24"/>
                <w:lang w:bidi="ar"/>
              </w:rPr>
              <w:t>能满足项目生产需求。</w:t>
            </w:r>
          </w:p>
          <w:p w14:paraId="7FCE72B9">
            <w:pPr>
              <w:widowControl/>
              <w:adjustRightInd w:val="0"/>
              <w:snapToGrid w:val="0"/>
              <w:spacing w:line="360" w:lineRule="auto"/>
              <w:ind w:firstLine="482" w:firstLineChars="200"/>
              <w:rPr>
                <w:bCs/>
                <w:color w:val="auto"/>
                <w:kern w:val="0"/>
                <w:sz w:val="24"/>
                <w:lang w:bidi="ar"/>
              </w:rPr>
            </w:pPr>
            <w:r>
              <w:rPr>
                <w:b/>
                <w:color w:val="auto"/>
                <w:sz w:val="24"/>
              </w:rPr>
              <w:t>2）</w:t>
            </w:r>
            <w:r>
              <w:rPr>
                <w:rFonts w:hint="eastAsia"/>
                <w:b/>
                <w:color w:val="auto"/>
                <w:sz w:val="24"/>
              </w:rPr>
              <w:t>喷涂</w:t>
            </w:r>
            <w:r>
              <w:rPr>
                <w:b/>
                <w:color w:val="auto"/>
                <w:sz w:val="24"/>
              </w:rPr>
              <w:t>线匹配性分析</w:t>
            </w:r>
          </w:p>
          <w:p w14:paraId="2E141EFD">
            <w:pPr>
              <w:pStyle w:val="145"/>
              <w:ind w:firstLine="480" w:firstLineChars="200"/>
              <w:rPr>
                <w:rFonts w:hint="eastAsia" w:ascii="宋体" w:hAnsi="宋体" w:cs="宋体"/>
                <w:color w:val="auto"/>
                <w:kern w:val="0"/>
              </w:rPr>
            </w:pPr>
            <w:r>
              <w:rPr>
                <w:color w:val="auto"/>
                <w:kern w:val="0"/>
              </w:rPr>
              <w:t>①</w:t>
            </w:r>
            <w:r>
              <w:rPr>
                <w:rFonts w:hint="eastAsia"/>
                <w:color w:val="auto"/>
                <w:kern w:val="0"/>
              </w:rPr>
              <w:t>固化/</w:t>
            </w:r>
            <w:r>
              <w:rPr>
                <w:rFonts w:hint="eastAsia" w:ascii="宋体" w:hAnsi="宋体" w:cs="宋体"/>
                <w:color w:val="auto"/>
                <w:kern w:val="0"/>
              </w:rPr>
              <w:t>烘烤设备产能匹配性分析</w:t>
            </w:r>
          </w:p>
          <w:p w14:paraId="54F5AC72">
            <w:pPr>
              <w:pStyle w:val="145"/>
              <w:ind w:firstLine="480" w:firstLineChars="200"/>
              <w:rPr>
                <w:b/>
                <w:bCs/>
                <w:color w:val="auto"/>
              </w:rPr>
            </w:pPr>
            <w:r>
              <w:rPr>
                <w:color w:val="auto"/>
                <w:kern w:val="0"/>
              </w:rPr>
              <w:t>项目设置有</w:t>
            </w:r>
            <w:r>
              <w:rPr>
                <w:rFonts w:hint="eastAsia"/>
                <w:color w:val="auto"/>
                <w:kern w:val="0"/>
              </w:rPr>
              <w:t>1</w:t>
            </w:r>
            <w:r>
              <w:rPr>
                <w:color w:val="auto"/>
                <w:kern w:val="0"/>
              </w:rPr>
              <w:t>条喷粉线</w:t>
            </w:r>
            <w:r>
              <w:rPr>
                <w:rFonts w:hint="eastAsia"/>
                <w:color w:val="auto"/>
                <w:kern w:val="0"/>
              </w:rPr>
              <w:t>和2条喷漆线</w:t>
            </w:r>
            <w:r>
              <w:rPr>
                <w:color w:val="auto"/>
                <w:kern w:val="0"/>
              </w:rPr>
              <w:t>，</w:t>
            </w:r>
            <w:r>
              <w:rPr>
                <w:color w:val="auto"/>
              </w:rPr>
              <w:t>作业方式采用自动化连续运行，工件输送方式采取输送链悬挂传输。</w:t>
            </w:r>
            <w:r>
              <w:rPr>
                <w:rFonts w:hint="eastAsia"/>
                <w:bCs/>
                <w:color w:val="auto"/>
              </w:rPr>
              <w:t>选取在整个工艺流程中工作速率较慢且控制产能的关键环节进行产能核算，喷涂工艺中烘干、固化属于整个工艺流程中工作速率最慢且控制产能的关键环节，</w:t>
            </w:r>
            <w:r>
              <w:rPr>
                <w:rFonts w:hint="eastAsia"/>
                <w:color w:val="auto"/>
              </w:rPr>
              <w:t>项目建成后全厂共设置3个固化/烘烤隧道炉，其中固化隧道炉轨道长度60</w:t>
            </w:r>
            <w:r>
              <w:rPr>
                <w:color w:val="auto"/>
                <w:kern w:val="0"/>
                <w:szCs w:val="21"/>
                <w:lang w:bidi="ar"/>
              </w:rPr>
              <w:t xml:space="preserve"> m</w:t>
            </w:r>
            <w:r>
              <w:rPr>
                <w:rFonts w:hint="eastAsia"/>
                <w:color w:val="auto"/>
                <w:kern w:val="0"/>
                <w:szCs w:val="21"/>
                <w:lang w:bidi="ar"/>
              </w:rPr>
              <w:t>、烘烤隧道炉</w:t>
            </w:r>
            <w:r>
              <w:rPr>
                <w:rFonts w:hint="eastAsia"/>
                <w:color w:val="auto"/>
              </w:rPr>
              <w:t>轨道长度64</w:t>
            </w:r>
            <w:r>
              <w:rPr>
                <w:color w:val="auto"/>
                <w:kern w:val="0"/>
                <w:szCs w:val="21"/>
                <w:lang w:bidi="ar"/>
              </w:rPr>
              <w:t xml:space="preserve"> m</w:t>
            </w:r>
            <w:r>
              <w:rPr>
                <w:rFonts w:hint="eastAsia"/>
                <w:color w:val="auto"/>
                <w:kern w:val="0"/>
                <w:szCs w:val="21"/>
                <w:lang w:bidi="ar"/>
              </w:rPr>
              <w:t>，每批次固化/烘烤</w:t>
            </w:r>
            <w:r>
              <w:rPr>
                <w:rFonts w:hint="eastAsia"/>
                <w:color w:val="auto"/>
              </w:rPr>
              <w:t>耗时约30-45min。因此固化/烘烤设备产能</w:t>
            </w:r>
            <w:r>
              <w:rPr>
                <w:bCs/>
                <w:color w:val="auto"/>
              </w:rPr>
              <w:t>匹配性分析见下表</w:t>
            </w:r>
            <w:r>
              <w:rPr>
                <w:bCs/>
                <w:color w:val="auto"/>
                <w:kern w:val="0"/>
                <w:lang w:bidi="ar"/>
              </w:rPr>
              <w:t>。</w:t>
            </w:r>
          </w:p>
          <w:p w14:paraId="6FE577C3">
            <w:pPr>
              <w:numPr>
                <w:ilvl w:val="0"/>
                <w:numId w:val="10"/>
              </w:numPr>
              <w:adjustRightInd w:val="0"/>
              <w:snapToGrid w:val="0"/>
              <w:jc w:val="center"/>
              <w:rPr>
                <w:b/>
                <w:bCs/>
                <w:color w:val="auto"/>
                <w:kern w:val="0"/>
                <w:szCs w:val="21"/>
                <w:lang w:bidi="ar"/>
              </w:rPr>
            </w:pPr>
            <w:r>
              <w:rPr>
                <w:b/>
                <w:bCs/>
                <w:color w:val="auto"/>
                <w:kern w:val="0"/>
                <w:szCs w:val="21"/>
                <w:lang w:bidi="ar"/>
              </w:rPr>
              <w:t>项目</w:t>
            </w:r>
            <w:r>
              <w:rPr>
                <w:rFonts w:hint="eastAsia"/>
                <w:b/>
                <w:bCs/>
                <w:color w:val="auto"/>
                <w:kern w:val="0"/>
                <w:szCs w:val="21"/>
                <w:lang w:bidi="ar"/>
              </w:rPr>
              <w:t>固化/烘烤设备产能</w:t>
            </w:r>
            <w:r>
              <w:rPr>
                <w:b/>
                <w:bCs/>
                <w:color w:val="auto"/>
                <w:kern w:val="0"/>
                <w:szCs w:val="21"/>
                <w:lang w:bidi="ar"/>
              </w:rPr>
              <w:t>匹配性分析一览表</w:t>
            </w:r>
          </w:p>
          <w:tbl>
            <w:tblPr>
              <w:tblStyle w:val="3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1348"/>
              <w:gridCol w:w="899"/>
              <w:gridCol w:w="865"/>
              <w:gridCol w:w="805"/>
              <w:gridCol w:w="854"/>
              <w:gridCol w:w="1066"/>
              <w:gridCol w:w="1066"/>
              <w:gridCol w:w="945"/>
              <w:gridCol w:w="656"/>
            </w:tblGrid>
            <w:tr w14:paraId="0D7CA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382" w:type="pct"/>
                  <w:vAlign w:val="center"/>
                </w:tcPr>
                <w:p w14:paraId="513078B0">
                  <w:pPr>
                    <w:widowControl/>
                    <w:jc w:val="center"/>
                    <w:textAlignment w:val="center"/>
                    <w:rPr>
                      <w:b/>
                      <w:bCs/>
                      <w:color w:val="auto"/>
                      <w:szCs w:val="21"/>
                    </w:rPr>
                  </w:pPr>
                  <w:r>
                    <w:rPr>
                      <w:rFonts w:hint="eastAsia"/>
                      <w:b/>
                      <w:bCs/>
                      <w:color w:val="auto"/>
                      <w:szCs w:val="21"/>
                    </w:rPr>
                    <w:t>加工方式</w:t>
                  </w:r>
                </w:p>
              </w:tc>
              <w:tc>
                <w:tcPr>
                  <w:tcW w:w="732" w:type="pct"/>
                  <w:vAlign w:val="center"/>
                </w:tcPr>
                <w:p w14:paraId="4B92D3B9">
                  <w:pPr>
                    <w:widowControl/>
                    <w:jc w:val="center"/>
                    <w:textAlignment w:val="center"/>
                    <w:rPr>
                      <w:b/>
                      <w:bCs/>
                      <w:color w:val="auto"/>
                      <w:szCs w:val="21"/>
                    </w:rPr>
                  </w:pPr>
                  <w:r>
                    <w:rPr>
                      <w:rFonts w:hint="eastAsia"/>
                      <w:b/>
                      <w:bCs/>
                      <w:color w:val="auto"/>
                      <w:kern w:val="0"/>
                      <w:szCs w:val="21"/>
                      <w:lang w:bidi="ar"/>
                    </w:rPr>
                    <w:t>产品名称</w:t>
                  </w:r>
                </w:p>
              </w:tc>
              <w:tc>
                <w:tcPr>
                  <w:tcW w:w="488" w:type="pct"/>
                  <w:vAlign w:val="center"/>
                </w:tcPr>
                <w:p w14:paraId="5AD14D9A">
                  <w:pPr>
                    <w:widowControl/>
                    <w:jc w:val="center"/>
                    <w:textAlignment w:val="center"/>
                    <w:rPr>
                      <w:b/>
                      <w:bCs/>
                      <w:color w:val="auto"/>
                      <w:szCs w:val="21"/>
                    </w:rPr>
                  </w:pPr>
                  <w:r>
                    <w:rPr>
                      <w:rFonts w:hint="eastAsia"/>
                      <w:b/>
                      <w:bCs/>
                      <w:color w:val="auto"/>
                      <w:szCs w:val="21"/>
                    </w:rPr>
                    <w:t>轨道长度m</w:t>
                  </w:r>
                </w:p>
              </w:tc>
              <w:tc>
                <w:tcPr>
                  <w:tcW w:w="470" w:type="pct"/>
                  <w:vAlign w:val="center"/>
                </w:tcPr>
                <w:p w14:paraId="2A9AEE47">
                  <w:pPr>
                    <w:widowControl/>
                    <w:jc w:val="center"/>
                    <w:textAlignment w:val="center"/>
                    <w:rPr>
                      <w:b/>
                      <w:bCs/>
                      <w:color w:val="auto"/>
                      <w:kern w:val="0"/>
                      <w:szCs w:val="21"/>
                      <w:lang w:bidi="ar"/>
                    </w:rPr>
                  </w:pPr>
                  <w:r>
                    <w:rPr>
                      <w:rFonts w:hint="eastAsia"/>
                      <w:b/>
                      <w:bCs/>
                      <w:color w:val="auto"/>
                      <w:kern w:val="0"/>
                      <w:szCs w:val="21"/>
                      <w:lang w:bidi="ar"/>
                    </w:rPr>
                    <w:t>固化/烘烤时长min</w:t>
                  </w:r>
                </w:p>
              </w:tc>
              <w:tc>
                <w:tcPr>
                  <w:tcW w:w="437" w:type="pct"/>
                  <w:vAlign w:val="center"/>
                </w:tcPr>
                <w:p w14:paraId="14B3F1C3">
                  <w:pPr>
                    <w:widowControl/>
                    <w:jc w:val="center"/>
                    <w:textAlignment w:val="center"/>
                    <w:rPr>
                      <w:b/>
                      <w:bCs/>
                      <w:color w:val="auto"/>
                      <w:szCs w:val="21"/>
                    </w:rPr>
                  </w:pPr>
                  <w:r>
                    <w:rPr>
                      <w:rFonts w:hint="eastAsia"/>
                      <w:b/>
                      <w:bCs/>
                      <w:color w:val="auto"/>
                      <w:szCs w:val="21"/>
                    </w:rPr>
                    <w:t>挂具间距m</w:t>
                  </w:r>
                </w:p>
              </w:tc>
              <w:tc>
                <w:tcPr>
                  <w:tcW w:w="464" w:type="pct"/>
                  <w:vAlign w:val="center"/>
                </w:tcPr>
                <w:p w14:paraId="564E82C1">
                  <w:pPr>
                    <w:widowControl/>
                    <w:jc w:val="center"/>
                    <w:textAlignment w:val="center"/>
                    <w:rPr>
                      <w:b/>
                      <w:bCs/>
                      <w:color w:val="auto"/>
                      <w:szCs w:val="21"/>
                    </w:rPr>
                  </w:pPr>
                  <w:r>
                    <w:rPr>
                      <w:rFonts w:hint="eastAsia"/>
                      <w:b/>
                      <w:bCs/>
                      <w:color w:val="auto"/>
                      <w:szCs w:val="21"/>
                    </w:rPr>
                    <w:t>年工作时间h</w:t>
                  </w:r>
                </w:p>
              </w:tc>
              <w:tc>
                <w:tcPr>
                  <w:tcW w:w="579" w:type="pct"/>
                  <w:vAlign w:val="center"/>
                </w:tcPr>
                <w:p w14:paraId="1CFB19CE">
                  <w:pPr>
                    <w:widowControl/>
                    <w:jc w:val="center"/>
                    <w:textAlignment w:val="center"/>
                    <w:rPr>
                      <w:b/>
                      <w:bCs/>
                      <w:color w:val="auto"/>
                      <w:szCs w:val="21"/>
                    </w:rPr>
                  </w:pPr>
                  <w:r>
                    <w:rPr>
                      <w:rFonts w:hint="eastAsia"/>
                      <w:b/>
                      <w:bCs/>
                      <w:color w:val="auto"/>
                      <w:kern w:val="0"/>
                      <w:szCs w:val="21"/>
                      <w:lang w:bidi="ar"/>
                    </w:rPr>
                    <w:t>单个挂具挂件数</w:t>
                  </w:r>
                  <w:r>
                    <w:rPr>
                      <w:b/>
                      <w:bCs/>
                      <w:color w:val="auto"/>
                      <w:kern w:val="0"/>
                      <w:szCs w:val="21"/>
                      <w:lang w:bidi="ar"/>
                    </w:rPr>
                    <w:t>（</w:t>
                  </w:r>
                  <w:r>
                    <w:rPr>
                      <w:rFonts w:hint="eastAsia"/>
                      <w:b/>
                      <w:bCs/>
                      <w:color w:val="auto"/>
                      <w:kern w:val="0"/>
                      <w:szCs w:val="21"/>
                      <w:lang w:bidi="ar"/>
                    </w:rPr>
                    <w:t>个</w:t>
                  </w:r>
                  <w:r>
                    <w:rPr>
                      <w:b/>
                      <w:bCs/>
                      <w:color w:val="auto"/>
                      <w:kern w:val="0"/>
                      <w:szCs w:val="21"/>
                      <w:lang w:bidi="ar"/>
                    </w:rPr>
                    <w:t>）</w:t>
                  </w:r>
                </w:p>
              </w:tc>
              <w:tc>
                <w:tcPr>
                  <w:tcW w:w="579" w:type="pct"/>
                  <w:vAlign w:val="center"/>
                </w:tcPr>
                <w:p w14:paraId="6819B8B1">
                  <w:pPr>
                    <w:widowControl/>
                    <w:jc w:val="center"/>
                    <w:textAlignment w:val="center"/>
                    <w:rPr>
                      <w:b/>
                      <w:bCs/>
                      <w:color w:val="auto"/>
                      <w:szCs w:val="21"/>
                    </w:rPr>
                  </w:pPr>
                  <w:r>
                    <w:rPr>
                      <w:b/>
                      <w:bCs/>
                      <w:color w:val="auto"/>
                      <w:kern w:val="0"/>
                      <w:szCs w:val="21"/>
                      <w:lang w:bidi="ar"/>
                    </w:rPr>
                    <w:t>生产线最大产能（</w:t>
                  </w:r>
                  <w:r>
                    <w:rPr>
                      <w:rFonts w:hint="eastAsia"/>
                      <w:b/>
                      <w:bCs/>
                      <w:color w:val="auto"/>
                      <w:kern w:val="0"/>
                      <w:szCs w:val="21"/>
                      <w:lang w:bidi="ar"/>
                    </w:rPr>
                    <w:t>件</w:t>
                  </w:r>
                  <w:r>
                    <w:rPr>
                      <w:b/>
                      <w:bCs/>
                      <w:color w:val="auto"/>
                      <w:kern w:val="0"/>
                      <w:szCs w:val="21"/>
                      <w:lang w:bidi="ar"/>
                    </w:rPr>
                    <w:t>/a）</w:t>
                  </w:r>
                </w:p>
              </w:tc>
              <w:tc>
                <w:tcPr>
                  <w:tcW w:w="513" w:type="pct"/>
                  <w:vAlign w:val="center"/>
                </w:tcPr>
                <w:p w14:paraId="3DCF5BBB">
                  <w:pPr>
                    <w:widowControl/>
                    <w:jc w:val="center"/>
                    <w:textAlignment w:val="center"/>
                    <w:rPr>
                      <w:b/>
                      <w:bCs/>
                      <w:color w:val="auto"/>
                      <w:szCs w:val="21"/>
                    </w:rPr>
                  </w:pPr>
                  <w:r>
                    <w:rPr>
                      <w:b/>
                      <w:bCs/>
                      <w:color w:val="auto"/>
                      <w:kern w:val="0"/>
                      <w:szCs w:val="21"/>
                      <w:lang w:bidi="ar"/>
                    </w:rPr>
                    <w:t>项目设计产能（</w:t>
                  </w:r>
                  <w:r>
                    <w:rPr>
                      <w:rFonts w:hint="eastAsia"/>
                      <w:b/>
                      <w:bCs/>
                      <w:color w:val="auto"/>
                      <w:kern w:val="0"/>
                      <w:szCs w:val="21"/>
                      <w:lang w:bidi="ar"/>
                    </w:rPr>
                    <w:t>件</w:t>
                  </w:r>
                  <w:r>
                    <w:rPr>
                      <w:b/>
                      <w:bCs/>
                      <w:color w:val="auto"/>
                      <w:kern w:val="0"/>
                      <w:szCs w:val="21"/>
                      <w:lang w:bidi="ar"/>
                    </w:rPr>
                    <w:t>/a）</w:t>
                  </w:r>
                </w:p>
              </w:tc>
              <w:tc>
                <w:tcPr>
                  <w:tcW w:w="351" w:type="pct"/>
                  <w:vAlign w:val="center"/>
                </w:tcPr>
                <w:p w14:paraId="56FEF152">
                  <w:pPr>
                    <w:widowControl/>
                    <w:jc w:val="center"/>
                    <w:textAlignment w:val="center"/>
                    <w:rPr>
                      <w:b/>
                      <w:bCs/>
                      <w:color w:val="auto"/>
                      <w:kern w:val="0"/>
                      <w:szCs w:val="21"/>
                      <w:lang w:bidi="ar"/>
                    </w:rPr>
                  </w:pPr>
                  <w:r>
                    <w:rPr>
                      <w:rFonts w:hint="eastAsia"/>
                      <w:b/>
                      <w:bCs/>
                      <w:color w:val="auto"/>
                      <w:kern w:val="0"/>
                      <w:szCs w:val="21"/>
                      <w:lang w:bidi="ar"/>
                    </w:rPr>
                    <w:t>设备利用率</w:t>
                  </w:r>
                </w:p>
              </w:tc>
            </w:tr>
            <w:tr w14:paraId="63E0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2" w:type="pct"/>
                  <w:vMerge w:val="restart"/>
                  <w:vAlign w:val="center"/>
                </w:tcPr>
                <w:p w14:paraId="035A449F">
                  <w:pPr>
                    <w:pStyle w:val="127"/>
                    <w:rPr>
                      <w:color w:val="auto"/>
                    </w:rPr>
                  </w:pPr>
                  <w:r>
                    <w:rPr>
                      <w:rFonts w:hint="eastAsia"/>
                      <w:color w:val="auto"/>
                    </w:rPr>
                    <w:t>喷粉</w:t>
                  </w:r>
                </w:p>
              </w:tc>
              <w:tc>
                <w:tcPr>
                  <w:tcW w:w="732" w:type="pct"/>
                  <w:vAlign w:val="center"/>
                </w:tcPr>
                <w:p w14:paraId="39073C5D">
                  <w:pPr>
                    <w:pStyle w:val="127"/>
                    <w:rPr>
                      <w:color w:val="auto"/>
                    </w:rPr>
                  </w:pPr>
                  <w:r>
                    <w:rPr>
                      <w:rFonts w:hint="eastAsia"/>
                      <w:color w:val="auto"/>
                    </w:rPr>
                    <w:t>自行车车架</w:t>
                  </w:r>
                </w:p>
              </w:tc>
              <w:tc>
                <w:tcPr>
                  <w:tcW w:w="488" w:type="pct"/>
                  <w:vMerge w:val="restart"/>
                  <w:vAlign w:val="center"/>
                </w:tcPr>
                <w:p w14:paraId="65A382E4">
                  <w:pPr>
                    <w:widowControl/>
                    <w:jc w:val="center"/>
                    <w:textAlignment w:val="center"/>
                    <w:rPr>
                      <w:color w:val="auto"/>
                      <w:szCs w:val="21"/>
                    </w:rPr>
                  </w:pPr>
                  <w:r>
                    <w:rPr>
                      <w:rFonts w:hint="eastAsia"/>
                      <w:color w:val="auto"/>
                      <w:szCs w:val="21"/>
                    </w:rPr>
                    <w:t>60</w:t>
                  </w:r>
                </w:p>
              </w:tc>
              <w:tc>
                <w:tcPr>
                  <w:tcW w:w="470" w:type="pct"/>
                  <w:vMerge w:val="restart"/>
                  <w:vAlign w:val="center"/>
                </w:tcPr>
                <w:p w14:paraId="4CE14D21">
                  <w:pPr>
                    <w:widowControl/>
                    <w:jc w:val="center"/>
                    <w:textAlignment w:val="center"/>
                    <w:rPr>
                      <w:color w:val="auto"/>
                      <w:szCs w:val="21"/>
                    </w:rPr>
                  </w:pPr>
                  <w:r>
                    <w:rPr>
                      <w:rFonts w:hint="eastAsia"/>
                      <w:color w:val="auto"/>
                      <w:szCs w:val="21"/>
                    </w:rPr>
                    <w:t>30</w:t>
                  </w:r>
                </w:p>
              </w:tc>
              <w:tc>
                <w:tcPr>
                  <w:tcW w:w="800" w:type="dxa"/>
                  <w:vAlign w:val="center"/>
                </w:tcPr>
                <w:p w14:paraId="7A58BED4">
                  <w:pPr>
                    <w:widowControl/>
                    <w:jc w:val="center"/>
                    <w:textAlignment w:val="center"/>
                    <w:rPr>
                      <w:color w:val="auto"/>
                      <w:szCs w:val="21"/>
                    </w:rPr>
                  </w:pPr>
                  <w:r>
                    <w:rPr>
                      <w:color w:val="auto"/>
                      <w:kern w:val="0"/>
                      <w:szCs w:val="21"/>
                      <w:lang w:bidi="ar"/>
                    </w:rPr>
                    <w:t>0.5</w:t>
                  </w:r>
                </w:p>
              </w:tc>
              <w:tc>
                <w:tcPr>
                  <w:tcW w:w="850" w:type="dxa"/>
                  <w:vAlign w:val="center"/>
                </w:tcPr>
                <w:p w14:paraId="399DD509">
                  <w:pPr>
                    <w:widowControl/>
                    <w:jc w:val="center"/>
                    <w:textAlignment w:val="center"/>
                    <w:rPr>
                      <w:color w:val="auto"/>
                      <w:szCs w:val="21"/>
                    </w:rPr>
                  </w:pPr>
                  <w:r>
                    <w:rPr>
                      <w:color w:val="auto"/>
                      <w:kern w:val="0"/>
                      <w:szCs w:val="21"/>
                      <w:lang w:bidi="ar"/>
                    </w:rPr>
                    <w:t>600</w:t>
                  </w:r>
                </w:p>
              </w:tc>
              <w:tc>
                <w:tcPr>
                  <w:tcW w:w="1060" w:type="dxa"/>
                  <w:vAlign w:val="center"/>
                </w:tcPr>
                <w:p w14:paraId="77028439">
                  <w:pPr>
                    <w:widowControl/>
                    <w:jc w:val="center"/>
                    <w:textAlignment w:val="center"/>
                    <w:rPr>
                      <w:color w:val="auto"/>
                      <w:szCs w:val="21"/>
                    </w:rPr>
                  </w:pPr>
                  <w:r>
                    <w:rPr>
                      <w:color w:val="auto"/>
                      <w:kern w:val="0"/>
                      <w:szCs w:val="21"/>
                      <w:lang w:bidi="ar"/>
                    </w:rPr>
                    <w:t>1</w:t>
                  </w:r>
                </w:p>
              </w:tc>
              <w:tc>
                <w:tcPr>
                  <w:tcW w:w="1060" w:type="dxa"/>
                  <w:vAlign w:val="center"/>
                </w:tcPr>
                <w:p w14:paraId="36976343">
                  <w:pPr>
                    <w:widowControl/>
                    <w:jc w:val="center"/>
                    <w:textAlignment w:val="center"/>
                    <w:rPr>
                      <w:color w:val="auto"/>
                      <w:szCs w:val="21"/>
                    </w:rPr>
                  </w:pPr>
                  <w:r>
                    <w:rPr>
                      <w:color w:val="auto"/>
                      <w:kern w:val="0"/>
                      <w:szCs w:val="21"/>
                      <w:lang w:bidi="ar"/>
                    </w:rPr>
                    <w:t>144000</w:t>
                  </w:r>
                </w:p>
              </w:tc>
              <w:tc>
                <w:tcPr>
                  <w:tcW w:w="940" w:type="dxa"/>
                  <w:vAlign w:val="center"/>
                </w:tcPr>
                <w:p w14:paraId="68C7D22F">
                  <w:pPr>
                    <w:widowControl/>
                    <w:jc w:val="center"/>
                    <w:textAlignment w:val="center"/>
                    <w:rPr>
                      <w:color w:val="auto"/>
                      <w:szCs w:val="21"/>
                    </w:rPr>
                  </w:pPr>
                  <w:r>
                    <w:rPr>
                      <w:color w:val="auto"/>
                      <w:kern w:val="0"/>
                      <w:szCs w:val="21"/>
                      <w:lang w:bidi="ar"/>
                    </w:rPr>
                    <w:t>90000</w:t>
                  </w:r>
                </w:p>
              </w:tc>
              <w:tc>
                <w:tcPr>
                  <w:tcW w:w="642" w:type="dxa"/>
                  <w:vAlign w:val="center"/>
                </w:tcPr>
                <w:p w14:paraId="54D754E7">
                  <w:pPr>
                    <w:widowControl/>
                    <w:jc w:val="center"/>
                    <w:textAlignment w:val="center"/>
                    <w:rPr>
                      <w:color w:val="auto"/>
                      <w:szCs w:val="21"/>
                    </w:rPr>
                  </w:pPr>
                  <w:r>
                    <w:rPr>
                      <w:color w:val="auto"/>
                      <w:kern w:val="0"/>
                      <w:szCs w:val="21"/>
                      <w:lang w:bidi="ar"/>
                    </w:rPr>
                    <w:t>63%</w:t>
                  </w:r>
                </w:p>
              </w:tc>
            </w:tr>
            <w:tr w14:paraId="6D2D4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382" w:type="pct"/>
                  <w:vMerge w:val="continue"/>
                  <w:vAlign w:val="center"/>
                </w:tcPr>
                <w:p w14:paraId="4874DB2B">
                  <w:pPr>
                    <w:pStyle w:val="127"/>
                    <w:rPr>
                      <w:color w:val="auto"/>
                    </w:rPr>
                  </w:pPr>
                </w:p>
              </w:tc>
              <w:tc>
                <w:tcPr>
                  <w:tcW w:w="732" w:type="pct"/>
                  <w:vAlign w:val="center"/>
                </w:tcPr>
                <w:p w14:paraId="4608CCF9">
                  <w:pPr>
                    <w:pStyle w:val="127"/>
                    <w:rPr>
                      <w:color w:val="auto"/>
                    </w:rPr>
                  </w:pPr>
                  <w:r>
                    <w:rPr>
                      <w:rFonts w:hint="eastAsia"/>
                      <w:color w:val="auto"/>
                    </w:rPr>
                    <w:t>电动助力车车架</w:t>
                  </w:r>
                </w:p>
              </w:tc>
              <w:tc>
                <w:tcPr>
                  <w:tcW w:w="488" w:type="pct"/>
                  <w:vMerge w:val="continue"/>
                  <w:vAlign w:val="center"/>
                </w:tcPr>
                <w:p w14:paraId="5AAC49D1">
                  <w:pPr>
                    <w:jc w:val="center"/>
                    <w:rPr>
                      <w:color w:val="auto"/>
                      <w:szCs w:val="21"/>
                    </w:rPr>
                  </w:pPr>
                </w:p>
              </w:tc>
              <w:tc>
                <w:tcPr>
                  <w:tcW w:w="470" w:type="pct"/>
                  <w:vMerge w:val="continue"/>
                  <w:vAlign w:val="center"/>
                </w:tcPr>
                <w:p w14:paraId="1E98BD35">
                  <w:pPr>
                    <w:jc w:val="center"/>
                    <w:rPr>
                      <w:color w:val="auto"/>
                      <w:szCs w:val="21"/>
                    </w:rPr>
                  </w:pPr>
                </w:p>
              </w:tc>
              <w:tc>
                <w:tcPr>
                  <w:tcW w:w="800" w:type="dxa"/>
                  <w:vAlign w:val="center"/>
                </w:tcPr>
                <w:p w14:paraId="649F4B68">
                  <w:pPr>
                    <w:widowControl/>
                    <w:jc w:val="center"/>
                    <w:textAlignment w:val="center"/>
                    <w:rPr>
                      <w:color w:val="auto"/>
                      <w:szCs w:val="21"/>
                    </w:rPr>
                  </w:pPr>
                  <w:r>
                    <w:rPr>
                      <w:color w:val="auto"/>
                      <w:kern w:val="0"/>
                      <w:szCs w:val="21"/>
                      <w:lang w:bidi="ar"/>
                    </w:rPr>
                    <w:t>0.5</w:t>
                  </w:r>
                </w:p>
              </w:tc>
              <w:tc>
                <w:tcPr>
                  <w:tcW w:w="850" w:type="dxa"/>
                  <w:vAlign w:val="center"/>
                </w:tcPr>
                <w:p w14:paraId="4E1CB49D">
                  <w:pPr>
                    <w:widowControl/>
                    <w:jc w:val="center"/>
                    <w:textAlignment w:val="center"/>
                    <w:rPr>
                      <w:color w:val="auto"/>
                      <w:szCs w:val="21"/>
                    </w:rPr>
                  </w:pPr>
                  <w:r>
                    <w:rPr>
                      <w:color w:val="auto"/>
                      <w:kern w:val="0"/>
                      <w:szCs w:val="21"/>
                      <w:lang w:bidi="ar"/>
                    </w:rPr>
                    <w:t>600</w:t>
                  </w:r>
                </w:p>
              </w:tc>
              <w:tc>
                <w:tcPr>
                  <w:tcW w:w="1060" w:type="dxa"/>
                  <w:vAlign w:val="center"/>
                </w:tcPr>
                <w:p w14:paraId="3E49D117">
                  <w:pPr>
                    <w:widowControl/>
                    <w:jc w:val="center"/>
                    <w:textAlignment w:val="center"/>
                    <w:rPr>
                      <w:color w:val="auto"/>
                      <w:szCs w:val="21"/>
                    </w:rPr>
                  </w:pPr>
                  <w:r>
                    <w:rPr>
                      <w:color w:val="auto"/>
                      <w:kern w:val="0"/>
                      <w:szCs w:val="21"/>
                      <w:lang w:bidi="ar"/>
                    </w:rPr>
                    <w:t>1</w:t>
                  </w:r>
                </w:p>
              </w:tc>
              <w:tc>
                <w:tcPr>
                  <w:tcW w:w="1060" w:type="dxa"/>
                  <w:vAlign w:val="center"/>
                </w:tcPr>
                <w:p w14:paraId="30E721F8">
                  <w:pPr>
                    <w:widowControl/>
                    <w:jc w:val="center"/>
                    <w:textAlignment w:val="center"/>
                    <w:rPr>
                      <w:color w:val="auto"/>
                      <w:szCs w:val="21"/>
                    </w:rPr>
                  </w:pPr>
                  <w:r>
                    <w:rPr>
                      <w:color w:val="auto"/>
                      <w:kern w:val="0"/>
                      <w:szCs w:val="21"/>
                      <w:lang w:bidi="ar"/>
                    </w:rPr>
                    <w:t>144000</w:t>
                  </w:r>
                </w:p>
              </w:tc>
              <w:tc>
                <w:tcPr>
                  <w:tcW w:w="940" w:type="dxa"/>
                  <w:noWrap/>
                  <w:vAlign w:val="center"/>
                </w:tcPr>
                <w:p w14:paraId="2E0EECEE">
                  <w:pPr>
                    <w:widowControl/>
                    <w:jc w:val="center"/>
                    <w:textAlignment w:val="center"/>
                    <w:rPr>
                      <w:color w:val="auto"/>
                      <w:szCs w:val="21"/>
                    </w:rPr>
                  </w:pPr>
                  <w:r>
                    <w:rPr>
                      <w:color w:val="auto"/>
                      <w:kern w:val="0"/>
                      <w:szCs w:val="21"/>
                      <w:lang w:bidi="ar"/>
                    </w:rPr>
                    <w:t>84000</w:t>
                  </w:r>
                </w:p>
              </w:tc>
              <w:tc>
                <w:tcPr>
                  <w:tcW w:w="642" w:type="dxa"/>
                  <w:noWrap/>
                  <w:vAlign w:val="center"/>
                </w:tcPr>
                <w:p w14:paraId="0DA42508">
                  <w:pPr>
                    <w:widowControl/>
                    <w:jc w:val="center"/>
                    <w:textAlignment w:val="center"/>
                    <w:rPr>
                      <w:color w:val="auto"/>
                      <w:szCs w:val="21"/>
                    </w:rPr>
                  </w:pPr>
                  <w:r>
                    <w:rPr>
                      <w:color w:val="auto"/>
                      <w:kern w:val="0"/>
                      <w:szCs w:val="21"/>
                      <w:lang w:bidi="ar"/>
                    </w:rPr>
                    <w:t>58%</w:t>
                  </w:r>
                </w:p>
              </w:tc>
            </w:tr>
            <w:tr w14:paraId="7CB91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82" w:type="pct"/>
                  <w:vMerge w:val="continue"/>
                  <w:vAlign w:val="center"/>
                </w:tcPr>
                <w:p w14:paraId="7D985220">
                  <w:pPr>
                    <w:jc w:val="center"/>
                    <w:rPr>
                      <w:color w:val="auto"/>
                      <w:szCs w:val="21"/>
                    </w:rPr>
                  </w:pPr>
                </w:p>
              </w:tc>
              <w:tc>
                <w:tcPr>
                  <w:tcW w:w="732" w:type="pct"/>
                  <w:vAlign w:val="center"/>
                </w:tcPr>
                <w:p w14:paraId="57939B5F">
                  <w:pPr>
                    <w:jc w:val="center"/>
                    <w:rPr>
                      <w:color w:val="auto"/>
                      <w:szCs w:val="21"/>
                    </w:rPr>
                  </w:pPr>
                  <w:r>
                    <w:rPr>
                      <w:rFonts w:hint="eastAsia"/>
                      <w:color w:val="auto"/>
                    </w:rPr>
                    <w:t>家私配件</w:t>
                  </w:r>
                </w:p>
              </w:tc>
              <w:tc>
                <w:tcPr>
                  <w:tcW w:w="488" w:type="pct"/>
                  <w:vMerge w:val="continue"/>
                  <w:vAlign w:val="center"/>
                </w:tcPr>
                <w:p w14:paraId="54BC6E31">
                  <w:pPr>
                    <w:jc w:val="center"/>
                    <w:rPr>
                      <w:color w:val="auto"/>
                      <w:szCs w:val="21"/>
                    </w:rPr>
                  </w:pPr>
                </w:p>
              </w:tc>
              <w:tc>
                <w:tcPr>
                  <w:tcW w:w="470" w:type="pct"/>
                  <w:vMerge w:val="continue"/>
                  <w:vAlign w:val="center"/>
                </w:tcPr>
                <w:p w14:paraId="5BDC301B">
                  <w:pPr>
                    <w:jc w:val="center"/>
                    <w:rPr>
                      <w:color w:val="auto"/>
                      <w:szCs w:val="21"/>
                    </w:rPr>
                  </w:pPr>
                </w:p>
              </w:tc>
              <w:tc>
                <w:tcPr>
                  <w:tcW w:w="800" w:type="dxa"/>
                  <w:vAlign w:val="center"/>
                </w:tcPr>
                <w:p w14:paraId="292E61A3">
                  <w:pPr>
                    <w:widowControl/>
                    <w:jc w:val="center"/>
                    <w:textAlignment w:val="center"/>
                    <w:rPr>
                      <w:color w:val="auto"/>
                      <w:szCs w:val="21"/>
                    </w:rPr>
                  </w:pPr>
                  <w:r>
                    <w:rPr>
                      <w:color w:val="auto"/>
                      <w:kern w:val="0"/>
                      <w:szCs w:val="21"/>
                      <w:lang w:bidi="ar"/>
                    </w:rPr>
                    <w:t>0.2</w:t>
                  </w:r>
                </w:p>
              </w:tc>
              <w:tc>
                <w:tcPr>
                  <w:tcW w:w="850" w:type="dxa"/>
                  <w:vAlign w:val="center"/>
                </w:tcPr>
                <w:p w14:paraId="73647E48">
                  <w:pPr>
                    <w:widowControl/>
                    <w:jc w:val="center"/>
                    <w:textAlignment w:val="center"/>
                    <w:rPr>
                      <w:color w:val="auto"/>
                      <w:szCs w:val="21"/>
                    </w:rPr>
                  </w:pPr>
                  <w:r>
                    <w:rPr>
                      <w:color w:val="auto"/>
                      <w:kern w:val="0"/>
                      <w:szCs w:val="21"/>
                      <w:lang w:bidi="ar"/>
                    </w:rPr>
                    <w:t>1800</w:t>
                  </w:r>
                </w:p>
              </w:tc>
              <w:tc>
                <w:tcPr>
                  <w:tcW w:w="1060" w:type="dxa"/>
                  <w:vAlign w:val="center"/>
                </w:tcPr>
                <w:p w14:paraId="714D88B7">
                  <w:pPr>
                    <w:widowControl/>
                    <w:jc w:val="center"/>
                    <w:textAlignment w:val="center"/>
                    <w:rPr>
                      <w:color w:val="auto"/>
                      <w:szCs w:val="21"/>
                    </w:rPr>
                  </w:pPr>
                  <w:r>
                    <w:rPr>
                      <w:color w:val="auto"/>
                      <w:kern w:val="0"/>
                      <w:szCs w:val="21"/>
                      <w:lang w:bidi="ar"/>
                    </w:rPr>
                    <w:t>1</w:t>
                  </w:r>
                </w:p>
              </w:tc>
              <w:tc>
                <w:tcPr>
                  <w:tcW w:w="1060" w:type="dxa"/>
                  <w:vAlign w:val="center"/>
                </w:tcPr>
                <w:p w14:paraId="4682B85C">
                  <w:pPr>
                    <w:widowControl/>
                    <w:jc w:val="center"/>
                    <w:textAlignment w:val="center"/>
                    <w:rPr>
                      <w:color w:val="auto"/>
                      <w:szCs w:val="21"/>
                    </w:rPr>
                  </w:pPr>
                  <w:r>
                    <w:rPr>
                      <w:color w:val="auto"/>
                      <w:kern w:val="0"/>
                      <w:szCs w:val="21"/>
                      <w:lang w:bidi="ar"/>
                    </w:rPr>
                    <w:t>135000</w:t>
                  </w:r>
                </w:p>
              </w:tc>
              <w:tc>
                <w:tcPr>
                  <w:tcW w:w="940" w:type="dxa"/>
                  <w:vAlign w:val="center"/>
                </w:tcPr>
                <w:p w14:paraId="1FE78035">
                  <w:pPr>
                    <w:widowControl/>
                    <w:jc w:val="center"/>
                    <w:textAlignment w:val="center"/>
                    <w:rPr>
                      <w:color w:val="auto"/>
                      <w:szCs w:val="21"/>
                    </w:rPr>
                  </w:pPr>
                  <w:r>
                    <w:rPr>
                      <w:color w:val="auto"/>
                      <w:kern w:val="0"/>
                      <w:szCs w:val="21"/>
                      <w:lang w:bidi="ar"/>
                    </w:rPr>
                    <w:t>84000</w:t>
                  </w:r>
                </w:p>
              </w:tc>
              <w:tc>
                <w:tcPr>
                  <w:tcW w:w="642" w:type="dxa"/>
                  <w:vAlign w:val="center"/>
                </w:tcPr>
                <w:p w14:paraId="0F2E427B">
                  <w:pPr>
                    <w:widowControl/>
                    <w:jc w:val="center"/>
                    <w:textAlignment w:val="center"/>
                    <w:rPr>
                      <w:color w:val="auto"/>
                      <w:szCs w:val="21"/>
                    </w:rPr>
                  </w:pPr>
                  <w:r>
                    <w:rPr>
                      <w:color w:val="auto"/>
                      <w:kern w:val="0"/>
                      <w:szCs w:val="21"/>
                      <w:lang w:bidi="ar"/>
                    </w:rPr>
                    <w:t>62%</w:t>
                  </w:r>
                </w:p>
              </w:tc>
            </w:tr>
            <w:tr w14:paraId="06C87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82" w:type="pct"/>
                  <w:vMerge w:val="restart"/>
                  <w:vAlign w:val="center"/>
                </w:tcPr>
                <w:p w14:paraId="63E4A94A">
                  <w:pPr>
                    <w:jc w:val="center"/>
                    <w:rPr>
                      <w:color w:val="auto"/>
                      <w:szCs w:val="21"/>
                    </w:rPr>
                  </w:pPr>
                  <w:r>
                    <w:rPr>
                      <w:rFonts w:hint="eastAsia"/>
                      <w:color w:val="auto"/>
                      <w:szCs w:val="21"/>
                    </w:rPr>
                    <w:t>喷底、面漆</w:t>
                  </w:r>
                </w:p>
              </w:tc>
              <w:tc>
                <w:tcPr>
                  <w:tcW w:w="732" w:type="pct"/>
                  <w:vAlign w:val="center"/>
                </w:tcPr>
                <w:p w14:paraId="563F6BE6">
                  <w:pPr>
                    <w:pStyle w:val="127"/>
                    <w:rPr>
                      <w:color w:val="auto"/>
                    </w:rPr>
                  </w:pPr>
                  <w:r>
                    <w:rPr>
                      <w:rFonts w:hint="eastAsia"/>
                      <w:color w:val="auto"/>
                    </w:rPr>
                    <w:t>自行车车架</w:t>
                  </w:r>
                </w:p>
              </w:tc>
              <w:tc>
                <w:tcPr>
                  <w:tcW w:w="488" w:type="pct"/>
                  <w:vMerge w:val="restart"/>
                  <w:vAlign w:val="center"/>
                </w:tcPr>
                <w:p w14:paraId="5A1B4599">
                  <w:pPr>
                    <w:jc w:val="center"/>
                    <w:rPr>
                      <w:color w:val="auto"/>
                      <w:szCs w:val="21"/>
                    </w:rPr>
                  </w:pPr>
                  <w:r>
                    <w:rPr>
                      <w:rFonts w:hint="eastAsia"/>
                      <w:color w:val="auto"/>
                      <w:szCs w:val="21"/>
                    </w:rPr>
                    <w:t>64</w:t>
                  </w:r>
                </w:p>
              </w:tc>
              <w:tc>
                <w:tcPr>
                  <w:tcW w:w="470" w:type="pct"/>
                  <w:vMerge w:val="restart"/>
                  <w:vAlign w:val="center"/>
                </w:tcPr>
                <w:p w14:paraId="6349DFC3">
                  <w:pPr>
                    <w:jc w:val="center"/>
                    <w:rPr>
                      <w:color w:val="auto"/>
                      <w:szCs w:val="21"/>
                    </w:rPr>
                  </w:pPr>
                  <w:r>
                    <w:rPr>
                      <w:rFonts w:hint="eastAsia"/>
                      <w:color w:val="auto"/>
                      <w:szCs w:val="21"/>
                    </w:rPr>
                    <w:t>45</w:t>
                  </w:r>
                </w:p>
              </w:tc>
              <w:tc>
                <w:tcPr>
                  <w:tcW w:w="800" w:type="dxa"/>
                  <w:vAlign w:val="center"/>
                </w:tcPr>
                <w:p w14:paraId="241A2C3C">
                  <w:pPr>
                    <w:widowControl/>
                    <w:jc w:val="center"/>
                    <w:textAlignment w:val="center"/>
                    <w:rPr>
                      <w:color w:val="auto"/>
                      <w:szCs w:val="21"/>
                    </w:rPr>
                  </w:pPr>
                  <w:r>
                    <w:rPr>
                      <w:color w:val="auto"/>
                      <w:kern w:val="0"/>
                      <w:szCs w:val="21"/>
                      <w:lang w:bidi="ar"/>
                    </w:rPr>
                    <w:t>0.5</w:t>
                  </w:r>
                </w:p>
              </w:tc>
              <w:tc>
                <w:tcPr>
                  <w:tcW w:w="850" w:type="dxa"/>
                  <w:vAlign w:val="center"/>
                </w:tcPr>
                <w:p w14:paraId="1B1FBEF5">
                  <w:pPr>
                    <w:widowControl/>
                    <w:jc w:val="center"/>
                    <w:textAlignment w:val="center"/>
                    <w:rPr>
                      <w:color w:val="auto"/>
                      <w:szCs w:val="21"/>
                    </w:rPr>
                  </w:pPr>
                  <w:r>
                    <w:rPr>
                      <w:color w:val="auto"/>
                      <w:kern w:val="0"/>
                      <w:szCs w:val="21"/>
                      <w:lang w:bidi="ar"/>
                    </w:rPr>
                    <w:t>500</w:t>
                  </w:r>
                </w:p>
              </w:tc>
              <w:tc>
                <w:tcPr>
                  <w:tcW w:w="1060" w:type="dxa"/>
                  <w:vAlign w:val="center"/>
                </w:tcPr>
                <w:p w14:paraId="2BED8995">
                  <w:pPr>
                    <w:widowControl/>
                    <w:jc w:val="center"/>
                    <w:textAlignment w:val="center"/>
                    <w:rPr>
                      <w:color w:val="auto"/>
                      <w:szCs w:val="21"/>
                    </w:rPr>
                  </w:pPr>
                  <w:r>
                    <w:rPr>
                      <w:color w:val="auto"/>
                      <w:kern w:val="0"/>
                      <w:szCs w:val="21"/>
                      <w:lang w:bidi="ar"/>
                    </w:rPr>
                    <w:t>1</w:t>
                  </w:r>
                </w:p>
              </w:tc>
              <w:tc>
                <w:tcPr>
                  <w:tcW w:w="1060" w:type="dxa"/>
                  <w:vAlign w:val="center"/>
                </w:tcPr>
                <w:p w14:paraId="52C3E508">
                  <w:pPr>
                    <w:widowControl/>
                    <w:jc w:val="center"/>
                    <w:textAlignment w:val="center"/>
                    <w:rPr>
                      <w:color w:val="auto"/>
                      <w:kern w:val="0"/>
                      <w:szCs w:val="21"/>
                      <w:lang w:bidi="ar"/>
                    </w:rPr>
                  </w:pPr>
                  <w:r>
                    <w:rPr>
                      <w:color w:val="auto"/>
                      <w:kern w:val="0"/>
                      <w:szCs w:val="21"/>
                      <w:lang w:bidi="ar"/>
                    </w:rPr>
                    <w:t xml:space="preserve">42667 </w:t>
                  </w:r>
                </w:p>
              </w:tc>
              <w:tc>
                <w:tcPr>
                  <w:tcW w:w="940" w:type="dxa"/>
                  <w:vAlign w:val="center"/>
                </w:tcPr>
                <w:p w14:paraId="40363DD2">
                  <w:pPr>
                    <w:widowControl/>
                    <w:jc w:val="center"/>
                    <w:textAlignment w:val="center"/>
                    <w:rPr>
                      <w:color w:val="auto"/>
                      <w:szCs w:val="21"/>
                    </w:rPr>
                  </w:pPr>
                  <w:r>
                    <w:rPr>
                      <w:color w:val="auto"/>
                      <w:kern w:val="0"/>
                      <w:szCs w:val="21"/>
                      <w:lang w:bidi="ar"/>
                    </w:rPr>
                    <w:t>36000</w:t>
                  </w:r>
                </w:p>
              </w:tc>
              <w:tc>
                <w:tcPr>
                  <w:tcW w:w="642" w:type="dxa"/>
                  <w:vAlign w:val="center"/>
                </w:tcPr>
                <w:p w14:paraId="7BEE79ED">
                  <w:pPr>
                    <w:widowControl/>
                    <w:jc w:val="center"/>
                    <w:textAlignment w:val="center"/>
                    <w:rPr>
                      <w:color w:val="auto"/>
                      <w:szCs w:val="21"/>
                    </w:rPr>
                  </w:pPr>
                  <w:r>
                    <w:rPr>
                      <w:color w:val="auto"/>
                      <w:kern w:val="0"/>
                      <w:szCs w:val="21"/>
                      <w:lang w:bidi="ar"/>
                    </w:rPr>
                    <w:t>84%</w:t>
                  </w:r>
                </w:p>
              </w:tc>
            </w:tr>
            <w:tr w14:paraId="07055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82" w:type="pct"/>
                  <w:vMerge w:val="continue"/>
                  <w:vAlign w:val="center"/>
                </w:tcPr>
                <w:p w14:paraId="5332F8AF">
                  <w:pPr>
                    <w:jc w:val="center"/>
                    <w:rPr>
                      <w:color w:val="auto"/>
                      <w:szCs w:val="21"/>
                    </w:rPr>
                  </w:pPr>
                </w:p>
              </w:tc>
              <w:tc>
                <w:tcPr>
                  <w:tcW w:w="732" w:type="pct"/>
                  <w:vAlign w:val="center"/>
                </w:tcPr>
                <w:p w14:paraId="657B27BD">
                  <w:pPr>
                    <w:pStyle w:val="127"/>
                    <w:rPr>
                      <w:color w:val="auto"/>
                    </w:rPr>
                  </w:pPr>
                  <w:r>
                    <w:rPr>
                      <w:rFonts w:hint="eastAsia"/>
                      <w:color w:val="auto"/>
                    </w:rPr>
                    <w:t>电动助力车车架</w:t>
                  </w:r>
                </w:p>
              </w:tc>
              <w:tc>
                <w:tcPr>
                  <w:tcW w:w="488" w:type="pct"/>
                  <w:vMerge w:val="continue"/>
                  <w:vAlign w:val="center"/>
                </w:tcPr>
                <w:p w14:paraId="40B07984">
                  <w:pPr>
                    <w:jc w:val="center"/>
                    <w:rPr>
                      <w:color w:val="auto"/>
                      <w:szCs w:val="21"/>
                    </w:rPr>
                  </w:pPr>
                </w:p>
              </w:tc>
              <w:tc>
                <w:tcPr>
                  <w:tcW w:w="470" w:type="pct"/>
                  <w:vMerge w:val="continue"/>
                  <w:vAlign w:val="center"/>
                </w:tcPr>
                <w:p w14:paraId="4D32A075">
                  <w:pPr>
                    <w:jc w:val="center"/>
                    <w:rPr>
                      <w:color w:val="auto"/>
                      <w:szCs w:val="21"/>
                    </w:rPr>
                  </w:pPr>
                </w:p>
              </w:tc>
              <w:tc>
                <w:tcPr>
                  <w:tcW w:w="800" w:type="dxa"/>
                  <w:vAlign w:val="center"/>
                </w:tcPr>
                <w:p w14:paraId="2A428ABD">
                  <w:pPr>
                    <w:widowControl/>
                    <w:jc w:val="center"/>
                    <w:textAlignment w:val="center"/>
                    <w:rPr>
                      <w:color w:val="auto"/>
                      <w:szCs w:val="21"/>
                    </w:rPr>
                  </w:pPr>
                  <w:r>
                    <w:rPr>
                      <w:color w:val="auto"/>
                      <w:kern w:val="0"/>
                      <w:szCs w:val="21"/>
                      <w:lang w:bidi="ar"/>
                    </w:rPr>
                    <w:t>0.5</w:t>
                  </w:r>
                </w:p>
              </w:tc>
              <w:tc>
                <w:tcPr>
                  <w:tcW w:w="850" w:type="dxa"/>
                  <w:vAlign w:val="center"/>
                </w:tcPr>
                <w:p w14:paraId="55D12D28">
                  <w:pPr>
                    <w:widowControl/>
                    <w:jc w:val="center"/>
                    <w:textAlignment w:val="center"/>
                    <w:rPr>
                      <w:color w:val="auto"/>
                      <w:szCs w:val="21"/>
                    </w:rPr>
                  </w:pPr>
                  <w:r>
                    <w:rPr>
                      <w:color w:val="auto"/>
                      <w:kern w:val="0"/>
                      <w:szCs w:val="21"/>
                      <w:lang w:bidi="ar"/>
                    </w:rPr>
                    <w:t>500</w:t>
                  </w:r>
                </w:p>
              </w:tc>
              <w:tc>
                <w:tcPr>
                  <w:tcW w:w="1060" w:type="dxa"/>
                  <w:vAlign w:val="center"/>
                </w:tcPr>
                <w:p w14:paraId="54BE2FB9">
                  <w:pPr>
                    <w:widowControl/>
                    <w:jc w:val="center"/>
                    <w:textAlignment w:val="center"/>
                    <w:rPr>
                      <w:color w:val="auto"/>
                      <w:szCs w:val="21"/>
                    </w:rPr>
                  </w:pPr>
                  <w:r>
                    <w:rPr>
                      <w:color w:val="auto"/>
                      <w:kern w:val="0"/>
                      <w:szCs w:val="21"/>
                      <w:lang w:bidi="ar"/>
                    </w:rPr>
                    <w:t>1</w:t>
                  </w:r>
                </w:p>
              </w:tc>
              <w:tc>
                <w:tcPr>
                  <w:tcW w:w="1060" w:type="dxa"/>
                  <w:vAlign w:val="center"/>
                </w:tcPr>
                <w:p w14:paraId="1F399E08">
                  <w:pPr>
                    <w:widowControl/>
                    <w:jc w:val="center"/>
                    <w:textAlignment w:val="center"/>
                    <w:rPr>
                      <w:color w:val="auto"/>
                      <w:kern w:val="0"/>
                      <w:szCs w:val="21"/>
                      <w:lang w:bidi="ar"/>
                    </w:rPr>
                  </w:pPr>
                  <w:r>
                    <w:rPr>
                      <w:color w:val="auto"/>
                      <w:kern w:val="0"/>
                      <w:szCs w:val="21"/>
                      <w:lang w:bidi="ar"/>
                    </w:rPr>
                    <w:t xml:space="preserve">42667 </w:t>
                  </w:r>
                </w:p>
              </w:tc>
              <w:tc>
                <w:tcPr>
                  <w:tcW w:w="940" w:type="dxa"/>
                  <w:vAlign w:val="center"/>
                </w:tcPr>
                <w:p w14:paraId="007059E0">
                  <w:pPr>
                    <w:widowControl/>
                    <w:jc w:val="center"/>
                    <w:textAlignment w:val="center"/>
                    <w:rPr>
                      <w:color w:val="auto"/>
                      <w:szCs w:val="21"/>
                    </w:rPr>
                  </w:pPr>
                  <w:r>
                    <w:rPr>
                      <w:color w:val="auto"/>
                      <w:kern w:val="0"/>
                      <w:szCs w:val="21"/>
                      <w:lang w:bidi="ar"/>
                    </w:rPr>
                    <w:t>36000</w:t>
                  </w:r>
                </w:p>
              </w:tc>
              <w:tc>
                <w:tcPr>
                  <w:tcW w:w="642" w:type="dxa"/>
                  <w:vAlign w:val="center"/>
                </w:tcPr>
                <w:p w14:paraId="713485FE">
                  <w:pPr>
                    <w:widowControl/>
                    <w:jc w:val="center"/>
                    <w:textAlignment w:val="center"/>
                    <w:rPr>
                      <w:color w:val="auto"/>
                      <w:szCs w:val="21"/>
                    </w:rPr>
                  </w:pPr>
                  <w:r>
                    <w:rPr>
                      <w:color w:val="auto"/>
                      <w:kern w:val="0"/>
                      <w:szCs w:val="21"/>
                      <w:lang w:bidi="ar"/>
                    </w:rPr>
                    <w:t>84%</w:t>
                  </w:r>
                </w:p>
              </w:tc>
            </w:tr>
            <w:tr w14:paraId="50FBF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82" w:type="pct"/>
                  <w:vMerge w:val="continue"/>
                  <w:vAlign w:val="center"/>
                </w:tcPr>
                <w:p w14:paraId="7279B9A0">
                  <w:pPr>
                    <w:jc w:val="center"/>
                    <w:rPr>
                      <w:color w:val="auto"/>
                      <w:szCs w:val="21"/>
                    </w:rPr>
                  </w:pPr>
                </w:p>
              </w:tc>
              <w:tc>
                <w:tcPr>
                  <w:tcW w:w="732" w:type="pct"/>
                  <w:vAlign w:val="center"/>
                </w:tcPr>
                <w:p w14:paraId="42D31314">
                  <w:pPr>
                    <w:jc w:val="center"/>
                    <w:rPr>
                      <w:color w:val="auto"/>
                      <w:szCs w:val="21"/>
                    </w:rPr>
                  </w:pPr>
                  <w:r>
                    <w:rPr>
                      <w:rFonts w:hint="eastAsia"/>
                      <w:color w:val="auto"/>
                    </w:rPr>
                    <w:t>家私配件</w:t>
                  </w:r>
                </w:p>
              </w:tc>
              <w:tc>
                <w:tcPr>
                  <w:tcW w:w="488" w:type="pct"/>
                  <w:vMerge w:val="continue"/>
                  <w:vAlign w:val="center"/>
                </w:tcPr>
                <w:p w14:paraId="368FCC18">
                  <w:pPr>
                    <w:jc w:val="center"/>
                    <w:rPr>
                      <w:color w:val="auto"/>
                      <w:szCs w:val="21"/>
                    </w:rPr>
                  </w:pPr>
                </w:p>
              </w:tc>
              <w:tc>
                <w:tcPr>
                  <w:tcW w:w="470" w:type="pct"/>
                  <w:vMerge w:val="continue"/>
                  <w:vAlign w:val="center"/>
                </w:tcPr>
                <w:p w14:paraId="459588CA">
                  <w:pPr>
                    <w:jc w:val="center"/>
                    <w:rPr>
                      <w:color w:val="auto"/>
                      <w:szCs w:val="21"/>
                    </w:rPr>
                  </w:pPr>
                </w:p>
              </w:tc>
              <w:tc>
                <w:tcPr>
                  <w:tcW w:w="800" w:type="dxa"/>
                  <w:vAlign w:val="center"/>
                </w:tcPr>
                <w:p w14:paraId="14AD7F95">
                  <w:pPr>
                    <w:widowControl/>
                    <w:jc w:val="center"/>
                    <w:textAlignment w:val="center"/>
                    <w:rPr>
                      <w:color w:val="auto"/>
                      <w:szCs w:val="21"/>
                    </w:rPr>
                  </w:pPr>
                  <w:r>
                    <w:rPr>
                      <w:color w:val="auto"/>
                      <w:kern w:val="0"/>
                      <w:szCs w:val="21"/>
                      <w:lang w:bidi="ar"/>
                    </w:rPr>
                    <w:t>0.3</w:t>
                  </w:r>
                </w:p>
              </w:tc>
              <w:tc>
                <w:tcPr>
                  <w:tcW w:w="850" w:type="dxa"/>
                  <w:vAlign w:val="center"/>
                </w:tcPr>
                <w:p w14:paraId="5F043492">
                  <w:pPr>
                    <w:widowControl/>
                    <w:jc w:val="center"/>
                    <w:textAlignment w:val="center"/>
                    <w:rPr>
                      <w:color w:val="auto"/>
                      <w:szCs w:val="21"/>
                    </w:rPr>
                  </w:pPr>
                  <w:r>
                    <w:rPr>
                      <w:color w:val="auto"/>
                      <w:kern w:val="0"/>
                      <w:szCs w:val="21"/>
                      <w:lang w:bidi="ar"/>
                    </w:rPr>
                    <w:t>2000</w:t>
                  </w:r>
                </w:p>
              </w:tc>
              <w:tc>
                <w:tcPr>
                  <w:tcW w:w="1060" w:type="dxa"/>
                  <w:vAlign w:val="center"/>
                </w:tcPr>
                <w:p w14:paraId="3F619CC8">
                  <w:pPr>
                    <w:widowControl/>
                    <w:jc w:val="center"/>
                    <w:textAlignment w:val="center"/>
                    <w:rPr>
                      <w:color w:val="auto"/>
                      <w:szCs w:val="21"/>
                    </w:rPr>
                  </w:pPr>
                  <w:r>
                    <w:rPr>
                      <w:color w:val="auto"/>
                      <w:kern w:val="0"/>
                      <w:szCs w:val="21"/>
                      <w:lang w:bidi="ar"/>
                    </w:rPr>
                    <w:t>2</w:t>
                  </w:r>
                </w:p>
              </w:tc>
              <w:tc>
                <w:tcPr>
                  <w:tcW w:w="1060" w:type="dxa"/>
                  <w:vAlign w:val="center"/>
                </w:tcPr>
                <w:p w14:paraId="1EC87309">
                  <w:pPr>
                    <w:widowControl/>
                    <w:jc w:val="center"/>
                    <w:textAlignment w:val="center"/>
                    <w:rPr>
                      <w:color w:val="auto"/>
                      <w:kern w:val="0"/>
                      <w:szCs w:val="21"/>
                      <w:lang w:bidi="ar"/>
                    </w:rPr>
                  </w:pPr>
                  <w:r>
                    <w:rPr>
                      <w:color w:val="auto"/>
                      <w:kern w:val="0"/>
                      <w:szCs w:val="21"/>
                      <w:lang w:bidi="ar"/>
                    </w:rPr>
                    <w:t xml:space="preserve">40635 </w:t>
                  </w:r>
                </w:p>
              </w:tc>
              <w:tc>
                <w:tcPr>
                  <w:tcW w:w="940" w:type="dxa"/>
                  <w:vAlign w:val="center"/>
                </w:tcPr>
                <w:p w14:paraId="0AF1D399">
                  <w:pPr>
                    <w:widowControl/>
                    <w:jc w:val="center"/>
                    <w:textAlignment w:val="center"/>
                    <w:rPr>
                      <w:color w:val="auto"/>
                      <w:szCs w:val="21"/>
                    </w:rPr>
                  </w:pPr>
                  <w:r>
                    <w:rPr>
                      <w:color w:val="auto"/>
                      <w:kern w:val="0"/>
                      <w:szCs w:val="21"/>
                      <w:lang w:bidi="ar"/>
                    </w:rPr>
                    <w:t>30000</w:t>
                  </w:r>
                </w:p>
              </w:tc>
              <w:tc>
                <w:tcPr>
                  <w:tcW w:w="642" w:type="dxa"/>
                  <w:vAlign w:val="center"/>
                </w:tcPr>
                <w:p w14:paraId="7A4F5850">
                  <w:pPr>
                    <w:widowControl/>
                    <w:jc w:val="center"/>
                    <w:textAlignment w:val="center"/>
                    <w:rPr>
                      <w:color w:val="auto"/>
                      <w:szCs w:val="21"/>
                    </w:rPr>
                  </w:pPr>
                  <w:r>
                    <w:rPr>
                      <w:color w:val="auto"/>
                      <w:kern w:val="0"/>
                      <w:szCs w:val="21"/>
                      <w:lang w:bidi="ar"/>
                    </w:rPr>
                    <w:t>74%</w:t>
                  </w:r>
                </w:p>
              </w:tc>
            </w:tr>
            <w:tr w14:paraId="23638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82" w:type="pct"/>
                  <w:vMerge w:val="restart"/>
                  <w:vAlign w:val="center"/>
                </w:tcPr>
                <w:p w14:paraId="6E27F5FF">
                  <w:pPr>
                    <w:jc w:val="center"/>
                    <w:rPr>
                      <w:color w:val="auto"/>
                      <w:szCs w:val="21"/>
                    </w:rPr>
                  </w:pPr>
                  <w:r>
                    <w:rPr>
                      <w:rFonts w:hint="eastAsia"/>
                      <w:color w:val="auto"/>
                      <w:szCs w:val="21"/>
                    </w:rPr>
                    <w:t>喷清漆</w:t>
                  </w:r>
                </w:p>
              </w:tc>
              <w:tc>
                <w:tcPr>
                  <w:tcW w:w="732" w:type="pct"/>
                  <w:vAlign w:val="center"/>
                </w:tcPr>
                <w:p w14:paraId="0E1537C4">
                  <w:pPr>
                    <w:pStyle w:val="127"/>
                    <w:rPr>
                      <w:color w:val="auto"/>
                    </w:rPr>
                  </w:pPr>
                  <w:r>
                    <w:rPr>
                      <w:rFonts w:hint="eastAsia"/>
                      <w:color w:val="auto"/>
                    </w:rPr>
                    <w:t>自行车车架</w:t>
                  </w:r>
                </w:p>
              </w:tc>
              <w:tc>
                <w:tcPr>
                  <w:tcW w:w="488" w:type="pct"/>
                  <w:vMerge w:val="restart"/>
                  <w:vAlign w:val="center"/>
                </w:tcPr>
                <w:p w14:paraId="5F09250E">
                  <w:pPr>
                    <w:jc w:val="center"/>
                    <w:rPr>
                      <w:color w:val="auto"/>
                      <w:szCs w:val="21"/>
                    </w:rPr>
                  </w:pPr>
                  <w:r>
                    <w:rPr>
                      <w:rFonts w:hint="eastAsia"/>
                      <w:color w:val="auto"/>
                      <w:szCs w:val="21"/>
                    </w:rPr>
                    <w:t>64</w:t>
                  </w:r>
                </w:p>
              </w:tc>
              <w:tc>
                <w:tcPr>
                  <w:tcW w:w="470" w:type="pct"/>
                  <w:vMerge w:val="restart"/>
                  <w:vAlign w:val="center"/>
                </w:tcPr>
                <w:p w14:paraId="7CDF7588">
                  <w:pPr>
                    <w:jc w:val="center"/>
                    <w:rPr>
                      <w:color w:val="auto"/>
                      <w:szCs w:val="21"/>
                    </w:rPr>
                  </w:pPr>
                  <w:r>
                    <w:rPr>
                      <w:rFonts w:hint="eastAsia"/>
                      <w:color w:val="auto"/>
                      <w:szCs w:val="21"/>
                    </w:rPr>
                    <w:t>45</w:t>
                  </w:r>
                </w:p>
              </w:tc>
              <w:tc>
                <w:tcPr>
                  <w:tcW w:w="800" w:type="dxa"/>
                  <w:vAlign w:val="center"/>
                </w:tcPr>
                <w:p w14:paraId="23ACCE61">
                  <w:pPr>
                    <w:widowControl/>
                    <w:jc w:val="center"/>
                    <w:textAlignment w:val="center"/>
                    <w:rPr>
                      <w:color w:val="auto"/>
                      <w:szCs w:val="21"/>
                    </w:rPr>
                  </w:pPr>
                  <w:r>
                    <w:rPr>
                      <w:color w:val="auto"/>
                      <w:kern w:val="0"/>
                      <w:szCs w:val="21"/>
                      <w:lang w:bidi="ar"/>
                    </w:rPr>
                    <w:t>0.5</w:t>
                  </w:r>
                </w:p>
              </w:tc>
              <w:tc>
                <w:tcPr>
                  <w:tcW w:w="850" w:type="dxa"/>
                  <w:vAlign w:val="center"/>
                </w:tcPr>
                <w:p w14:paraId="37762F56">
                  <w:pPr>
                    <w:widowControl/>
                    <w:jc w:val="center"/>
                    <w:textAlignment w:val="center"/>
                    <w:rPr>
                      <w:color w:val="auto"/>
                      <w:szCs w:val="21"/>
                    </w:rPr>
                  </w:pPr>
                  <w:r>
                    <w:rPr>
                      <w:color w:val="auto"/>
                      <w:kern w:val="0"/>
                      <w:szCs w:val="21"/>
                      <w:lang w:bidi="ar"/>
                    </w:rPr>
                    <w:t>500</w:t>
                  </w:r>
                </w:p>
              </w:tc>
              <w:tc>
                <w:tcPr>
                  <w:tcW w:w="1060" w:type="dxa"/>
                  <w:vAlign w:val="center"/>
                </w:tcPr>
                <w:p w14:paraId="4C02D6C0">
                  <w:pPr>
                    <w:widowControl/>
                    <w:jc w:val="center"/>
                    <w:textAlignment w:val="center"/>
                    <w:rPr>
                      <w:color w:val="auto"/>
                      <w:szCs w:val="21"/>
                    </w:rPr>
                  </w:pPr>
                  <w:r>
                    <w:rPr>
                      <w:color w:val="auto"/>
                      <w:kern w:val="0"/>
                      <w:szCs w:val="21"/>
                      <w:lang w:bidi="ar"/>
                    </w:rPr>
                    <w:t>1</w:t>
                  </w:r>
                </w:p>
              </w:tc>
              <w:tc>
                <w:tcPr>
                  <w:tcW w:w="1060" w:type="dxa"/>
                  <w:vAlign w:val="center"/>
                </w:tcPr>
                <w:p w14:paraId="23F55BCB">
                  <w:pPr>
                    <w:widowControl/>
                    <w:jc w:val="center"/>
                    <w:textAlignment w:val="center"/>
                    <w:rPr>
                      <w:color w:val="auto"/>
                      <w:kern w:val="0"/>
                      <w:szCs w:val="21"/>
                      <w:lang w:bidi="ar"/>
                    </w:rPr>
                  </w:pPr>
                  <w:r>
                    <w:rPr>
                      <w:color w:val="auto"/>
                      <w:kern w:val="0"/>
                      <w:szCs w:val="21"/>
                      <w:lang w:bidi="ar"/>
                    </w:rPr>
                    <w:t xml:space="preserve">85333 </w:t>
                  </w:r>
                </w:p>
              </w:tc>
              <w:tc>
                <w:tcPr>
                  <w:tcW w:w="940" w:type="dxa"/>
                  <w:vAlign w:val="center"/>
                </w:tcPr>
                <w:p w14:paraId="16CF3EA2">
                  <w:pPr>
                    <w:widowControl/>
                    <w:jc w:val="center"/>
                    <w:textAlignment w:val="center"/>
                    <w:rPr>
                      <w:color w:val="auto"/>
                      <w:szCs w:val="21"/>
                    </w:rPr>
                  </w:pPr>
                  <w:r>
                    <w:rPr>
                      <w:color w:val="auto"/>
                      <w:kern w:val="0"/>
                      <w:szCs w:val="21"/>
                      <w:lang w:bidi="ar"/>
                    </w:rPr>
                    <w:t>36000</w:t>
                  </w:r>
                </w:p>
              </w:tc>
              <w:tc>
                <w:tcPr>
                  <w:tcW w:w="642" w:type="dxa"/>
                  <w:vAlign w:val="center"/>
                </w:tcPr>
                <w:p w14:paraId="27A2960F">
                  <w:pPr>
                    <w:widowControl/>
                    <w:jc w:val="center"/>
                    <w:textAlignment w:val="center"/>
                    <w:rPr>
                      <w:color w:val="auto"/>
                      <w:szCs w:val="21"/>
                    </w:rPr>
                  </w:pPr>
                  <w:r>
                    <w:rPr>
                      <w:color w:val="auto"/>
                      <w:kern w:val="0"/>
                      <w:szCs w:val="21"/>
                      <w:lang w:bidi="ar"/>
                    </w:rPr>
                    <w:t>42%</w:t>
                  </w:r>
                </w:p>
              </w:tc>
            </w:tr>
            <w:tr w14:paraId="1073F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82" w:type="pct"/>
                  <w:vMerge w:val="continue"/>
                  <w:vAlign w:val="center"/>
                </w:tcPr>
                <w:p w14:paraId="3B99471F">
                  <w:pPr>
                    <w:jc w:val="center"/>
                    <w:rPr>
                      <w:color w:val="auto"/>
                      <w:szCs w:val="21"/>
                    </w:rPr>
                  </w:pPr>
                </w:p>
              </w:tc>
              <w:tc>
                <w:tcPr>
                  <w:tcW w:w="732" w:type="pct"/>
                  <w:vAlign w:val="center"/>
                </w:tcPr>
                <w:p w14:paraId="024A380C">
                  <w:pPr>
                    <w:pStyle w:val="127"/>
                    <w:rPr>
                      <w:color w:val="auto"/>
                    </w:rPr>
                  </w:pPr>
                  <w:r>
                    <w:rPr>
                      <w:rFonts w:hint="eastAsia"/>
                      <w:color w:val="auto"/>
                    </w:rPr>
                    <w:t>电动助力车车架</w:t>
                  </w:r>
                </w:p>
              </w:tc>
              <w:tc>
                <w:tcPr>
                  <w:tcW w:w="488" w:type="pct"/>
                  <w:vMerge w:val="continue"/>
                  <w:vAlign w:val="center"/>
                </w:tcPr>
                <w:p w14:paraId="7454D848">
                  <w:pPr>
                    <w:jc w:val="center"/>
                    <w:rPr>
                      <w:color w:val="auto"/>
                      <w:szCs w:val="21"/>
                    </w:rPr>
                  </w:pPr>
                </w:p>
              </w:tc>
              <w:tc>
                <w:tcPr>
                  <w:tcW w:w="470" w:type="pct"/>
                  <w:vMerge w:val="continue"/>
                  <w:vAlign w:val="center"/>
                </w:tcPr>
                <w:p w14:paraId="75FA3DA3">
                  <w:pPr>
                    <w:jc w:val="center"/>
                    <w:rPr>
                      <w:color w:val="auto"/>
                      <w:szCs w:val="21"/>
                    </w:rPr>
                  </w:pPr>
                </w:p>
              </w:tc>
              <w:tc>
                <w:tcPr>
                  <w:tcW w:w="800" w:type="dxa"/>
                  <w:vAlign w:val="center"/>
                </w:tcPr>
                <w:p w14:paraId="1C1B9452">
                  <w:pPr>
                    <w:widowControl/>
                    <w:jc w:val="center"/>
                    <w:textAlignment w:val="center"/>
                    <w:rPr>
                      <w:color w:val="auto"/>
                      <w:szCs w:val="21"/>
                    </w:rPr>
                  </w:pPr>
                  <w:r>
                    <w:rPr>
                      <w:color w:val="auto"/>
                      <w:kern w:val="0"/>
                      <w:szCs w:val="21"/>
                      <w:lang w:bidi="ar"/>
                    </w:rPr>
                    <w:t>0.5</w:t>
                  </w:r>
                </w:p>
              </w:tc>
              <w:tc>
                <w:tcPr>
                  <w:tcW w:w="850" w:type="dxa"/>
                  <w:vAlign w:val="center"/>
                </w:tcPr>
                <w:p w14:paraId="6915DC3D">
                  <w:pPr>
                    <w:widowControl/>
                    <w:jc w:val="center"/>
                    <w:textAlignment w:val="center"/>
                    <w:rPr>
                      <w:color w:val="auto"/>
                      <w:szCs w:val="21"/>
                    </w:rPr>
                  </w:pPr>
                  <w:r>
                    <w:rPr>
                      <w:color w:val="auto"/>
                      <w:kern w:val="0"/>
                      <w:szCs w:val="21"/>
                      <w:lang w:bidi="ar"/>
                    </w:rPr>
                    <w:t>500</w:t>
                  </w:r>
                </w:p>
              </w:tc>
              <w:tc>
                <w:tcPr>
                  <w:tcW w:w="1060" w:type="dxa"/>
                  <w:vAlign w:val="center"/>
                </w:tcPr>
                <w:p w14:paraId="06AEF0D2">
                  <w:pPr>
                    <w:widowControl/>
                    <w:jc w:val="center"/>
                    <w:textAlignment w:val="center"/>
                    <w:rPr>
                      <w:color w:val="auto"/>
                      <w:szCs w:val="21"/>
                    </w:rPr>
                  </w:pPr>
                  <w:r>
                    <w:rPr>
                      <w:color w:val="auto"/>
                      <w:kern w:val="0"/>
                      <w:szCs w:val="21"/>
                      <w:lang w:bidi="ar"/>
                    </w:rPr>
                    <w:t>1</w:t>
                  </w:r>
                </w:p>
              </w:tc>
              <w:tc>
                <w:tcPr>
                  <w:tcW w:w="1060" w:type="dxa"/>
                  <w:vAlign w:val="center"/>
                </w:tcPr>
                <w:p w14:paraId="005967E8">
                  <w:pPr>
                    <w:widowControl/>
                    <w:jc w:val="center"/>
                    <w:textAlignment w:val="center"/>
                    <w:rPr>
                      <w:color w:val="auto"/>
                      <w:kern w:val="0"/>
                      <w:szCs w:val="21"/>
                      <w:lang w:bidi="ar"/>
                    </w:rPr>
                  </w:pPr>
                  <w:r>
                    <w:rPr>
                      <w:color w:val="auto"/>
                      <w:kern w:val="0"/>
                      <w:szCs w:val="21"/>
                      <w:lang w:bidi="ar"/>
                    </w:rPr>
                    <w:t xml:space="preserve">85333 </w:t>
                  </w:r>
                </w:p>
              </w:tc>
              <w:tc>
                <w:tcPr>
                  <w:tcW w:w="940" w:type="dxa"/>
                  <w:vAlign w:val="center"/>
                </w:tcPr>
                <w:p w14:paraId="00F3EAEE">
                  <w:pPr>
                    <w:widowControl/>
                    <w:jc w:val="center"/>
                    <w:textAlignment w:val="center"/>
                    <w:rPr>
                      <w:color w:val="auto"/>
                      <w:szCs w:val="21"/>
                    </w:rPr>
                  </w:pPr>
                  <w:r>
                    <w:rPr>
                      <w:color w:val="auto"/>
                      <w:kern w:val="0"/>
                      <w:szCs w:val="21"/>
                      <w:lang w:bidi="ar"/>
                    </w:rPr>
                    <w:t>36000</w:t>
                  </w:r>
                </w:p>
              </w:tc>
              <w:tc>
                <w:tcPr>
                  <w:tcW w:w="642" w:type="dxa"/>
                  <w:vAlign w:val="center"/>
                </w:tcPr>
                <w:p w14:paraId="2888500E">
                  <w:pPr>
                    <w:widowControl/>
                    <w:jc w:val="center"/>
                    <w:textAlignment w:val="center"/>
                    <w:rPr>
                      <w:color w:val="auto"/>
                      <w:szCs w:val="21"/>
                    </w:rPr>
                  </w:pPr>
                  <w:r>
                    <w:rPr>
                      <w:color w:val="auto"/>
                      <w:kern w:val="0"/>
                      <w:szCs w:val="21"/>
                      <w:lang w:bidi="ar"/>
                    </w:rPr>
                    <w:t>42%</w:t>
                  </w:r>
                </w:p>
              </w:tc>
            </w:tr>
            <w:tr w14:paraId="39FA5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82" w:type="pct"/>
                  <w:vMerge w:val="continue"/>
                  <w:vAlign w:val="center"/>
                </w:tcPr>
                <w:p w14:paraId="4BA3C82E">
                  <w:pPr>
                    <w:jc w:val="center"/>
                    <w:rPr>
                      <w:color w:val="auto"/>
                      <w:szCs w:val="21"/>
                    </w:rPr>
                  </w:pPr>
                </w:p>
              </w:tc>
              <w:tc>
                <w:tcPr>
                  <w:tcW w:w="732" w:type="pct"/>
                  <w:vAlign w:val="center"/>
                </w:tcPr>
                <w:p w14:paraId="6543759C">
                  <w:pPr>
                    <w:jc w:val="center"/>
                    <w:rPr>
                      <w:color w:val="auto"/>
                    </w:rPr>
                  </w:pPr>
                  <w:r>
                    <w:rPr>
                      <w:rFonts w:hint="eastAsia"/>
                      <w:color w:val="auto"/>
                    </w:rPr>
                    <w:t>家私配件</w:t>
                  </w:r>
                </w:p>
              </w:tc>
              <w:tc>
                <w:tcPr>
                  <w:tcW w:w="488" w:type="pct"/>
                  <w:vMerge w:val="continue"/>
                  <w:vAlign w:val="center"/>
                </w:tcPr>
                <w:p w14:paraId="6803C6E6">
                  <w:pPr>
                    <w:jc w:val="center"/>
                    <w:rPr>
                      <w:color w:val="auto"/>
                      <w:szCs w:val="21"/>
                    </w:rPr>
                  </w:pPr>
                </w:p>
              </w:tc>
              <w:tc>
                <w:tcPr>
                  <w:tcW w:w="470" w:type="pct"/>
                  <w:vMerge w:val="continue"/>
                  <w:vAlign w:val="center"/>
                </w:tcPr>
                <w:p w14:paraId="73F24E9A">
                  <w:pPr>
                    <w:jc w:val="center"/>
                    <w:rPr>
                      <w:color w:val="auto"/>
                      <w:szCs w:val="21"/>
                    </w:rPr>
                  </w:pPr>
                </w:p>
              </w:tc>
              <w:tc>
                <w:tcPr>
                  <w:tcW w:w="800" w:type="dxa"/>
                  <w:vAlign w:val="center"/>
                </w:tcPr>
                <w:p w14:paraId="31BE5D1C">
                  <w:pPr>
                    <w:widowControl/>
                    <w:jc w:val="center"/>
                    <w:textAlignment w:val="center"/>
                    <w:rPr>
                      <w:color w:val="auto"/>
                      <w:szCs w:val="21"/>
                    </w:rPr>
                  </w:pPr>
                  <w:r>
                    <w:rPr>
                      <w:color w:val="auto"/>
                      <w:kern w:val="0"/>
                      <w:szCs w:val="21"/>
                      <w:lang w:bidi="ar"/>
                    </w:rPr>
                    <w:t>0.3</w:t>
                  </w:r>
                </w:p>
              </w:tc>
              <w:tc>
                <w:tcPr>
                  <w:tcW w:w="850" w:type="dxa"/>
                  <w:vAlign w:val="center"/>
                </w:tcPr>
                <w:p w14:paraId="6F06DC0D">
                  <w:pPr>
                    <w:widowControl/>
                    <w:jc w:val="center"/>
                    <w:textAlignment w:val="center"/>
                    <w:rPr>
                      <w:color w:val="auto"/>
                      <w:szCs w:val="21"/>
                    </w:rPr>
                  </w:pPr>
                  <w:r>
                    <w:rPr>
                      <w:color w:val="auto"/>
                      <w:kern w:val="0"/>
                      <w:szCs w:val="21"/>
                      <w:lang w:bidi="ar"/>
                    </w:rPr>
                    <w:t>2000</w:t>
                  </w:r>
                </w:p>
              </w:tc>
              <w:tc>
                <w:tcPr>
                  <w:tcW w:w="1060" w:type="dxa"/>
                  <w:vAlign w:val="center"/>
                </w:tcPr>
                <w:p w14:paraId="7534D99A">
                  <w:pPr>
                    <w:widowControl/>
                    <w:jc w:val="center"/>
                    <w:textAlignment w:val="center"/>
                    <w:rPr>
                      <w:color w:val="auto"/>
                      <w:szCs w:val="21"/>
                    </w:rPr>
                  </w:pPr>
                  <w:r>
                    <w:rPr>
                      <w:color w:val="auto"/>
                      <w:kern w:val="0"/>
                      <w:szCs w:val="21"/>
                      <w:lang w:bidi="ar"/>
                    </w:rPr>
                    <w:t>2</w:t>
                  </w:r>
                </w:p>
              </w:tc>
              <w:tc>
                <w:tcPr>
                  <w:tcW w:w="1060" w:type="dxa"/>
                  <w:vAlign w:val="center"/>
                </w:tcPr>
                <w:p w14:paraId="078CE4F5">
                  <w:pPr>
                    <w:widowControl/>
                    <w:jc w:val="center"/>
                    <w:textAlignment w:val="center"/>
                    <w:rPr>
                      <w:color w:val="auto"/>
                      <w:kern w:val="0"/>
                      <w:szCs w:val="21"/>
                      <w:lang w:bidi="ar"/>
                    </w:rPr>
                  </w:pPr>
                  <w:r>
                    <w:rPr>
                      <w:color w:val="auto"/>
                      <w:kern w:val="0"/>
                      <w:szCs w:val="21"/>
                      <w:lang w:bidi="ar"/>
                    </w:rPr>
                    <w:t xml:space="preserve">81270 </w:t>
                  </w:r>
                </w:p>
              </w:tc>
              <w:tc>
                <w:tcPr>
                  <w:tcW w:w="940" w:type="dxa"/>
                  <w:vAlign w:val="center"/>
                </w:tcPr>
                <w:p w14:paraId="43382FCB">
                  <w:pPr>
                    <w:widowControl/>
                    <w:jc w:val="center"/>
                    <w:textAlignment w:val="center"/>
                    <w:rPr>
                      <w:color w:val="auto"/>
                      <w:szCs w:val="21"/>
                    </w:rPr>
                  </w:pPr>
                  <w:r>
                    <w:rPr>
                      <w:color w:val="auto"/>
                      <w:kern w:val="0"/>
                      <w:szCs w:val="21"/>
                      <w:lang w:bidi="ar"/>
                    </w:rPr>
                    <w:t>30000</w:t>
                  </w:r>
                </w:p>
              </w:tc>
              <w:tc>
                <w:tcPr>
                  <w:tcW w:w="642" w:type="dxa"/>
                  <w:vAlign w:val="center"/>
                </w:tcPr>
                <w:p w14:paraId="5D8E5FB4">
                  <w:pPr>
                    <w:widowControl/>
                    <w:jc w:val="center"/>
                    <w:textAlignment w:val="center"/>
                    <w:rPr>
                      <w:color w:val="auto"/>
                      <w:szCs w:val="21"/>
                    </w:rPr>
                  </w:pPr>
                  <w:r>
                    <w:rPr>
                      <w:color w:val="auto"/>
                      <w:kern w:val="0"/>
                      <w:szCs w:val="21"/>
                      <w:lang w:bidi="ar"/>
                    </w:rPr>
                    <w:t>37%</w:t>
                  </w:r>
                </w:p>
              </w:tc>
            </w:tr>
            <w:tr w14:paraId="4F87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5000" w:type="pct"/>
                  <w:gridSpan w:val="10"/>
                  <w:vAlign w:val="center"/>
                </w:tcPr>
                <w:p w14:paraId="540A2442">
                  <w:pPr>
                    <w:widowControl/>
                    <w:textAlignment w:val="center"/>
                    <w:rPr>
                      <w:color w:val="auto"/>
                      <w:kern w:val="0"/>
                      <w:szCs w:val="21"/>
                      <w:lang w:bidi="ar"/>
                    </w:rPr>
                  </w:pPr>
                  <w:r>
                    <w:rPr>
                      <w:rFonts w:hint="eastAsia"/>
                      <w:color w:val="auto"/>
                      <w:kern w:val="0"/>
                      <w:szCs w:val="21"/>
                      <w:lang w:bidi="ar"/>
                    </w:rPr>
                    <w:t>说明</w:t>
                  </w:r>
                  <w:r>
                    <w:rPr>
                      <w:color w:val="auto"/>
                      <w:kern w:val="0"/>
                      <w:szCs w:val="21"/>
                      <w:lang w:bidi="ar"/>
                    </w:rPr>
                    <w:t>：</w:t>
                  </w:r>
                </w:p>
                <w:p w14:paraId="241DE9CB">
                  <w:pPr>
                    <w:widowControl/>
                    <w:textAlignment w:val="center"/>
                    <w:rPr>
                      <w:color w:val="auto"/>
                      <w:kern w:val="0"/>
                      <w:szCs w:val="21"/>
                      <w:lang w:bidi="ar"/>
                    </w:rPr>
                  </w:pPr>
                  <w:r>
                    <w:rPr>
                      <w:color w:val="auto"/>
                    </w:rPr>
                    <w:t>1.</w:t>
                  </w:r>
                  <w:r>
                    <w:rPr>
                      <w:color w:val="auto"/>
                      <w:kern w:val="0"/>
                      <w:szCs w:val="21"/>
                      <w:lang w:bidi="ar"/>
                    </w:rPr>
                    <w:t>挂具间距根据加工工件的规格和加工复杂程度决定，车架工件挂具间距为0.5m，家私配件挂具间距为0.2m/0.3m；</w:t>
                  </w:r>
                </w:p>
                <w:p w14:paraId="2A9EE737">
                  <w:pPr>
                    <w:widowControl/>
                    <w:textAlignment w:val="center"/>
                    <w:rPr>
                      <w:color w:val="auto"/>
                    </w:rPr>
                  </w:pPr>
                  <w:r>
                    <w:rPr>
                      <w:color w:val="auto"/>
                    </w:rPr>
                    <w:t>2.</w:t>
                  </w:r>
                  <w:r>
                    <w:rPr>
                      <w:rFonts w:hint="eastAsia"/>
                      <w:color w:val="auto"/>
                    </w:rPr>
                    <w:t>根据表2-4、表2-5和表2-6内容，项目加工的自行车架和电动助力车架均为焊接后成品，家私配件为组装前配件，其中碳钢家私配件包括4个桌腿、2个台撑长管和2个台撑短管，铝制家私配件包括4个铝制长管、6个铝制短管和4个边管。</w:t>
                  </w:r>
                  <w:r>
                    <w:rPr>
                      <w:color w:val="auto"/>
                    </w:rPr>
                    <w:t>计算公式</w:t>
                  </w:r>
                  <w:r>
                    <w:rPr>
                      <w:rFonts w:hint="eastAsia"/>
                      <w:color w:val="auto"/>
                    </w:rPr>
                    <w:t>如下</w:t>
                  </w:r>
                  <w:r>
                    <w:rPr>
                      <w:color w:val="auto"/>
                    </w:rPr>
                    <w:t>：</w:t>
                  </w:r>
                </w:p>
                <w:p w14:paraId="2D18F3FC">
                  <w:pPr>
                    <w:widowControl/>
                    <w:textAlignment w:val="center"/>
                    <w:rPr>
                      <w:color w:val="auto"/>
                    </w:rPr>
                  </w:pPr>
                  <w:r>
                    <w:rPr>
                      <w:rFonts w:eastAsia="微软雅黑"/>
                      <w:color w:val="auto"/>
                    </w:rPr>
                    <w:t>①</w:t>
                  </w:r>
                  <w:r>
                    <w:rPr>
                      <w:color w:val="auto"/>
                    </w:rPr>
                    <w:t>自行车车架喷粉数量=轨道长度÷固化时长×年工作时间×60÷挂具间距×单个挂具挂件数</w:t>
                  </w:r>
                </w:p>
                <w:p w14:paraId="3154DD92">
                  <w:pPr>
                    <w:widowControl/>
                    <w:textAlignment w:val="center"/>
                    <w:rPr>
                      <w:color w:val="auto"/>
                    </w:rPr>
                  </w:pPr>
                  <w:r>
                    <w:rPr>
                      <w:color w:val="auto"/>
                    </w:rPr>
                    <w:t>②电动助力车车架喷粉数量=轨道长度÷固化时长×年工作时间×60÷挂具间距×单个挂具挂件数</w:t>
                  </w:r>
                </w:p>
                <w:p w14:paraId="1FC4E768">
                  <w:pPr>
                    <w:widowControl/>
                    <w:textAlignment w:val="center"/>
                    <w:rPr>
                      <w:color w:val="auto"/>
                    </w:rPr>
                  </w:pPr>
                  <w:r>
                    <w:rPr>
                      <w:color w:val="auto"/>
                    </w:rPr>
                    <w:t>③家私配件喷粉数量=轨道长度÷固化时长×年工作时间×60÷挂具间距×单个挂具挂件数÷8</w:t>
                  </w:r>
                </w:p>
                <w:p w14:paraId="5FEE518D">
                  <w:pPr>
                    <w:widowControl/>
                    <w:textAlignment w:val="center"/>
                    <w:rPr>
                      <w:color w:val="auto"/>
                    </w:rPr>
                  </w:pPr>
                  <w:r>
                    <w:rPr>
                      <w:rFonts w:hint="eastAsia" w:ascii="宋体" w:hAnsi="宋体" w:cs="宋体"/>
                      <w:color w:val="auto"/>
                    </w:rPr>
                    <w:t>④</w:t>
                  </w:r>
                  <w:r>
                    <w:rPr>
                      <w:color w:val="auto"/>
                    </w:rPr>
                    <w:t>自行车车架</w:t>
                  </w:r>
                  <w:r>
                    <w:rPr>
                      <w:rFonts w:hint="eastAsia"/>
                      <w:color w:val="auto"/>
                    </w:rPr>
                    <w:t>喷底、面漆</w:t>
                  </w:r>
                  <w:r>
                    <w:rPr>
                      <w:color w:val="auto"/>
                    </w:rPr>
                    <w:t>数量=轨道长度÷烘烤时长×年工作时间×60÷挂具间距×单个挂具挂件数÷2</w:t>
                  </w:r>
                </w:p>
                <w:p w14:paraId="54BB8715">
                  <w:pPr>
                    <w:widowControl/>
                    <w:textAlignment w:val="center"/>
                    <w:rPr>
                      <w:color w:val="auto"/>
                    </w:rPr>
                  </w:pPr>
                  <w:r>
                    <w:rPr>
                      <w:rFonts w:eastAsia="微软雅黑"/>
                      <w:color w:val="auto"/>
                    </w:rPr>
                    <w:t>⑤</w:t>
                  </w:r>
                  <w:r>
                    <w:rPr>
                      <w:color w:val="auto"/>
                    </w:rPr>
                    <w:t>电动助力车车架喷底、面漆数量=轨道长度÷烘烤时长×年工作时间×60÷挂具间距×单个挂具挂件数÷2</w:t>
                  </w:r>
                </w:p>
                <w:p w14:paraId="393A09F2">
                  <w:pPr>
                    <w:widowControl/>
                    <w:textAlignment w:val="center"/>
                    <w:rPr>
                      <w:color w:val="auto"/>
                    </w:rPr>
                  </w:pPr>
                  <w:r>
                    <w:rPr>
                      <w:rFonts w:eastAsia="微软雅黑"/>
                      <w:color w:val="auto"/>
                    </w:rPr>
                    <w:t>⑥</w:t>
                  </w:r>
                  <w:r>
                    <w:rPr>
                      <w:color w:val="auto"/>
                    </w:rPr>
                    <w:t>家私配件喷底、面漆数量=轨道长度÷烘烤时长×年工作时间×60÷挂具间距×单个挂具挂件数÷14÷2</w:t>
                  </w:r>
                </w:p>
                <w:p w14:paraId="029C502D">
                  <w:pPr>
                    <w:widowControl/>
                    <w:textAlignment w:val="center"/>
                    <w:rPr>
                      <w:color w:val="auto"/>
                    </w:rPr>
                  </w:pPr>
                  <w:r>
                    <w:rPr>
                      <w:rFonts w:eastAsia="微软雅黑"/>
                      <w:color w:val="auto"/>
                    </w:rPr>
                    <w:t>⑦</w:t>
                  </w:r>
                  <w:r>
                    <w:rPr>
                      <w:color w:val="auto"/>
                    </w:rPr>
                    <w:t>自行车车架喷</w:t>
                  </w:r>
                  <w:r>
                    <w:rPr>
                      <w:rFonts w:hint="eastAsia"/>
                      <w:color w:val="auto"/>
                    </w:rPr>
                    <w:t>清漆</w:t>
                  </w:r>
                  <w:r>
                    <w:rPr>
                      <w:color w:val="auto"/>
                    </w:rPr>
                    <w:t>数量=轨道长度÷固化烘烤时长×年工作时间×60÷挂具间距×单个挂具挂件数</w:t>
                  </w:r>
                </w:p>
                <w:p w14:paraId="41BC77DC">
                  <w:pPr>
                    <w:widowControl/>
                    <w:textAlignment w:val="center"/>
                    <w:rPr>
                      <w:color w:val="auto"/>
                    </w:rPr>
                  </w:pPr>
                  <w:r>
                    <w:rPr>
                      <w:rFonts w:eastAsia="微软雅黑"/>
                      <w:color w:val="auto"/>
                    </w:rPr>
                    <w:t>⑧</w:t>
                  </w:r>
                  <w:r>
                    <w:rPr>
                      <w:color w:val="auto"/>
                    </w:rPr>
                    <w:t>电动助力车车架喷</w:t>
                  </w:r>
                  <w:r>
                    <w:rPr>
                      <w:rFonts w:hint="eastAsia"/>
                      <w:color w:val="auto"/>
                    </w:rPr>
                    <w:t>清漆</w:t>
                  </w:r>
                  <w:r>
                    <w:rPr>
                      <w:color w:val="auto"/>
                    </w:rPr>
                    <w:t>数量=轨道长度÷固化烘烤时长×年工作时间×60÷挂具间距×单个挂具挂件数</w:t>
                  </w:r>
                </w:p>
                <w:p w14:paraId="764EFE86">
                  <w:pPr>
                    <w:widowControl/>
                    <w:textAlignment w:val="center"/>
                    <w:rPr>
                      <w:color w:val="auto"/>
                    </w:rPr>
                  </w:pPr>
                  <w:r>
                    <w:rPr>
                      <w:rFonts w:eastAsia="微软雅黑"/>
                      <w:color w:val="auto"/>
                    </w:rPr>
                    <w:t>⑨</w:t>
                  </w:r>
                  <w:r>
                    <w:rPr>
                      <w:color w:val="auto"/>
                    </w:rPr>
                    <w:t>家私配件喷</w:t>
                  </w:r>
                  <w:r>
                    <w:rPr>
                      <w:rFonts w:hint="eastAsia"/>
                      <w:color w:val="auto"/>
                    </w:rPr>
                    <w:t>清漆</w:t>
                  </w:r>
                  <w:r>
                    <w:rPr>
                      <w:color w:val="auto"/>
                    </w:rPr>
                    <w:t>数量=轨道长度÷固化烘烤时长×年工作时间×60÷挂具间距×单个挂具挂件数÷</w:t>
                  </w:r>
                  <w:r>
                    <w:rPr>
                      <w:rFonts w:hint="eastAsia"/>
                      <w:color w:val="auto"/>
                    </w:rPr>
                    <w:t>14</w:t>
                  </w:r>
                </w:p>
              </w:tc>
            </w:tr>
          </w:tbl>
          <w:p w14:paraId="15FE6A21">
            <w:pPr>
              <w:spacing w:line="360" w:lineRule="auto"/>
              <w:ind w:firstLine="480" w:firstLineChars="200"/>
              <w:rPr>
                <w:color w:val="auto"/>
                <w:kern w:val="0"/>
                <w:sz w:val="24"/>
                <w:lang w:bidi="ar"/>
              </w:rPr>
            </w:pPr>
            <w:r>
              <w:rPr>
                <w:rFonts w:hint="eastAsia" w:ascii="宋体" w:hAnsi="宋体" w:cs="宋体"/>
                <w:color w:val="auto"/>
                <w:kern w:val="0"/>
                <w:sz w:val="24"/>
              </w:rPr>
              <w:t>②</w:t>
            </w:r>
            <w:r>
              <w:rPr>
                <w:rFonts w:hint="eastAsia"/>
                <w:color w:val="auto"/>
                <w:kern w:val="0"/>
                <w:sz w:val="24"/>
              </w:rPr>
              <w:t>喷涂设备</w:t>
            </w:r>
            <w:r>
              <w:rPr>
                <w:rFonts w:hint="eastAsia" w:ascii="宋体" w:hAnsi="宋体" w:cs="宋体"/>
                <w:color w:val="auto"/>
                <w:kern w:val="0"/>
                <w:sz w:val="24"/>
              </w:rPr>
              <w:t>产能匹配性分析</w:t>
            </w:r>
          </w:p>
          <w:p w14:paraId="5C3A2930">
            <w:pPr>
              <w:numPr>
                <w:ilvl w:val="0"/>
                <w:numId w:val="10"/>
              </w:numPr>
              <w:adjustRightInd w:val="0"/>
              <w:snapToGrid w:val="0"/>
              <w:jc w:val="center"/>
              <w:rPr>
                <w:b/>
                <w:bCs/>
                <w:color w:val="auto"/>
                <w:kern w:val="0"/>
                <w:szCs w:val="21"/>
                <w:lang w:bidi="ar"/>
              </w:rPr>
            </w:pPr>
            <w:r>
              <w:rPr>
                <w:b/>
                <w:bCs/>
                <w:color w:val="auto"/>
                <w:kern w:val="0"/>
                <w:szCs w:val="21"/>
                <w:lang w:bidi="ar"/>
              </w:rPr>
              <w:t>本项目</w:t>
            </w:r>
            <w:r>
              <w:rPr>
                <w:rFonts w:hint="eastAsia"/>
                <w:b/>
                <w:bCs/>
                <w:color w:val="auto"/>
                <w:kern w:val="0"/>
                <w:szCs w:val="21"/>
                <w:lang w:bidi="ar"/>
              </w:rPr>
              <w:t>喷涂设备产能</w:t>
            </w:r>
            <w:r>
              <w:rPr>
                <w:b/>
                <w:bCs/>
                <w:color w:val="auto"/>
                <w:kern w:val="0"/>
                <w:szCs w:val="21"/>
                <w:lang w:bidi="ar"/>
              </w:rPr>
              <w:t>匹配性分析一览表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3"/>
              <w:gridCol w:w="709"/>
              <w:gridCol w:w="1091"/>
              <w:gridCol w:w="654"/>
              <w:gridCol w:w="1091"/>
              <w:gridCol w:w="888"/>
              <w:gridCol w:w="1288"/>
              <w:gridCol w:w="1330"/>
              <w:gridCol w:w="932"/>
            </w:tblGrid>
            <w:tr w14:paraId="009D9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664" w:type="pct"/>
                  <w:vAlign w:val="center"/>
                </w:tcPr>
                <w:p w14:paraId="3E4AEEEE">
                  <w:pPr>
                    <w:widowControl/>
                    <w:jc w:val="center"/>
                    <w:textAlignment w:val="center"/>
                    <w:rPr>
                      <w:b/>
                      <w:bCs/>
                      <w:color w:val="auto"/>
                      <w:szCs w:val="21"/>
                    </w:rPr>
                  </w:pPr>
                  <w:r>
                    <w:rPr>
                      <w:rFonts w:hint="eastAsia"/>
                      <w:b/>
                      <w:bCs/>
                      <w:color w:val="auto"/>
                      <w:szCs w:val="21"/>
                    </w:rPr>
                    <w:t>加工方式</w:t>
                  </w:r>
                </w:p>
              </w:tc>
              <w:tc>
                <w:tcPr>
                  <w:tcW w:w="385" w:type="pct"/>
                  <w:vAlign w:val="center"/>
                </w:tcPr>
                <w:p w14:paraId="5BBCE7CB">
                  <w:pPr>
                    <w:widowControl/>
                    <w:jc w:val="center"/>
                    <w:textAlignment w:val="center"/>
                    <w:rPr>
                      <w:b/>
                      <w:bCs/>
                      <w:color w:val="auto"/>
                      <w:kern w:val="0"/>
                      <w:szCs w:val="21"/>
                      <w:lang w:bidi="ar"/>
                    </w:rPr>
                  </w:pPr>
                  <w:r>
                    <w:rPr>
                      <w:rFonts w:hint="eastAsia"/>
                      <w:b/>
                      <w:bCs/>
                      <w:color w:val="auto"/>
                      <w:kern w:val="0"/>
                      <w:szCs w:val="21"/>
                      <w:lang w:bidi="ar"/>
                    </w:rPr>
                    <w:t>喷涂工位</w:t>
                  </w:r>
                </w:p>
              </w:tc>
              <w:tc>
                <w:tcPr>
                  <w:tcW w:w="592" w:type="pct"/>
                  <w:vAlign w:val="center"/>
                </w:tcPr>
                <w:p w14:paraId="79152D96">
                  <w:pPr>
                    <w:widowControl/>
                    <w:jc w:val="center"/>
                    <w:textAlignment w:val="center"/>
                    <w:rPr>
                      <w:b/>
                      <w:bCs/>
                      <w:color w:val="auto"/>
                      <w:szCs w:val="21"/>
                    </w:rPr>
                  </w:pPr>
                  <w:r>
                    <w:rPr>
                      <w:rFonts w:hint="eastAsia"/>
                      <w:b/>
                      <w:bCs/>
                      <w:color w:val="auto"/>
                      <w:kern w:val="0"/>
                      <w:szCs w:val="21"/>
                      <w:lang w:bidi="ar"/>
                    </w:rPr>
                    <w:t>喷枪类型</w:t>
                  </w:r>
                </w:p>
              </w:tc>
              <w:tc>
                <w:tcPr>
                  <w:tcW w:w="355" w:type="pct"/>
                  <w:vAlign w:val="center"/>
                </w:tcPr>
                <w:p w14:paraId="3C82C156">
                  <w:pPr>
                    <w:widowControl/>
                    <w:jc w:val="center"/>
                    <w:textAlignment w:val="center"/>
                    <w:rPr>
                      <w:b/>
                      <w:bCs/>
                      <w:color w:val="auto"/>
                      <w:szCs w:val="21"/>
                    </w:rPr>
                  </w:pPr>
                  <w:r>
                    <w:rPr>
                      <w:rFonts w:hint="eastAsia"/>
                      <w:b/>
                      <w:bCs/>
                      <w:color w:val="auto"/>
                      <w:szCs w:val="21"/>
                    </w:rPr>
                    <w:t>喷枪数量</w:t>
                  </w:r>
                </w:p>
              </w:tc>
              <w:tc>
                <w:tcPr>
                  <w:tcW w:w="592" w:type="pct"/>
                  <w:vAlign w:val="center"/>
                </w:tcPr>
                <w:p w14:paraId="7F3FE52B">
                  <w:pPr>
                    <w:widowControl/>
                    <w:jc w:val="center"/>
                    <w:textAlignment w:val="center"/>
                    <w:rPr>
                      <w:b/>
                      <w:bCs/>
                      <w:color w:val="auto"/>
                      <w:kern w:val="0"/>
                      <w:szCs w:val="21"/>
                      <w:lang w:bidi="ar"/>
                    </w:rPr>
                  </w:pPr>
                  <w:r>
                    <w:rPr>
                      <w:rFonts w:hint="eastAsia"/>
                      <w:b/>
                      <w:bCs/>
                      <w:color w:val="auto"/>
                      <w:kern w:val="0"/>
                      <w:szCs w:val="21"/>
                      <w:lang w:bidi="ar"/>
                    </w:rPr>
                    <w:t>喷涂流量kg/h</w:t>
                  </w:r>
                </w:p>
              </w:tc>
              <w:tc>
                <w:tcPr>
                  <w:tcW w:w="482" w:type="pct"/>
                  <w:vAlign w:val="center"/>
                </w:tcPr>
                <w:p w14:paraId="51479629">
                  <w:pPr>
                    <w:widowControl/>
                    <w:jc w:val="center"/>
                    <w:textAlignment w:val="center"/>
                    <w:rPr>
                      <w:b/>
                      <w:bCs/>
                      <w:color w:val="auto"/>
                      <w:szCs w:val="21"/>
                    </w:rPr>
                  </w:pPr>
                  <w:r>
                    <w:rPr>
                      <w:rFonts w:hint="eastAsia"/>
                      <w:b/>
                      <w:bCs/>
                      <w:color w:val="auto"/>
                      <w:szCs w:val="21"/>
                    </w:rPr>
                    <w:t>年工作时间h</w:t>
                  </w:r>
                </w:p>
              </w:tc>
              <w:tc>
                <w:tcPr>
                  <w:tcW w:w="699" w:type="pct"/>
                  <w:vAlign w:val="center"/>
                </w:tcPr>
                <w:p w14:paraId="42588055">
                  <w:pPr>
                    <w:pStyle w:val="146"/>
                    <w:rPr>
                      <w:b/>
                      <w:bCs/>
                      <w:color w:val="auto"/>
                      <w:szCs w:val="21"/>
                    </w:rPr>
                  </w:pPr>
                  <w:r>
                    <w:rPr>
                      <w:rFonts w:hint="eastAsia"/>
                      <w:b/>
                      <w:bCs/>
                      <w:color w:val="auto"/>
                      <w:kern w:val="44"/>
                      <w:szCs w:val="21"/>
                    </w:rPr>
                    <w:t>理论喷枪喷涂量（t/a）</w:t>
                  </w:r>
                </w:p>
              </w:tc>
              <w:tc>
                <w:tcPr>
                  <w:tcW w:w="722" w:type="pct"/>
                  <w:vAlign w:val="center"/>
                </w:tcPr>
                <w:p w14:paraId="584003C3">
                  <w:pPr>
                    <w:pStyle w:val="146"/>
                    <w:rPr>
                      <w:b/>
                      <w:bCs/>
                      <w:color w:val="auto"/>
                      <w:szCs w:val="21"/>
                    </w:rPr>
                  </w:pPr>
                  <w:r>
                    <w:rPr>
                      <w:rFonts w:hint="eastAsia"/>
                      <w:b/>
                      <w:bCs/>
                      <w:color w:val="auto"/>
                      <w:kern w:val="44"/>
                      <w:szCs w:val="21"/>
                    </w:rPr>
                    <w:t>项目涂料使用量（t/a）</w:t>
                  </w:r>
                </w:p>
              </w:tc>
              <w:tc>
                <w:tcPr>
                  <w:tcW w:w="506" w:type="pct"/>
                  <w:vAlign w:val="center"/>
                </w:tcPr>
                <w:p w14:paraId="2ADD233D">
                  <w:pPr>
                    <w:widowControl/>
                    <w:jc w:val="center"/>
                    <w:textAlignment w:val="center"/>
                    <w:rPr>
                      <w:b/>
                      <w:bCs/>
                      <w:color w:val="auto"/>
                      <w:kern w:val="0"/>
                      <w:szCs w:val="21"/>
                      <w:lang w:bidi="ar"/>
                    </w:rPr>
                  </w:pPr>
                  <w:r>
                    <w:rPr>
                      <w:rFonts w:hint="eastAsia"/>
                      <w:b/>
                      <w:bCs/>
                      <w:color w:val="auto"/>
                      <w:kern w:val="0"/>
                      <w:szCs w:val="21"/>
                      <w:lang w:bidi="ar"/>
                    </w:rPr>
                    <w:t>设备利用率</w:t>
                  </w:r>
                </w:p>
              </w:tc>
            </w:tr>
            <w:tr w14:paraId="4526B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pct"/>
                  <w:vAlign w:val="center"/>
                </w:tcPr>
                <w:p w14:paraId="386A29E5">
                  <w:pPr>
                    <w:pStyle w:val="127"/>
                    <w:rPr>
                      <w:color w:val="auto"/>
                    </w:rPr>
                  </w:pPr>
                  <w:r>
                    <w:rPr>
                      <w:rFonts w:hint="eastAsia"/>
                      <w:color w:val="auto"/>
                    </w:rPr>
                    <w:t>喷粉</w:t>
                  </w:r>
                </w:p>
              </w:tc>
              <w:tc>
                <w:tcPr>
                  <w:tcW w:w="385" w:type="pct"/>
                  <w:vAlign w:val="center"/>
                </w:tcPr>
                <w:p w14:paraId="5BD60A8F">
                  <w:pPr>
                    <w:pStyle w:val="127"/>
                    <w:rPr>
                      <w:color w:val="auto"/>
                    </w:rPr>
                  </w:pPr>
                  <w:r>
                    <w:rPr>
                      <w:rFonts w:hint="eastAsia"/>
                      <w:color w:val="auto"/>
                    </w:rPr>
                    <w:t>4</w:t>
                  </w:r>
                </w:p>
              </w:tc>
              <w:tc>
                <w:tcPr>
                  <w:tcW w:w="592" w:type="pct"/>
                  <w:vAlign w:val="center"/>
                </w:tcPr>
                <w:p w14:paraId="3D60097C">
                  <w:pPr>
                    <w:pStyle w:val="127"/>
                    <w:rPr>
                      <w:color w:val="auto"/>
                    </w:rPr>
                  </w:pPr>
                  <w:r>
                    <w:rPr>
                      <w:rFonts w:hint="eastAsia"/>
                      <w:color w:val="auto"/>
                    </w:rPr>
                    <w:t>静电喷枪</w:t>
                  </w:r>
                </w:p>
              </w:tc>
              <w:tc>
                <w:tcPr>
                  <w:tcW w:w="355" w:type="pct"/>
                  <w:vAlign w:val="center"/>
                </w:tcPr>
                <w:p w14:paraId="2858A55A">
                  <w:pPr>
                    <w:widowControl/>
                    <w:jc w:val="center"/>
                    <w:textAlignment w:val="center"/>
                    <w:rPr>
                      <w:color w:val="auto"/>
                      <w:szCs w:val="21"/>
                    </w:rPr>
                  </w:pPr>
                  <w:r>
                    <w:rPr>
                      <w:rFonts w:hint="eastAsia"/>
                      <w:color w:val="auto"/>
                      <w:szCs w:val="21"/>
                    </w:rPr>
                    <w:t>4</w:t>
                  </w:r>
                </w:p>
              </w:tc>
              <w:tc>
                <w:tcPr>
                  <w:tcW w:w="592" w:type="pct"/>
                  <w:vAlign w:val="center"/>
                </w:tcPr>
                <w:p w14:paraId="6BCC3639">
                  <w:pPr>
                    <w:widowControl/>
                    <w:jc w:val="center"/>
                    <w:textAlignment w:val="center"/>
                    <w:rPr>
                      <w:color w:val="auto"/>
                      <w:szCs w:val="21"/>
                    </w:rPr>
                  </w:pPr>
                  <w:r>
                    <w:rPr>
                      <w:rFonts w:hint="eastAsia"/>
                      <w:color w:val="auto"/>
                      <w:szCs w:val="21"/>
                    </w:rPr>
                    <w:t>1.5</w:t>
                  </w:r>
                </w:p>
              </w:tc>
              <w:tc>
                <w:tcPr>
                  <w:tcW w:w="482" w:type="pct"/>
                  <w:vAlign w:val="center"/>
                </w:tcPr>
                <w:p w14:paraId="14492252">
                  <w:pPr>
                    <w:widowControl/>
                    <w:jc w:val="center"/>
                    <w:textAlignment w:val="center"/>
                    <w:rPr>
                      <w:color w:val="auto"/>
                      <w:szCs w:val="21"/>
                    </w:rPr>
                  </w:pPr>
                  <w:r>
                    <w:rPr>
                      <w:rFonts w:hint="eastAsia"/>
                      <w:color w:val="auto"/>
                      <w:kern w:val="0"/>
                      <w:szCs w:val="21"/>
                      <w:lang w:bidi="ar"/>
                    </w:rPr>
                    <w:t>3000</w:t>
                  </w:r>
                </w:p>
              </w:tc>
              <w:tc>
                <w:tcPr>
                  <w:tcW w:w="699" w:type="pct"/>
                  <w:vAlign w:val="center"/>
                </w:tcPr>
                <w:p w14:paraId="54B64FC5">
                  <w:pPr>
                    <w:widowControl/>
                    <w:jc w:val="center"/>
                    <w:textAlignment w:val="center"/>
                    <w:rPr>
                      <w:color w:val="auto"/>
                      <w:szCs w:val="21"/>
                    </w:rPr>
                  </w:pPr>
                  <w:r>
                    <w:rPr>
                      <w:rFonts w:hint="eastAsia"/>
                      <w:color w:val="auto"/>
                      <w:kern w:val="0"/>
                      <w:szCs w:val="21"/>
                      <w:lang w:bidi="ar"/>
                    </w:rPr>
                    <w:t>18</w:t>
                  </w:r>
                </w:p>
              </w:tc>
              <w:tc>
                <w:tcPr>
                  <w:tcW w:w="722" w:type="pct"/>
                  <w:vAlign w:val="center"/>
                </w:tcPr>
                <w:p w14:paraId="711F2A4E">
                  <w:pPr>
                    <w:widowControl/>
                    <w:jc w:val="center"/>
                    <w:textAlignment w:val="center"/>
                    <w:rPr>
                      <w:color w:val="auto"/>
                      <w:szCs w:val="21"/>
                    </w:rPr>
                  </w:pPr>
                  <w:r>
                    <w:rPr>
                      <w:rFonts w:hint="eastAsia"/>
                      <w:color w:val="auto"/>
                      <w:kern w:val="0"/>
                      <w:szCs w:val="21"/>
                      <w:lang w:bidi="ar"/>
                    </w:rPr>
                    <w:t>15.3</w:t>
                  </w:r>
                </w:p>
              </w:tc>
              <w:tc>
                <w:tcPr>
                  <w:tcW w:w="506" w:type="pct"/>
                  <w:vAlign w:val="center"/>
                </w:tcPr>
                <w:p w14:paraId="53A6E833">
                  <w:pPr>
                    <w:widowControl/>
                    <w:jc w:val="center"/>
                    <w:textAlignment w:val="center"/>
                    <w:rPr>
                      <w:color w:val="auto"/>
                      <w:szCs w:val="21"/>
                    </w:rPr>
                  </w:pPr>
                  <w:r>
                    <w:rPr>
                      <w:rFonts w:hint="eastAsia"/>
                      <w:color w:val="auto"/>
                      <w:kern w:val="0"/>
                      <w:szCs w:val="21"/>
                      <w:lang w:bidi="ar"/>
                    </w:rPr>
                    <w:t>85</w:t>
                  </w:r>
                  <w:r>
                    <w:rPr>
                      <w:color w:val="auto"/>
                      <w:kern w:val="0"/>
                      <w:szCs w:val="21"/>
                      <w:lang w:bidi="ar"/>
                    </w:rPr>
                    <w:t>%</w:t>
                  </w:r>
                </w:p>
              </w:tc>
            </w:tr>
            <w:tr w14:paraId="094EE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pct"/>
                  <w:vMerge w:val="restart"/>
                  <w:vAlign w:val="center"/>
                </w:tcPr>
                <w:p w14:paraId="79FCA82E">
                  <w:pPr>
                    <w:pStyle w:val="127"/>
                    <w:rPr>
                      <w:color w:val="auto"/>
                    </w:rPr>
                  </w:pPr>
                  <w:r>
                    <w:rPr>
                      <w:rFonts w:hint="eastAsia"/>
                      <w:color w:val="auto"/>
                    </w:rPr>
                    <w:t>喷底、面漆</w:t>
                  </w:r>
                </w:p>
              </w:tc>
              <w:tc>
                <w:tcPr>
                  <w:tcW w:w="385" w:type="pct"/>
                  <w:vAlign w:val="center"/>
                </w:tcPr>
                <w:p w14:paraId="6CCCF634">
                  <w:pPr>
                    <w:pStyle w:val="127"/>
                    <w:rPr>
                      <w:color w:val="auto"/>
                    </w:rPr>
                  </w:pPr>
                  <w:r>
                    <w:rPr>
                      <w:rFonts w:hint="eastAsia"/>
                      <w:color w:val="auto"/>
                    </w:rPr>
                    <w:t>1</w:t>
                  </w:r>
                </w:p>
              </w:tc>
              <w:tc>
                <w:tcPr>
                  <w:tcW w:w="592" w:type="pct"/>
                  <w:vAlign w:val="center"/>
                </w:tcPr>
                <w:p w14:paraId="0E0E0EB9">
                  <w:pPr>
                    <w:pStyle w:val="127"/>
                    <w:rPr>
                      <w:color w:val="auto"/>
                    </w:rPr>
                  </w:pPr>
                  <w:r>
                    <w:rPr>
                      <w:rFonts w:hint="eastAsia"/>
                      <w:color w:val="auto"/>
                    </w:rPr>
                    <w:t>自动静电喷枪</w:t>
                  </w:r>
                </w:p>
              </w:tc>
              <w:tc>
                <w:tcPr>
                  <w:tcW w:w="355" w:type="pct"/>
                  <w:vAlign w:val="center"/>
                </w:tcPr>
                <w:p w14:paraId="4C577CFD">
                  <w:pPr>
                    <w:widowControl/>
                    <w:jc w:val="center"/>
                    <w:textAlignment w:val="center"/>
                    <w:rPr>
                      <w:color w:val="auto"/>
                      <w:szCs w:val="21"/>
                    </w:rPr>
                  </w:pPr>
                  <w:r>
                    <w:rPr>
                      <w:rFonts w:hint="eastAsia"/>
                      <w:color w:val="auto"/>
                      <w:szCs w:val="21"/>
                    </w:rPr>
                    <w:t>1</w:t>
                  </w:r>
                </w:p>
              </w:tc>
              <w:tc>
                <w:tcPr>
                  <w:tcW w:w="592" w:type="pct"/>
                  <w:vAlign w:val="center"/>
                </w:tcPr>
                <w:p w14:paraId="5362CF13">
                  <w:pPr>
                    <w:widowControl/>
                    <w:jc w:val="center"/>
                    <w:textAlignment w:val="center"/>
                    <w:rPr>
                      <w:color w:val="auto"/>
                      <w:szCs w:val="21"/>
                    </w:rPr>
                  </w:pPr>
                  <w:r>
                    <w:rPr>
                      <w:rFonts w:hint="eastAsia"/>
                      <w:color w:val="auto"/>
                      <w:szCs w:val="21"/>
                    </w:rPr>
                    <w:t>6</w:t>
                  </w:r>
                </w:p>
              </w:tc>
              <w:tc>
                <w:tcPr>
                  <w:tcW w:w="482" w:type="pct"/>
                  <w:vAlign w:val="center"/>
                </w:tcPr>
                <w:p w14:paraId="10AEEB97">
                  <w:pPr>
                    <w:widowControl/>
                    <w:jc w:val="center"/>
                    <w:textAlignment w:val="center"/>
                    <w:rPr>
                      <w:color w:val="auto"/>
                      <w:kern w:val="0"/>
                      <w:szCs w:val="21"/>
                      <w:lang w:bidi="ar"/>
                    </w:rPr>
                  </w:pPr>
                  <w:r>
                    <w:rPr>
                      <w:rFonts w:hint="eastAsia"/>
                      <w:color w:val="auto"/>
                      <w:kern w:val="0"/>
                      <w:szCs w:val="21"/>
                      <w:lang w:bidi="ar"/>
                    </w:rPr>
                    <w:t>3000</w:t>
                  </w:r>
                </w:p>
              </w:tc>
              <w:tc>
                <w:tcPr>
                  <w:tcW w:w="699" w:type="pct"/>
                  <w:vAlign w:val="center"/>
                </w:tcPr>
                <w:p w14:paraId="2190B19C">
                  <w:pPr>
                    <w:widowControl/>
                    <w:jc w:val="center"/>
                    <w:textAlignment w:val="center"/>
                    <w:rPr>
                      <w:color w:val="auto"/>
                      <w:kern w:val="0"/>
                      <w:szCs w:val="21"/>
                      <w:lang w:bidi="ar"/>
                    </w:rPr>
                  </w:pPr>
                  <w:r>
                    <w:rPr>
                      <w:rFonts w:hint="eastAsia"/>
                      <w:color w:val="auto"/>
                      <w:kern w:val="0"/>
                      <w:szCs w:val="21"/>
                      <w:lang w:bidi="ar"/>
                    </w:rPr>
                    <w:t>18</w:t>
                  </w:r>
                </w:p>
              </w:tc>
              <w:tc>
                <w:tcPr>
                  <w:tcW w:w="722" w:type="pct"/>
                  <w:vMerge w:val="restart"/>
                  <w:vAlign w:val="center"/>
                </w:tcPr>
                <w:p w14:paraId="46FA7886">
                  <w:pPr>
                    <w:widowControl/>
                    <w:jc w:val="center"/>
                    <w:textAlignment w:val="center"/>
                    <w:rPr>
                      <w:color w:val="auto"/>
                      <w:kern w:val="0"/>
                      <w:szCs w:val="21"/>
                      <w:lang w:bidi="ar"/>
                    </w:rPr>
                  </w:pPr>
                  <w:r>
                    <w:rPr>
                      <w:rFonts w:hint="eastAsia"/>
                      <w:color w:val="auto"/>
                      <w:kern w:val="0"/>
                      <w:szCs w:val="21"/>
                      <w:lang w:bidi="ar"/>
                    </w:rPr>
                    <w:t>10.14</w:t>
                  </w:r>
                </w:p>
              </w:tc>
              <w:tc>
                <w:tcPr>
                  <w:tcW w:w="506" w:type="pct"/>
                  <w:vMerge w:val="restart"/>
                  <w:vAlign w:val="center"/>
                </w:tcPr>
                <w:p w14:paraId="11EE9821">
                  <w:pPr>
                    <w:widowControl/>
                    <w:jc w:val="center"/>
                    <w:textAlignment w:val="center"/>
                    <w:rPr>
                      <w:color w:val="auto"/>
                      <w:kern w:val="0"/>
                      <w:szCs w:val="21"/>
                      <w:lang w:bidi="ar"/>
                    </w:rPr>
                  </w:pPr>
                  <w:r>
                    <w:rPr>
                      <w:rFonts w:hint="eastAsia"/>
                      <w:color w:val="auto"/>
                      <w:kern w:val="0"/>
                      <w:szCs w:val="21"/>
                      <w:lang w:bidi="ar"/>
                    </w:rPr>
                    <w:t>31.3%</w:t>
                  </w:r>
                </w:p>
              </w:tc>
            </w:tr>
            <w:tr w14:paraId="28663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pct"/>
                  <w:vMerge w:val="continue"/>
                  <w:vAlign w:val="center"/>
                </w:tcPr>
                <w:p w14:paraId="344A909B">
                  <w:pPr>
                    <w:pStyle w:val="127"/>
                    <w:rPr>
                      <w:color w:val="auto"/>
                    </w:rPr>
                  </w:pPr>
                </w:p>
              </w:tc>
              <w:tc>
                <w:tcPr>
                  <w:tcW w:w="385" w:type="pct"/>
                  <w:vAlign w:val="center"/>
                </w:tcPr>
                <w:p w14:paraId="2B9A63D9">
                  <w:pPr>
                    <w:pStyle w:val="127"/>
                    <w:rPr>
                      <w:color w:val="auto"/>
                    </w:rPr>
                  </w:pPr>
                  <w:r>
                    <w:rPr>
                      <w:rFonts w:hint="eastAsia"/>
                      <w:color w:val="auto"/>
                    </w:rPr>
                    <w:t>3</w:t>
                  </w:r>
                </w:p>
              </w:tc>
              <w:tc>
                <w:tcPr>
                  <w:tcW w:w="592" w:type="pct"/>
                  <w:vAlign w:val="center"/>
                </w:tcPr>
                <w:p w14:paraId="5CF557FE">
                  <w:pPr>
                    <w:pStyle w:val="127"/>
                    <w:rPr>
                      <w:color w:val="auto"/>
                    </w:rPr>
                  </w:pPr>
                  <w:r>
                    <w:rPr>
                      <w:rFonts w:hint="eastAsia"/>
                      <w:color w:val="auto"/>
                    </w:rPr>
                    <w:t>手动静电喷枪</w:t>
                  </w:r>
                </w:p>
              </w:tc>
              <w:tc>
                <w:tcPr>
                  <w:tcW w:w="355" w:type="pct"/>
                  <w:vAlign w:val="center"/>
                </w:tcPr>
                <w:p w14:paraId="4B3D9526">
                  <w:pPr>
                    <w:widowControl/>
                    <w:jc w:val="center"/>
                    <w:textAlignment w:val="center"/>
                    <w:rPr>
                      <w:color w:val="auto"/>
                      <w:szCs w:val="21"/>
                    </w:rPr>
                  </w:pPr>
                  <w:r>
                    <w:rPr>
                      <w:rFonts w:hint="eastAsia"/>
                      <w:color w:val="auto"/>
                      <w:szCs w:val="21"/>
                    </w:rPr>
                    <w:t>3</w:t>
                  </w:r>
                </w:p>
              </w:tc>
              <w:tc>
                <w:tcPr>
                  <w:tcW w:w="592" w:type="pct"/>
                  <w:vAlign w:val="center"/>
                </w:tcPr>
                <w:p w14:paraId="148F9F89">
                  <w:pPr>
                    <w:widowControl/>
                    <w:jc w:val="center"/>
                    <w:textAlignment w:val="center"/>
                    <w:rPr>
                      <w:color w:val="auto"/>
                      <w:szCs w:val="21"/>
                    </w:rPr>
                  </w:pPr>
                  <w:r>
                    <w:rPr>
                      <w:rFonts w:hint="eastAsia"/>
                      <w:color w:val="auto"/>
                      <w:szCs w:val="21"/>
                    </w:rPr>
                    <w:t>1.5</w:t>
                  </w:r>
                </w:p>
              </w:tc>
              <w:tc>
                <w:tcPr>
                  <w:tcW w:w="482" w:type="pct"/>
                  <w:vAlign w:val="center"/>
                </w:tcPr>
                <w:p w14:paraId="64E7FE3E">
                  <w:pPr>
                    <w:widowControl/>
                    <w:jc w:val="center"/>
                    <w:textAlignment w:val="center"/>
                    <w:rPr>
                      <w:color w:val="auto"/>
                      <w:kern w:val="0"/>
                      <w:szCs w:val="21"/>
                      <w:lang w:bidi="ar"/>
                    </w:rPr>
                  </w:pPr>
                  <w:r>
                    <w:rPr>
                      <w:rFonts w:hint="eastAsia"/>
                      <w:color w:val="auto"/>
                      <w:kern w:val="0"/>
                      <w:szCs w:val="21"/>
                      <w:lang w:bidi="ar"/>
                    </w:rPr>
                    <w:t>3000</w:t>
                  </w:r>
                </w:p>
              </w:tc>
              <w:tc>
                <w:tcPr>
                  <w:tcW w:w="699" w:type="pct"/>
                  <w:vAlign w:val="center"/>
                </w:tcPr>
                <w:p w14:paraId="3311888F">
                  <w:pPr>
                    <w:widowControl/>
                    <w:jc w:val="center"/>
                    <w:textAlignment w:val="center"/>
                    <w:rPr>
                      <w:color w:val="auto"/>
                      <w:kern w:val="0"/>
                      <w:szCs w:val="21"/>
                      <w:lang w:bidi="ar"/>
                    </w:rPr>
                  </w:pPr>
                  <w:r>
                    <w:rPr>
                      <w:rFonts w:hint="eastAsia"/>
                      <w:color w:val="auto"/>
                      <w:kern w:val="0"/>
                      <w:szCs w:val="21"/>
                      <w:lang w:bidi="ar"/>
                    </w:rPr>
                    <w:t>13.5</w:t>
                  </w:r>
                </w:p>
              </w:tc>
              <w:tc>
                <w:tcPr>
                  <w:tcW w:w="722" w:type="pct"/>
                  <w:vMerge w:val="continue"/>
                  <w:vAlign w:val="center"/>
                </w:tcPr>
                <w:p w14:paraId="42B0AF57">
                  <w:pPr>
                    <w:widowControl/>
                    <w:jc w:val="center"/>
                    <w:textAlignment w:val="center"/>
                    <w:rPr>
                      <w:color w:val="auto"/>
                      <w:kern w:val="0"/>
                      <w:szCs w:val="21"/>
                      <w:lang w:bidi="ar"/>
                    </w:rPr>
                  </w:pPr>
                </w:p>
              </w:tc>
              <w:tc>
                <w:tcPr>
                  <w:tcW w:w="506" w:type="pct"/>
                  <w:vMerge w:val="continue"/>
                  <w:vAlign w:val="center"/>
                </w:tcPr>
                <w:p w14:paraId="0F436AD5">
                  <w:pPr>
                    <w:widowControl/>
                    <w:jc w:val="center"/>
                    <w:textAlignment w:val="center"/>
                    <w:rPr>
                      <w:color w:val="auto"/>
                      <w:kern w:val="0"/>
                      <w:szCs w:val="21"/>
                      <w:lang w:bidi="ar"/>
                    </w:rPr>
                  </w:pPr>
                </w:p>
              </w:tc>
            </w:tr>
            <w:tr w14:paraId="4511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pct"/>
                  <w:vMerge w:val="continue"/>
                  <w:vAlign w:val="center"/>
                </w:tcPr>
                <w:p w14:paraId="74AA9953">
                  <w:pPr>
                    <w:pStyle w:val="127"/>
                    <w:rPr>
                      <w:color w:val="auto"/>
                    </w:rPr>
                  </w:pPr>
                </w:p>
              </w:tc>
              <w:tc>
                <w:tcPr>
                  <w:tcW w:w="385" w:type="pct"/>
                  <w:vAlign w:val="center"/>
                </w:tcPr>
                <w:p w14:paraId="4FC90C66">
                  <w:pPr>
                    <w:pStyle w:val="127"/>
                    <w:rPr>
                      <w:color w:val="auto"/>
                    </w:rPr>
                  </w:pPr>
                  <w:r>
                    <w:rPr>
                      <w:rFonts w:hint="eastAsia"/>
                      <w:color w:val="auto"/>
                    </w:rPr>
                    <w:t>1</w:t>
                  </w:r>
                </w:p>
              </w:tc>
              <w:tc>
                <w:tcPr>
                  <w:tcW w:w="592" w:type="pct"/>
                  <w:vAlign w:val="center"/>
                </w:tcPr>
                <w:p w14:paraId="6EED79A5">
                  <w:pPr>
                    <w:pStyle w:val="127"/>
                    <w:rPr>
                      <w:color w:val="auto"/>
                    </w:rPr>
                  </w:pPr>
                  <w:r>
                    <w:rPr>
                      <w:rFonts w:hint="eastAsia"/>
                      <w:color w:val="auto"/>
                    </w:rPr>
                    <w:t>手动静电喷枪</w:t>
                  </w:r>
                </w:p>
              </w:tc>
              <w:tc>
                <w:tcPr>
                  <w:tcW w:w="355" w:type="pct"/>
                  <w:vAlign w:val="center"/>
                </w:tcPr>
                <w:p w14:paraId="2760B1EB">
                  <w:pPr>
                    <w:widowControl/>
                    <w:jc w:val="center"/>
                    <w:textAlignment w:val="center"/>
                    <w:rPr>
                      <w:color w:val="auto"/>
                      <w:szCs w:val="21"/>
                    </w:rPr>
                  </w:pPr>
                  <w:r>
                    <w:rPr>
                      <w:rFonts w:hint="eastAsia"/>
                      <w:color w:val="auto"/>
                      <w:szCs w:val="21"/>
                    </w:rPr>
                    <w:t>1</w:t>
                  </w:r>
                </w:p>
              </w:tc>
              <w:tc>
                <w:tcPr>
                  <w:tcW w:w="592" w:type="pct"/>
                  <w:vAlign w:val="center"/>
                </w:tcPr>
                <w:p w14:paraId="43964B54">
                  <w:pPr>
                    <w:widowControl/>
                    <w:jc w:val="center"/>
                    <w:textAlignment w:val="center"/>
                    <w:rPr>
                      <w:color w:val="auto"/>
                      <w:szCs w:val="21"/>
                    </w:rPr>
                  </w:pPr>
                  <w:r>
                    <w:rPr>
                      <w:rFonts w:hint="eastAsia"/>
                      <w:color w:val="auto"/>
                      <w:szCs w:val="21"/>
                    </w:rPr>
                    <w:t>1.5</w:t>
                  </w:r>
                </w:p>
              </w:tc>
              <w:tc>
                <w:tcPr>
                  <w:tcW w:w="482" w:type="pct"/>
                  <w:vAlign w:val="center"/>
                </w:tcPr>
                <w:p w14:paraId="77D4AFE0">
                  <w:pPr>
                    <w:widowControl/>
                    <w:jc w:val="center"/>
                    <w:textAlignment w:val="center"/>
                    <w:rPr>
                      <w:color w:val="auto"/>
                      <w:kern w:val="0"/>
                      <w:szCs w:val="21"/>
                      <w:lang w:bidi="ar"/>
                    </w:rPr>
                  </w:pPr>
                  <w:r>
                    <w:rPr>
                      <w:rFonts w:hint="eastAsia"/>
                      <w:color w:val="auto"/>
                      <w:kern w:val="0"/>
                      <w:szCs w:val="21"/>
                      <w:lang w:bidi="ar"/>
                    </w:rPr>
                    <w:t>600</w:t>
                  </w:r>
                </w:p>
              </w:tc>
              <w:tc>
                <w:tcPr>
                  <w:tcW w:w="699" w:type="pct"/>
                  <w:vAlign w:val="center"/>
                </w:tcPr>
                <w:p w14:paraId="356C26D3">
                  <w:pPr>
                    <w:widowControl/>
                    <w:jc w:val="center"/>
                    <w:textAlignment w:val="center"/>
                    <w:rPr>
                      <w:color w:val="auto"/>
                      <w:kern w:val="0"/>
                      <w:szCs w:val="21"/>
                      <w:lang w:bidi="ar"/>
                    </w:rPr>
                  </w:pPr>
                  <w:r>
                    <w:rPr>
                      <w:rFonts w:hint="eastAsia"/>
                      <w:color w:val="auto"/>
                      <w:kern w:val="0"/>
                      <w:szCs w:val="21"/>
                      <w:lang w:bidi="ar"/>
                    </w:rPr>
                    <w:t>0.9</w:t>
                  </w:r>
                </w:p>
              </w:tc>
              <w:tc>
                <w:tcPr>
                  <w:tcW w:w="722" w:type="pct"/>
                  <w:vMerge w:val="continue"/>
                  <w:vAlign w:val="center"/>
                </w:tcPr>
                <w:p w14:paraId="111A4FA3">
                  <w:pPr>
                    <w:widowControl/>
                    <w:jc w:val="center"/>
                    <w:textAlignment w:val="center"/>
                    <w:rPr>
                      <w:color w:val="auto"/>
                      <w:kern w:val="0"/>
                      <w:szCs w:val="21"/>
                      <w:lang w:bidi="ar"/>
                    </w:rPr>
                  </w:pPr>
                </w:p>
              </w:tc>
              <w:tc>
                <w:tcPr>
                  <w:tcW w:w="506" w:type="pct"/>
                  <w:vMerge w:val="continue"/>
                  <w:vAlign w:val="center"/>
                </w:tcPr>
                <w:p w14:paraId="396DD1AB">
                  <w:pPr>
                    <w:widowControl/>
                    <w:jc w:val="center"/>
                    <w:textAlignment w:val="center"/>
                    <w:rPr>
                      <w:color w:val="auto"/>
                      <w:kern w:val="0"/>
                      <w:szCs w:val="21"/>
                      <w:lang w:bidi="ar"/>
                    </w:rPr>
                  </w:pPr>
                </w:p>
              </w:tc>
            </w:tr>
            <w:tr w14:paraId="01892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pct"/>
                  <w:vMerge w:val="restart"/>
                  <w:vAlign w:val="center"/>
                </w:tcPr>
                <w:p w14:paraId="46FB44CC">
                  <w:pPr>
                    <w:pStyle w:val="127"/>
                    <w:rPr>
                      <w:color w:val="auto"/>
                    </w:rPr>
                  </w:pPr>
                  <w:r>
                    <w:rPr>
                      <w:rFonts w:hint="eastAsia"/>
                      <w:color w:val="auto"/>
                    </w:rPr>
                    <w:t>喷清漆</w:t>
                  </w:r>
                </w:p>
              </w:tc>
              <w:tc>
                <w:tcPr>
                  <w:tcW w:w="385" w:type="pct"/>
                  <w:vAlign w:val="center"/>
                </w:tcPr>
                <w:p w14:paraId="308B3095">
                  <w:pPr>
                    <w:pStyle w:val="127"/>
                    <w:rPr>
                      <w:color w:val="auto"/>
                    </w:rPr>
                  </w:pPr>
                  <w:r>
                    <w:rPr>
                      <w:rFonts w:hint="eastAsia"/>
                      <w:color w:val="auto"/>
                    </w:rPr>
                    <w:t>1</w:t>
                  </w:r>
                </w:p>
              </w:tc>
              <w:tc>
                <w:tcPr>
                  <w:tcW w:w="592" w:type="pct"/>
                  <w:vAlign w:val="center"/>
                </w:tcPr>
                <w:p w14:paraId="66D3A23D">
                  <w:pPr>
                    <w:pStyle w:val="127"/>
                    <w:rPr>
                      <w:color w:val="auto"/>
                    </w:rPr>
                  </w:pPr>
                  <w:r>
                    <w:rPr>
                      <w:rFonts w:hint="eastAsia"/>
                      <w:color w:val="auto"/>
                    </w:rPr>
                    <w:t>自动静电喷枪</w:t>
                  </w:r>
                </w:p>
              </w:tc>
              <w:tc>
                <w:tcPr>
                  <w:tcW w:w="355" w:type="pct"/>
                  <w:vAlign w:val="center"/>
                </w:tcPr>
                <w:p w14:paraId="6003DD64">
                  <w:pPr>
                    <w:widowControl/>
                    <w:jc w:val="center"/>
                    <w:textAlignment w:val="center"/>
                    <w:rPr>
                      <w:color w:val="auto"/>
                      <w:szCs w:val="21"/>
                    </w:rPr>
                  </w:pPr>
                  <w:r>
                    <w:rPr>
                      <w:rFonts w:hint="eastAsia"/>
                      <w:color w:val="auto"/>
                      <w:szCs w:val="21"/>
                    </w:rPr>
                    <w:t>1</w:t>
                  </w:r>
                </w:p>
              </w:tc>
              <w:tc>
                <w:tcPr>
                  <w:tcW w:w="592" w:type="pct"/>
                  <w:vAlign w:val="center"/>
                </w:tcPr>
                <w:p w14:paraId="0F51405D">
                  <w:pPr>
                    <w:widowControl/>
                    <w:jc w:val="center"/>
                    <w:textAlignment w:val="center"/>
                    <w:rPr>
                      <w:color w:val="auto"/>
                      <w:szCs w:val="21"/>
                    </w:rPr>
                  </w:pPr>
                  <w:r>
                    <w:rPr>
                      <w:rFonts w:hint="eastAsia"/>
                      <w:color w:val="auto"/>
                      <w:szCs w:val="21"/>
                    </w:rPr>
                    <w:t>6</w:t>
                  </w:r>
                </w:p>
              </w:tc>
              <w:tc>
                <w:tcPr>
                  <w:tcW w:w="482" w:type="pct"/>
                  <w:vAlign w:val="center"/>
                </w:tcPr>
                <w:p w14:paraId="3B1EED01">
                  <w:pPr>
                    <w:widowControl/>
                    <w:jc w:val="center"/>
                    <w:textAlignment w:val="center"/>
                    <w:rPr>
                      <w:color w:val="auto"/>
                      <w:kern w:val="0"/>
                      <w:szCs w:val="21"/>
                      <w:lang w:bidi="ar"/>
                    </w:rPr>
                  </w:pPr>
                  <w:r>
                    <w:rPr>
                      <w:rFonts w:hint="eastAsia"/>
                      <w:color w:val="auto"/>
                      <w:kern w:val="0"/>
                      <w:szCs w:val="21"/>
                      <w:lang w:bidi="ar"/>
                    </w:rPr>
                    <w:t>3000</w:t>
                  </w:r>
                </w:p>
              </w:tc>
              <w:tc>
                <w:tcPr>
                  <w:tcW w:w="699" w:type="pct"/>
                  <w:vAlign w:val="center"/>
                </w:tcPr>
                <w:p w14:paraId="2C770233">
                  <w:pPr>
                    <w:widowControl/>
                    <w:jc w:val="center"/>
                    <w:textAlignment w:val="center"/>
                    <w:rPr>
                      <w:color w:val="auto"/>
                      <w:kern w:val="0"/>
                      <w:szCs w:val="21"/>
                      <w:lang w:bidi="ar"/>
                    </w:rPr>
                  </w:pPr>
                  <w:r>
                    <w:rPr>
                      <w:rFonts w:hint="eastAsia"/>
                      <w:color w:val="auto"/>
                      <w:kern w:val="0"/>
                      <w:szCs w:val="21"/>
                      <w:lang w:bidi="ar"/>
                    </w:rPr>
                    <w:t>18</w:t>
                  </w:r>
                </w:p>
              </w:tc>
              <w:tc>
                <w:tcPr>
                  <w:tcW w:w="722" w:type="pct"/>
                  <w:vMerge w:val="restart"/>
                  <w:vAlign w:val="center"/>
                </w:tcPr>
                <w:p w14:paraId="6C9C3943">
                  <w:pPr>
                    <w:widowControl/>
                    <w:jc w:val="center"/>
                    <w:textAlignment w:val="center"/>
                    <w:rPr>
                      <w:color w:val="auto"/>
                      <w:kern w:val="0"/>
                      <w:szCs w:val="21"/>
                      <w:lang w:bidi="ar"/>
                    </w:rPr>
                  </w:pPr>
                  <w:r>
                    <w:rPr>
                      <w:rFonts w:hint="eastAsia"/>
                      <w:color w:val="auto"/>
                      <w:kern w:val="0"/>
                      <w:szCs w:val="21"/>
                      <w:lang w:bidi="ar"/>
                    </w:rPr>
                    <w:t>4.14</w:t>
                  </w:r>
                </w:p>
              </w:tc>
              <w:tc>
                <w:tcPr>
                  <w:tcW w:w="506" w:type="pct"/>
                  <w:vMerge w:val="restart"/>
                  <w:vAlign w:val="center"/>
                </w:tcPr>
                <w:p w14:paraId="404DBE45">
                  <w:pPr>
                    <w:widowControl/>
                    <w:jc w:val="center"/>
                    <w:textAlignment w:val="center"/>
                    <w:rPr>
                      <w:color w:val="auto"/>
                      <w:kern w:val="0"/>
                      <w:szCs w:val="21"/>
                      <w:lang w:bidi="ar"/>
                    </w:rPr>
                  </w:pPr>
                  <w:r>
                    <w:rPr>
                      <w:rFonts w:hint="eastAsia"/>
                      <w:color w:val="auto"/>
                      <w:kern w:val="0"/>
                      <w:szCs w:val="21"/>
                      <w:lang w:bidi="ar"/>
                    </w:rPr>
                    <w:t>12.8%</w:t>
                  </w:r>
                </w:p>
              </w:tc>
            </w:tr>
            <w:tr w14:paraId="33F7D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pct"/>
                  <w:vMerge w:val="continue"/>
                </w:tcPr>
                <w:p w14:paraId="0657479D">
                  <w:pPr>
                    <w:pStyle w:val="127"/>
                    <w:rPr>
                      <w:color w:val="auto"/>
                    </w:rPr>
                  </w:pPr>
                </w:p>
              </w:tc>
              <w:tc>
                <w:tcPr>
                  <w:tcW w:w="0" w:type="auto"/>
                  <w:vAlign w:val="center"/>
                </w:tcPr>
                <w:p w14:paraId="5D6311A6">
                  <w:pPr>
                    <w:pStyle w:val="127"/>
                    <w:rPr>
                      <w:color w:val="auto"/>
                    </w:rPr>
                  </w:pPr>
                  <w:r>
                    <w:rPr>
                      <w:rFonts w:hint="eastAsia"/>
                      <w:color w:val="auto"/>
                    </w:rPr>
                    <w:t>3</w:t>
                  </w:r>
                </w:p>
              </w:tc>
              <w:tc>
                <w:tcPr>
                  <w:tcW w:w="0" w:type="auto"/>
                  <w:vAlign w:val="center"/>
                </w:tcPr>
                <w:p w14:paraId="3CA8FACF">
                  <w:pPr>
                    <w:pStyle w:val="127"/>
                    <w:rPr>
                      <w:color w:val="auto"/>
                    </w:rPr>
                  </w:pPr>
                  <w:r>
                    <w:rPr>
                      <w:rFonts w:hint="eastAsia"/>
                      <w:color w:val="auto"/>
                    </w:rPr>
                    <w:t>手动静电喷枪</w:t>
                  </w:r>
                </w:p>
              </w:tc>
              <w:tc>
                <w:tcPr>
                  <w:tcW w:w="0" w:type="auto"/>
                  <w:vAlign w:val="center"/>
                </w:tcPr>
                <w:p w14:paraId="39AAA833">
                  <w:pPr>
                    <w:widowControl/>
                    <w:jc w:val="center"/>
                    <w:textAlignment w:val="center"/>
                    <w:rPr>
                      <w:color w:val="auto"/>
                      <w:szCs w:val="21"/>
                    </w:rPr>
                  </w:pPr>
                  <w:r>
                    <w:rPr>
                      <w:rFonts w:hint="eastAsia"/>
                      <w:color w:val="auto"/>
                      <w:szCs w:val="21"/>
                    </w:rPr>
                    <w:t>3</w:t>
                  </w:r>
                </w:p>
              </w:tc>
              <w:tc>
                <w:tcPr>
                  <w:tcW w:w="0" w:type="auto"/>
                  <w:vAlign w:val="center"/>
                </w:tcPr>
                <w:p w14:paraId="63036D90">
                  <w:pPr>
                    <w:widowControl/>
                    <w:jc w:val="center"/>
                    <w:textAlignment w:val="center"/>
                    <w:rPr>
                      <w:color w:val="auto"/>
                      <w:szCs w:val="21"/>
                    </w:rPr>
                  </w:pPr>
                  <w:r>
                    <w:rPr>
                      <w:rFonts w:hint="eastAsia"/>
                      <w:color w:val="auto"/>
                      <w:szCs w:val="21"/>
                    </w:rPr>
                    <w:t>1.5</w:t>
                  </w:r>
                </w:p>
              </w:tc>
              <w:tc>
                <w:tcPr>
                  <w:tcW w:w="0" w:type="auto"/>
                  <w:vAlign w:val="center"/>
                </w:tcPr>
                <w:p w14:paraId="158F20A1">
                  <w:pPr>
                    <w:widowControl/>
                    <w:jc w:val="center"/>
                    <w:textAlignment w:val="center"/>
                    <w:rPr>
                      <w:color w:val="auto"/>
                      <w:kern w:val="0"/>
                      <w:szCs w:val="21"/>
                      <w:lang w:bidi="ar"/>
                    </w:rPr>
                  </w:pPr>
                  <w:r>
                    <w:rPr>
                      <w:rFonts w:hint="eastAsia"/>
                      <w:color w:val="auto"/>
                      <w:kern w:val="0"/>
                      <w:szCs w:val="21"/>
                      <w:lang w:bidi="ar"/>
                    </w:rPr>
                    <w:t>3000</w:t>
                  </w:r>
                </w:p>
              </w:tc>
              <w:tc>
                <w:tcPr>
                  <w:tcW w:w="0" w:type="auto"/>
                  <w:vAlign w:val="center"/>
                </w:tcPr>
                <w:p w14:paraId="2EE388DF">
                  <w:pPr>
                    <w:widowControl/>
                    <w:jc w:val="center"/>
                    <w:textAlignment w:val="center"/>
                    <w:rPr>
                      <w:color w:val="auto"/>
                      <w:kern w:val="0"/>
                      <w:szCs w:val="21"/>
                      <w:lang w:bidi="ar"/>
                    </w:rPr>
                  </w:pPr>
                  <w:r>
                    <w:rPr>
                      <w:rFonts w:hint="eastAsia"/>
                      <w:color w:val="auto"/>
                      <w:kern w:val="0"/>
                      <w:szCs w:val="21"/>
                      <w:lang w:bidi="ar"/>
                    </w:rPr>
                    <w:t>13.5</w:t>
                  </w:r>
                </w:p>
              </w:tc>
              <w:tc>
                <w:tcPr>
                  <w:tcW w:w="722" w:type="pct"/>
                  <w:vMerge w:val="continue"/>
                </w:tcPr>
                <w:p w14:paraId="6A069851">
                  <w:pPr>
                    <w:widowControl/>
                    <w:jc w:val="center"/>
                    <w:textAlignment w:val="center"/>
                    <w:rPr>
                      <w:color w:val="auto"/>
                      <w:kern w:val="0"/>
                      <w:szCs w:val="21"/>
                      <w:lang w:bidi="ar"/>
                    </w:rPr>
                  </w:pPr>
                </w:p>
              </w:tc>
              <w:tc>
                <w:tcPr>
                  <w:tcW w:w="506" w:type="pct"/>
                  <w:vMerge w:val="continue"/>
                </w:tcPr>
                <w:p w14:paraId="1A0E5C4E">
                  <w:pPr>
                    <w:widowControl/>
                    <w:jc w:val="center"/>
                    <w:textAlignment w:val="center"/>
                    <w:rPr>
                      <w:color w:val="auto"/>
                      <w:kern w:val="0"/>
                      <w:szCs w:val="21"/>
                      <w:lang w:bidi="ar"/>
                    </w:rPr>
                  </w:pPr>
                </w:p>
              </w:tc>
            </w:tr>
            <w:tr w14:paraId="0E5D1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pct"/>
                  <w:vMerge w:val="continue"/>
                </w:tcPr>
                <w:p w14:paraId="4759144D">
                  <w:pPr>
                    <w:pStyle w:val="127"/>
                    <w:rPr>
                      <w:color w:val="auto"/>
                    </w:rPr>
                  </w:pPr>
                </w:p>
              </w:tc>
              <w:tc>
                <w:tcPr>
                  <w:tcW w:w="0" w:type="auto"/>
                  <w:vAlign w:val="center"/>
                </w:tcPr>
                <w:p w14:paraId="3F6C9F92">
                  <w:pPr>
                    <w:pStyle w:val="127"/>
                    <w:rPr>
                      <w:color w:val="auto"/>
                    </w:rPr>
                  </w:pPr>
                  <w:r>
                    <w:rPr>
                      <w:rFonts w:hint="eastAsia"/>
                      <w:color w:val="auto"/>
                    </w:rPr>
                    <w:t>1</w:t>
                  </w:r>
                </w:p>
              </w:tc>
              <w:tc>
                <w:tcPr>
                  <w:tcW w:w="0" w:type="auto"/>
                  <w:vAlign w:val="center"/>
                </w:tcPr>
                <w:p w14:paraId="45327676">
                  <w:pPr>
                    <w:pStyle w:val="127"/>
                    <w:rPr>
                      <w:color w:val="auto"/>
                    </w:rPr>
                  </w:pPr>
                  <w:r>
                    <w:rPr>
                      <w:rFonts w:hint="eastAsia"/>
                      <w:color w:val="auto"/>
                    </w:rPr>
                    <w:t>手动静电喷枪</w:t>
                  </w:r>
                </w:p>
              </w:tc>
              <w:tc>
                <w:tcPr>
                  <w:tcW w:w="0" w:type="auto"/>
                  <w:vAlign w:val="center"/>
                </w:tcPr>
                <w:p w14:paraId="3BF75F37">
                  <w:pPr>
                    <w:widowControl/>
                    <w:jc w:val="center"/>
                    <w:textAlignment w:val="center"/>
                    <w:rPr>
                      <w:color w:val="auto"/>
                      <w:szCs w:val="21"/>
                    </w:rPr>
                  </w:pPr>
                  <w:r>
                    <w:rPr>
                      <w:rFonts w:hint="eastAsia"/>
                      <w:color w:val="auto"/>
                      <w:szCs w:val="21"/>
                    </w:rPr>
                    <w:t>1</w:t>
                  </w:r>
                </w:p>
              </w:tc>
              <w:tc>
                <w:tcPr>
                  <w:tcW w:w="0" w:type="auto"/>
                  <w:vAlign w:val="center"/>
                </w:tcPr>
                <w:p w14:paraId="1C0C8C5C">
                  <w:pPr>
                    <w:widowControl/>
                    <w:jc w:val="center"/>
                    <w:textAlignment w:val="center"/>
                    <w:rPr>
                      <w:color w:val="auto"/>
                      <w:szCs w:val="21"/>
                    </w:rPr>
                  </w:pPr>
                  <w:r>
                    <w:rPr>
                      <w:rFonts w:hint="eastAsia"/>
                      <w:color w:val="auto"/>
                      <w:szCs w:val="21"/>
                    </w:rPr>
                    <w:t>1.5</w:t>
                  </w:r>
                </w:p>
              </w:tc>
              <w:tc>
                <w:tcPr>
                  <w:tcW w:w="0" w:type="auto"/>
                  <w:vAlign w:val="center"/>
                </w:tcPr>
                <w:p w14:paraId="287174EC">
                  <w:pPr>
                    <w:widowControl/>
                    <w:jc w:val="center"/>
                    <w:textAlignment w:val="center"/>
                    <w:rPr>
                      <w:color w:val="auto"/>
                      <w:kern w:val="0"/>
                      <w:szCs w:val="21"/>
                      <w:lang w:bidi="ar"/>
                    </w:rPr>
                  </w:pPr>
                  <w:r>
                    <w:rPr>
                      <w:rFonts w:hint="eastAsia"/>
                      <w:color w:val="auto"/>
                      <w:kern w:val="0"/>
                      <w:szCs w:val="21"/>
                      <w:lang w:bidi="ar"/>
                    </w:rPr>
                    <w:t>600</w:t>
                  </w:r>
                </w:p>
              </w:tc>
              <w:tc>
                <w:tcPr>
                  <w:tcW w:w="0" w:type="auto"/>
                  <w:vAlign w:val="center"/>
                </w:tcPr>
                <w:p w14:paraId="239F50DC">
                  <w:pPr>
                    <w:widowControl/>
                    <w:jc w:val="center"/>
                    <w:textAlignment w:val="center"/>
                    <w:rPr>
                      <w:color w:val="auto"/>
                      <w:kern w:val="0"/>
                      <w:szCs w:val="21"/>
                      <w:lang w:bidi="ar"/>
                    </w:rPr>
                  </w:pPr>
                  <w:r>
                    <w:rPr>
                      <w:rFonts w:hint="eastAsia"/>
                      <w:color w:val="auto"/>
                      <w:kern w:val="0"/>
                      <w:szCs w:val="21"/>
                      <w:lang w:bidi="ar"/>
                    </w:rPr>
                    <w:t>0.9</w:t>
                  </w:r>
                </w:p>
              </w:tc>
              <w:tc>
                <w:tcPr>
                  <w:tcW w:w="722" w:type="pct"/>
                  <w:vMerge w:val="continue"/>
                </w:tcPr>
                <w:p w14:paraId="31EDDA92">
                  <w:pPr>
                    <w:widowControl/>
                    <w:jc w:val="center"/>
                    <w:textAlignment w:val="center"/>
                    <w:rPr>
                      <w:color w:val="auto"/>
                      <w:kern w:val="0"/>
                      <w:szCs w:val="21"/>
                      <w:lang w:bidi="ar"/>
                    </w:rPr>
                  </w:pPr>
                </w:p>
              </w:tc>
              <w:tc>
                <w:tcPr>
                  <w:tcW w:w="506" w:type="pct"/>
                  <w:vMerge w:val="continue"/>
                </w:tcPr>
                <w:p w14:paraId="0CE6D3EE">
                  <w:pPr>
                    <w:widowControl/>
                    <w:jc w:val="center"/>
                    <w:textAlignment w:val="center"/>
                    <w:rPr>
                      <w:color w:val="auto"/>
                      <w:kern w:val="0"/>
                      <w:szCs w:val="21"/>
                      <w:lang w:bidi="ar"/>
                    </w:rPr>
                  </w:pPr>
                </w:p>
              </w:tc>
            </w:tr>
          </w:tbl>
          <w:p w14:paraId="234DE8F2">
            <w:pPr>
              <w:spacing w:line="360" w:lineRule="auto"/>
              <w:ind w:firstLine="480" w:firstLineChars="200"/>
              <w:rPr>
                <w:color w:val="auto"/>
              </w:rPr>
            </w:pPr>
            <w:r>
              <w:rPr>
                <w:rFonts w:hint="eastAsia"/>
                <w:color w:val="auto"/>
                <w:kern w:val="0"/>
                <w:sz w:val="24"/>
                <w:lang w:bidi="ar"/>
              </w:rPr>
              <w:t>综上</w:t>
            </w:r>
            <w:r>
              <w:rPr>
                <w:color w:val="auto"/>
                <w:kern w:val="0"/>
                <w:sz w:val="24"/>
                <w:lang w:bidi="ar"/>
              </w:rPr>
              <w:t>，项目</w:t>
            </w:r>
            <w:r>
              <w:rPr>
                <w:rFonts w:hint="eastAsia"/>
                <w:color w:val="auto"/>
                <w:kern w:val="0"/>
                <w:sz w:val="24"/>
                <w:lang w:bidi="ar"/>
              </w:rPr>
              <w:t>喷涂线的生产能力</w:t>
            </w:r>
            <w:r>
              <w:rPr>
                <w:color w:val="auto"/>
                <w:kern w:val="0"/>
                <w:sz w:val="24"/>
                <w:lang w:bidi="ar"/>
              </w:rPr>
              <w:t>能满足项目生产需求。</w:t>
            </w:r>
          </w:p>
          <w:p w14:paraId="7EEE5078">
            <w:pPr>
              <w:adjustRightInd w:val="0"/>
              <w:snapToGrid w:val="0"/>
              <w:spacing w:line="360" w:lineRule="auto"/>
              <w:ind w:left="-62" w:firstLine="482"/>
              <w:rPr>
                <w:b/>
                <w:color w:val="auto"/>
                <w:sz w:val="24"/>
              </w:rPr>
            </w:pPr>
            <w:r>
              <w:rPr>
                <w:b/>
                <w:color w:val="auto"/>
                <w:sz w:val="24"/>
              </w:rPr>
              <w:t>3、原辅材料及能源消耗情况</w:t>
            </w:r>
          </w:p>
          <w:p w14:paraId="17921384">
            <w:pPr>
              <w:pStyle w:val="6"/>
              <w:ind w:left="0" w:leftChars="0" w:firstLine="482" w:firstLineChars="200"/>
              <w:rPr>
                <w:b/>
                <w:color w:val="auto"/>
                <w:sz w:val="24"/>
              </w:rPr>
            </w:pPr>
            <w:r>
              <w:rPr>
                <w:b/>
                <w:color w:val="auto"/>
                <w:sz w:val="24"/>
              </w:rPr>
              <w:t>（1）原辅材料及能源消耗情况</w:t>
            </w:r>
          </w:p>
          <w:p w14:paraId="5A03759C">
            <w:pPr>
              <w:numPr>
                <w:ilvl w:val="0"/>
                <w:numId w:val="10"/>
              </w:numPr>
              <w:adjustRightInd w:val="0"/>
              <w:snapToGrid w:val="0"/>
              <w:jc w:val="center"/>
              <w:rPr>
                <w:b/>
                <w:color w:val="auto"/>
                <w:szCs w:val="21"/>
              </w:rPr>
            </w:pPr>
            <w:r>
              <w:rPr>
                <w:b/>
                <w:color w:val="auto"/>
                <w:szCs w:val="21"/>
              </w:rPr>
              <w:t>项目原辅材料年耗量一览表</w:t>
            </w:r>
          </w:p>
          <w:tbl>
            <w:tblPr>
              <w:tblStyle w:val="3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4"/>
              <w:gridCol w:w="1344"/>
              <w:gridCol w:w="1254"/>
              <w:gridCol w:w="1328"/>
              <w:gridCol w:w="1456"/>
              <w:gridCol w:w="2110"/>
            </w:tblGrid>
            <w:tr w14:paraId="2C49D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51C3C686">
                  <w:pPr>
                    <w:pStyle w:val="127"/>
                    <w:rPr>
                      <w:b/>
                      <w:bCs/>
                      <w:color w:val="auto"/>
                    </w:rPr>
                  </w:pPr>
                  <w:r>
                    <w:rPr>
                      <w:b/>
                      <w:bCs/>
                      <w:color w:val="auto"/>
                    </w:rPr>
                    <w:t>名称</w:t>
                  </w:r>
                </w:p>
              </w:tc>
              <w:tc>
                <w:tcPr>
                  <w:tcW w:w="730" w:type="pct"/>
                  <w:vAlign w:val="center"/>
                </w:tcPr>
                <w:p w14:paraId="5EA3EF40">
                  <w:pPr>
                    <w:pStyle w:val="127"/>
                    <w:rPr>
                      <w:b/>
                      <w:bCs/>
                      <w:color w:val="auto"/>
                    </w:rPr>
                  </w:pPr>
                  <w:r>
                    <w:rPr>
                      <w:b/>
                      <w:bCs/>
                      <w:color w:val="auto"/>
                    </w:rPr>
                    <w:t>年用量（t）</w:t>
                  </w:r>
                </w:p>
              </w:tc>
              <w:tc>
                <w:tcPr>
                  <w:tcW w:w="681" w:type="pct"/>
                  <w:vAlign w:val="center"/>
                </w:tcPr>
                <w:p w14:paraId="521E4BA8">
                  <w:pPr>
                    <w:pStyle w:val="127"/>
                    <w:rPr>
                      <w:b/>
                      <w:bCs/>
                      <w:color w:val="auto"/>
                    </w:rPr>
                  </w:pPr>
                  <w:r>
                    <w:rPr>
                      <w:b/>
                      <w:bCs/>
                      <w:color w:val="auto"/>
                    </w:rPr>
                    <w:t>包装规格</w:t>
                  </w:r>
                </w:p>
              </w:tc>
              <w:tc>
                <w:tcPr>
                  <w:tcW w:w="721" w:type="pct"/>
                  <w:vAlign w:val="center"/>
                </w:tcPr>
                <w:p w14:paraId="6F494AF6">
                  <w:pPr>
                    <w:pStyle w:val="127"/>
                    <w:rPr>
                      <w:b/>
                      <w:bCs/>
                      <w:color w:val="auto"/>
                    </w:rPr>
                  </w:pPr>
                  <w:r>
                    <w:rPr>
                      <w:b/>
                      <w:bCs/>
                      <w:color w:val="auto"/>
                    </w:rPr>
                    <w:t>物料形态</w:t>
                  </w:r>
                </w:p>
              </w:tc>
              <w:tc>
                <w:tcPr>
                  <w:tcW w:w="791" w:type="pct"/>
                  <w:vAlign w:val="center"/>
                </w:tcPr>
                <w:p w14:paraId="69CDC4E3">
                  <w:pPr>
                    <w:pStyle w:val="127"/>
                    <w:rPr>
                      <w:b/>
                      <w:bCs/>
                      <w:color w:val="auto"/>
                    </w:rPr>
                  </w:pPr>
                  <w:r>
                    <w:rPr>
                      <w:b/>
                      <w:bCs/>
                      <w:color w:val="auto"/>
                    </w:rPr>
                    <w:t>厂区最大储存量（t）</w:t>
                  </w:r>
                </w:p>
              </w:tc>
              <w:tc>
                <w:tcPr>
                  <w:tcW w:w="1143" w:type="pct"/>
                  <w:vAlign w:val="center"/>
                </w:tcPr>
                <w:p w14:paraId="16072CAE">
                  <w:pPr>
                    <w:pStyle w:val="127"/>
                    <w:rPr>
                      <w:b/>
                      <w:bCs/>
                      <w:color w:val="auto"/>
                    </w:rPr>
                  </w:pPr>
                  <w:r>
                    <w:rPr>
                      <w:b/>
                      <w:bCs/>
                      <w:color w:val="auto"/>
                    </w:rPr>
                    <w:t>对应工序</w:t>
                  </w:r>
                </w:p>
              </w:tc>
            </w:tr>
            <w:tr w14:paraId="5283B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28E91BA2">
                  <w:pPr>
                    <w:pStyle w:val="127"/>
                    <w:rPr>
                      <w:color w:val="auto"/>
                    </w:rPr>
                  </w:pPr>
                  <w:r>
                    <w:rPr>
                      <w:rFonts w:hint="eastAsia"/>
                      <w:color w:val="auto"/>
                    </w:rPr>
                    <w:t>自行车车架</w:t>
                  </w:r>
                </w:p>
                <w:p w14:paraId="11D5CE80">
                  <w:pPr>
                    <w:pStyle w:val="127"/>
                    <w:rPr>
                      <w:color w:val="auto"/>
                    </w:rPr>
                  </w:pPr>
                  <w:r>
                    <w:rPr>
                      <w:rFonts w:hint="eastAsia"/>
                      <w:color w:val="auto"/>
                    </w:rPr>
                    <w:t>（碳钢）</w:t>
                  </w:r>
                </w:p>
              </w:tc>
              <w:tc>
                <w:tcPr>
                  <w:tcW w:w="730" w:type="pct"/>
                  <w:vAlign w:val="center"/>
                </w:tcPr>
                <w:p w14:paraId="525FC443">
                  <w:pPr>
                    <w:widowControl/>
                    <w:jc w:val="center"/>
                    <w:textAlignment w:val="center"/>
                    <w:rPr>
                      <w:snapToGrid w:val="0"/>
                      <w:color w:val="auto"/>
                      <w:kern w:val="0"/>
                      <w:szCs w:val="20"/>
                    </w:rPr>
                  </w:pPr>
                  <w:r>
                    <w:rPr>
                      <w:color w:val="auto"/>
                      <w:kern w:val="0"/>
                      <w:szCs w:val="21"/>
                      <w:lang w:bidi="ar"/>
                    </w:rPr>
                    <w:t xml:space="preserve">446 </w:t>
                  </w:r>
                </w:p>
              </w:tc>
              <w:tc>
                <w:tcPr>
                  <w:tcW w:w="681" w:type="pct"/>
                  <w:vAlign w:val="center"/>
                </w:tcPr>
                <w:p w14:paraId="3EF92E48">
                  <w:pPr>
                    <w:pStyle w:val="127"/>
                    <w:rPr>
                      <w:color w:val="auto"/>
                    </w:rPr>
                  </w:pPr>
                  <w:r>
                    <w:rPr>
                      <w:color w:val="auto"/>
                    </w:rPr>
                    <w:t>/</w:t>
                  </w:r>
                </w:p>
              </w:tc>
              <w:tc>
                <w:tcPr>
                  <w:tcW w:w="721" w:type="pct"/>
                  <w:vAlign w:val="center"/>
                </w:tcPr>
                <w:p w14:paraId="7871683B">
                  <w:pPr>
                    <w:pStyle w:val="127"/>
                    <w:rPr>
                      <w:color w:val="auto"/>
                    </w:rPr>
                  </w:pPr>
                  <w:r>
                    <w:rPr>
                      <w:color w:val="auto"/>
                    </w:rPr>
                    <w:t>固态</w:t>
                  </w:r>
                </w:p>
              </w:tc>
              <w:tc>
                <w:tcPr>
                  <w:tcW w:w="791" w:type="pct"/>
                  <w:vAlign w:val="center"/>
                </w:tcPr>
                <w:p w14:paraId="31B884BD">
                  <w:pPr>
                    <w:pStyle w:val="127"/>
                    <w:rPr>
                      <w:color w:val="auto"/>
                    </w:rPr>
                  </w:pPr>
                  <w:r>
                    <w:rPr>
                      <w:rFonts w:hint="eastAsia"/>
                      <w:color w:val="auto"/>
                    </w:rPr>
                    <w:t>10.7</w:t>
                  </w:r>
                </w:p>
              </w:tc>
              <w:tc>
                <w:tcPr>
                  <w:tcW w:w="1143" w:type="pct"/>
                  <w:vMerge w:val="restart"/>
                  <w:vAlign w:val="center"/>
                </w:tcPr>
                <w:p w14:paraId="0EC91051">
                  <w:pPr>
                    <w:pStyle w:val="127"/>
                    <w:rPr>
                      <w:color w:val="auto"/>
                    </w:rPr>
                  </w:pPr>
                  <w:r>
                    <w:rPr>
                      <w:color w:val="auto"/>
                    </w:rPr>
                    <w:t>原材料</w:t>
                  </w:r>
                </w:p>
              </w:tc>
            </w:tr>
            <w:tr w14:paraId="55AAA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22D438FE">
                  <w:pPr>
                    <w:pStyle w:val="127"/>
                    <w:rPr>
                      <w:color w:val="auto"/>
                    </w:rPr>
                  </w:pPr>
                  <w:r>
                    <w:rPr>
                      <w:rFonts w:hint="eastAsia"/>
                      <w:color w:val="auto"/>
                    </w:rPr>
                    <w:t>自行车车架</w:t>
                  </w:r>
                </w:p>
                <w:p w14:paraId="429B324E">
                  <w:pPr>
                    <w:pStyle w:val="127"/>
                    <w:rPr>
                      <w:color w:val="auto"/>
                    </w:rPr>
                  </w:pPr>
                  <w:r>
                    <w:rPr>
                      <w:rFonts w:hint="eastAsia"/>
                      <w:color w:val="auto"/>
                    </w:rPr>
                    <w:t>（铝材）</w:t>
                  </w:r>
                </w:p>
              </w:tc>
              <w:tc>
                <w:tcPr>
                  <w:tcW w:w="730" w:type="pct"/>
                  <w:vAlign w:val="center"/>
                </w:tcPr>
                <w:p w14:paraId="56E59F7E">
                  <w:pPr>
                    <w:widowControl/>
                    <w:jc w:val="center"/>
                    <w:textAlignment w:val="center"/>
                    <w:rPr>
                      <w:snapToGrid w:val="0"/>
                      <w:color w:val="auto"/>
                      <w:kern w:val="0"/>
                      <w:szCs w:val="20"/>
                    </w:rPr>
                  </w:pPr>
                  <w:r>
                    <w:rPr>
                      <w:color w:val="auto"/>
                      <w:kern w:val="0"/>
                      <w:szCs w:val="21"/>
                      <w:lang w:bidi="ar"/>
                    </w:rPr>
                    <w:t xml:space="preserve">119 </w:t>
                  </w:r>
                </w:p>
              </w:tc>
              <w:tc>
                <w:tcPr>
                  <w:tcW w:w="681" w:type="pct"/>
                  <w:vAlign w:val="center"/>
                </w:tcPr>
                <w:p w14:paraId="422497B7">
                  <w:pPr>
                    <w:pStyle w:val="127"/>
                    <w:rPr>
                      <w:color w:val="auto"/>
                    </w:rPr>
                  </w:pPr>
                  <w:r>
                    <w:rPr>
                      <w:color w:val="auto"/>
                    </w:rPr>
                    <w:t>/</w:t>
                  </w:r>
                </w:p>
              </w:tc>
              <w:tc>
                <w:tcPr>
                  <w:tcW w:w="721" w:type="pct"/>
                  <w:vAlign w:val="center"/>
                </w:tcPr>
                <w:p w14:paraId="10DD1363">
                  <w:pPr>
                    <w:pStyle w:val="127"/>
                    <w:rPr>
                      <w:color w:val="auto"/>
                    </w:rPr>
                  </w:pPr>
                  <w:r>
                    <w:rPr>
                      <w:color w:val="auto"/>
                    </w:rPr>
                    <w:t>固态</w:t>
                  </w:r>
                </w:p>
              </w:tc>
              <w:tc>
                <w:tcPr>
                  <w:tcW w:w="791" w:type="pct"/>
                  <w:vAlign w:val="center"/>
                </w:tcPr>
                <w:p w14:paraId="0C3D7085">
                  <w:pPr>
                    <w:pStyle w:val="127"/>
                    <w:rPr>
                      <w:color w:val="auto"/>
                    </w:rPr>
                  </w:pPr>
                  <w:r>
                    <w:rPr>
                      <w:rFonts w:hint="eastAsia"/>
                      <w:color w:val="auto"/>
                    </w:rPr>
                    <w:t>2.6</w:t>
                  </w:r>
                </w:p>
              </w:tc>
              <w:tc>
                <w:tcPr>
                  <w:tcW w:w="1143" w:type="pct"/>
                  <w:vMerge w:val="continue"/>
                  <w:vAlign w:val="center"/>
                </w:tcPr>
                <w:p w14:paraId="2C125098">
                  <w:pPr>
                    <w:pStyle w:val="127"/>
                    <w:rPr>
                      <w:snapToGrid w:val="0"/>
                      <w:color w:val="auto"/>
                    </w:rPr>
                  </w:pPr>
                </w:p>
              </w:tc>
            </w:tr>
            <w:tr w14:paraId="64DD0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0FA80603">
                  <w:pPr>
                    <w:pStyle w:val="127"/>
                    <w:rPr>
                      <w:color w:val="auto"/>
                    </w:rPr>
                  </w:pPr>
                  <w:r>
                    <w:rPr>
                      <w:rFonts w:hint="eastAsia"/>
                      <w:color w:val="auto"/>
                    </w:rPr>
                    <w:t>电动助力车车架</w:t>
                  </w:r>
                </w:p>
                <w:p w14:paraId="3BFB6952">
                  <w:pPr>
                    <w:pStyle w:val="127"/>
                    <w:rPr>
                      <w:color w:val="auto"/>
                    </w:rPr>
                  </w:pPr>
                  <w:r>
                    <w:rPr>
                      <w:rFonts w:hint="eastAsia"/>
                      <w:color w:val="auto"/>
                    </w:rPr>
                    <w:t>（碳钢）</w:t>
                  </w:r>
                </w:p>
              </w:tc>
              <w:tc>
                <w:tcPr>
                  <w:tcW w:w="730" w:type="pct"/>
                  <w:vAlign w:val="center"/>
                </w:tcPr>
                <w:p w14:paraId="37044C86">
                  <w:pPr>
                    <w:widowControl/>
                    <w:jc w:val="center"/>
                    <w:textAlignment w:val="center"/>
                    <w:rPr>
                      <w:snapToGrid w:val="0"/>
                      <w:color w:val="auto"/>
                      <w:kern w:val="0"/>
                      <w:szCs w:val="20"/>
                    </w:rPr>
                  </w:pPr>
                  <w:r>
                    <w:rPr>
                      <w:color w:val="auto"/>
                      <w:kern w:val="0"/>
                      <w:szCs w:val="21"/>
                      <w:lang w:bidi="ar"/>
                    </w:rPr>
                    <w:t xml:space="preserve">554 </w:t>
                  </w:r>
                </w:p>
              </w:tc>
              <w:tc>
                <w:tcPr>
                  <w:tcW w:w="681" w:type="pct"/>
                  <w:vAlign w:val="center"/>
                </w:tcPr>
                <w:p w14:paraId="3AF89370">
                  <w:pPr>
                    <w:pStyle w:val="127"/>
                    <w:rPr>
                      <w:color w:val="auto"/>
                    </w:rPr>
                  </w:pPr>
                  <w:r>
                    <w:rPr>
                      <w:color w:val="auto"/>
                    </w:rPr>
                    <w:t>/</w:t>
                  </w:r>
                </w:p>
              </w:tc>
              <w:tc>
                <w:tcPr>
                  <w:tcW w:w="721" w:type="pct"/>
                  <w:vAlign w:val="center"/>
                </w:tcPr>
                <w:p w14:paraId="6D3CF299">
                  <w:pPr>
                    <w:pStyle w:val="127"/>
                    <w:rPr>
                      <w:color w:val="auto"/>
                    </w:rPr>
                  </w:pPr>
                  <w:r>
                    <w:rPr>
                      <w:color w:val="auto"/>
                    </w:rPr>
                    <w:t>固态</w:t>
                  </w:r>
                </w:p>
              </w:tc>
              <w:tc>
                <w:tcPr>
                  <w:tcW w:w="791" w:type="pct"/>
                  <w:vAlign w:val="center"/>
                </w:tcPr>
                <w:p w14:paraId="5633B94A">
                  <w:pPr>
                    <w:pStyle w:val="127"/>
                    <w:rPr>
                      <w:color w:val="auto"/>
                    </w:rPr>
                  </w:pPr>
                  <w:r>
                    <w:rPr>
                      <w:rFonts w:hint="eastAsia"/>
                      <w:color w:val="auto"/>
                    </w:rPr>
                    <w:t>13.2</w:t>
                  </w:r>
                </w:p>
              </w:tc>
              <w:tc>
                <w:tcPr>
                  <w:tcW w:w="1143" w:type="pct"/>
                  <w:vMerge w:val="continue"/>
                  <w:vAlign w:val="center"/>
                </w:tcPr>
                <w:p w14:paraId="19582054">
                  <w:pPr>
                    <w:pStyle w:val="127"/>
                    <w:rPr>
                      <w:snapToGrid w:val="0"/>
                      <w:color w:val="auto"/>
                    </w:rPr>
                  </w:pPr>
                </w:p>
              </w:tc>
            </w:tr>
            <w:tr w14:paraId="69701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pct"/>
                  <w:vAlign w:val="center"/>
                </w:tcPr>
                <w:p w14:paraId="0E1CF801">
                  <w:pPr>
                    <w:pStyle w:val="127"/>
                    <w:rPr>
                      <w:color w:val="auto"/>
                    </w:rPr>
                  </w:pPr>
                  <w:r>
                    <w:rPr>
                      <w:rFonts w:hint="eastAsia"/>
                      <w:color w:val="auto"/>
                    </w:rPr>
                    <w:t>电动助力车车架</w:t>
                  </w:r>
                </w:p>
                <w:p w14:paraId="0862F19E">
                  <w:pPr>
                    <w:pStyle w:val="127"/>
                    <w:rPr>
                      <w:color w:val="auto"/>
                    </w:rPr>
                  </w:pPr>
                  <w:r>
                    <w:rPr>
                      <w:rFonts w:hint="eastAsia"/>
                      <w:color w:val="auto"/>
                    </w:rPr>
                    <w:t>（铝材）</w:t>
                  </w:r>
                </w:p>
              </w:tc>
              <w:tc>
                <w:tcPr>
                  <w:tcW w:w="730" w:type="pct"/>
                  <w:vAlign w:val="center"/>
                </w:tcPr>
                <w:p w14:paraId="56DBF72A">
                  <w:pPr>
                    <w:widowControl/>
                    <w:jc w:val="center"/>
                    <w:textAlignment w:val="center"/>
                    <w:rPr>
                      <w:b/>
                      <w:bCs/>
                      <w:snapToGrid w:val="0"/>
                      <w:color w:val="auto"/>
                      <w:kern w:val="0"/>
                      <w:szCs w:val="20"/>
                    </w:rPr>
                  </w:pPr>
                  <w:r>
                    <w:rPr>
                      <w:color w:val="auto"/>
                      <w:kern w:val="0"/>
                      <w:szCs w:val="21"/>
                      <w:lang w:bidi="ar"/>
                    </w:rPr>
                    <w:t xml:space="preserve">158 </w:t>
                  </w:r>
                </w:p>
              </w:tc>
              <w:tc>
                <w:tcPr>
                  <w:tcW w:w="681" w:type="pct"/>
                  <w:vAlign w:val="center"/>
                </w:tcPr>
                <w:p w14:paraId="4FA5EC03">
                  <w:pPr>
                    <w:pStyle w:val="127"/>
                    <w:rPr>
                      <w:snapToGrid w:val="0"/>
                      <w:color w:val="auto"/>
                    </w:rPr>
                  </w:pPr>
                  <w:r>
                    <w:rPr>
                      <w:snapToGrid w:val="0"/>
                      <w:color w:val="auto"/>
                    </w:rPr>
                    <w:t>/</w:t>
                  </w:r>
                </w:p>
              </w:tc>
              <w:tc>
                <w:tcPr>
                  <w:tcW w:w="721" w:type="pct"/>
                  <w:vAlign w:val="center"/>
                </w:tcPr>
                <w:p w14:paraId="2B5BFC31">
                  <w:pPr>
                    <w:pStyle w:val="127"/>
                    <w:rPr>
                      <w:snapToGrid w:val="0"/>
                      <w:color w:val="auto"/>
                    </w:rPr>
                  </w:pPr>
                  <w:r>
                    <w:rPr>
                      <w:color w:val="auto"/>
                    </w:rPr>
                    <w:t>固态</w:t>
                  </w:r>
                </w:p>
              </w:tc>
              <w:tc>
                <w:tcPr>
                  <w:tcW w:w="791" w:type="pct"/>
                  <w:vAlign w:val="center"/>
                </w:tcPr>
                <w:p w14:paraId="02E6BA1F">
                  <w:pPr>
                    <w:pStyle w:val="127"/>
                    <w:rPr>
                      <w:snapToGrid w:val="0"/>
                      <w:color w:val="auto"/>
                    </w:rPr>
                  </w:pPr>
                  <w:r>
                    <w:rPr>
                      <w:rFonts w:hint="eastAsia"/>
                      <w:snapToGrid w:val="0"/>
                      <w:color w:val="auto"/>
                    </w:rPr>
                    <w:t>3.5</w:t>
                  </w:r>
                </w:p>
              </w:tc>
              <w:tc>
                <w:tcPr>
                  <w:tcW w:w="1143" w:type="pct"/>
                  <w:vMerge w:val="continue"/>
                  <w:vAlign w:val="center"/>
                </w:tcPr>
                <w:p w14:paraId="687EF453">
                  <w:pPr>
                    <w:pStyle w:val="127"/>
                    <w:rPr>
                      <w:snapToGrid w:val="0"/>
                      <w:color w:val="auto"/>
                    </w:rPr>
                  </w:pPr>
                </w:p>
              </w:tc>
            </w:tr>
            <w:tr w14:paraId="713C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pct"/>
                  <w:vAlign w:val="center"/>
                </w:tcPr>
                <w:p w14:paraId="0C006D48">
                  <w:pPr>
                    <w:pStyle w:val="127"/>
                    <w:rPr>
                      <w:color w:val="auto"/>
                    </w:rPr>
                  </w:pPr>
                  <w:r>
                    <w:rPr>
                      <w:rFonts w:hint="eastAsia"/>
                      <w:color w:val="auto"/>
                    </w:rPr>
                    <w:t>家私配件（碳钢）</w:t>
                  </w:r>
                </w:p>
              </w:tc>
              <w:tc>
                <w:tcPr>
                  <w:tcW w:w="730" w:type="pct"/>
                  <w:vAlign w:val="center"/>
                </w:tcPr>
                <w:p w14:paraId="076D0B8C">
                  <w:pPr>
                    <w:widowControl/>
                    <w:jc w:val="center"/>
                    <w:textAlignment w:val="center"/>
                    <w:rPr>
                      <w:snapToGrid w:val="0"/>
                      <w:color w:val="auto"/>
                      <w:kern w:val="0"/>
                      <w:szCs w:val="20"/>
                    </w:rPr>
                  </w:pPr>
                  <w:r>
                    <w:rPr>
                      <w:color w:val="auto"/>
                      <w:kern w:val="0"/>
                      <w:szCs w:val="21"/>
                      <w:lang w:bidi="ar"/>
                    </w:rPr>
                    <w:t xml:space="preserve">647 </w:t>
                  </w:r>
                </w:p>
              </w:tc>
              <w:tc>
                <w:tcPr>
                  <w:tcW w:w="681" w:type="pct"/>
                  <w:vAlign w:val="center"/>
                </w:tcPr>
                <w:p w14:paraId="7D60A9A9">
                  <w:pPr>
                    <w:pStyle w:val="127"/>
                    <w:rPr>
                      <w:snapToGrid w:val="0"/>
                      <w:color w:val="auto"/>
                    </w:rPr>
                  </w:pPr>
                  <w:r>
                    <w:rPr>
                      <w:color w:val="auto"/>
                    </w:rPr>
                    <w:t>/</w:t>
                  </w:r>
                </w:p>
              </w:tc>
              <w:tc>
                <w:tcPr>
                  <w:tcW w:w="721" w:type="pct"/>
                  <w:vAlign w:val="center"/>
                </w:tcPr>
                <w:p w14:paraId="0059B441">
                  <w:pPr>
                    <w:pStyle w:val="127"/>
                    <w:rPr>
                      <w:color w:val="auto"/>
                    </w:rPr>
                  </w:pPr>
                  <w:r>
                    <w:rPr>
                      <w:color w:val="auto"/>
                    </w:rPr>
                    <w:t>固态</w:t>
                  </w:r>
                </w:p>
              </w:tc>
              <w:tc>
                <w:tcPr>
                  <w:tcW w:w="791" w:type="pct"/>
                  <w:vAlign w:val="center"/>
                </w:tcPr>
                <w:p w14:paraId="0C64DED5">
                  <w:pPr>
                    <w:pStyle w:val="127"/>
                    <w:rPr>
                      <w:color w:val="auto"/>
                    </w:rPr>
                  </w:pPr>
                  <w:r>
                    <w:rPr>
                      <w:rFonts w:hint="eastAsia"/>
                      <w:color w:val="auto"/>
                    </w:rPr>
                    <w:t>15.4</w:t>
                  </w:r>
                </w:p>
              </w:tc>
              <w:tc>
                <w:tcPr>
                  <w:tcW w:w="1143" w:type="pct"/>
                  <w:vMerge w:val="continue"/>
                  <w:vAlign w:val="center"/>
                </w:tcPr>
                <w:p w14:paraId="14C55438">
                  <w:pPr>
                    <w:pStyle w:val="127"/>
                    <w:rPr>
                      <w:snapToGrid w:val="0"/>
                      <w:color w:val="auto"/>
                    </w:rPr>
                  </w:pPr>
                </w:p>
              </w:tc>
            </w:tr>
            <w:tr w14:paraId="76169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pct"/>
                  <w:vAlign w:val="center"/>
                </w:tcPr>
                <w:p w14:paraId="3F7CA29B">
                  <w:pPr>
                    <w:pStyle w:val="127"/>
                    <w:rPr>
                      <w:color w:val="auto"/>
                    </w:rPr>
                  </w:pPr>
                  <w:r>
                    <w:rPr>
                      <w:rFonts w:hint="eastAsia"/>
                      <w:color w:val="auto"/>
                    </w:rPr>
                    <w:t>家私配件（铝材）</w:t>
                  </w:r>
                </w:p>
              </w:tc>
              <w:tc>
                <w:tcPr>
                  <w:tcW w:w="730" w:type="pct"/>
                  <w:vAlign w:val="center"/>
                </w:tcPr>
                <w:p w14:paraId="2B76DF50">
                  <w:pPr>
                    <w:widowControl/>
                    <w:jc w:val="center"/>
                    <w:textAlignment w:val="center"/>
                    <w:rPr>
                      <w:snapToGrid w:val="0"/>
                      <w:color w:val="auto"/>
                      <w:kern w:val="0"/>
                      <w:szCs w:val="20"/>
                    </w:rPr>
                  </w:pPr>
                  <w:r>
                    <w:rPr>
                      <w:color w:val="auto"/>
                      <w:kern w:val="0"/>
                      <w:szCs w:val="21"/>
                      <w:lang w:bidi="ar"/>
                    </w:rPr>
                    <w:t xml:space="preserve">215 </w:t>
                  </w:r>
                </w:p>
              </w:tc>
              <w:tc>
                <w:tcPr>
                  <w:tcW w:w="681" w:type="pct"/>
                  <w:vAlign w:val="center"/>
                </w:tcPr>
                <w:p w14:paraId="0A61D316">
                  <w:pPr>
                    <w:pStyle w:val="127"/>
                    <w:rPr>
                      <w:snapToGrid w:val="0"/>
                      <w:color w:val="auto"/>
                    </w:rPr>
                  </w:pPr>
                  <w:r>
                    <w:rPr>
                      <w:color w:val="auto"/>
                    </w:rPr>
                    <w:t>/</w:t>
                  </w:r>
                </w:p>
              </w:tc>
              <w:tc>
                <w:tcPr>
                  <w:tcW w:w="721" w:type="pct"/>
                  <w:vAlign w:val="center"/>
                </w:tcPr>
                <w:p w14:paraId="65EBB05B">
                  <w:pPr>
                    <w:pStyle w:val="127"/>
                    <w:rPr>
                      <w:color w:val="auto"/>
                    </w:rPr>
                  </w:pPr>
                  <w:r>
                    <w:rPr>
                      <w:color w:val="auto"/>
                    </w:rPr>
                    <w:t>固态</w:t>
                  </w:r>
                </w:p>
              </w:tc>
              <w:tc>
                <w:tcPr>
                  <w:tcW w:w="791" w:type="pct"/>
                  <w:vAlign w:val="center"/>
                </w:tcPr>
                <w:p w14:paraId="1DD98A32">
                  <w:pPr>
                    <w:pStyle w:val="127"/>
                    <w:rPr>
                      <w:color w:val="auto"/>
                    </w:rPr>
                  </w:pPr>
                  <w:r>
                    <w:rPr>
                      <w:rFonts w:hint="eastAsia"/>
                      <w:color w:val="auto"/>
                    </w:rPr>
                    <w:t>5.6</w:t>
                  </w:r>
                </w:p>
              </w:tc>
              <w:tc>
                <w:tcPr>
                  <w:tcW w:w="1143" w:type="pct"/>
                  <w:vMerge w:val="continue"/>
                  <w:vAlign w:val="center"/>
                </w:tcPr>
                <w:p w14:paraId="3D9772A9">
                  <w:pPr>
                    <w:pStyle w:val="127"/>
                    <w:rPr>
                      <w:snapToGrid w:val="0"/>
                      <w:color w:val="auto"/>
                    </w:rPr>
                  </w:pPr>
                </w:p>
              </w:tc>
            </w:tr>
            <w:tr w14:paraId="776EA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5BA08B5F">
                  <w:pPr>
                    <w:adjustRightInd w:val="0"/>
                    <w:snapToGrid w:val="0"/>
                    <w:jc w:val="center"/>
                    <w:rPr>
                      <w:color w:val="auto"/>
                      <w:szCs w:val="21"/>
                    </w:rPr>
                  </w:pPr>
                  <w:r>
                    <w:rPr>
                      <w:color w:val="auto"/>
                      <w:szCs w:val="21"/>
                    </w:rPr>
                    <w:t>砂纸</w:t>
                  </w:r>
                </w:p>
              </w:tc>
              <w:tc>
                <w:tcPr>
                  <w:tcW w:w="730" w:type="pct"/>
                  <w:vAlign w:val="center"/>
                </w:tcPr>
                <w:p w14:paraId="390FB1D3">
                  <w:pPr>
                    <w:widowControl/>
                    <w:jc w:val="center"/>
                    <w:textAlignment w:val="center"/>
                    <w:rPr>
                      <w:color w:val="auto"/>
                      <w:szCs w:val="21"/>
                    </w:rPr>
                  </w:pPr>
                  <w:r>
                    <w:rPr>
                      <w:color w:val="auto"/>
                      <w:kern w:val="0"/>
                      <w:szCs w:val="21"/>
                      <w:lang w:bidi="ar"/>
                    </w:rPr>
                    <w:t>2</w:t>
                  </w:r>
                </w:p>
              </w:tc>
              <w:tc>
                <w:tcPr>
                  <w:tcW w:w="681" w:type="pct"/>
                  <w:vAlign w:val="center"/>
                </w:tcPr>
                <w:p w14:paraId="2A25BE3A">
                  <w:pPr>
                    <w:adjustRightInd w:val="0"/>
                    <w:snapToGrid w:val="0"/>
                    <w:jc w:val="center"/>
                    <w:rPr>
                      <w:color w:val="auto"/>
                      <w:szCs w:val="21"/>
                    </w:rPr>
                  </w:pPr>
                  <w:r>
                    <w:rPr>
                      <w:rFonts w:hint="eastAsia"/>
                      <w:color w:val="auto"/>
                      <w:szCs w:val="21"/>
                    </w:rPr>
                    <w:t>10kg</w:t>
                  </w:r>
                  <w:r>
                    <w:rPr>
                      <w:color w:val="auto"/>
                      <w:szCs w:val="21"/>
                    </w:rPr>
                    <w:t>/箱</w:t>
                  </w:r>
                </w:p>
              </w:tc>
              <w:tc>
                <w:tcPr>
                  <w:tcW w:w="721" w:type="pct"/>
                  <w:vAlign w:val="center"/>
                </w:tcPr>
                <w:p w14:paraId="04FF70FE">
                  <w:pPr>
                    <w:adjustRightInd w:val="0"/>
                    <w:snapToGrid w:val="0"/>
                    <w:jc w:val="center"/>
                    <w:rPr>
                      <w:color w:val="auto"/>
                      <w:szCs w:val="21"/>
                    </w:rPr>
                  </w:pPr>
                  <w:r>
                    <w:rPr>
                      <w:color w:val="auto"/>
                      <w:szCs w:val="21"/>
                    </w:rPr>
                    <w:t>固态</w:t>
                  </w:r>
                </w:p>
              </w:tc>
              <w:tc>
                <w:tcPr>
                  <w:tcW w:w="791" w:type="pct"/>
                  <w:vAlign w:val="center"/>
                </w:tcPr>
                <w:p w14:paraId="569E8368">
                  <w:pPr>
                    <w:pStyle w:val="127"/>
                    <w:rPr>
                      <w:color w:val="auto"/>
                    </w:rPr>
                  </w:pPr>
                  <w:r>
                    <w:rPr>
                      <w:rFonts w:hint="eastAsia"/>
                      <w:color w:val="auto"/>
                    </w:rPr>
                    <w:t>0.2</w:t>
                  </w:r>
                </w:p>
              </w:tc>
              <w:tc>
                <w:tcPr>
                  <w:tcW w:w="1143" w:type="pct"/>
                  <w:vAlign w:val="center"/>
                </w:tcPr>
                <w:p w14:paraId="1A242365">
                  <w:pPr>
                    <w:pStyle w:val="127"/>
                    <w:rPr>
                      <w:color w:val="auto"/>
                    </w:rPr>
                  </w:pPr>
                  <w:r>
                    <w:rPr>
                      <w:color w:val="auto"/>
                    </w:rPr>
                    <w:t>打磨</w:t>
                  </w:r>
                </w:p>
              </w:tc>
            </w:tr>
            <w:tr w14:paraId="14985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pct"/>
                  <w:vAlign w:val="center"/>
                </w:tcPr>
                <w:p w14:paraId="6A40F8BA">
                  <w:pPr>
                    <w:pStyle w:val="127"/>
                    <w:rPr>
                      <w:snapToGrid w:val="0"/>
                      <w:color w:val="auto"/>
                    </w:rPr>
                  </w:pPr>
                  <w:r>
                    <w:rPr>
                      <w:rFonts w:hint="eastAsia"/>
                      <w:snapToGrid w:val="0"/>
                      <w:color w:val="auto"/>
                    </w:rPr>
                    <w:t>除油粉</w:t>
                  </w:r>
                </w:p>
              </w:tc>
              <w:tc>
                <w:tcPr>
                  <w:tcW w:w="730" w:type="pct"/>
                  <w:vAlign w:val="center"/>
                </w:tcPr>
                <w:p w14:paraId="5992E2A4">
                  <w:pPr>
                    <w:widowControl/>
                    <w:jc w:val="center"/>
                    <w:textAlignment w:val="center"/>
                    <w:rPr>
                      <w:snapToGrid w:val="0"/>
                      <w:color w:val="auto"/>
                    </w:rPr>
                  </w:pPr>
                  <w:r>
                    <w:rPr>
                      <w:rFonts w:hint="eastAsia"/>
                      <w:color w:val="auto"/>
                      <w:kern w:val="0"/>
                      <w:szCs w:val="21"/>
                      <w:lang w:bidi="ar"/>
                    </w:rPr>
                    <w:t>1.54</w:t>
                  </w:r>
                </w:p>
              </w:tc>
              <w:tc>
                <w:tcPr>
                  <w:tcW w:w="681" w:type="pct"/>
                  <w:vAlign w:val="center"/>
                </w:tcPr>
                <w:p w14:paraId="730D9D12">
                  <w:pPr>
                    <w:pStyle w:val="127"/>
                    <w:rPr>
                      <w:snapToGrid w:val="0"/>
                      <w:color w:val="auto"/>
                    </w:rPr>
                  </w:pPr>
                  <w:r>
                    <w:rPr>
                      <w:snapToGrid w:val="0"/>
                      <w:color w:val="auto"/>
                    </w:rPr>
                    <w:t>25kg/袋</w:t>
                  </w:r>
                </w:p>
              </w:tc>
              <w:tc>
                <w:tcPr>
                  <w:tcW w:w="721" w:type="pct"/>
                  <w:vAlign w:val="center"/>
                </w:tcPr>
                <w:p w14:paraId="6C4FA02A">
                  <w:pPr>
                    <w:pStyle w:val="127"/>
                    <w:rPr>
                      <w:color w:val="auto"/>
                    </w:rPr>
                  </w:pPr>
                  <w:r>
                    <w:rPr>
                      <w:color w:val="auto"/>
                    </w:rPr>
                    <w:t>固态</w:t>
                  </w:r>
                </w:p>
              </w:tc>
              <w:tc>
                <w:tcPr>
                  <w:tcW w:w="791" w:type="pct"/>
                  <w:vAlign w:val="center"/>
                </w:tcPr>
                <w:p w14:paraId="45C0695D">
                  <w:pPr>
                    <w:pStyle w:val="127"/>
                    <w:rPr>
                      <w:color w:val="auto"/>
                    </w:rPr>
                  </w:pPr>
                  <w:r>
                    <w:rPr>
                      <w:rFonts w:hint="eastAsia"/>
                      <w:color w:val="auto"/>
                    </w:rPr>
                    <w:t>0.5</w:t>
                  </w:r>
                </w:p>
              </w:tc>
              <w:tc>
                <w:tcPr>
                  <w:tcW w:w="1143" w:type="pct"/>
                  <w:vMerge w:val="restart"/>
                  <w:vAlign w:val="center"/>
                </w:tcPr>
                <w:p w14:paraId="0196E33D">
                  <w:pPr>
                    <w:pStyle w:val="127"/>
                    <w:rPr>
                      <w:color w:val="auto"/>
                    </w:rPr>
                  </w:pPr>
                  <w:r>
                    <w:rPr>
                      <w:color w:val="auto"/>
                    </w:rPr>
                    <w:t>前处理</w:t>
                  </w:r>
                </w:p>
              </w:tc>
            </w:tr>
            <w:tr w14:paraId="2E4F0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3313291F">
                  <w:pPr>
                    <w:pStyle w:val="127"/>
                    <w:rPr>
                      <w:snapToGrid w:val="0"/>
                      <w:color w:val="auto"/>
                    </w:rPr>
                  </w:pPr>
                  <w:r>
                    <w:rPr>
                      <w:rFonts w:hint="eastAsia"/>
                      <w:snapToGrid w:val="0"/>
                      <w:color w:val="auto"/>
                    </w:rPr>
                    <w:t>脱脂剂</w:t>
                  </w:r>
                </w:p>
              </w:tc>
              <w:tc>
                <w:tcPr>
                  <w:tcW w:w="730" w:type="pct"/>
                  <w:vAlign w:val="center"/>
                </w:tcPr>
                <w:p w14:paraId="011D5169">
                  <w:pPr>
                    <w:widowControl/>
                    <w:jc w:val="center"/>
                    <w:textAlignment w:val="center"/>
                    <w:rPr>
                      <w:snapToGrid w:val="0"/>
                      <w:color w:val="auto"/>
                    </w:rPr>
                  </w:pPr>
                  <w:r>
                    <w:rPr>
                      <w:rFonts w:hint="eastAsia"/>
                      <w:color w:val="auto"/>
                      <w:kern w:val="0"/>
                      <w:szCs w:val="21"/>
                      <w:lang w:bidi="ar"/>
                    </w:rPr>
                    <w:t>0.75</w:t>
                  </w:r>
                </w:p>
              </w:tc>
              <w:tc>
                <w:tcPr>
                  <w:tcW w:w="681" w:type="pct"/>
                  <w:vAlign w:val="center"/>
                </w:tcPr>
                <w:p w14:paraId="5CC8DB62">
                  <w:pPr>
                    <w:pStyle w:val="127"/>
                    <w:rPr>
                      <w:snapToGrid w:val="0"/>
                      <w:color w:val="auto"/>
                    </w:rPr>
                  </w:pPr>
                  <w:r>
                    <w:rPr>
                      <w:rFonts w:hint="eastAsia"/>
                      <w:snapToGrid w:val="0"/>
                      <w:color w:val="auto"/>
                    </w:rPr>
                    <w:t>25kg/桶</w:t>
                  </w:r>
                </w:p>
              </w:tc>
              <w:tc>
                <w:tcPr>
                  <w:tcW w:w="721" w:type="pct"/>
                  <w:vAlign w:val="center"/>
                </w:tcPr>
                <w:p w14:paraId="20952392">
                  <w:pPr>
                    <w:pStyle w:val="127"/>
                    <w:rPr>
                      <w:color w:val="auto"/>
                    </w:rPr>
                  </w:pPr>
                  <w:r>
                    <w:rPr>
                      <w:color w:val="auto"/>
                    </w:rPr>
                    <w:t>液态</w:t>
                  </w:r>
                </w:p>
              </w:tc>
              <w:tc>
                <w:tcPr>
                  <w:tcW w:w="791" w:type="pct"/>
                  <w:vAlign w:val="center"/>
                </w:tcPr>
                <w:p w14:paraId="14826106">
                  <w:pPr>
                    <w:pStyle w:val="127"/>
                    <w:rPr>
                      <w:color w:val="auto"/>
                    </w:rPr>
                  </w:pPr>
                  <w:r>
                    <w:rPr>
                      <w:rFonts w:hint="eastAsia"/>
                      <w:color w:val="auto"/>
                    </w:rPr>
                    <w:t>0.3</w:t>
                  </w:r>
                </w:p>
              </w:tc>
              <w:tc>
                <w:tcPr>
                  <w:tcW w:w="1143" w:type="pct"/>
                  <w:vMerge w:val="continue"/>
                  <w:vAlign w:val="center"/>
                </w:tcPr>
                <w:p w14:paraId="68D0D382">
                  <w:pPr>
                    <w:pStyle w:val="127"/>
                    <w:rPr>
                      <w:color w:val="auto"/>
                    </w:rPr>
                  </w:pPr>
                </w:p>
              </w:tc>
            </w:tr>
            <w:tr w14:paraId="07ACB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2811BF60">
                  <w:pPr>
                    <w:pStyle w:val="127"/>
                    <w:rPr>
                      <w:snapToGrid w:val="0"/>
                      <w:color w:val="auto"/>
                    </w:rPr>
                  </w:pPr>
                  <w:r>
                    <w:rPr>
                      <w:snapToGrid w:val="0"/>
                      <w:color w:val="auto"/>
                    </w:rPr>
                    <w:t>硫酸</w:t>
                  </w:r>
                </w:p>
              </w:tc>
              <w:tc>
                <w:tcPr>
                  <w:tcW w:w="730" w:type="pct"/>
                  <w:vAlign w:val="center"/>
                </w:tcPr>
                <w:p w14:paraId="4BE7845D">
                  <w:pPr>
                    <w:widowControl/>
                    <w:jc w:val="center"/>
                    <w:textAlignment w:val="center"/>
                    <w:rPr>
                      <w:snapToGrid w:val="0"/>
                      <w:color w:val="auto"/>
                    </w:rPr>
                  </w:pPr>
                  <w:r>
                    <w:rPr>
                      <w:rFonts w:hint="eastAsia"/>
                      <w:color w:val="auto"/>
                      <w:kern w:val="0"/>
                      <w:szCs w:val="21"/>
                      <w:lang w:bidi="ar"/>
                    </w:rPr>
                    <w:t>4.28</w:t>
                  </w:r>
                </w:p>
              </w:tc>
              <w:tc>
                <w:tcPr>
                  <w:tcW w:w="681" w:type="pct"/>
                  <w:vAlign w:val="center"/>
                </w:tcPr>
                <w:p w14:paraId="0BCDD05C">
                  <w:pPr>
                    <w:pStyle w:val="127"/>
                    <w:rPr>
                      <w:snapToGrid w:val="0"/>
                      <w:color w:val="auto"/>
                    </w:rPr>
                  </w:pPr>
                  <w:r>
                    <w:rPr>
                      <w:color w:val="auto"/>
                      <w:szCs w:val="21"/>
                      <w:lang w:bidi="ar"/>
                    </w:rPr>
                    <w:t>25kg/桶</w:t>
                  </w:r>
                </w:p>
              </w:tc>
              <w:tc>
                <w:tcPr>
                  <w:tcW w:w="721" w:type="pct"/>
                  <w:vAlign w:val="center"/>
                </w:tcPr>
                <w:p w14:paraId="71BF1476">
                  <w:pPr>
                    <w:pStyle w:val="127"/>
                    <w:rPr>
                      <w:color w:val="auto"/>
                    </w:rPr>
                  </w:pPr>
                  <w:r>
                    <w:rPr>
                      <w:color w:val="auto"/>
                    </w:rPr>
                    <w:t>液态</w:t>
                  </w:r>
                </w:p>
              </w:tc>
              <w:tc>
                <w:tcPr>
                  <w:tcW w:w="791" w:type="pct"/>
                  <w:vAlign w:val="center"/>
                </w:tcPr>
                <w:p w14:paraId="4A80F82A">
                  <w:pPr>
                    <w:pStyle w:val="127"/>
                    <w:rPr>
                      <w:color w:val="auto"/>
                    </w:rPr>
                  </w:pPr>
                  <w:r>
                    <w:rPr>
                      <w:rFonts w:hint="eastAsia"/>
                      <w:color w:val="auto"/>
                    </w:rPr>
                    <w:t>0.5</w:t>
                  </w:r>
                </w:p>
              </w:tc>
              <w:tc>
                <w:tcPr>
                  <w:tcW w:w="1143" w:type="pct"/>
                  <w:vMerge w:val="continue"/>
                  <w:vAlign w:val="center"/>
                </w:tcPr>
                <w:p w14:paraId="50BD427E">
                  <w:pPr>
                    <w:pStyle w:val="127"/>
                    <w:rPr>
                      <w:color w:val="auto"/>
                    </w:rPr>
                  </w:pPr>
                </w:p>
              </w:tc>
            </w:tr>
            <w:tr w14:paraId="7F6CE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06F9C2A2">
                  <w:pPr>
                    <w:pStyle w:val="127"/>
                    <w:rPr>
                      <w:snapToGrid w:val="0"/>
                      <w:color w:val="auto"/>
                    </w:rPr>
                  </w:pPr>
                  <w:r>
                    <w:rPr>
                      <w:color w:val="auto"/>
                      <w:szCs w:val="21"/>
                      <w:lang w:bidi="ar"/>
                    </w:rPr>
                    <w:t>表调剂</w:t>
                  </w:r>
                </w:p>
              </w:tc>
              <w:tc>
                <w:tcPr>
                  <w:tcW w:w="730" w:type="pct"/>
                  <w:vAlign w:val="center"/>
                </w:tcPr>
                <w:p w14:paraId="36AC83B0">
                  <w:pPr>
                    <w:widowControl/>
                    <w:jc w:val="center"/>
                    <w:textAlignment w:val="center"/>
                    <w:rPr>
                      <w:snapToGrid w:val="0"/>
                      <w:color w:val="auto"/>
                    </w:rPr>
                  </w:pPr>
                  <w:r>
                    <w:rPr>
                      <w:rFonts w:hint="eastAsia"/>
                      <w:color w:val="auto"/>
                      <w:kern w:val="0"/>
                      <w:szCs w:val="21"/>
                      <w:lang w:bidi="ar"/>
                    </w:rPr>
                    <w:t>0.137</w:t>
                  </w:r>
                </w:p>
              </w:tc>
              <w:tc>
                <w:tcPr>
                  <w:tcW w:w="681" w:type="pct"/>
                  <w:vAlign w:val="center"/>
                </w:tcPr>
                <w:p w14:paraId="1344D1AE">
                  <w:pPr>
                    <w:pStyle w:val="127"/>
                    <w:rPr>
                      <w:snapToGrid w:val="0"/>
                      <w:color w:val="auto"/>
                    </w:rPr>
                  </w:pPr>
                  <w:r>
                    <w:rPr>
                      <w:color w:val="auto"/>
                      <w:szCs w:val="21"/>
                      <w:lang w:bidi="ar"/>
                    </w:rPr>
                    <w:t>20kg/袋</w:t>
                  </w:r>
                </w:p>
              </w:tc>
              <w:tc>
                <w:tcPr>
                  <w:tcW w:w="721" w:type="pct"/>
                  <w:vAlign w:val="center"/>
                </w:tcPr>
                <w:p w14:paraId="522CB26A">
                  <w:pPr>
                    <w:pStyle w:val="127"/>
                    <w:rPr>
                      <w:color w:val="auto"/>
                    </w:rPr>
                  </w:pPr>
                  <w:r>
                    <w:rPr>
                      <w:color w:val="auto"/>
                    </w:rPr>
                    <w:t>固态</w:t>
                  </w:r>
                </w:p>
              </w:tc>
              <w:tc>
                <w:tcPr>
                  <w:tcW w:w="791" w:type="pct"/>
                  <w:vAlign w:val="center"/>
                </w:tcPr>
                <w:p w14:paraId="17C55AD0">
                  <w:pPr>
                    <w:pStyle w:val="127"/>
                    <w:rPr>
                      <w:color w:val="auto"/>
                    </w:rPr>
                  </w:pPr>
                  <w:r>
                    <w:rPr>
                      <w:rFonts w:hint="eastAsia"/>
                      <w:color w:val="auto"/>
                    </w:rPr>
                    <w:t>0.1</w:t>
                  </w:r>
                </w:p>
              </w:tc>
              <w:tc>
                <w:tcPr>
                  <w:tcW w:w="1143" w:type="pct"/>
                  <w:vMerge w:val="continue"/>
                  <w:vAlign w:val="center"/>
                </w:tcPr>
                <w:p w14:paraId="093989EC">
                  <w:pPr>
                    <w:pStyle w:val="127"/>
                    <w:rPr>
                      <w:snapToGrid w:val="0"/>
                      <w:color w:val="auto"/>
                    </w:rPr>
                  </w:pPr>
                </w:p>
              </w:tc>
            </w:tr>
            <w:tr w14:paraId="64B31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31" w:type="pct"/>
                  <w:vAlign w:val="center"/>
                </w:tcPr>
                <w:p w14:paraId="1070841E">
                  <w:pPr>
                    <w:pStyle w:val="127"/>
                    <w:rPr>
                      <w:snapToGrid w:val="0"/>
                      <w:color w:val="auto"/>
                    </w:rPr>
                  </w:pPr>
                  <w:r>
                    <w:rPr>
                      <w:snapToGrid w:val="0"/>
                      <w:color w:val="auto"/>
                    </w:rPr>
                    <w:t>磷化剂</w:t>
                  </w:r>
                </w:p>
              </w:tc>
              <w:tc>
                <w:tcPr>
                  <w:tcW w:w="730" w:type="pct"/>
                  <w:vAlign w:val="center"/>
                </w:tcPr>
                <w:p w14:paraId="47891DAF">
                  <w:pPr>
                    <w:widowControl/>
                    <w:jc w:val="center"/>
                    <w:textAlignment w:val="center"/>
                    <w:rPr>
                      <w:snapToGrid w:val="0"/>
                      <w:color w:val="auto"/>
                    </w:rPr>
                  </w:pPr>
                  <w:r>
                    <w:rPr>
                      <w:rFonts w:hint="eastAsia"/>
                      <w:color w:val="auto"/>
                      <w:kern w:val="0"/>
                      <w:szCs w:val="21"/>
                      <w:lang w:bidi="ar"/>
                    </w:rPr>
                    <w:t>2.97</w:t>
                  </w:r>
                </w:p>
              </w:tc>
              <w:tc>
                <w:tcPr>
                  <w:tcW w:w="681" w:type="pct"/>
                  <w:vAlign w:val="center"/>
                </w:tcPr>
                <w:p w14:paraId="7244918C">
                  <w:pPr>
                    <w:pStyle w:val="127"/>
                    <w:rPr>
                      <w:snapToGrid w:val="0"/>
                      <w:color w:val="auto"/>
                    </w:rPr>
                  </w:pPr>
                  <w:r>
                    <w:rPr>
                      <w:snapToGrid w:val="0"/>
                      <w:color w:val="auto"/>
                    </w:rPr>
                    <w:t>25kg/桶</w:t>
                  </w:r>
                </w:p>
              </w:tc>
              <w:tc>
                <w:tcPr>
                  <w:tcW w:w="721" w:type="pct"/>
                  <w:vAlign w:val="center"/>
                </w:tcPr>
                <w:p w14:paraId="4B9092EE">
                  <w:pPr>
                    <w:pStyle w:val="127"/>
                    <w:rPr>
                      <w:color w:val="auto"/>
                    </w:rPr>
                  </w:pPr>
                  <w:r>
                    <w:rPr>
                      <w:color w:val="auto"/>
                    </w:rPr>
                    <w:t>液态</w:t>
                  </w:r>
                </w:p>
              </w:tc>
              <w:tc>
                <w:tcPr>
                  <w:tcW w:w="791" w:type="pct"/>
                  <w:vAlign w:val="center"/>
                </w:tcPr>
                <w:p w14:paraId="0461A408">
                  <w:pPr>
                    <w:pStyle w:val="127"/>
                    <w:rPr>
                      <w:color w:val="auto"/>
                    </w:rPr>
                  </w:pPr>
                  <w:r>
                    <w:rPr>
                      <w:rFonts w:hint="eastAsia"/>
                      <w:color w:val="auto"/>
                    </w:rPr>
                    <w:t>0.5</w:t>
                  </w:r>
                </w:p>
              </w:tc>
              <w:tc>
                <w:tcPr>
                  <w:tcW w:w="1143" w:type="pct"/>
                  <w:vMerge w:val="continue"/>
                  <w:vAlign w:val="center"/>
                </w:tcPr>
                <w:p w14:paraId="30DE8C24">
                  <w:pPr>
                    <w:pStyle w:val="127"/>
                    <w:rPr>
                      <w:snapToGrid w:val="0"/>
                      <w:color w:val="auto"/>
                    </w:rPr>
                  </w:pPr>
                </w:p>
              </w:tc>
            </w:tr>
            <w:tr w14:paraId="594B2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31" w:type="pct"/>
                  <w:vAlign w:val="center"/>
                </w:tcPr>
                <w:p w14:paraId="452B05E8">
                  <w:pPr>
                    <w:pStyle w:val="127"/>
                    <w:rPr>
                      <w:color w:val="auto"/>
                      <w:szCs w:val="21"/>
                      <w:lang w:bidi="ar"/>
                    </w:rPr>
                  </w:pPr>
                  <w:r>
                    <w:rPr>
                      <w:color w:val="auto"/>
                      <w:szCs w:val="21"/>
                      <w:lang w:bidi="ar"/>
                    </w:rPr>
                    <w:t>促进剂</w:t>
                  </w:r>
                </w:p>
              </w:tc>
              <w:tc>
                <w:tcPr>
                  <w:tcW w:w="730" w:type="pct"/>
                  <w:vAlign w:val="center"/>
                </w:tcPr>
                <w:p w14:paraId="1E8E6F92">
                  <w:pPr>
                    <w:widowControl/>
                    <w:jc w:val="center"/>
                    <w:textAlignment w:val="center"/>
                    <w:rPr>
                      <w:snapToGrid w:val="0"/>
                      <w:color w:val="auto"/>
                    </w:rPr>
                  </w:pPr>
                  <w:r>
                    <w:rPr>
                      <w:rFonts w:hint="eastAsia"/>
                      <w:color w:val="auto"/>
                      <w:kern w:val="0"/>
                      <w:szCs w:val="21"/>
                      <w:lang w:bidi="ar"/>
                    </w:rPr>
                    <w:t>0.423</w:t>
                  </w:r>
                  <w:r>
                    <w:rPr>
                      <w:color w:val="auto"/>
                      <w:kern w:val="0"/>
                      <w:szCs w:val="21"/>
                      <w:lang w:bidi="ar"/>
                    </w:rPr>
                    <w:t xml:space="preserve"> </w:t>
                  </w:r>
                </w:p>
              </w:tc>
              <w:tc>
                <w:tcPr>
                  <w:tcW w:w="681" w:type="pct"/>
                  <w:vAlign w:val="center"/>
                </w:tcPr>
                <w:p w14:paraId="595B0928">
                  <w:pPr>
                    <w:pStyle w:val="127"/>
                    <w:rPr>
                      <w:snapToGrid w:val="0"/>
                      <w:color w:val="auto"/>
                    </w:rPr>
                  </w:pPr>
                  <w:r>
                    <w:rPr>
                      <w:color w:val="auto"/>
                      <w:szCs w:val="21"/>
                      <w:lang w:bidi="ar"/>
                    </w:rPr>
                    <w:t>25kg/桶</w:t>
                  </w:r>
                </w:p>
              </w:tc>
              <w:tc>
                <w:tcPr>
                  <w:tcW w:w="721" w:type="pct"/>
                  <w:vAlign w:val="center"/>
                </w:tcPr>
                <w:p w14:paraId="147B2A90">
                  <w:pPr>
                    <w:pStyle w:val="127"/>
                    <w:rPr>
                      <w:color w:val="auto"/>
                    </w:rPr>
                  </w:pPr>
                  <w:r>
                    <w:rPr>
                      <w:color w:val="auto"/>
                    </w:rPr>
                    <w:t>液态</w:t>
                  </w:r>
                </w:p>
              </w:tc>
              <w:tc>
                <w:tcPr>
                  <w:tcW w:w="791" w:type="pct"/>
                  <w:vAlign w:val="center"/>
                </w:tcPr>
                <w:p w14:paraId="541C806C">
                  <w:pPr>
                    <w:pStyle w:val="127"/>
                    <w:rPr>
                      <w:color w:val="auto"/>
                    </w:rPr>
                  </w:pPr>
                  <w:r>
                    <w:rPr>
                      <w:rFonts w:hint="eastAsia"/>
                      <w:color w:val="auto"/>
                    </w:rPr>
                    <w:t>0.1</w:t>
                  </w:r>
                </w:p>
              </w:tc>
              <w:tc>
                <w:tcPr>
                  <w:tcW w:w="1143" w:type="pct"/>
                  <w:vMerge w:val="continue"/>
                  <w:vAlign w:val="center"/>
                </w:tcPr>
                <w:p w14:paraId="64778C38">
                  <w:pPr>
                    <w:pStyle w:val="127"/>
                    <w:rPr>
                      <w:snapToGrid w:val="0"/>
                      <w:color w:val="auto"/>
                    </w:rPr>
                  </w:pPr>
                </w:p>
              </w:tc>
            </w:tr>
            <w:tr w14:paraId="6CB8B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339C9333">
                  <w:pPr>
                    <w:pStyle w:val="127"/>
                    <w:rPr>
                      <w:color w:val="auto"/>
                    </w:rPr>
                  </w:pPr>
                  <w:r>
                    <w:rPr>
                      <w:snapToGrid w:val="0"/>
                      <w:color w:val="auto"/>
                    </w:rPr>
                    <w:t>粉末涂料</w:t>
                  </w:r>
                </w:p>
              </w:tc>
              <w:tc>
                <w:tcPr>
                  <w:tcW w:w="730" w:type="pct"/>
                  <w:vAlign w:val="center"/>
                </w:tcPr>
                <w:p w14:paraId="18C7E97D">
                  <w:pPr>
                    <w:widowControl/>
                    <w:jc w:val="center"/>
                    <w:textAlignment w:val="center"/>
                    <w:rPr>
                      <w:color w:val="auto"/>
                    </w:rPr>
                  </w:pPr>
                  <w:r>
                    <w:rPr>
                      <w:rFonts w:hint="eastAsia"/>
                      <w:color w:val="auto"/>
                      <w:kern w:val="0"/>
                      <w:szCs w:val="21"/>
                      <w:lang w:bidi="ar"/>
                    </w:rPr>
                    <w:t>14</w:t>
                  </w:r>
                </w:p>
              </w:tc>
              <w:tc>
                <w:tcPr>
                  <w:tcW w:w="681" w:type="pct"/>
                  <w:vAlign w:val="center"/>
                </w:tcPr>
                <w:p w14:paraId="485531B5">
                  <w:pPr>
                    <w:pStyle w:val="127"/>
                    <w:rPr>
                      <w:color w:val="auto"/>
                    </w:rPr>
                  </w:pPr>
                  <w:r>
                    <w:rPr>
                      <w:snapToGrid w:val="0"/>
                      <w:color w:val="auto"/>
                    </w:rPr>
                    <w:t>25kg/袋</w:t>
                  </w:r>
                </w:p>
              </w:tc>
              <w:tc>
                <w:tcPr>
                  <w:tcW w:w="721" w:type="pct"/>
                  <w:vAlign w:val="center"/>
                </w:tcPr>
                <w:p w14:paraId="0760C9AB">
                  <w:pPr>
                    <w:pStyle w:val="127"/>
                    <w:rPr>
                      <w:color w:val="auto"/>
                    </w:rPr>
                  </w:pPr>
                  <w:r>
                    <w:rPr>
                      <w:color w:val="auto"/>
                    </w:rPr>
                    <w:t>固态</w:t>
                  </w:r>
                </w:p>
              </w:tc>
              <w:tc>
                <w:tcPr>
                  <w:tcW w:w="791" w:type="pct"/>
                  <w:vAlign w:val="center"/>
                </w:tcPr>
                <w:p w14:paraId="27256197">
                  <w:pPr>
                    <w:pStyle w:val="127"/>
                    <w:rPr>
                      <w:color w:val="auto"/>
                    </w:rPr>
                  </w:pPr>
                  <w:r>
                    <w:rPr>
                      <w:rFonts w:hint="eastAsia"/>
                      <w:color w:val="auto"/>
                    </w:rPr>
                    <w:t>1</w:t>
                  </w:r>
                </w:p>
              </w:tc>
              <w:tc>
                <w:tcPr>
                  <w:tcW w:w="1143" w:type="pct"/>
                  <w:vAlign w:val="center"/>
                </w:tcPr>
                <w:p w14:paraId="601DA7BC">
                  <w:pPr>
                    <w:pStyle w:val="127"/>
                    <w:rPr>
                      <w:color w:val="auto"/>
                    </w:rPr>
                  </w:pPr>
                  <w:r>
                    <w:rPr>
                      <w:snapToGrid w:val="0"/>
                      <w:color w:val="auto"/>
                    </w:rPr>
                    <w:t>喷粉、烘干固化</w:t>
                  </w:r>
                </w:p>
              </w:tc>
            </w:tr>
            <w:tr w14:paraId="1FEEA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pct"/>
                  <w:vAlign w:val="center"/>
                </w:tcPr>
                <w:p w14:paraId="050016ED">
                  <w:pPr>
                    <w:pStyle w:val="127"/>
                    <w:rPr>
                      <w:snapToGrid w:val="0"/>
                      <w:color w:val="auto"/>
                    </w:rPr>
                  </w:pPr>
                  <w:r>
                    <w:rPr>
                      <w:rFonts w:hint="eastAsia"/>
                      <w:snapToGrid w:val="0"/>
                      <w:color w:val="auto"/>
                    </w:rPr>
                    <w:t>水性底漆</w:t>
                  </w:r>
                </w:p>
              </w:tc>
              <w:tc>
                <w:tcPr>
                  <w:tcW w:w="730" w:type="pct"/>
                  <w:vAlign w:val="center"/>
                </w:tcPr>
                <w:p w14:paraId="6F7C26E3">
                  <w:pPr>
                    <w:widowControl/>
                    <w:jc w:val="center"/>
                    <w:textAlignment w:val="center"/>
                    <w:rPr>
                      <w:snapToGrid w:val="0"/>
                      <w:color w:val="auto"/>
                    </w:rPr>
                  </w:pPr>
                  <w:r>
                    <w:rPr>
                      <w:rFonts w:hint="eastAsia"/>
                      <w:color w:val="auto"/>
                      <w:kern w:val="0"/>
                      <w:szCs w:val="21"/>
                      <w:lang w:bidi="ar"/>
                    </w:rPr>
                    <w:t>4.61</w:t>
                  </w:r>
                </w:p>
              </w:tc>
              <w:tc>
                <w:tcPr>
                  <w:tcW w:w="681" w:type="pct"/>
                  <w:vAlign w:val="center"/>
                </w:tcPr>
                <w:p w14:paraId="08ECB36D">
                  <w:pPr>
                    <w:pStyle w:val="127"/>
                    <w:rPr>
                      <w:snapToGrid w:val="0"/>
                      <w:color w:val="auto"/>
                    </w:rPr>
                  </w:pPr>
                  <w:r>
                    <w:rPr>
                      <w:rFonts w:hint="eastAsia"/>
                      <w:snapToGrid w:val="0"/>
                      <w:color w:val="auto"/>
                    </w:rPr>
                    <w:t>10kg/桶</w:t>
                  </w:r>
                </w:p>
              </w:tc>
              <w:tc>
                <w:tcPr>
                  <w:tcW w:w="721" w:type="pct"/>
                  <w:vAlign w:val="center"/>
                </w:tcPr>
                <w:p w14:paraId="7BAC11DE">
                  <w:pPr>
                    <w:pStyle w:val="127"/>
                    <w:rPr>
                      <w:color w:val="auto"/>
                    </w:rPr>
                  </w:pPr>
                  <w:r>
                    <w:rPr>
                      <w:color w:val="auto"/>
                    </w:rPr>
                    <w:t>液态</w:t>
                  </w:r>
                </w:p>
              </w:tc>
              <w:tc>
                <w:tcPr>
                  <w:tcW w:w="791" w:type="pct"/>
                  <w:vAlign w:val="center"/>
                </w:tcPr>
                <w:p w14:paraId="13367779">
                  <w:pPr>
                    <w:pStyle w:val="127"/>
                    <w:rPr>
                      <w:color w:val="auto"/>
                    </w:rPr>
                  </w:pPr>
                  <w:r>
                    <w:rPr>
                      <w:rFonts w:hint="eastAsia"/>
                      <w:color w:val="auto"/>
                    </w:rPr>
                    <w:t>0.5</w:t>
                  </w:r>
                </w:p>
              </w:tc>
              <w:tc>
                <w:tcPr>
                  <w:tcW w:w="1143" w:type="pct"/>
                  <w:vMerge w:val="restart"/>
                  <w:vAlign w:val="center"/>
                </w:tcPr>
                <w:p w14:paraId="2B922052">
                  <w:pPr>
                    <w:pStyle w:val="127"/>
                    <w:rPr>
                      <w:snapToGrid w:val="0"/>
                      <w:color w:val="auto"/>
                    </w:rPr>
                  </w:pPr>
                  <w:r>
                    <w:rPr>
                      <w:rFonts w:hint="eastAsia"/>
                      <w:snapToGrid w:val="0"/>
                      <w:color w:val="auto"/>
                    </w:rPr>
                    <w:t>喷漆、烘烤</w:t>
                  </w:r>
                </w:p>
              </w:tc>
            </w:tr>
            <w:tr w14:paraId="674A0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931" w:type="pct"/>
                  <w:vAlign w:val="center"/>
                </w:tcPr>
                <w:p w14:paraId="21C617D9">
                  <w:pPr>
                    <w:pStyle w:val="127"/>
                    <w:rPr>
                      <w:snapToGrid w:val="0"/>
                      <w:color w:val="auto"/>
                    </w:rPr>
                  </w:pPr>
                  <w:r>
                    <w:rPr>
                      <w:rFonts w:hint="eastAsia"/>
                      <w:snapToGrid w:val="0"/>
                      <w:color w:val="auto"/>
                    </w:rPr>
                    <w:t>水性面漆</w:t>
                  </w:r>
                </w:p>
              </w:tc>
              <w:tc>
                <w:tcPr>
                  <w:tcW w:w="730" w:type="pct"/>
                  <w:vAlign w:val="center"/>
                </w:tcPr>
                <w:p w14:paraId="478DB0C1">
                  <w:pPr>
                    <w:widowControl/>
                    <w:jc w:val="center"/>
                    <w:textAlignment w:val="center"/>
                    <w:rPr>
                      <w:snapToGrid w:val="0"/>
                      <w:color w:val="auto"/>
                    </w:rPr>
                  </w:pPr>
                  <w:r>
                    <w:rPr>
                      <w:rFonts w:hint="eastAsia"/>
                      <w:color w:val="auto"/>
                      <w:kern w:val="0"/>
                      <w:szCs w:val="21"/>
                      <w:lang w:bidi="ar"/>
                    </w:rPr>
                    <w:t>4.61</w:t>
                  </w:r>
                </w:p>
              </w:tc>
              <w:tc>
                <w:tcPr>
                  <w:tcW w:w="681" w:type="pct"/>
                  <w:vAlign w:val="center"/>
                </w:tcPr>
                <w:p w14:paraId="21C2BC8C">
                  <w:pPr>
                    <w:pStyle w:val="127"/>
                    <w:rPr>
                      <w:snapToGrid w:val="0"/>
                      <w:color w:val="auto"/>
                    </w:rPr>
                  </w:pPr>
                  <w:r>
                    <w:rPr>
                      <w:rFonts w:hint="eastAsia"/>
                      <w:snapToGrid w:val="0"/>
                      <w:color w:val="auto"/>
                    </w:rPr>
                    <w:t>10kg/桶</w:t>
                  </w:r>
                </w:p>
              </w:tc>
              <w:tc>
                <w:tcPr>
                  <w:tcW w:w="721" w:type="pct"/>
                  <w:vAlign w:val="center"/>
                </w:tcPr>
                <w:p w14:paraId="46C817EF">
                  <w:pPr>
                    <w:pStyle w:val="127"/>
                    <w:rPr>
                      <w:color w:val="auto"/>
                    </w:rPr>
                  </w:pPr>
                  <w:r>
                    <w:rPr>
                      <w:color w:val="auto"/>
                    </w:rPr>
                    <w:t>液态</w:t>
                  </w:r>
                </w:p>
              </w:tc>
              <w:tc>
                <w:tcPr>
                  <w:tcW w:w="791" w:type="pct"/>
                  <w:vAlign w:val="center"/>
                </w:tcPr>
                <w:p w14:paraId="054AF3D6">
                  <w:pPr>
                    <w:pStyle w:val="127"/>
                    <w:rPr>
                      <w:color w:val="auto"/>
                    </w:rPr>
                  </w:pPr>
                  <w:r>
                    <w:rPr>
                      <w:rFonts w:hint="eastAsia"/>
                      <w:color w:val="auto"/>
                    </w:rPr>
                    <w:t>0.5</w:t>
                  </w:r>
                </w:p>
              </w:tc>
              <w:tc>
                <w:tcPr>
                  <w:tcW w:w="1143" w:type="pct"/>
                  <w:vMerge w:val="continue"/>
                  <w:vAlign w:val="center"/>
                </w:tcPr>
                <w:p w14:paraId="2778FB36">
                  <w:pPr>
                    <w:pStyle w:val="127"/>
                    <w:rPr>
                      <w:snapToGrid w:val="0"/>
                      <w:color w:val="auto"/>
                    </w:rPr>
                  </w:pPr>
                </w:p>
              </w:tc>
            </w:tr>
            <w:tr w14:paraId="5092E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1F3C97AA">
                  <w:pPr>
                    <w:pStyle w:val="127"/>
                    <w:rPr>
                      <w:snapToGrid w:val="0"/>
                      <w:color w:val="auto"/>
                    </w:rPr>
                  </w:pPr>
                  <w:r>
                    <w:rPr>
                      <w:rFonts w:hint="eastAsia"/>
                      <w:snapToGrid w:val="0"/>
                      <w:color w:val="auto"/>
                    </w:rPr>
                    <w:t>水性清漆</w:t>
                  </w:r>
                </w:p>
              </w:tc>
              <w:tc>
                <w:tcPr>
                  <w:tcW w:w="730" w:type="pct"/>
                  <w:vAlign w:val="center"/>
                </w:tcPr>
                <w:p w14:paraId="72931AAA">
                  <w:pPr>
                    <w:widowControl/>
                    <w:jc w:val="center"/>
                    <w:textAlignment w:val="center"/>
                    <w:rPr>
                      <w:snapToGrid w:val="0"/>
                      <w:color w:val="auto"/>
                    </w:rPr>
                  </w:pPr>
                  <w:r>
                    <w:rPr>
                      <w:rFonts w:hint="eastAsia"/>
                      <w:color w:val="auto"/>
                      <w:kern w:val="0"/>
                      <w:szCs w:val="21"/>
                      <w:lang w:bidi="ar"/>
                    </w:rPr>
                    <w:t>3.76</w:t>
                  </w:r>
                </w:p>
              </w:tc>
              <w:tc>
                <w:tcPr>
                  <w:tcW w:w="681" w:type="pct"/>
                  <w:vAlign w:val="center"/>
                </w:tcPr>
                <w:p w14:paraId="1072D7A8">
                  <w:pPr>
                    <w:pStyle w:val="127"/>
                    <w:rPr>
                      <w:snapToGrid w:val="0"/>
                      <w:color w:val="auto"/>
                    </w:rPr>
                  </w:pPr>
                  <w:r>
                    <w:rPr>
                      <w:rFonts w:hint="eastAsia"/>
                      <w:snapToGrid w:val="0"/>
                      <w:color w:val="auto"/>
                    </w:rPr>
                    <w:t>10kg/桶</w:t>
                  </w:r>
                </w:p>
              </w:tc>
              <w:tc>
                <w:tcPr>
                  <w:tcW w:w="721" w:type="pct"/>
                  <w:vAlign w:val="center"/>
                </w:tcPr>
                <w:p w14:paraId="20C81117">
                  <w:pPr>
                    <w:pStyle w:val="127"/>
                    <w:rPr>
                      <w:color w:val="auto"/>
                    </w:rPr>
                  </w:pPr>
                  <w:r>
                    <w:rPr>
                      <w:color w:val="auto"/>
                    </w:rPr>
                    <w:t>液态</w:t>
                  </w:r>
                </w:p>
              </w:tc>
              <w:tc>
                <w:tcPr>
                  <w:tcW w:w="791" w:type="pct"/>
                  <w:vAlign w:val="center"/>
                </w:tcPr>
                <w:p w14:paraId="364456A7">
                  <w:pPr>
                    <w:pStyle w:val="127"/>
                    <w:rPr>
                      <w:color w:val="auto"/>
                    </w:rPr>
                  </w:pPr>
                  <w:r>
                    <w:rPr>
                      <w:rFonts w:hint="eastAsia"/>
                      <w:color w:val="auto"/>
                    </w:rPr>
                    <w:t>0.5</w:t>
                  </w:r>
                </w:p>
              </w:tc>
              <w:tc>
                <w:tcPr>
                  <w:tcW w:w="1143" w:type="pct"/>
                  <w:vMerge w:val="continue"/>
                  <w:vAlign w:val="center"/>
                </w:tcPr>
                <w:p w14:paraId="76BD2074">
                  <w:pPr>
                    <w:pStyle w:val="127"/>
                    <w:rPr>
                      <w:snapToGrid w:val="0"/>
                      <w:color w:val="auto"/>
                    </w:rPr>
                  </w:pPr>
                </w:p>
              </w:tc>
            </w:tr>
            <w:tr w14:paraId="02A64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2FFC3C1A">
                  <w:pPr>
                    <w:pStyle w:val="127"/>
                    <w:rPr>
                      <w:snapToGrid w:val="0"/>
                      <w:color w:val="auto"/>
                    </w:rPr>
                  </w:pPr>
                  <w:r>
                    <w:rPr>
                      <w:snapToGrid w:val="0"/>
                      <w:color w:val="auto"/>
                    </w:rPr>
                    <w:t>天然气</w:t>
                  </w:r>
                  <w:r>
                    <w:rPr>
                      <w:snapToGrid w:val="0"/>
                      <w:color w:val="auto"/>
                      <w:vertAlign w:val="superscript"/>
                    </w:rPr>
                    <w:t>②</w:t>
                  </w:r>
                </w:p>
              </w:tc>
              <w:tc>
                <w:tcPr>
                  <w:tcW w:w="730" w:type="pct"/>
                  <w:vAlign w:val="center"/>
                </w:tcPr>
                <w:p w14:paraId="7A9A8968">
                  <w:pPr>
                    <w:widowControl/>
                    <w:jc w:val="center"/>
                    <w:textAlignment w:val="center"/>
                    <w:rPr>
                      <w:snapToGrid w:val="0"/>
                      <w:color w:val="auto"/>
                    </w:rPr>
                  </w:pPr>
                  <w:r>
                    <w:rPr>
                      <w:rFonts w:hint="eastAsia"/>
                      <w:color w:val="auto"/>
                      <w:kern w:val="0"/>
                      <w:szCs w:val="21"/>
                      <w:lang w:bidi="ar"/>
                    </w:rPr>
                    <w:t>27.28</w:t>
                  </w:r>
                  <w:r>
                    <w:rPr>
                      <w:rFonts w:hint="eastAsia"/>
                      <w:color w:val="auto"/>
                      <w:kern w:val="0"/>
                      <w:szCs w:val="21"/>
                      <w:lang w:val="en-US" w:eastAsia="zh-CN" w:bidi="ar"/>
                    </w:rPr>
                    <w:t>万</w:t>
                  </w:r>
                  <w:r>
                    <w:rPr>
                      <w:rFonts w:hint="eastAsia"/>
                      <w:color w:val="auto"/>
                      <w:szCs w:val="21"/>
                    </w:rPr>
                    <w:t>m</w:t>
                  </w:r>
                  <w:r>
                    <w:rPr>
                      <w:rFonts w:hint="eastAsia"/>
                      <w:color w:val="auto"/>
                      <w:szCs w:val="21"/>
                      <w:vertAlign w:val="superscript"/>
                    </w:rPr>
                    <w:t>3</w:t>
                  </w:r>
                </w:p>
              </w:tc>
              <w:tc>
                <w:tcPr>
                  <w:tcW w:w="681" w:type="pct"/>
                  <w:vAlign w:val="center"/>
                </w:tcPr>
                <w:p w14:paraId="1596646D">
                  <w:pPr>
                    <w:pStyle w:val="127"/>
                    <w:rPr>
                      <w:snapToGrid w:val="0"/>
                      <w:color w:val="auto"/>
                    </w:rPr>
                  </w:pPr>
                  <w:r>
                    <w:rPr>
                      <w:snapToGrid w:val="0"/>
                      <w:color w:val="auto"/>
                    </w:rPr>
                    <w:t>管道天然气</w:t>
                  </w:r>
                </w:p>
              </w:tc>
              <w:tc>
                <w:tcPr>
                  <w:tcW w:w="721" w:type="pct"/>
                  <w:vAlign w:val="center"/>
                </w:tcPr>
                <w:p w14:paraId="45977700">
                  <w:pPr>
                    <w:pStyle w:val="127"/>
                    <w:rPr>
                      <w:color w:val="auto"/>
                    </w:rPr>
                  </w:pPr>
                  <w:r>
                    <w:rPr>
                      <w:color w:val="auto"/>
                    </w:rPr>
                    <w:t>气态</w:t>
                  </w:r>
                </w:p>
              </w:tc>
              <w:tc>
                <w:tcPr>
                  <w:tcW w:w="791" w:type="pct"/>
                  <w:vAlign w:val="center"/>
                </w:tcPr>
                <w:p w14:paraId="5EBD06D3">
                  <w:pPr>
                    <w:pStyle w:val="127"/>
                    <w:rPr>
                      <w:color w:val="auto"/>
                    </w:rPr>
                  </w:pPr>
                  <w:r>
                    <w:rPr>
                      <w:color w:val="auto"/>
                    </w:rPr>
                    <w:t>0.</w:t>
                  </w:r>
                  <w:r>
                    <w:rPr>
                      <w:rFonts w:hint="eastAsia"/>
                      <w:color w:val="auto"/>
                    </w:rPr>
                    <w:t>0002</w:t>
                  </w:r>
                </w:p>
              </w:tc>
              <w:tc>
                <w:tcPr>
                  <w:tcW w:w="1143" w:type="pct"/>
                  <w:vAlign w:val="center"/>
                </w:tcPr>
                <w:p w14:paraId="14BBC5F7">
                  <w:pPr>
                    <w:pStyle w:val="127"/>
                    <w:rPr>
                      <w:snapToGrid w:val="0"/>
                      <w:color w:val="auto"/>
                    </w:rPr>
                  </w:pPr>
                  <w:r>
                    <w:rPr>
                      <w:rFonts w:hint="eastAsia"/>
                      <w:snapToGrid w:val="0"/>
                      <w:color w:val="auto"/>
                    </w:rPr>
                    <w:t>烘烤、固化</w:t>
                  </w:r>
                </w:p>
              </w:tc>
            </w:tr>
            <w:tr w14:paraId="5BA21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409D05E2">
                  <w:pPr>
                    <w:pStyle w:val="127"/>
                    <w:rPr>
                      <w:snapToGrid w:val="0"/>
                      <w:color w:val="auto"/>
                    </w:rPr>
                  </w:pPr>
                  <w:r>
                    <w:rPr>
                      <w:snapToGrid w:val="0"/>
                      <w:color w:val="auto"/>
                    </w:rPr>
                    <w:t>包装材料</w:t>
                  </w:r>
                </w:p>
              </w:tc>
              <w:tc>
                <w:tcPr>
                  <w:tcW w:w="730" w:type="pct"/>
                  <w:vAlign w:val="center"/>
                </w:tcPr>
                <w:p w14:paraId="62F78139">
                  <w:pPr>
                    <w:widowControl/>
                    <w:jc w:val="center"/>
                    <w:textAlignment w:val="center"/>
                    <w:rPr>
                      <w:color w:val="auto"/>
                    </w:rPr>
                  </w:pPr>
                  <w:r>
                    <w:rPr>
                      <w:color w:val="auto"/>
                      <w:kern w:val="0"/>
                      <w:szCs w:val="21"/>
                      <w:lang w:bidi="ar"/>
                    </w:rPr>
                    <w:t>5</w:t>
                  </w:r>
                </w:p>
              </w:tc>
              <w:tc>
                <w:tcPr>
                  <w:tcW w:w="681" w:type="pct"/>
                  <w:vAlign w:val="center"/>
                </w:tcPr>
                <w:p w14:paraId="4C255B8C">
                  <w:pPr>
                    <w:pStyle w:val="127"/>
                    <w:rPr>
                      <w:snapToGrid w:val="0"/>
                      <w:color w:val="auto"/>
                    </w:rPr>
                  </w:pPr>
                  <w:r>
                    <w:rPr>
                      <w:snapToGrid w:val="0"/>
                      <w:color w:val="auto"/>
                    </w:rPr>
                    <w:t>/</w:t>
                  </w:r>
                </w:p>
              </w:tc>
              <w:tc>
                <w:tcPr>
                  <w:tcW w:w="721" w:type="pct"/>
                  <w:vAlign w:val="center"/>
                </w:tcPr>
                <w:p w14:paraId="5035DCA8">
                  <w:pPr>
                    <w:pStyle w:val="127"/>
                    <w:rPr>
                      <w:color w:val="auto"/>
                    </w:rPr>
                  </w:pPr>
                  <w:r>
                    <w:rPr>
                      <w:color w:val="auto"/>
                      <w:szCs w:val="21"/>
                    </w:rPr>
                    <w:t>固态</w:t>
                  </w:r>
                </w:p>
              </w:tc>
              <w:tc>
                <w:tcPr>
                  <w:tcW w:w="791" w:type="pct"/>
                  <w:vAlign w:val="center"/>
                </w:tcPr>
                <w:p w14:paraId="3D5EE7DB">
                  <w:pPr>
                    <w:pStyle w:val="127"/>
                    <w:rPr>
                      <w:color w:val="auto"/>
                    </w:rPr>
                  </w:pPr>
                  <w:r>
                    <w:rPr>
                      <w:color w:val="auto"/>
                    </w:rPr>
                    <w:t>0.</w:t>
                  </w:r>
                  <w:r>
                    <w:rPr>
                      <w:rFonts w:hint="eastAsia"/>
                      <w:color w:val="auto"/>
                    </w:rPr>
                    <w:t>5</w:t>
                  </w:r>
                </w:p>
              </w:tc>
              <w:tc>
                <w:tcPr>
                  <w:tcW w:w="1143" w:type="pct"/>
                  <w:vAlign w:val="center"/>
                </w:tcPr>
                <w:p w14:paraId="7CF199B1">
                  <w:pPr>
                    <w:pStyle w:val="127"/>
                    <w:rPr>
                      <w:snapToGrid w:val="0"/>
                      <w:color w:val="auto"/>
                    </w:rPr>
                  </w:pPr>
                  <w:r>
                    <w:rPr>
                      <w:snapToGrid w:val="0"/>
                      <w:color w:val="auto"/>
                    </w:rPr>
                    <w:t>包装</w:t>
                  </w:r>
                </w:p>
              </w:tc>
            </w:tr>
            <w:tr w14:paraId="2764D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014FAA2C">
                  <w:pPr>
                    <w:pStyle w:val="127"/>
                    <w:rPr>
                      <w:rFonts w:hint="eastAsia" w:eastAsia="宋体"/>
                      <w:snapToGrid w:val="0"/>
                      <w:color w:val="auto"/>
                      <w:lang w:val="en-US" w:eastAsia="zh-CN"/>
                    </w:rPr>
                  </w:pPr>
                  <w:r>
                    <w:rPr>
                      <w:rFonts w:hint="eastAsia"/>
                      <w:snapToGrid w:val="0"/>
                      <w:color w:val="auto"/>
                      <w:lang w:val="en-US" w:eastAsia="zh-CN"/>
                    </w:rPr>
                    <w:t>石灰</w:t>
                  </w:r>
                </w:p>
              </w:tc>
              <w:tc>
                <w:tcPr>
                  <w:tcW w:w="730" w:type="pct"/>
                  <w:vAlign w:val="center"/>
                </w:tcPr>
                <w:p w14:paraId="233B61D1">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0.3</w:t>
                  </w:r>
                </w:p>
              </w:tc>
              <w:tc>
                <w:tcPr>
                  <w:tcW w:w="681" w:type="pct"/>
                  <w:vAlign w:val="center"/>
                </w:tcPr>
                <w:p w14:paraId="551FD654">
                  <w:pPr>
                    <w:pStyle w:val="127"/>
                    <w:rPr>
                      <w:snapToGrid w:val="0"/>
                      <w:color w:val="auto"/>
                    </w:rPr>
                  </w:pPr>
                  <w:r>
                    <w:rPr>
                      <w:snapToGrid w:val="0"/>
                      <w:color w:val="auto"/>
                    </w:rPr>
                    <w:t>25kg/桶</w:t>
                  </w:r>
                </w:p>
              </w:tc>
              <w:tc>
                <w:tcPr>
                  <w:tcW w:w="721" w:type="pct"/>
                  <w:vAlign w:val="center"/>
                </w:tcPr>
                <w:p w14:paraId="369199D2">
                  <w:pPr>
                    <w:pStyle w:val="127"/>
                    <w:rPr>
                      <w:color w:val="auto"/>
                      <w:szCs w:val="21"/>
                    </w:rPr>
                  </w:pPr>
                  <w:r>
                    <w:rPr>
                      <w:color w:val="auto"/>
                    </w:rPr>
                    <w:t>固态</w:t>
                  </w:r>
                </w:p>
              </w:tc>
              <w:tc>
                <w:tcPr>
                  <w:tcW w:w="791" w:type="pct"/>
                  <w:vAlign w:val="center"/>
                </w:tcPr>
                <w:p w14:paraId="338AB02F">
                  <w:pPr>
                    <w:pStyle w:val="127"/>
                    <w:rPr>
                      <w:rFonts w:hint="default" w:eastAsia="宋体"/>
                      <w:color w:val="auto"/>
                      <w:lang w:val="en-US" w:eastAsia="zh-CN"/>
                    </w:rPr>
                  </w:pPr>
                  <w:r>
                    <w:rPr>
                      <w:rFonts w:hint="eastAsia"/>
                      <w:color w:val="auto"/>
                      <w:lang w:val="en-US" w:eastAsia="zh-CN"/>
                    </w:rPr>
                    <w:t>0.1</w:t>
                  </w:r>
                </w:p>
              </w:tc>
              <w:tc>
                <w:tcPr>
                  <w:tcW w:w="1143" w:type="pct"/>
                  <w:vMerge w:val="restart"/>
                  <w:vAlign w:val="center"/>
                </w:tcPr>
                <w:p w14:paraId="462F7C84">
                  <w:pPr>
                    <w:pStyle w:val="127"/>
                    <w:rPr>
                      <w:rFonts w:hint="default" w:eastAsia="宋体"/>
                      <w:snapToGrid w:val="0"/>
                      <w:color w:val="auto"/>
                      <w:lang w:val="en-US" w:eastAsia="zh-CN"/>
                    </w:rPr>
                  </w:pPr>
                  <w:r>
                    <w:rPr>
                      <w:rFonts w:hint="eastAsia"/>
                      <w:snapToGrid w:val="0"/>
                      <w:color w:val="auto"/>
                      <w:lang w:val="en-US" w:eastAsia="zh-CN"/>
                    </w:rPr>
                    <w:t>废水处理站</w:t>
                  </w:r>
                </w:p>
              </w:tc>
            </w:tr>
            <w:tr w14:paraId="1468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54F10DC4">
                  <w:pPr>
                    <w:pStyle w:val="127"/>
                    <w:rPr>
                      <w:rFonts w:hint="default" w:eastAsia="宋体"/>
                      <w:snapToGrid w:val="0"/>
                      <w:color w:val="auto"/>
                      <w:lang w:val="en-US" w:eastAsia="zh-CN"/>
                    </w:rPr>
                  </w:pPr>
                  <w:r>
                    <w:rPr>
                      <w:rFonts w:hint="eastAsia"/>
                      <w:snapToGrid w:val="0"/>
                      <w:color w:val="auto"/>
                      <w:lang w:val="en-US" w:eastAsia="zh-CN"/>
                    </w:rPr>
                    <w:t>PAC</w:t>
                  </w:r>
                </w:p>
              </w:tc>
              <w:tc>
                <w:tcPr>
                  <w:tcW w:w="730" w:type="pct"/>
                  <w:vAlign w:val="center"/>
                </w:tcPr>
                <w:p w14:paraId="601A6512">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0.75</w:t>
                  </w:r>
                </w:p>
              </w:tc>
              <w:tc>
                <w:tcPr>
                  <w:tcW w:w="681" w:type="pct"/>
                  <w:vAlign w:val="center"/>
                </w:tcPr>
                <w:p w14:paraId="3BAAA805">
                  <w:pPr>
                    <w:pStyle w:val="127"/>
                    <w:rPr>
                      <w:snapToGrid w:val="0"/>
                      <w:color w:val="auto"/>
                    </w:rPr>
                  </w:pPr>
                  <w:r>
                    <w:rPr>
                      <w:color w:val="auto"/>
                      <w:szCs w:val="21"/>
                      <w:lang w:bidi="ar"/>
                    </w:rPr>
                    <w:t>25kg/桶</w:t>
                  </w:r>
                </w:p>
              </w:tc>
              <w:tc>
                <w:tcPr>
                  <w:tcW w:w="721" w:type="pct"/>
                  <w:vAlign w:val="center"/>
                </w:tcPr>
                <w:p w14:paraId="5150ADBD">
                  <w:pPr>
                    <w:pStyle w:val="127"/>
                    <w:rPr>
                      <w:color w:val="auto"/>
                      <w:szCs w:val="21"/>
                    </w:rPr>
                  </w:pPr>
                  <w:r>
                    <w:rPr>
                      <w:color w:val="auto"/>
                    </w:rPr>
                    <w:t>固态</w:t>
                  </w:r>
                </w:p>
              </w:tc>
              <w:tc>
                <w:tcPr>
                  <w:tcW w:w="791" w:type="pct"/>
                  <w:vAlign w:val="center"/>
                </w:tcPr>
                <w:p w14:paraId="7A3EE2E3">
                  <w:pPr>
                    <w:pStyle w:val="127"/>
                    <w:rPr>
                      <w:color w:val="auto"/>
                    </w:rPr>
                  </w:pPr>
                  <w:r>
                    <w:rPr>
                      <w:rFonts w:hint="eastAsia"/>
                      <w:color w:val="auto"/>
                      <w:lang w:val="en-US" w:eastAsia="zh-CN"/>
                    </w:rPr>
                    <w:t>0.1</w:t>
                  </w:r>
                </w:p>
              </w:tc>
              <w:tc>
                <w:tcPr>
                  <w:tcW w:w="1143" w:type="pct"/>
                  <w:vMerge w:val="continue"/>
                  <w:vAlign w:val="center"/>
                </w:tcPr>
                <w:p w14:paraId="075FD835">
                  <w:pPr>
                    <w:pStyle w:val="127"/>
                    <w:rPr>
                      <w:snapToGrid w:val="0"/>
                      <w:color w:val="auto"/>
                    </w:rPr>
                  </w:pPr>
                </w:p>
              </w:tc>
            </w:tr>
            <w:tr w14:paraId="1FF68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468168F9">
                  <w:pPr>
                    <w:pStyle w:val="127"/>
                    <w:rPr>
                      <w:rFonts w:hint="default" w:eastAsia="宋体"/>
                      <w:snapToGrid w:val="0"/>
                      <w:color w:val="auto"/>
                      <w:lang w:val="en-US" w:eastAsia="zh-CN"/>
                    </w:rPr>
                  </w:pPr>
                  <w:r>
                    <w:rPr>
                      <w:rFonts w:hint="eastAsia"/>
                      <w:snapToGrid w:val="0"/>
                      <w:color w:val="auto"/>
                      <w:lang w:val="en-US" w:eastAsia="zh-CN"/>
                    </w:rPr>
                    <w:t>PAM</w:t>
                  </w:r>
                </w:p>
              </w:tc>
              <w:tc>
                <w:tcPr>
                  <w:tcW w:w="730" w:type="pct"/>
                  <w:vAlign w:val="center"/>
                </w:tcPr>
                <w:p w14:paraId="0D532871">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0.1</w:t>
                  </w:r>
                </w:p>
              </w:tc>
              <w:tc>
                <w:tcPr>
                  <w:tcW w:w="681" w:type="pct"/>
                  <w:vAlign w:val="center"/>
                </w:tcPr>
                <w:p w14:paraId="7D720721">
                  <w:pPr>
                    <w:pStyle w:val="127"/>
                    <w:rPr>
                      <w:snapToGrid w:val="0"/>
                      <w:color w:val="auto"/>
                    </w:rPr>
                  </w:pPr>
                  <w:r>
                    <w:rPr>
                      <w:snapToGrid w:val="0"/>
                      <w:color w:val="auto"/>
                    </w:rPr>
                    <w:t>25kg/桶</w:t>
                  </w:r>
                </w:p>
              </w:tc>
              <w:tc>
                <w:tcPr>
                  <w:tcW w:w="721" w:type="pct"/>
                  <w:vAlign w:val="center"/>
                </w:tcPr>
                <w:p w14:paraId="4D2616A5">
                  <w:pPr>
                    <w:pStyle w:val="127"/>
                    <w:rPr>
                      <w:color w:val="auto"/>
                      <w:szCs w:val="21"/>
                    </w:rPr>
                  </w:pPr>
                  <w:r>
                    <w:rPr>
                      <w:color w:val="auto"/>
                    </w:rPr>
                    <w:t>固态</w:t>
                  </w:r>
                </w:p>
              </w:tc>
              <w:tc>
                <w:tcPr>
                  <w:tcW w:w="791" w:type="pct"/>
                  <w:vAlign w:val="center"/>
                </w:tcPr>
                <w:p w14:paraId="3DC9D968">
                  <w:pPr>
                    <w:pStyle w:val="127"/>
                    <w:rPr>
                      <w:color w:val="auto"/>
                    </w:rPr>
                  </w:pPr>
                  <w:r>
                    <w:rPr>
                      <w:rFonts w:hint="eastAsia"/>
                      <w:color w:val="auto"/>
                      <w:lang w:val="en-US" w:eastAsia="zh-CN"/>
                    </w:rPr>
                    <w:t>0.1</w:t>
                  </w:r>
                </w:p>
              </w:tc>
              <w:tc>
                <w:tcPr>
                  <w:tcW w:w="1143" w:type="pct"/>
                  <w:vMerge w:val="continue"/>
                  <w:vAlign w:val="center"/>
                </w:tcPr>
                <w:p w14:paraId="1EC8DC0A">
                  <w:pPr>
                    <w:pStyle w:val="127"/>
                    <w:rPr>
                      <w:snapToGrid w:val="0"/>
                      <w:color w:val="auto"/>
                    </w:rPr>
                  </w:pPr>
                </w:p>
              </w:tc>
            </w:tr>
            <w:tr w14:paraId="69302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pct"/>
                  <w:vAlign w:val="center"/>
                </w:tcPr>
                <w:p w14:paraId="178BC7CD">
                  <w:pPr>
                    <w:pStyle w:val="127"/>
                    <w:rPr>
                      <w:rFonts w:hint="default" w:eastAsia="宋体"/>
                      <w:snapToGrid w:val="0"/>
                      <w:color w:val="auto"/>
                      <w:lang w:val="en-US" w:eastAsia="zh-CN"/>
                    </w:rPr>
                  </w:pPr>
                  <w:r>
                    <w:rPr>
                      <w:rFonts w:hint="eastAsia"/>
                      <w:snapToGrid w:val="0"/>
                      <w:color w:val="auto"/>
                      <w:lang w:val="en-US" w:eastAsia="zh-CN"/>
                    </w:rPr>
                    <w:t>片碱</w:t>
                  </w:r>
                </w:p>
              </w:tc>
              <w:tc>
                <w:tcPr>
                  <w:tcW w:w="730" w:type="pct"/>
                  <w:vAlign w:val="center"/>
                </w:tcPr>
                <w:p w14:paraId="25E2C500">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0.3</w:t>
                  </w:r>
                </w:p>
              </w:tc>
              <w:tc>
                <w:tcPr>
                  <w:tcW w:w="681" w:type="pct"/>
                  <w:vAlign w:val="center"/>
                </w:tcPr>
                <w:p w14:paraId="78AC2017">
                  <w:pPr>
                    <w:pStyle w:val="127"/>
                    <w:rPr>
                      <w:snapToGrid w:val="0"/>
                      <w:color w:val="auto"/>
                    </w:rPr>
                  </w:pPr>
                  <w:r>
                    <w:rPr>
                      <w:color w:val="auto"/>
                      <w:szCs w:val="21"/>
                      <w:lang w:bidi="ar"/>
                    </w:rPr>
                    <w:t>25kg/桶</w:t>
                  </w:r>
                </w:p>
              </w:tc>
              <w:tc>
                <w:tcPr>
                  <w:tcW w:w="721" w:type="pct"/>
                  <w:vAlign w:val="center"/>
                </w:tcPr>
                <w:p w14:paraId="7B1976BF">
                  <w:pPr>
                    <w:pStyle w:val="127"/>
                    <w:rPr>
                      <w:color w:val="auto"/>
                      <w:szCs w:val="21"/>
                    </w:rPr>
                  </w:pPr>
                  <w:r>
                    <w:rPr>
                      <w:color w:val="auto"/>
                    </w:rPr>
                    <w:t>固态</w:t>
                  </w:r>
                </w:p>
              </w:tc>
              <w:tc>
                <w:tcPr>
                  <w:tcW w:w="791" w:type="pct"/>
                  <w:vAlign w:val="center"/>
                </w:tcPr>
                <w:p w14:paraId="637A3C6F">
                  <w:pPr>
                    <w:pStyle w:val="127"/>
                    <w:rPr>
                      <w:color w:val="auto"/>
                    </w:rPr>
                  </w:pPr>
                  <w:r>
                    <w:rPr>
                      <w:rFonts w:hint="eastAsia"/>
                      <w:color w:val="auto"/>
                      <w:lang w:val="en-US" w:eastAsia="zh-CN"/>
                    </w:rPr>
                    <w:t>0.1</w:t>
                  </w:r>
                </w:p>
              </w:tc>
              <w:tc>
                <w:tcPr>
                  <w:tcW w:w="1143" w:type="pct"/>
                  <w:vMerge w:val="continue"/>
                  <w:vAlign w:val="center"/>
                </w:tcPr>
                <w:p w14:paraId="04930403">
                  <w:pPr>
                    <w:pStyle w:val="127"/>
                    <w:rPr>
                      <w:snapToGrid w:val="0"/>
                      <w:color w:val="auto"/>
                    </w:rPr>
                  </w:pPr>
                </w:p>
              </w:tc>
            </w:tr>
            <w:tr w14:paraId="539A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73C1244C">
                  <w:pPr>
                    <w:pStyle w:val="127"/>
                    <w:jc w:val="both"/>
                    <w:rPr>
                      <w:snapToGrid w:val="0"/>
                      <w:color w:val="auto"/>
                    </w:rPr>
                  </w:pPr>
                  <w:r>
                    <w:rPr>
                      <w:rFonts w:hint="eastAsia"/>
                      <w:snapToGrid w:val="0"/>
                      <w:color w:val="auto"/>
                    </w:rPr>
                    <w:t>备注：</w:t>
                  </w:r>
                  <w:r>
                    <w:rPr>
                      <w:rFonts w:hint="eastAsia"/>
                      <w:color w:val="auto"/>
                      <w:szCs w:val="21"/>
                    </w:rPr>
                    <w:t>项目厂内天然气管道采用DN40的镀锌钢管（内径48.3mm，横截面面积为0.001832m</w:t>
                  </w:r>
                  <w:r>
                    <w:rPr>
                      <w:rFonts w:hint="eastAsia"/>
                      <w:color w:val="auto"/>
                      <w:szCs w:val="21"/>
                      <w:vertAlign w:val="superscript"/>
                    </w:rPr>
                    <w:t>2</w:t>
                  </w:r>
                  <w:r>
                    <w:rPr>
                      <w:rFonts w:hint="eastAsia"/>
                      <w:color w:val="auto"/>
                      <w:szCs w:val="21"/>
                    </w:rPr>
                    <w:t>），厂区内的管道长度合计约153m，天然气的密度0.7174kg/m</w:t>
                  </w:r>
                  <w:r>
                    <w:rPr>
                      <w:rFonts w:hint="eastAsia"/>
                      <w:color w:val="auto"/>
                      <w:szCs w:val="21"/>
                      <w:vertAlign w:val="superscript"/>
                    </w:rPr>
                    <w:t>3</w:t>
                  </w:r>
                  <w:r>
                    <w:rPr>
                      <w:rFonts w:hint="eastAsia"/>
                      <w:color w:val="auto"/>
                      <w:szCs w:val="21"/>
                    </w:rPr>
                    <w:t>，计算得出天然气在项目内的最大储存量为0.0002t。</w:t>
                  </w:r>
                </w:p>
              </w:tc>
            </w:tr>
          </w:tbl>
          <w:p w14:paraId="76C02E36">
            <w:pPr>
              <w:pStyle w:val="6"/>
              <w:ind w:left="0" w:leftChars="0" w:firstLine="482" w:firstLineChars="200"/>
              <w:rPr>
                <w:b/>
                <w:bCs/>
                <w:color w:val="auto"/>
                <w:sz w:val="24"/>
              </w:rPr>
            </w:pPr>
          </w:p>
          <w:p w14:paraId="6504FA23">
            <w:pPr>
              <w:pStyle w:val="6"/>
              <w:ind w:left="0" w:leftChars="0" w:firstLine="482" w:firstLineChars="200"/>
              <w:rPr>
                <w:b/>
                <w:bCs/>
                <w:color w:val="auto"/>
                <w:sz w:val="24"/>
              </w:rPr>
            </w:pPr>
            <w:r>
              <w:rPr>
                <w:b/>
                <w:bCs/>
                <w:color w:val="auto"/>
                <w:sz w:val="24"/>
              </w:rPr>
              <w:t>（2）原辅材料理化性质</w:t>
            </w:r>
          </w:p>
          <w:p w14:paraId="46CEA24F">
            <w:pPr>
              <w:numPr>
                <w:ilvl w:val="0"/>
                <w:numId w:val="0"/>
              </w:numPr>
              <w:adjustRightInd w:val="0"/>
              <w:snapToGrid w:val="0"/>
              <w:ind w:leftChars="0"/>
              <w:jc w:val="both"/>
              <w:rPr>
                <w:b/>
                <w:color w:val="auto"/>
                <w:szCs w:val="21"/>
              </w:rPr>
            </w:pPr>
          </w:p>
          <w:p w14:paraId="0AFCF978">
            <w:pPr>
              <w:numPr>
                <w:ilvl w:val="0"/>
                <w:numId w:val="10"/>
              </w:numPr>
              <w:adjustRightInd w:val="0"/>
              <w:snapToGrid w:val="0"/>
              <w:jc w:val="center"/>
              <w:rPr>
                <w:b/>
                <w:color w:val="auto"/>
                <w:szCs w:val="21"/>
              </w:rPr>
            </w:pPr>
            <w:r>
              <w:rPr>
                <w:b/>
                <w:color w:val="auto"/>
                <w:szCs w:val="21"/>
              </w:rPr>
              <w:t xml:space="preserve">  主要原辅材料理化性质一览表</w:t>
            </w:r>
          </w:p>
          <w:tbl>
            <w:tblPr>
              <w:tblStyle w:val="35"/>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1167"/>
              <w:gridCol w:w="2981"/>
              <w:gridCol w:w="4566"/>
            </w:tblGrid>
            <w:tr w14:paraId="07C36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Align w:val="center"/>
                </w:tcPr>
                <w:p w14:paraId="25FB2186">
                  <w:pPr>
                    <w:topLinePunct/>
                    <w:jc w:val="center"/>
                    <w:rPr>
                      <w:b/>
                      <w:bCs/>
                      <w:color w:val="auto"/>
                      <w:szCs w:val="21"/>
                    </w:rPr>
                  </w:pPr>
                  <w:r>
                    <w:rPr>
                      <w:b/>
                      <w:bCs/>
                      <w:color w:val="auto"/>
                      <w:szCs w:val="21"/>
                    </w:rPr>
                    <w:t>序号</w:t>
                  </w:r>
                </w:p>
              </w:tc>
              <w:tc>
                <w:tcPr>
                  <w:tcW w:w="635" w:type="pct"/>
                  <w:vAlign w:val="center"/>
                </w:tcPr>
                <w:p w14:paraId="2E41DC9C">
                  <w:pPr>
                    <w:topLinePunct/>
                    <w:jc w:val="center"/>
                    <w:rPr>
                      <w:b/>
                      <w:bCs/>
                      <w:color w:val="auto"/>
                      <w:szCs w:val="21"/>
                    </w:rPr>
                  </w:pPr>
                  <w:r>
                    <w:rPr>
                      <w:b/>
                      <w:bCs/>
                      <w:color w:val="auto"/>
                      <w:szCs w:val="21"/>
                    </w:rPr>
                    <w:t>名称</w:t>
                  </w:r>
                </w:p>
              </w:tc>
              <w:tc>
                <w:tcPr>
                  <w:tcW w:w="1622" w:type="pct"/>
                  <w:vAlign w:val="center"/>
                </w:tcPr>
                <w:p w14:paraId="2FB918BA">
                  <w:pPr>
                    <w:topLinePunct/>
                    <w:jc w:val="center"/>
                    <w:rPr>
                      <w:b/>
                      <w:bCs/>
                      <w:color w:val="auto"/>
                      <w:szCs w:val="21"/>
                    </w:rPr>
                  </w:pPr>
                  <w:r>
                    <w:rPr>
                      <w:b/>
                      <w:bCs/>
                      <w:color w:val="auto"/>
                      <w:szCs w:val="21"/>
                    </w:rPr>
                    <w:t>主要成分</w:t>
                  </w:r>
                </w:p>
              </w:tc>
              <w:tc>
                <w:tcPr>
                  <w:tcW w:w="2485" w:type="pct"/>
                  <w:vAlign w:val="center"/>
                </w:tcPr>
                <w:p w14:paraId="6AF6590E">
                  <w:pPr>
                    <w:topLinePunct/>
                    <w:jc w:val="center"/>
                    <w:rPr>
                      <w:b/>
                      <w:bCs/>
                      <w:color w:val="auto"/>
                      <w:szCs w:val="21"/>
                    </w:rPr>
                  </w:pPr>
                  <w:r>
                    <w:rPr>
                      <w:b/>
                      <w:bCs/>
                      <w:color w:val="auto"/>
                      <w:szCs w:val="21"/>
                    </w:rPr>
                    <w:t>主要理化性质及危险性</w:t>
                  </w:r>
                </w:p>
              </w:tc>
            </w:tr>
            <w:tr w14:paraId="27BA2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43BB1F55">
                  <w:pPr>
                    <w:topLinePunct/>
                    <w:jc w:val="center"/>
                    <w:rPr>
                      <w:rFonts w:ascii="Times New Roman" w:hAnsi="Times New Roman" w:eastAsia="宋体" w:cs="Times New Roman"/>
                      <w:color w:val="auto"/>
                      <w:kern w:val="2"/>
                      <w:sz w:val="21"/>
                      <w:szCs w:val="21"/>
                      <w:lang w:val="en-US" w:eastAsia="zh-CN" w:bidi="ar-SA"/>
                    </w:rPr>
                  </w:pPr>
                  <w:r>
                    <w:rPr>
                      <w:color w:val="auto"/>
                      <w:szCs w:val="21"/>
                    </w:rPr>
                    <w:t>1</w:t>
                  </w:r>
                </w:p>
              </w:tc>
              <w:tc>
                <w:tcPr>
                  <w:tcW w:w="635" w:type="pct"/>
                  <w:vAlign w:val="center"/>
                </w:tcPr>
                <w:p w14:paraId="6B285B28">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碳钢</w:t>
                  </w:r>
                </w:p>
              </w:tc>
              <w:tc>
                <w:tcPr>
                  <w:tcW w:w="4107" w:type="pct"/>
                  <w:gridSpan w:val="2"/>
                  <w:vAlign w:val="center"/>
                </w:tcPr>
                <w:p w14:paraId="5AD66C02">
                  <w:pPr>
                    <w:widowControl/>
                    <w:adjustRightInd w:val="0"/>
                    <w:snapToGrid w:val="0"/>
                    <w:jc w:val="left"/>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碳钢是含碳量在0.0218%~2.11%的铁碳合金。也叫碳素钢。一般还含有少量的硅、锰、硫、磷。一般碳钢中含碳量越高则硬度越大，强度也越高，但塑性越低。</w:t>
                  </w:r>
                </w:p>
                <w:p w14:paraId="26426DBF">
                  <w:pPr>
                    <w:widowControl/>
                    <w:adjustRightInd w:val="0"/>
                    <w:snapToGrid w:val="0"/>
                    <w:jc w:val="left"/>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车架类采用高碳钢材质，含碳量0.6%-1.4%；‌</w:t>
                  </w:r>
                  <w:r>
                    <w:rPr>
                      <w:rFonts w:hint="default" w:ascii="Times New Roman" w:hAnsi="Times New Roman" w:eastAsia="宋体" w:cs="Times New Roman"/>
                      <w:color w:val="auto"/>
                      <w:kern w:val="0"/>
                      <w:szCs w:val="21"/>
                      <w:lang w:val="en-US" w:eastAsia="zh-CN" w:bidi="ar"/>
                    </w:rPr>
                    <w:t>密度</w:t>
                  </w:r>
                  <w:r>
                    <w:rPr>
                      <w:rFonts w:hint="eastAsia" w:ascii="Times New Roman" w:hAnsi="Times New Roman" w:eastAsia="宋体" w:cs="Times New Roman"/>
                      <w:color w:val="auto"/>
                      <w:kern w:val="0"/>
                      <w:szCs w:val="21"/>
                      <w:lang w:val="en-US" w:eastAsia="zh-CN" w:bidi="ar"/>
                    </w:rPr>
                    <w:t>‌：7.85 g/cm³；‌</w:t>
                  </w:r>
                  <w:r>
                    <w:rPr>
                      <w:rFonts w:hint="default" w:ascii="Times New Roman" w:hAnsi="Times New Roman" w:eastAsia="宋体" w:cs="Times New Roman"/>
                      <w:color w:val="auto"/>
                      <w:kern w:val="0"/>
                      <w:szCs w:val="21"/>
                      <w:lang w:val="en-US" w:eastAsia="zh-CN" w:bidi="ar"/>
                    </w:rPr>
                    <w:t>弹性模量</w:t>
                  </w:r>
                  <w:r>
                    <w:rPr>
                      <w:rFonts w:hint="eastAsia" w:ascii="Times New Roman" w:hAnsi="Times New Roman" w:eastAsia="宋体" w:cs="Times New Roman"/>
                      <w:color w:val="auto"/>
                      <w:kern w:val="0"/>
                      <w:szCs w:val="21"/>
                      <w:lang w:val="en-US" w:eastAsia="zh-CN" w:bidi="ar"/>
                    </w:rPr>
                    <w:t>‌：约200 GPa，具备较好的吸震能力，可吸收35%的路面冲击能量；‌</w:t>
                  </w:r>
                  <w:r>
                    <w:rPr>
                      <w:rFonts w:hint="default" w:ascii="Times New Roman" w:hAnsi="Times New Roman" w:eastAsia="宋体" w:cs="Times New Roman"/>
                      <w:color w:val="auto"/>
                      <w:kern w:val="0"/>
                      <w:szCs w:val="21"/>
                      <w:lang w:val="en-US" w:eastAsia="zh-CN" w:bidi="ar"/>
                    </w:rPr>
                    <w:t>屈服强度</w:t>
                  </w:r>
                  <w:r>
                    <w:rPr>
                      <w:rFonts w:hint="eastAsia" w:ascii="Times New Roman" w:hAnsi="Times New Roman" w:eastAsia="宋体" w:cs="Times New Roman"/>
                      <w:color w:val="auto"/>
                      <w:kern w:val="0"/>
                      <w:szCs w:val="21"/>
                      <w:lang w:val="en-US" w:eastAsia="zh-CN" w:bidi="ar"/>
                    </w:rPr>
                    <w:t>‌：通常在450-550 MPa之间，高碳钢的疲劳极限约为抗拉强度的50%，使用寿命较长；‌</w:t>
                  </w:r>
                  <w:r>
                    <w:rPr>
                      <w:rFonts w:hint="default" w:ascii="Times New Roman" w:hAnsi="Times New Roman" w:eastAsia="宋体" w:cs="Times New Roman"/>
                      <w:color w:val="auto"/>
                      <w:kern w:val="0"/>
                      <w:szCs w:val="21"/>
                      <w:lang w:val="en-US" w:eastAsia="zh-CN" w:bidi="ar"/>
                    </w:rPr>
                    <w:t>抗腐蚀性</w:t>
                  </w:r>
                  <w:r>
                    <w:rPr>
                      <w:rFonts w:hint="eastAsia" w:ascii="Times New Roman" w:hAnsi="Times New Roman" w:eastAsia="宋体" w:cs="Times New Roman"/>
                      <w:color w:val="auto"/>
                      <w:kern w:val="0"/>
                      <w:szCs w:val="21"/>
                      <w:lang w:val="en-US" w:eastAsia="zh-CN" w:bidi="ar"/>
                    </w:rPr>
                    <w:t>‌：生锈风险较高；‌</w:t>
                  </w:r>
                  <w:r>
                    <w:rPr>
                      <w:rFonts w:hint="default" w:ascii="Times New Roman" w:hAnsi="Times New Roman" w:eastAsia="宋体" w:cs="Times New Roman"/>
                      <w:color w:val="auto"/>
                      <w:kern w:val="0"/>
                      <w:szCs w:val="21"/>
                      <w:lang w:val="en-US" w:eastAsia="zh-CN" w:bidi="ar"/>
                    </w:rPr>
                    <w:t>加工适应性</w:t>
                  </w:r>
                  <w:r>
                    <w:rPr>
                      <w:rFonts w:hint="eastAsia" w:ascii="Times New Roman" w:hAnsi="Times New Roman" w:eastAsia="宋体" w:cs="Times New Roman"/>
                      <w:color w:val="auto"/>
                      <w:kern w:val="0"/>
                      <w:szCs w:val="21"/>
                      <w:lang w:val="en-US" w:eastAsia="zh-CN" w:bidi="ar"/>
                    </w:rPr>
                    <w:t>‌：支持冷成形、切削及焊接，退火态加工合格率超95%；</w:t>
                  </w:r>
                  <w:r>
                    <w:rPr>
                      <w:rFonts w:hint="default" w:ascii="Times New Roman" w:hAnsi="Times New Roman" w:eastAsia="宋体" w:cs="Times New Roman"/>
                      <w:color w:val="auto"/>
                      <w:kern w:val="0"/>
                      <w:szCs w:val="21"/>
                      <w:lang w:val="en-US" w:eastAsia="zh-CN" w:bidi="ar"/>
                    </w:rPr>
                    <w:t>‌热处理‌：正火或渗碳处理可优化组织结构，提升表面耐磨性3倍以上。 ‌</w:t>
                  </w:r>
                </w:p>
                <w:p w14:paraId="5B25D7F8">
                  <w:pPr>
                    <w:widowControl/>
                    <w:adjustRightInd w:val="0"/>
                    <w:snapToGrid w:val="0"/>
                    <w:jc w:val="left"/>
                    <w:textAlignment w:val="center"/>
                    <w:rPr>
                      <w:rFonts w:hint="default"/>
                      <w:color w:val="auto"/>
                      <w:lang w:val="en-US" w:eastAsia="zh-CN"/>
                    </w:rPr>
                  </w:pPr>
                  <w:r>
                    <w:rPr>
                      <w:rFonts w:hint="eastAsia" w:ascii="Times New Roman" w:hAnsi="Times New Roman" w:eastAsia="宋体" w:cs="Times New Roman"/>
                      <w:color w:val="auto"/>
                      <w:kern w:val="0"/>
                      <w:szCs w:val="21"/>
                      <w:lang w:val="en-US" w:eastAsia="zh-CN" w:bidi="ar"/>
                    </w:rPr>
                    <w:t>家私配件类采用低碳钢，含碳量低于0.25%，具有较高的塑性和韧性，适合复杂形状的加工；</w:t>
                  </w:r>
                  <w:r>
                    <w:rPr>
                      <w:rFonts w:hint="default"/>
                      <w:color w:val="auto"/>
                      <w:lang w:val="en-US" w:eastAsia="zh-CN"/>
                    </w:rPr>
                    <w:t>具有较高的抗拉强度和硬度，适用于承重要求较高的家具结构</w:t>
                  </w:r>
                  <w:r>
                    <w:rPr>
                      <w:rFonts w:hint="eastAsia"/>
                      <w:color w:val="auto"/>
                      <w:lang w:val="en-US" w:eastAsia="zh-CN"/>
                    </w:rPr>
                    <w:t>；</w:t>
                  </w:r>
                  <w:r>
                    <w:rPr>
                      <w:rFonts w:hint="default"/>
                      <w:color w:val="auto"/>
                      <w:lang w:val="en-US" w:eastAsia="zh-CN"/>
                    </w:rPr>
                    <w:t>‌密度与重量‌：密度较高，相同体积下重量大于不锈钢</w:t>
                  </w:r>
                  <w:r>
                    <w:rPr>
                      <w:rFonts w:hint="eastAsia"/>
                      <w:color w:val="auto"/>
                      <w:lang w:val="en-US" w:eastAsia="zh-CN"/>
                    </w:rPr>
                    <w:t>；</w:t>
                  </w:r>
                  <w:r>
                    <w:rPr>
                      <w:rFonts w:hint="default"/>
                      <w:color w:val="auto"/>
                      <w:lang w:val="en-US" w:eastAsia="zh-CN"/>
                    </w:rPr>
                    <w:t>‌导电性与热传导‌：具备良好导电性和热传导性</w:t>
                  </w:r>
                  <w:r>
                    <w:rPr>
                      <w:rFonts w:hint="eastAsia"/>
                      <w:color w:val="auto"/>
                      <w:lang w:val="en-US" w:eastAsia="zh-CN"/>
                    </w:rPr>
                    <w:t>；</w:t>
                  </w:r>
                  <w:r>
                    <w:rPr>
                      <w:rFonts w:hint="default"/>
                      <w:color w:val="auto"/>
                      <w:lang w:val="en-US" w:eastAsia="zh-CN"/>
                    </w:rPr>
                    <w:t>‌耐腐蚀性‌：在潮湿环境中易生锈，需通过涂层或镀锌防护</w:t>
                  </w:r>
                  <w:r>
                    <w:rPr>
                      <w:rFonts w:hint="eastAsia"/>
                      <w:color w:val="auto"/>
                      <w:lang w:val="en-US" w:eastAsia="zh-CN"/>
                    </w:rPr>
                    <w:t>；</w:t>
                  </w:r>
                  <w:r>
                    <w:rPr>
                      <w:rFonts w:hint="default"/>
                      <w:color w:val="auto"/>
                      <w:lang w:val="en-US" w:eastAsia="zh-CN"/>
                    </w:rPr>
                    <w:t>‌化学稳定性‌：对酸碱等化学物质敏感，长期接触可能造成表面损伤</w:t>
                  </w:r>
                  <w:r>
                    <w:rPr>
                      <w:rFonts w:hint="eastAsia"/>
                      <w:color w:val="auto"/>
                      <w:lang w:val="en-US" w:eastAsia="zh-CN"/>
                    </w:rPr>
                    <w:t>。</w:t>
                  </w:r>
                </w:p>
              </w:tc>
            </w:tr>
            <w:tr w14:paraId="3322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6FB78676">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2</w:t>
                  </w:r>
                </w:p>
              </w:tc>
              <w:tc>
                <w:tcPr>
                  <w:tcW w:w="635" w:type="pct"/>
                  <w:vAlign w:val="center"/>
                </w:tcPr>
                <w:p w14:paraId="5DB5E554">
                  <w:pPr>
                    <w:widowControl/>
                    <w:adjustRightInd w:val="0"/>
                    <w:snapToGrid w:val="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铝材</w:t>
                  </w:r>
                </w:p>
              </w:tc>
              <w:tc>
                <w:tcPr>
                  <w:tcW w:w="4107" w:type="pct"/>
                  <w:gridSpan w:val="2"/>
                  <w:vAlign w:val="center"/>
                </w:tcPr>
                <w:p w14:paraId="3EBCF7FB">
                  <w:pPr>
                    <w:widowControl/>
                    <w:adjustRightInd w:val="0"/>
                    <w:snapToGrid w:val="0"/>
                    <w:jc w:val="left"/>
                    <w:rPr>
                      <w:rFonts w:hint="eastAsia"/>
                      <w:color w:val="auto"/>
                      <w:szCs w:val="21"/>
                    </w:rPr>
                  </w:pPr>
                  <w:r>
                    <w:rPr>
                      <w:rFonts w:hint="eastAsia"/>
                      <w:color w:val="auto"/>
                      <w:szCs w:val="21"/>
                    </w:rPr>
                    <w:t>铝合金车架重量通常为1.5-2公斤，比钢合金车架轻约一半</w:t>
                  </w:r>
                  <w:r>
                    <w:rPr>
                      <w:rFonts w:hint="eastAsia"/>
                      <w:color w:val="auto"/>
                      <w:szCs w:val="21"/>
                      <w:lang w:eastAsia="zh-CN"/>
                    </w:rPr>
                    <w:t>；</w:t>
                  </w:r>
                  <w:r>
                    <w:rPr>
                      <w:rFonts w:hint="eastAsia"/>
                      <w:color w:val="auto"/>
                      <w:szCs w:val="21"/>
                    </w:rPr>
                    <w:t>‌耐腐蚀性‌：铝合金表面易形成致密氧化膜，不易生锈，可保持车身美观</w:t>
                  </w:r>
                  <w:r>
                    <w:rPr>
                      <w:rFonts w:hint="eastAsia"/>
                      <w:color w:val="auto"/>
                      <w:szCs w:val="21"/>
                      <w:lang w:eastAsia="zh-CN"/>
                    </w:rPr>
                    <w:t>；</w:t>
                  </w:r>
                  <w:r>
                    <w:rPr>
                      <w:rFonts w:hint="eastAsia"/>
                      <w:color w:val="auto"/>
                      <w:szCs w:val="21"/>
                    </w:rPr>
                    <w:t>‌可塑性‌：铝合金易加工成复杂形状，适合制造轻量化车架</w:t>
                  </w:r>
                  <w:r>
                    <w:rPr>
                      <w:rFonts w:hint="eastAsia"/>
                      <w:color w:val="auto"/>
                      <w:szCs w:val="21"/>
                      <w:lang w:eastAsia="zh-CN"/>
                    </w:rPr>
                    <w:t>；</w:t>
                  </w:r>
                  <w:r>
                    <w:rPr>
                      <w:rFonts w:hint="eastAsia"/>
                      <w:color w:val="auto"/>
                      <w:szCs w:val="21"/>
                    </w:rPr>
                    <w:t>‌焊接性‌：部分型号（如7075）焊接难度较大，需特殊工艺。</w:t>
                  </w:r>
                </w:p>
                <w:p w14:paraId="348A04FF">
                  <w:pPr>
                    <w:widowControl/>
                    <w:adjustRightInd w:val="0"/>
                    <w:snapToGrid w:val="0"/>
                    <w:jc w:val="left"/>
                    <w:rPr>
                      <w:rFonts w:hint="eastAsia" w:eastAsia="宋体"/>
                      <w:color w:val="auto"/>
                      <w:szCs w:val="21"/>
                      <w:lang w:eastAsia="zh-CN"/>
                    </w:rPr>
                  </w:pPr>
                  <w:r>
                    <w:rPr>
                      <w:rFonts w:hint="eastAsia"/>
                      <w:color w:val="auto"/>
                      <w:szCs w:val="21"/>
                    </w:rPr>
                    <w:t>铝材家私配件密度为2.7g/cm³，仅为钢的三分之一，具有轻质特性</w:t>
                  </w:r>
                  <w:r>
                    <w:rPr>
                      <w:rFonts w:hint="eastAsia"/>
                      <w:color w:val="auto"/>
                      <w:szCs w:val="21"/>
                      <w:lang w:eastAsia="zh-CN"/>
                    </w:rPr>
                    <w:t>；</w:t>
                  </w:r>
                  <w:r>
                    <w:rPr>
                      <w:rFonts w:hint="eastAsia"/>
                      <w:color w:val="auto"/>
                      <w:szCs w:val="21"/>
                    </w:rPr>
                    <w:t>耐腐蚀性</w:t>
                  </w:r>
                  <w:r>
                    <w:rPr>
                      <w:rFonts w:hint="eastAsia"/>
                      <w:color w:val="auto"/>
                      <w:szCs w:val="21"/>
                      <w:lang w:eastAsia="zh-CN"/>
                    </w:rPr>
                    <w:t>：</w:t>
                  </w:r>
                </w:p>
                <w:p w14:paraId="71B17135">
                  <w:pPr>
                    <w:widowControl/>
                    <w:adjustRightInd w:val="0"/>
                    <w:snapToGrid w:val="0"/>
                    <w:jc w:val="left"/>
                    <w:rPr>
                      <w:rFonts w:hint="eastAsia"/>
                      <w:color w:val="auto"/>
                      <w:szCs w:val="21"/>
                    </w:rPr>
                  </w:pPr>
                  <w:r>
                    <w:rPr>
                      <w:rFonts w:hint="eastAsia"/>
                      <w:color w:val="auto"/>
                      <w:szCs w:val="21"/>
                    </w:rPr>
                    <w:t>铝在潮湿环境中可形成致密氧化膜，有效防止腐蚀</w:t>
                  </w:r>
                  <w:r>
                    <w:rPr>
                      <w:rFonts w:hint="eastAsia"/>
                      <w:color w:val="auto"/>
                      <w:szCs w:val="21"/>
                      <w:lang w:eastAsia="zh-CN"/>
                    </w:rPr>
                    <w:t>；</w:t>
                  </w:r>
                  <w:r>
                    <w:rPr>
                      <w:rFonts w:hint="eastAsia"/>
                      <w:color w:val="auto"/>
                      <w:szCs w:val="21"/>
                    </w:rPr>
                    <w:t>‌韧性‌：铝合金具有较好的延展性，可加工成复杂形状</w:t>
                  </w:r>
                  <w:r>
                    <w:rPr>
                      <w:rFonts w:hint="eastAsia"/>
                      <w:color w:val="auto"/>
                      <w:szCs w:val="21"/>
                      <w:lang w:eastAsia="zh-CN"/>
                    </w:rPr>
                    <w:t>；</w:t>
                  </w:r>
                  <w:r>
                    <w:rPr>
                      <w:rFonts w:hint="eastAsia"/>
                      <w:color w:val="auto"/>
                      <w:szCs w:val="21"/>
                    </w:rPr>
                    <w:t>‌抗疲劳性‌：5052铝合金疲劳强度高，适用于频繁使用的家具部件</w:t>
                  </w:r>
                  <w:r>
                    <w:rPr>
                      <w:rFonts w:hint="eastAsia"/>
                      <w:color w:val="auto"/>
                      <w:szCs w:val="21"/>
                      <w:lang w:eastAsia="zh-CN"/>
                    </w:rPr>
                    <w:t>；</w:t>
                  </w:r>
                  <w:r>
                    <w:rPr>
                      <w:rFonts w:hint="eastAsia"/>
                      <w:color w:val="auto"/>
                      <w:szCs w:val="21"/>
                    </w:rPr>
                    <w:t>‌无毒无污染‌：全铝家具不含胶水、甲醛等有害物质，符合环保要求</w:t>
                  </w:r>
                  <w:r>
                    <w:rPr>
                      <w:rFonts w:hint="eastAsia"/>
                      <w:color w:val="auto"/>
                      <w:szCs w:val="21"/>
                      <w:lang w:eastAsia="zh-CN"/>
                    </w:rPr>
                    <w:t>；</w:t>
                  </w:r>
                  <w:r>
                    <w:rPr>
                      <w:rFonts w:hint="eastAsia"/>
                      <w:color w:val="auto"/>
                      <w:szCs w:val="21"/>
                    </w:rPr>
                    <w:t>‌可回收性‌：铝熔点低（660℃），再生处理简单，符合可持续发展理念</w:t>
                  </w:r>
                  <w:r>
                    <w:rPr>
                      <w:rFonts w:hint="eastAsia"/>
                      <w:color w:val="auto"/>
                      <w:szCs w:val="21"/>
                      <w:lang w:eastAsia="zh-CN"/>
                    </w:rPr>
                    <w:t>。</w:t>
                  </w:r>
                </w:p>
              </w:tc>
            </w:tr>
            <w:tr w14:paraId="36DF5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6E00AEEC">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3</w:t>
                  </w:r>
                </w:p>
              </w:tc>
              <w:tc>
                <w:tcPr>
                  <w:tcW w:w="635" w:type="pct"/>
                  <w:vAlign w:val="center"/>
                </w:tcPr>
                <w:p w14:paraId="2B4388A0">
                  <w:pPr>
                    <w:widowControl/>
                    <w:adjustRightInd w:val="0"/>
                    <w:snapToGrid w:val="0"/>
                    <w:jc w:val="center"/>
                    <w:textAlignment w:val="center"/>
                    <w:rPr>
                      <w:color w:val="auto"/>
                      <w:szCs w:val="21"/>
                    </w:rPr>
                  </w:pPr>
                  <w:r>
                    <w:rPr>
                      <w:rFonts w:hint="eastAsia"/>
                      <w:color w:val="auto"/>
                      <w:kern w:val="0"/>
                      <w:szCs w:val="21"/>
                      <w:lang w:bidi="ar"/>
                    </w:rPr>
                    <w:t>除油粉</w:t>
                  </w:r>
                </w:p>
              </w:tc>
              <w:tc>
                <w:tcPr>
                  <w:tcW w:w="1622" w:type="pct"/>
                  <w:vAlign w:val="center"/>
                </w:tcPr>
                <w:p w14:paraId="58DD2363">
                  <w:pPr>
                    <w:widowControl/>
                    <w:adjustRightInd w:val="0"/>
                    <w:snapToGrid w:val="0"/>
                    <w:jc w:val="left"/>
                    <w:rPr>
                      <w:color w:val="auto"/>
                      <w:szCs w:val="21"/>
                    </w:rPr>
                  </w:pPr>
                  <w:r>
                    <w:rPr>
                      <w:rFonts w:hint="eastAsia"/>
                      <w:color w:val="auto"/>
                      <w:szCs w:val="21"/>
                    </w:rPr>
                    <w:t>硅酸盐20-30%、有机钠盐8-15%、分散剂1-5%、表面活性剂3-8%、碳酸钠20-30%、氢氧化钠10-20%、元明粉10-25%</w:t>
                  </w:r>
                </w:p>
              </w:tc>
              <w:tc>
                <w:tcPr>
                  <w:tcW w:w="2485" w:type="pct"/>
                  <w:vAlign w:val="center"/>
                </w:tcPr>
                <w:p w14:paraId="36A36ED2">
                  <w:pPr>
                    <w:topLinePunct/>
                    <w:jc w:val="left"/>
                    <w:rPr>
                      <w:color w:val="auto"/>
                      <w:szCs w:val="21"/>
                    </w:rPr>
                  </w:pPr>
                  <w:r>
                    <w:rPr>
                      <w:rFonts w:hint="eastAsia"/>
                      <w:color w:val="auto"/>
                      <w:szCs w:val="21"/>
                    </w:rPr>
                    <w:t>理化性质：固体浅黄色或白色粉末；pH值（5%水溶液）：14；溶解度：易溶于水、不溶于乙醇、乙醚、不可与酸混溶。危险性概述：危险性类别：第8类腐蚀品；危险信息：吸入、食入、经皮肤吸收；物理化学危险：燃烧或受热分解产生刺激性烟气；健康危害：长期接触引起皮肤、眼睛和呼吸道刺激；环境危害：对水生物有长期持续影响。</w:t>
                  </w:r>
                </w:p>
              </w:tc>
            </w:tr>
            <w:tr w14:paraId="069E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30269CEB">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4</w:t>
                  </w:r>
                </w:p>
              </w:tc>
              <w:tc>
                <w:tcPr>
                  <w:tcW w:w="635" w:type="pct"/>
                  <w:vAlign w:val="center"/>
                </w:tcPr>
                <w:p w14:paraId="545EB352">
                  <w:pPr>
                    <w:widowControl/>
                    <w:adjustRightInd w:val="0"/>
                    <w:snapToGrid w:val="0"/>
                    <w:jc w:val="center"/>
                    <w:textAlignment w:val="center"/>
                    <w:rPr>
                      <w:color w:val="auto"/>
                      <w:kern w:val="0"/>
                      <w:szCs w:val="21"/>
                      <w:lang w:bidi="ar"/>
                    </w:rPr>
                  </w:pPr>
                  <w:r>
                    <w:rPr>
                      <w:rFonts w:hint="eastAsia"/>
                      <w:color w:val="auto"/>
                      <w:kern w:val="0"/>
                      <w:szCs w:val="21"/>
                      <w:lang w:bidi="ar"/>
                    </w:rPr>
                    <w:t>脱脂剂</w:t>
                  </w:r>
                </w:p>
              </w:tc>
              <w:tc>
                <w:tcPr>
                  <w:tcW w:w="1622" w:type="pct"/>
                  <w:vAlign w:val="center"/>
                </w:tcPr>
                <w:p w14:paraId="5012235C">
                  <w:pPr>
                    <w:widowControl/>
                    <w:adjustRightInd w:val="0"/>
                    <w:snapToGrid w:val="0"/>
                    <w:jc w:val="left"/>
                    <w:rPr>
                      <w:color w:val="auto"/>
                      <w:kern w:val="0"/>
                      <w:szCs w:val="21"/>
                    </w:rPr>
                  </w:pPr>
                  <w:r>
                    <w:rPr>
                      <w:rFonts w:hint="eastAsia"/>
                      <w:color w:val="auto"/>
                      <w:kern w:val="0"/>
                      <w:szCs w:val="21"/>
                    </w:rPr>
                    <w:t>渗透剂20%、分散剂15%、无水偏硅酸钠剂20%、NP9 20%、TH10 15%、水及其他10%</w:t>
                  </w:r>
                </w:p>
              </w:tc>
              <w:tc>
                <w:tcPr>
                  <w:tcW w:w="2485" w:type="pct"/>
                  <w:vAlign w:val="center"/>
                </w:tcPr>
                <w:p w14:paraId="62E360B4">
                  <w:pPr>
                    <w:topLinePunct/>
                    <w:jc w:val="left"/>
                    <w:rPr>
                      <w:color w:val="auto"/>
                      <w:szCs w:val="21"/>
                    </w:rPr>
                  </w:pPr>
                  <w:r>
                    <w:rPr>
                      <w:rFonts w:hint="eastAsia"/>
                      <w:color w:val="auto"/>
                      <w:szCs w:val="21"/>
                    </w:rPr>
                    <w:t>理化性质：无色透明液体，微清香味；pH值：6；沸点：100℃；比重：1.05</w:t>
                  </w:r>
                  <w:r>
                    <w:rPr>
                      <w:color w:val="auto"/>
                      <w:szCs w:val="21"/>
                    </w:rPr>
                    <w:t>g/cm</w:t>
                  </w:r>
                  <w:r>
                    <w:rPr>
                      <w:color w:val="auto"/>
                      <w:szCs w:val="21"/>
                      <w:vertAlign w:val="superscript"/>
                    </w:rPr>
                    <w:t>3</w:t>
                  </w:r>
                  <w:r>
                    <w:rPr>
                      <w:rFonts w:hint="eastAsia"/>
                      <w:color w:val="auto"/>
                      <w:szCs w:val="21"/>
                    </w:rPr>
                    <w:t>。</w:t>
                  </w:r>
                </w:p>
                <w:p w14:paraId="4801C2E4">
                  <w:pPr>
                    <w:topLinePunct/>
                    <w:jc w:val="left"/>
                    <w:rPr>
                      <w:color w:val="auto"/>
                    </w:rPr>
                  </w:pPr>
                  <w:r>
                    <w:rPr>
                      <w:rFonts w:hint="eastAsia"/>
                      <w:color w:val="auto"/>
                      <w:szCs w:val="21"/>
                    </w:rPr>
                    <w:t>危险特性：微刺激眼睛、皮肤；易燃性：不燃</w:t>
                  </w:r>
                </w:p>
              </w:tc>
            </w:tr>
            <w:tr w14:paraId="2F24D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07FE485A">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5</w:t>
                  </w:r>
                </w:p>
              </w:tc>
              <w:tc>
                <w:tcPr>
                  <w:tcW w:w="635" w:type="pct"/>
                  <w:vAlign w:val="center"/>
                </w:tcPr>
                <w:p w14:paraId="412A4E22">
                  <w:pPr>
                    <w:widowControl/>
                    <w:adjustRightInd w:val="0"/>
                    <w:snapToGrid w:val="0"/>
                    <w:jc w:val="center"/>
                    <w:textAlignment w:val="center"/>
                    <w:rPr>
                      <w:color w:val="auto"/>
                      <w:kern w:val="0"/>
                      <w:szCs w:val="21"/>
                      <w:lang w:bidi="ar"/>
                    </w:rPr>
                  </w:pPr>
                  <w:r>
                    <w:rPr>
                      <w:rFonts w:hint="eastAsia"/>
                      <w:color w:val="auto"/>
                      <w:kern w:val="0"/>
                      <w:szCs w:val="21"/>
                      <w:lang w:bidi="ar"/>
                    </w:rPr>
                    <w:t>硫酸</w:t>
                  </w:r>
                </w:p>
              </w:tc>
              <w:tc>
                <w:tcPr>
                  <w:tcW w:w="4107" w:type="pct"/>
                  <w:gridSpan w:val="2"/>
                  <w:vAlign w:val="center"/>
                </w:tcPr>
                <w:p w14:paraId="0F0432FD">
                  <w:pPr>
                    <w:topLinePunct/>
                    <w:jc w:val="left"/>
                    <w:rPr>
                      <w:color w:val="auto"/>
                      <w:szCs w:val="21"/>
                    </w:rPr>
                  </w:pPr>
                  <w:r>
                    <w:rPr>
                      <w:rFonts w:hint="eastAsia"/>
                      <w:color w:val="auto"/>
                      <w:kern w:val="0"/>
                      <w:szCs w:val="21"/>
                    </w:rPr>
                    <w:t>浓度：98%；无色透明油状液体，无臭；密度1.83</w:t>
                  </w:r>
                  <w:r>
                    <w:rPr>
                      <w:color w:val="auto"/>
                      <w:szCs w:val="21"/>
                    </w:rPr>
                    <w:t>g/cm</w:t>
                  </w:r>
                  <w:r>
                    <w:rPr>
                      <w:color w:val="auto"/>
                      <w:szCs w:val="21"/>
                      <w:vertAlign w:val="superscript"/>
                    </w:rPr>
                    <w:t>3</w:t>
                  </w:r>
                  <w:r>
                    <w:rPr>
                      <w:rFonts w:hint="eastAsia"/>
                      <w:color w:val="auto"/>
                      <w:szCs w:val="21"/>
                    </w:rPr>
                    <w:t>；熔点10.5℃；沸点330℃；溶解性与水混溶；危险性类别：第8.1类酸性腐蚀品；燃爆危险：本品助燃、具强腐蚀性、强刺激性、可致人体灼伤；急性毒性：LD50 2140mg/kg（大鼠经口）；LC50 510mg/m</w:t>
                  </w:r>
                  <w:r>
                    <w:rPr>
                      <w:rFonts w:hint="eastAsia"/>
                      <w:color w:val="auto"/>
                      <w:szCs w:val="21"/>
                      <w:vertAlign w:val="superscript"/>
                    </w:rPr>
                    <w:t>3</w:t>
                  </w:r>
                  <w:r>
                    <w:rPr>
                      <w:rFonts w:hint="eastAsia"/>
                      <w:color w:val="auto"/>
                      <w:szCs w:val="21"/>
                    </w:rPr>
                    <w:t>，2小时（大鼠吸入）；320mg/m</w:t>
                  </w:r>
                  <w:r>
                    <w:rPr>
                      <w:rFonts w:hint="eastAsia"/>
                      <w:color w:val="auto"/>
                      <w:szCs w:val="21"/>
                      <w:vertAlign w:val="superscript"/>
                    </w:rPr>
                    <w:t>3</w:t>
                  </w:r>
                  <w:r>
                    <w:rPr>
                      <w:rFonts w:hint="eastAsia"/>
                      <w:color w:val="auto"/>
                      <w:szCs w:val="21"/>
                    </w:rPr>
                    <w:t>，2小时（小鼠吸入）；刺激性：家兔经眼1380</w:t>
                  </w:r>
                  <w:r>
                    <w:rPr>
                      <w:color w:val="auto"/>
                      <w:szCs w:val="21"/>
                    </w:rPr>
                    <w:t>μ</w:t>
                  </w:r>
                  <w:r>
                    <w:rPr>
                      <w:rFonts w:hint="eastAsia"/>
                      <w:color w:val="auto"/>
                      <w:szCs w:val="21"/>
                    </w:rPr>
                    <w:t>g，重度刺激</w:t>
                  </w:r>
                </w:p>
              </w:tc>
            </w:tr>
            <w:tr w14:paraId="5EBF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3335594A">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6</w:t>
                  </w:r>
                </w:p>
              </w:tc>
              <w:tc>
                <w:tcPr>
                  <w:tcW w:w="635" w:type="pct"/>
                  <w:vAlign w:val="center"/>
                </w:tcPr>
                <w:p w14:paraId="20AF432D">
                  <w:pPr>
                    <w:widowControl/>
                    <w:adjustRightInd w:val="0"/>
                    <w:snapToGrid w:val="0"/>
                    <w:jc w:val="center"/>
                    <w:textAlignment w:val="center"/>
                    <w:rPr>
                      <w:color w:val="auto"/>
                      <w:szCs w:val="21"/>
                    </w:rPr>
                  </w:pPr>
                  <w:r>
                    <w:rPr>
                      <w:color w:val="auto"/>
                      <w:kern w:val="0"/>
                      <w:szCs w:val="21"/>
                      <w:lang w:bidi="ar"/>
                    </w:rPr>
                    <w:t>表调剂</w:t>
                  </w:r>
                </w:p>
              </w:tc>
              <w:tc>
                <w:tcPr>
                  <w:tcW w:w="1622" w:type="pct"/>
                  <w:vAlign w:val="center"/>
                </w:tcPr>
                <w:p w14:paraId="7EB0E046">
                  <w:pPr>
                    <w:widowControl/>
                    <w:adjustRightInd w:val="0"/>
                    <w:snapToGrid w:val="0"/>
                    <w:jc w:val="left"/>
                    <w:rPr>
                      <w:color w:val="auto"/>
                      <w:szCs w:val="21"/>
                    </w:rPr>
                  </w:pPr>
                  <w:r>
                    <w:rPr>
                      <w:color w:val="auto"/>
                      <w:kern w:val="0"/>
                      <w:szCs w:val="21"/>
                    </w:rPr>
                    <w:t>碳酸钠2-10%，胶体磷酸钛10-20%，焦磷酸钠70-88%</w:t>
                  </w:r>
                  <w:r>
                    <w:rPr>
                      <w:rFonts w:hint="eastAsia"/>
                      <w:color w:val="auto"/>
                      <w:kern w:val="0"/>
                      <w:szCs w:val="21"/>
                    </w:rPr>
                    <w:t>，本项目表调剂不含氟。</w:t>
                  </w:r>
                </w:p>
              </w:tc>
              <w:tc>
                <w:tcPr>
                  <w:tcW w:w="2485" w:type="pct"/>
                  <w:vAlign w:val="center"/>
                </w:tcPr>
                <w:p w14:paraId="6298CFD8">
                  <w:pPr>
                    <w:topLinePunct/>
                    <w:jc w:val="left"/>
                    <w:rPr>
                      <w:color w:val="auto"/>
                    </w:rPr>
                  </w:pPr>
                  <w:r>
                    <w:rPr>
                      <w:color w:val="auto"/>
                    </w:rPr>
                    <w:t>理化性质：</w:t>
                  </w:r>
                  <w:r>
                    <w:rPr>
                      <w:color w:val="auto"/>
                      <w:kern w:val="0"/>
                      <w:szCs w:val="21"/>
                    </w:rPr>
                    <w:t>外观为白色粉末；pH值（0.2%水溶液）：7-9</w:t>
                  </w:r>
                  <w:r>
                    <w:rPr>
                      <w:rFonts w:hint="eastAsia"/>
                      <w:color w:val="auto"/>
                    </w:rPr>
                    <w:t>；溶解性：易溶于水，不溶于乙醇、乙醚、不可与酸混溶。</w:t>
                  </w:r>
                </w:p>
                <w:p w14:paraId="1B6A7966">
                  <w:pPr>
                    <w:rPr>
                      <w:color w:val="auto"/>
                    </w:rPr>
                  </w:pPr>
                  <w:r>
                    <w:rPr>
                      <w:color w:val="auto"/>
                      <w:szCs w:val="21"/>
                    </w:rPr>
                    <w:t>危险性概述：危险性类别：</w:t>
                  </w:r>
                  <w:r>
                    <w:rPr>
                      <w:rFonts w:hint="eastAsia"/>
                      <w:color w:val="auto"/>
                      <w:szCs w:val="21"/>
                    </w:rPr>
                    <w:t>第8类非腐蚀品</w:t>
                  </w:r>
                  <w:r>
                    <w:rPr>
                      <w:color w:val="auto"/>
                      <w:szCs w:val="21"/>
                    </w:rPr>
                    <w:t>；侵入途径：吸入、食入、经皮肤吸收；</w:t>
                  </w:r>
                  <w:r>
                    <w:rPr>
                      <w:rFonts w:hint="eastAsia"/>
                      <w:color w:val="auto"/>
                      <w:szCs w:val="21"/>
                    </w:rPr>
                    <w:t>物理化学危险：燃烧或受热分解产生刺激性烟气；健康危害：长期接触引起皮肤、眼睛和呼吸道刺激，大量口服可引起胃肠不适，对眼睛有刺激性。环境危害：对水生物有长期持续影响</w:t>
                  </w:r>
                  <w:r>
                    <w:rPr>
                      <w:color w:val="auto"/>
                      <w:szCs w:val="21"/>
                    </w:rPr>
                    <w:t>。</w:t>
                  </w:r>
                </w:p>
              </w:tc>
            </w:tr>
            <w:tr w14:paraId="5ECB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0442E45A">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7</w:t>
                  </w:r>
                </w:p>
              </w:tc>
              <w:tc>
                <w:tcPr>
                  <w:tcW w:w="635" w:type="pct"/>
                  <w:vAlign w:val="center"/>
                </w:tcPr>
                <w:p w14:paraId="153EF244">
                  <w:pPr>
                    <w:widowControl/>
                    <w:adjustRightInd w:val="0"/>
                    <w:snapToGrid w:val="0"/>
                    <w:jc w:val="center"/>
                    <w:textAlignment w:val="center"/>
                    <w:rPr>
                      <w:color w:val="auto"/>
                      <w:kern w:val="0"/>
                      <w:szCs w:val="21"/>
                      <w:lang w:bidi="ar"/>
                    </w:rPr>
                  </w:pPr>
                  <w:r>
                    <w:rPr>
                      <w:color w:val="auto"/>
                      <w:kern w:val="0"/>
                      <w:szCs w:val="21"/>
                      <w:lang w:bidi="ar"/>
                    </w:rPr>
                    <w:t>促进剂</w:t>
                  </w:r>
                </w:p>
              </w:tc>
              <w:tc>
                <w:tcPr>
                  <w:tcW w:w="1622" w:type="pct"/>
                  <w:vAlign w:val="center"/>
                </w:tcPr>
                <w:p w14:paraId="2AE0DC91">
                  <w:pPr>
                    <w:widowControl/>
                    <w:adjustRightInd w:val="0"/>
                    <w:snapToGrid w:val="0"/>
                    <w:jc w:val="left"/>
                    <w:rPr>
                      <w:color w:val="auto"/>
                      <w:kern w:val="0"/>
                      <w:szCs w:val="21"/>
                    </w:rPr>
                  </w:pPr>
                  <w:r>
                    <w:rPr>
                      <w:color w:val="auto"/>
                      <w:kern w:val="0"/>
                      <w:szCs w:val="21"/>
                    </w:rPr>
                    <w:t>亚硝酸钠12-20%，水80-88%</w:t>
                  </w:r>
                </w:p>
              </w:tc>
              <w:tc>
                <w:tcPr>
                  <w:tcW w:w="2485" w:type="pct"/>
                  <w:vAlign w:val="center"/>
                </w:tcPr>
                <w:p w14:paraId="0F7A738E">
                  <w:pPr>
                    <w:topLinePunct/>
                    <w:jc w:val="left"/>
                    <w:rPr>
                      <w:color w:val="auto"/>
                      <w:szCs w:val="21"/>
                    </w:rPr>
                  </w:pPr>
                  <w:r>
                    <w:rPr>
                      <w:color w:val="auto"/>
                      <w:szCs w:val="21"/>
                    </w:rPr>
                    <w:t>理化性质：</w:t>
                  </w:r>
                  <w:r>
                    <w:rPr>
                      <w:color w:val="auto"/>
                      <w:kern w:val="0"/>
                      <w:szCs w:val="21"/>
                    </w:rPr>
                    <w:t>无色透明或淡黄色澄清液体；pH值：10-12；沸点：＞98</w:t>
                  </w:r>
                  <w:r>
                    <w:rPr>
                      <w:rFonts w:hint="eastAsia" w:ascii="宋体" w:hAnsi="宋体" w:cs="宋体"/>
                      <w:color w:val="auto"/>
                      <w:kern w:val="0"/>
                      <w:szCs w:val="21"/>
                    </w:rPr>
                    <w:t>℃</w:t>
                  </w:r>
                  <w:r>
                    <w:rPr>
                      <w:color w:val="auto"/>
                      <w:kern w:val="0"/>
                      <w:szCs w:val="21"/>
                    </w:rPr>
                    <w:t>；密度：</w:t>
                  </w:r>
                  <w:r>
                    <w:rPr>
                      <w:color w:val="auto"/>
                      <w:szCs w:val="21"/>
                    </w:rPr>
                    <w:t>1.05±0.05g/cm</w:t>
                  </w:r>
                  <w:r>
                    <w:rPr>
                      <w:color w:val="auto"/>
                      <w:szCs w:val="21"/>
                      <w:vertAlign w:val="superscript"/>
                    </w:rPr>
                    <w:t>3</w:t>
                  </w:r>
                  <w:r>
                    <w:rPr>
                      <w:rFonts w:hint="eastAsia"/>
                      <w:color w:val="auto"/>
                      <w:kern w:val="0"/>
                      <w:szCs w:val="21"/>
                    </w:rPr>
                    <w:t>；易燃性：不燃液体。溶解性：易溶于水，微溶于乙醇、乙醚、不可与酸混溶。</w:t>
                  </w:r>
                </w:p>
                <w:p w14:paraId="67AFCFFF">
                  <w:pPr>
                    <w:topLinePunct/>
                    <w:jc w:val="left"/>
                    <w:rPr>
                      <w:color w:val="auto"/>
                      <w:szCs w:val="21"/>
                    </w:rPr>
                  </w:pPr>
                  <w:r>
                    <w:rPr>
                      <w:color w:val="auto"/>
                      <w:szCs w:val="21"/>
                    </w:rPr>
                    <w:t>危险性概述：危险性类别：</w:t>
                  </w:r>
                  <w:r>
                    <w:rPr>
                      <w:rFonts w:hint="eastAsia"/>
                      <w:color w:val="auto"/>
                      <w:szCs w:val="21"/>
                    </w:rPr>
                    <w:t>第8类腐蚀品</w:t>
                  </w:r>
                  <w:r>
                    <w:rPr>
                      <w:color w:val="auto"/>
                      <w:szCs w:val="21"/>
                    </w:rPr>
                    <w:t>；</w:t>
                  </w:r>
                  <w:r>
                    <w:rPr>
                      <w:rFonts w:hint="eastAsia"/>
                      <w:color w:val="auto"/>
                      <w:szCs w:val="21"/>
                    </w:rPr>
                    <w:t>危险信息</w:t>
                  </w:r>
                  <w:r>
                    <w:rPr>
                      <w:color w:val="auto"/>
                      <w:szCs w:val="21"/>
                    </w:rPr>
                    <w:t>：</w:t>
                  </w:r>
                  <w:r>
                    <w:rPr>
                      <w:rFonts w:hint="eastAsia"/>
                      <w:color w:val="auto"/>
                      <w:szCs w:val="21"/>
                    </w:rPr>
                    <w:t>长期接触可能造成皮肤刺激</w:t>
                  </w:r>
                  <w:r>
                    <w:rPr>
                      <w:color w:val="auto"/>
                      <w:szCs w:val="21"/>
                    </w:rPr>
                    <w:t>；</w:t>
                  </w:r>
                  <w:r>
                    <w:rPr>
                      <w:rFonts w:hint="eastAsia"/>
                      <w:color w:val="auto"/>
                      <w:szCs w:val="21"/>
                    </w:rPr>
                    <w:t>物理化学危险：燃烧或受热分解产生有毒和刺激性烟气；</w:t>
                  </w:r>
                  <w:r>
                    <w:rPr>
                      <w:color w:val="auto"/>
                      <w:szCs w:val="21"/>
                    </w:rPr>
                    <w:t>健康危害：</w:t>
                  </w:r>
                  <w:r>
                    <w:rPr>
                      <w:rFonts w:hint="eastAsia"/>
                      <w:color w:val="auto"/>
                      <w:szCs w:val="21"/>
                    </w:rPr>
                    <w:t>接触引起皮肤、眼睛和呼吸道刺激</w:t>
                  </w:r>
                  <w:r>
                    <w:rPr>
                      <w:color w:val="auto"/>
                      <w:szCs w:val="21"/>
                    </w:rPr>
                    <w:t>；</w:t>
                  </w:r>
                  <w:r>
                    <w:rPr>
                      <w:rFonts w:hint="eastAsia"/>
                      <w:color w:val="auto"/>
                      <w:szCs w:val="21"/>
                    </w:rPr>
                    <w:t>环境危害</w:t>
                  </w:r>
                  <w:r>
                    <w:rPr>
                      <w:color w:val="auto"/>
                      <w:szCs w:val="21"/>
                    </w:rPr>
                    <w:t>：</w:t>
                  </w:r>
                  <w:r>
                    <w:rPr>
                      <w:rFonts w:hint="eastAsia"/>
                      <w:color w:val="auto"/>
                      <w:szCs w:val="21"/>
                    </w:rPr>
                    <w:t>对水生物有毒，有长期持续影响</w:t>
                  </w:r>
                  <w:r>
                    <w:rPr>
                      <w:color w:val="auto"/>
                      <w:szCs w:val="21"/>
                    </w:rPr>
                    <w:t>。</w:t>
                  </w:r>
                </w:p>
              </w:tc>
            </w:tr>
            <w:tr w14:paraId="39A1A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shd w:val="clear" w:color="auto" w:fill="auto"/>
                  <w:vAlign w:val="center"/>
                </w:tcPr>
                <w:p w14:paraId="3A32AB1A">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8</w:t>
                  </w:r>
                </w:p>
              </w:tc>
              <w:tc>
                <w:tcPr>
                  <w:tcW w:w="635" w:type="pct"/>
                  <w:vAlign w:val="center"/>
                </w:tcPr>
                <w:p w14:paraId="44DACBA1">
                  <w:pPr>
                    <w:topLinePunct/>
                    <w:jc w:val="center"/>
                    <w:rPr>
                      <w:color w:val="auto"/>
                      <w:szCs w:val="21"/>
                    </w:rPr>
                  </w:pPr>
                  <w:r>
                    <w:rPr>
                      <w:color w:val="auto"/>
                      <w:kern w:val="0"/>
                      <w:szCs w:val="21"/>
                      <w:lang w:bidi="ar"/>
                    </w:rPr>
                    <w:t>磷化剂</w:t>
                  </w:r>
                </w:p>
              </w:tc>
              <w:tc>
                <w:tcPr>
                  <w:tcW w:w="1622" w:type="pct"/>
                  <w:vAlign w:val="center"/>
                </w:tcPr>
                <w:p w14:paraId="18C2A865">
                  <w:pPr>
                    <w:topLinePunct/>
                    <w:jc w:val="center"/>
                    <w:rPr>
                      <w:color w:val="auto"/>
                      <w:szCs w:val="21"/>
                    </w:rPr>
                  </w:pPr>
                  <w:r>
                    <w:rPr>
                      <w:color w:val="auto"/>
                      <w:kern w:val="0"/>
                      <w:szCs w:val="21"/>
                    </w:rPr>
                    <w:t>主要成分为：磷酸42%，氧化锌35%，水10%，硝酸13%；</w:t>
                  </w:r>
                  <w:r>
                    <w:rPr>
                      <w:rStyle w:val="42"/>
                      <w:rFonts w:hint="eastAsia"/>
                      <w:color w:val="auto"/>
                      <w:kern w:val="0"/>
                      <w:szCs w:val="20"/>
                    </w:rPr>
                    <w:t>本项目磷化剂不含镍。</w:t>
                  </w:r>
                </w:p>
              </w:tc>
              <w:tc>
                <w:tcPr>
                  <w:tcW w:w="2485" w:type="pct"/>
                  <w:vAlign w:val="center"/>
                </w:tcPr>
                <w:p w14:paraId="7EC2FA69">
                  <w:pPr>
                    <w:topLinePunct/>
                    <w:jc w:val="left"/>
                    <w:rPr>
                      <w:color w:val="auto"/>
                    </w:rPr>
                  </w:pPr>
                  <w:r>
                    <w:rPr>
                      <w:color w:val="auto"/>
                    </w:rPr>
                    <w:t>理化性质：</w:t>
                  </w:r>
                  <w:r>
                    <w:rPr>
                      <w:rFonts w:hint="eastAsia"/>
                      <w:color w:val="auto"/>
                    </w:rPr>
                    <w:t>浅绿色液体，无刺鼻气味</w:t>
                  </w:r>
                  <w:r>
                    <w:rPr>
                      <w:color w:val="auto"/>
                    </w:rPr>
                    <w:t>；</w:t>
                  </w:r>
                  <w:r>
                    <w:rPr>
                      <w:rFonts w:hint="eastAsia"/>
                      <w:color w:val="auto"/>
                    </w:rPr>
                    <w:t>溶解度：易溶于水；</w:t>
                  </w:r>
                  <w:r>
                    <w:rPr>
                      <w:color w:val="auto"/>
                    </w:rPr>
                    <w:t>密度：1.35g/cm</w:t>
                  </w:r>
                  <w:r>
                    <w:rPr>
                      <w:color w:val="auto"/>
                      <w:vertAlign w:val="superscript"/>
                    </w:rPr>
                    <w:t>3</w:t>
                  </w:r>
                  <w:r>
                    <w:rPr>
                      <w:color w:val="auto"/>
                    </w:rPr>
                    <w:t>。</w:t>
                  </w:r>
                </w:p>
                <w:p w14:paraId="190D988A">
                  <w:pPr>
                    <w:rPr>
                      <w:color w:val="auto"/>
                    </w:rPr>
                  </w:pPr>
                  <w:r>
                    <w:rPr>
                      <w:color w:val="auto"/>
                      <w:szCs w:val="21"/>
                    </w:rPr>
                    <w:t>危险性概述：侵入途径：</w:t>
                  </w:r>
                  <w:r>
                    <w:rPr>
                      <w:rFonts w:hint="eastAsia"/>
                      <w:color w:val="auto"/>
                      <w:szCs w:val="21"/>
                    </w:rPr>
                    <w:t>皮肤、粘膜接触及吸入误食</w:t>
                  </w:r>
                  <w:r>
                    <w:rPr>
                      <w:color w:val="auto"/>
                      <w:szCs w:val="21"/>
                    </w:rPr>
                    <w:t>；健康危害：</w:t>
                  </w:r>
                  <w:r>
                    <w:rPr>
                      <w:rFonts w:hint="eastAsia"/>
                      <w:color w:val="auto"/>
                      <w:szCs w:val="21"/>
                    </w:rPr>
                    <w:t>长时间或过量与皮肤接触，易造成皮肤过敏性皮炎；误食后易刺激消化道</w:t>
                  </w:r>
                  <w:r>
                    <w:rPr>
                      <w:color w:val="auto"/>
                      <w:szCs w:val="21"/>
                    </w:rPr>
                    <w:t>；</w:t>
                  </w:r>
                  <w:r>
                    <w:rPr>
                      <w:rFonts w:hint="eastAsia"/>
                      <w:color w:val="auto"/>
                      <w:szCs w:val="21"/>
                    </w:rPr>
                    <w:t>环境危害：影响土壤水源pH值；</w:t>
                  </w:r>
                  <w:r>
                    <w:rPr>
                      <w:color w:val="auto"/>
                      <w:szCs w:val="21"/>
                    </w:rPr>
                    <w:t>燃爆危险：</w:t>
                  </w:r>
                  <w:r>
                    <w:rPr>
                      <w:rFonts w:hint="eastAsia"/>
                      <w:color w:val="auto"/>
                    </w:rPr>
                    <w:t>不具燃烧性和爆炸性</w:t>
                  </w:r>
                  <w:r>
                    <w:rPr>
                      <w:color w:val="auto"/>
                      <w:szCs w:val="21"/>
                    </w:rPr>
                    <w:t>。</w:t>
                  </w:r>
                </w:p>
              </w:tc>
            </w:tr>
            <w:tr w14:paraId="2D779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shd w:val="clear" w:color="auto" w:fill="auto"/>
                  <w:vAlign w:val="center"/>
                </w:tcPr>
                <w:p w14:paraId="0A6326C2">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9</w:t>
                  </w:r>
                </w:p>
              </w:tc>
              <w:tc>
                <w:tcPr>
                  <w:tcW w:w="635" w:type="pct"/>
                  <w:vAlign w:val="center"/>
                </w:tcPr>
                <w:p w14:paraId="18D290CF">
                  <w:pPr>
                    <w:widowControl/>
                    <w:adjustRightInd w:val="0"/>
                    <w:snapToGrid w:val="0"/>
                    <w:jc w:val="center"/>
                    <w:textAlignment w:val="center"/>
                    <w:rPr>
                      <w:color w:val="auto"/>
                      <w:szCs w:val="21"/>
                    </w:rPr>
                  </w:pPr>
                  <w:r>
                    <w:rPr>
                      <w:rFonts w:hint="eastAsia"/>
                      <w:color w:val="auto"/>
                      <w:szCs w:val="21"/>
                    </w:rPr>
                    <w:t>粉末涂料</w:t>
                  </w:r>
                </w:p>
              </w:tc>
              <w:tc>
                <w:tcPr>
                  <w:tcW w:w="1622" w:type="pct"/>
                  <w:vAlign w:val="center"/>
                </w:tcPr>
                <w:p w14:paraId="610A0EBE">
                  <w:pPr>
                    <w:widowControl/>
                    <w:adjustRightInd w:val="0"/>
                    <w:snapToGrid w:val="0"/>
                    <w:jc w:val="left"/>
                    <w:rPr>
                      <w:color w:val="auto"/>
                      <w:szCs w:val="21"/>
                    </w:rPr>
                  </w:pPr>
                  <w:r>
                    <w:rPr>
                      <w:rFonts w:hint="eastAsia"/>
                      <w:color w:val="auto"/>
                      <w:szCs w:val="21"/>
                    </w:rPr>
                    <w:t>树脂（聚酯环氧）72%、助剂13%、填料13.8%、颜料1.2%</w:t>
                  </w:r>
                </w:p>
              </w:tc>
              <w:tc>
                <w:tcPr>
                  <w:tcW w:w="2485" w:type="pct"/>
                  <w:vAlign w:val="center"/>
                </w:tcPr>
                <w:p w14:paraId="59E47C0B">
                  <w:pPr>
                    <w:topLinePunct/>
                    <w:jc w:val="left"/>
                    <w:rPr>
                      <w:color w:val="auto"/>
                      <w:szCs w:val="21"/>
                    </w:rPr>
                  </w:pPr>
                  <w:r>
                    <w:rPr>
                      <w:rFonts w:hint="eastAsia"/>
                      <w:color w:val="auto"/>
                      <w:szCs w:val="21"/>
                    </w:rPr>
                    <w:t>理化性值：黑色粉末，无刺激气味；密度1.2-1.9g/cm</w:t>
                  </w:r>
                  <w:r>
                    <w:rPr>
                      <w:rFonts w:hint="eastAsia"/>
                      <w:color w:val="auto"/>
                      <w:szCs w:val="21"/>
                      <w:vertAlign w:val="superscript"/>
                    </w:rPr>
                    <w:t>3</w:t>
                  </w:r>
                  <w:r>
                    <w:rPr>
                      <w:rFonts w:hint="eastAsia"/>
                      <w:color w:val="auto"/>
                      <w:szCs w:val="21"/>
                    </w:rPr>
                    <w:t>；软化点：＞50℃；不具备溶解性。</w:t>
                  </w:r>
                </w:p>
              </w:tc>
            </w:tr>
            <w:tr w14:paraId="33E5F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256" w:type="pct"/>
                  <w:shd w:val="clear" w:color="auto" w:fill="auto"/>
                  <w:vAlign w:val="center"/>
                </w:tcPr>
                <w:p w14:paraId="5FE2EF67">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10</w:t>
                  </w:r>
                </w:p>
              </w:tc>
              <w:tc>
                <w:tcPr>
                  <w:tcW w:w="635" w:type="pct"/>
                  <w:vAlign w:val="center"/>
                </w:tcPr>
                <w:p w14:paraId="200723D4">
                  <w:pPr>
                    <w:widowControl/>
                    <w:adjustRightInd w:val="0"/>
                    <w:snapToGrid w:val="0"/>
                    <w:jc w:val="center"/>
                    <w:textAlignment w:val="center"/>
                    <w:rPr>
                      <w:color w:val="auto"/>
                      <w:szCs w:val="21"/>
                    </w:rPr>
                  </w:pPr>
                  <w:r>
                    <w:rPr>
                      <w:rFonts w:hint="eastAsia"/>
                      <w:color w:val="auto"/>
                      <w:szCs w:val="21"/>
                    </w:rPr>
                    <w:t>水性底漆</w:t>
                  </w:r>
                </w:p>
              </w:tc>
              <w:tc>
                <w:tcPr>
                  <w:tcW w:w="1622" w:type="pct"/>
                  <w:vAlign w:val="center"/>
                </w:tcPr>
                <w:p w14:paraId="4CF63496">
                  <w:pPr>
                    <w:widowControl/>
                    <w:adjustRightInd w:val="0"/>
                    <w:snapToGrid w:val="0"/>
                    <w:jc w:val="left"/>
                    <w:textAlignment w:val="center"/>
                    <w:rPr>
                      <w:color w:val="auto"/>
                      <w:szCs w:val="21"/>
                    </w:rPr>
                  </w:pPr>
                  <w:r>
                    <w:rPr>
                      <w:rFonts w:hint="eastAsia"/>
                      <w:color w:val="auto"/>
                      <w:szCs w:val="21"/>
                    </w:rPr>
                    <w:t>水溶性硅丙树脂25%、水性氨基固化剂7.8%、丙二醇甲醚1.5%、正丁醇1.2%、乙醇2%、钛白粉12%、流平剂0.1%、无机氧化铁黄2%、水48.4%</w:t>
                  </w:r>
                </w:p>
              </w:tc>
              <w:tc>
                <w:tcPr>
                  <w:tcW w:w="2485" w:type="pct"/>
                  <w:vAlign w:val="center"/>
                </w:tcPr>
                <w:p w14:paraId="1C4C3DA7">
                  <w:pPr>
                    <w:rPr>
                      <w:color w:val="auto"/>
                    </w:rPr>
                  </w:pPr>
                  <w:r>
                    <w:rPr>
                      <w:rFonts w:hint="eastAsia"/>
                      <w:color w:val="auto"/>
                    </w:rPr>
                    <w:t>理化性质：外观：淡黄色液体；pH值：6.5-7.5；密度：1.3</w:t>
                  </w:r>
                  <w:r>
                    <w:rPr>
                      <w:rFonts w:hint="eastAsia"/>
                      <w:color w:val="auto"/>
                      <w:szCs w:val="21"/>
                    </w:rPr>
                    <w:t>g/cm</w:t>
                  </w:r>
                  <w:r>
                    <w:rPr>
                      <w:rFonts w:hint="eastAsia"/>
                      <w:color w:val="auto"/>
                      <w:szCs w:val="21"/>
                      <w:vertAlign w:val="superscript"/>
                    </w:rPr>
                    <w:t>3</w:t>
                  </w:r>
                  <w:r>
                    <w:rPr>
                      <w:rFonts w:hint="eastAsia"/>
                      <w:color w:val="auto"/>
                      <w:szCs w:val="21"/>
                    </w:rPr>
                    <w:t>；危险类别：眼睛损伤类别1；危害说明：引起严重的眼损伤；物理化学危害：与明火接触可引起燃烧；健康危害：引起轻微的眼睛损伤；环境危害：轻微环境危害。</w:t>
                  </w:r>
                </w:p>
              </w:tc>
            </w:tr>
            <w:tr w14:paraId="7FF3E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256" w:type="pct"/>
                  <w:shd w:val="clear" w:color="auto" w:fill="auto"/>
                  <w:vAlign w:val="center"/>
                </w:tcPr>
                <w:p w14:paraId="1935E6DA">
                  <w:pPr>
                    <w:topLinePunct/>
                    <w:jc w:val="center"/>
                    <w:rPr>
                      <w:rFonts w:ascii="Times New Roman" w:hAnsi="Times New Roman" w:eastAsia="宋体" w:cs="Times New Roman"/>
                      <w:color w:val="auto"/>
                      <w:kern w:val="2"/>
                      <w:sz w:val="21"/>
                      <w:szCs w:val="21"/>
                      <w:lang w:val="en-US" w:eastAsia="zh-CN" w:bidi="ar-SA"/>
                    </w:rPr>
                  </w:pPr>
                  <w:r>
                    <w:rPr>
                      <w:rFonts w:hint="eastAsia"/>
                      <w:color w:val="auto"/>
                      <w:szCs w:val="21"/>
                    </w:rPr>
                    <w:t>11</w:t>
                  </w:r>
                </w:p>
              </w:tc>
              <w:tc>
                <w:tcPr>
                  <w:tcW w:w="635" w:type="pct"/>
                  <w:vAlign w:val="center"/>
                </w:tcPr>
                <w:p w14:paraId="43E5FBA8">
                  <w:pPr>
                    <w:widowControl/>
                    <w:adjustRightInd w:val="0"/>
                    <w:snapToGrid w:val="0"/>
                    <w:jc w:val="center"/>
                    <w:textAlignment w:val="center"/>
                    <w:rPr>
                      <w:color w:val="auto"/>
                      <w:szCs w:val="21"/>
                    </w:rPr>
                  </w:pPr>
                  <w:r>
                    <w:rPr>
                      <w:rFonts w:hint="eastAsia"/>
                      <w:color w:val="auto"/>
                      <w:szCs w:val="21"/>
                    </w:rPr>
                    <w:t>水性面漆</w:t>
                  </w:r>
                </w:p>
              </w:tc>
              <w:tc>
                <w:tcPr>
                  <w:tcW w:w="1622" w:type="pct"/>
                  <w:vAlign w:val="center"/>
                </w:tcPr>
                <w:p w14:paraId="68F43A4A">
                  <w:pPr>
                    <w:widowControl/>
                    <w:adjustRightInd w:val="0"/>
                    <w:snapToGrid w:val="0"/>
                    <w:jc w:val="left"/>
                    <w:rPr>
                      <w:color w:val="auto"/>
                      <w:szCs w:val="21"/>
                    </w:rPr>
                  </w:pPr>
                  <w:r>
                    <w:rPr>
                      <w:rFonts w:hint="eastAsia"/>
                      <w:color w:val="auto"/>
                      <w:szCs w:val="21"/>
                    </w:rPr>
                    <w:t>水溶性硅丙树脂32%、水性氨基固化剂10%、正丁醇1.1%、乙醇2%、丙二醇甲醚1.7%、铝银浆1.9%、流平剂0.1%、无机氧化铁黄2%、水51.2%</w:t>
                  </w:r>
                </w:p>
              </w:tc>
              <w:tc>
                <w:tcPr>
                  <w:tcW w:w="2485" w:type="pct"/>
                  <w:vAlign w:val="center"/>
                </w:tcPr>
                <w:p w14:paraId="7C6D160D">
                  <w:pPr>
                    <w:rPr>
                      <w:color w:val="auto"/>
                    </w:rPr>
                  </w:pPr>
                  <w:r>
                    <w:rPr>
                      <w:rFonts w:hint="eastAsia"/>
                      <w:color w:val="auto"/>
                    </w:rPr>
                    <w:t>理化性质：外观：淡黄色液体；pH值：6.5-7.5；密度：1.3</w:t>
                  </w:r>
                  <w:r>
                    <w:rPr>
                      <w:rFonts w:hint="eastAsia"/>
                      <w:color w:val="auto"/>
                      <w:szCs w:val="21"/>
                    </w:rPr>
                    <w:t>g/cm</w:t>
                  </w:r>
                  <w:r>
                    <w:rPr>
                      <w:rFonts w:hint="eastAsia"/>
                      <w:color w:val="auto"/>
                      <w:szCs w:val="21"/>
                      <w:vertAlign w:val="superscript"/>
                    </w:rPr>
                    <w:t>3</w:t>
                  </w:r>
                  <w:r>
                    <w:rPr>
                      <w:rFonts w:hint="eastAsia"/>
                      <w:color w:val="auto"/>
                      <w:szCs w:val="21"/>
                    </w:rPr>
                    <w:t>；危险类别：眼睛损伤类别1；危害说明：引起严重的眼损伤；物理化学危害：与明火接触可引起燃烧；健康危害：引起轻微的眼睛损伤；环境危害：轻微环境危害。</w:t>
                  </w:r>
                </w:p>
              </w:tc>
            </w:tr>
            <w:tr w14:paraId="49019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56" w:type="pct"/>
                  <w:vAlign w:val="center"/>
                </w:tcPr>
                <w:p w14:paraId="4A6BFCEB">
                  <w:pPr>
                    <w:topLinePunct/>
                    <w:jc w:val="center"/>
                    <w:rPr>
                      <w:rFonts w:hint="default" w:eastAsia="宋体"/>
                      <w:color w:val="auto"/>
                      <w:szCs w:val="21"/>
                      <w:lang w:val="en-US" w:eastAsia="zh-CN"/>
                    </w:rPr>
                  </w:pPr>
                  <w:r>
                    <w:rPr>
                      <w:rFonts w:hint="eastAsia"/>
                      <w:color w:val="auto"/>
                      <w:szCs w:val="21"/>
                      <w:lang w:val="en-US" w:eastAsia="zh-CN"/>
                    </w:rPr>
                    <w:t>12</w:t>
                  </w:r>
                </w:p>
              </w:tc>
              <w:tc>
                <w:tcPr>
                  <w:tcW w:w="635" w:type="pct"/>
                  <w:vAlign w:val="center"/>
                </w:tcPr>
                <w:p w14:paraId="2BD2A59B">
                  <w:pPr>
                    <w:widowControl/>
                    <w:adjustRightInd w:val="0"/>
                    <w:snapToGrid w:val="0"/>
                    <w:jc w:val="center"/>
                    <w:textAlignment w:val="center"/>
                    <w:rPr>
                      <w:color w:val="auto"/>
                      <w:szCs w:val="21"/>
                    </w:rPr>
                  </w:pPr>
                  <w:r>
                    <w:rPr>
                      <w:rFonts w:hint="eastAsia"/>
                      <w:color w:val="auto"/>
                      <w:szCs w:val="21"/>
                    </w:rPr>
                    <w:t>水性清漆</w:t>
                  </w:r>
                </w:p>
              </w:tc>
              <w:tc>
                <w:tcPr>
                  <w:tcW w:w="1622" w:type="pct"/>
                  <w:vAlign w:val="center"/>
                </w:tcPr>
                <w:p w14:paraId="4B27E3CE">
                  <w:pPr>
                    <w:widowControl/>
                    <w:adjustRightInd w:val="0"/>
                    <w:snapToGrid w:val="0"/>
                    <w:jc w:val="left"/>
                    <w:rPr>
                      <w:color w:val="auto"/>
                      <w:szCs w:val="21"/>
                    </w:rPr>
                  </w:pPr>
                  <w:r>
                    <w:rPr>
                      <w:rFonts w:hint="eastAsia"/>
                      <w:bCs/>
                      <w:color w:val="auto"/>
                      <w:kern w:val="0"/>
                      <w:szCs w:val="21"/>
                    </w:rPr>
                    <w:t>含羟基的水稀释型聚丙烯酸酯60-75%、二氧化硅0-2%、二丙二醇甲醚2-3%、水20-25%</w:t>
                  </w:r>
                </w:p>
              </w:tc>
              <w:tc>
                <w:tcPr>
                  <w:tcW w:w="2485" w:type="pct"/>
                  <w:vAlign w:val="center"/>
                </w:tcPr>
                <w:p w14:paraId="545B2E07">
                  <w:pPr>
                    <w:rPr>
                      <w:color w:val="auto"/>
                    </w:rPr>
                  </w:pPr>
                  <w:r>
                    <w:rPr>
                      <w:rFonts w:hint="eastAsia"/>
                      <w:color w:val="auto"/>
                    </w:rPr>
                    <w:t>理化性质：外观：乳白色粘稠液体；pH值：8.0±0.5；沸点：100℃；相对密度1.03-1.09</w:t>
                  </w:r>
                  <w:r>
                    <w:rPr>
                      <w:rFonts w:hint="eastAsia"/>
                      <w:color w:val="auto"/>
                      <w:szCs w:val="21"/>
                    </w:rPr>
                    <w:t>；危险性概述：本产品无明显已知作用或严重危险</w:t>
                  </w:r>
                  <w:r>
                    <w:rPr>
                      <w:rFonts w:hint="eastAsia"/>
                      <w:color w:val="auto"/>
                    </w:rPr>
                    <w:t>；侵入途径：吸入食入、皮肤吸收；健康危害：对皮肤、黏膜有刺激性，长期接触可能引发皮肤炎症，食入会引发胃部不适，严重者引发胃部炎症，对呼吸系统有轻微刺激，长期接触可能引发呼吸道炎症。</w:t>
                  </w:r>
                </w:p>
              </w:tc>
            </w:tr>
            <w:tr w14:paraId="01489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256" w:type="pct"/>
                  <w:vAlign w:val="center"/>
                </w:tcPr>
                <w:p w14:paraId="5CA59B1C">
                  <w:pPr>
                    <w:topLinePunct/>
                    <w:jc w:val="center"/>
                    <w:rPr>
                      <w:rFonts w:hint="default" w:eastAsia="宋体"/>
                      <w:color w:val="auto"/>
                      <w:szCs w:val="21"/>
                      <w:lang w:val="en-US" w:eastAsia="zh-CN"/>
                    </w:rPr>
                  </w:pPr>
                  <w:r>
                    <w:rPr>
                      <w:rFonts w:hint="eastAsia"/>
                      <w:color w:val="auto"/>
                      <w:szCs w:val="21"/>
                      <w:lang w:val="en-US" w:eastAsia="zh-CN"/>
                    </w:rPr>
                    <w:t>13</w:t>
                  </w:r>
                </w:p>
              </w:tc>
              <w:tc>
                <w:tcPr>
                  <w:tcW w:w="635" w:type="pct"/>
                  <w:vAlign w:val="center"/>
                </w:tcPr>
                <w:p w14:paraId="583C6D84">
                  <w:pPr>
                    <w:jc w:val="center"/>
                    <w:rPr>
                      <w:color w:val="auto"/>
                      <w:szCs w:val="21"/>
                    </w:rPr>
                  </w:pPr>
                  <w:r>
                    <w:rPr>
                      <w:color w:val="auto"/>
                      <w:szCs w:val="21"/>
                    </w:rPr>
                    <w:t>管道天然气</w:t>
                  </w:r>
                </w:p>
              </w:tc>
              <w:tc>
                <w:tcPr>
                  <w:tcW w:w="1622" w:type="pct"/>
                  <w:vAlign w:val="center"/>
                </w:tcPr>
                <w:p w14:paraId="214253D2">
                  <w:pPr>
                    <w:topLinePunct/>
                    <w:jc w:val="center"/>
                    <w:rPr>
                      <w:color w:val="auto"/>
                      <w:szCs w:val="21"/>
                    </w:rPr>
                  </w:pPr>
                  <w:r>
                    <w:rPr>
                      <w:color w:val="auto"/>
                      <w:szCs w:val="21"/>
                    </w:rPr>
                    <w:t>99.4%甲烷</w:t>
                  </w:r>
                </w:p>
              </w:tc>
              <w:tc>
                <w:tcPr>
                  <w:tcW w:w="2485" w:type="pct"/>
                  <w:vAlign w:val="center"/>
                </w:tcPr>
                <w:p w14:paraId="0896643A">
                  <w:pPr>
                    <w:topLinePunct/>
                    <w:jc w:val="left"/>
                    <w:rPr>
                      <w:color w:val="auto"/>
                      <w:szCs w:val="21"/>
                    </w:rPr>
                  </w:pPr>
                  <w:r>
                    <w:rPr>
                      <w:color w:val="auto"/>
                      <w:szCs w:val="21"/>
                    </w:rPr>
                    <w:t>天然气是存在于地下岩石储集层中以烃为主体的</w:t>
                  </w:r>
                  <w:r>
                    <w:rPr>
                      <w:color w:val="auto"/>
                    </w:rPr>
                    <w:fldChar w:fldCharType="begin"/>
                  </w:r>
                  <w:r>
                    <w:rPr>
                      <w:color w:val="auto"/>
                    </w:rPr>
                    <w:instrText xml:space="preserve"> HYPERLINK "https://baike.baidu.com/item/%E6%B7%B7%E5%90%88%E6%B0%94%E4%BD%93" \t "https://baike.baidu.com/item/%E5%A4%A9%E7%84%B6%E6%B0%94/_blank" </w:instrText>
                  </w:r>
                  <w:r>
                    <w:rPr>
                      <w:color w:val="auto"/>
                    </w:rPr>
                    <w:fldChar w:fldCharType="separate"/>
                  </w:r>
                  <w:r>
                    <w:rPr>
                      <w:color w:val="auto"/>
                      <w:szCs w:val="21"/>
                    </w:rPr>
                    <w:t>混合气体</w:t>
                  </w:r>
                  <w:r>
                    <w:rPr>
                      <w:color w:val="auto"/>
                      <w:szCs w:val="21"/>
                    </w:rPr>
                    <w:fldChar w:fldCharType="end"/>
                  </w:r>
                  <w:r>
                    <w:rPr>
                      <w:color w:val="auto"/>
                      <w:szCs w:val="21"/>
                    </w:rPr>
                    <w:t>的统称，</w:t>
                  </w:r>
                  <w:r>
                    <w:rPr>
                      <w:color w:val="auto"/>
                    </w:rPr>
                    <w:fldChar w:fldCharType="begin"/>
                  </w:r>
                  <w:r>
                    <w:rPr>
                      <w:color w:val="auto"/>
                    </w:rPr>
                    <w:instrText xml:space="preserve"> HYPERLINK "https://baike.baidu.com/item/%E6%AF%94%E9%87%8D" \t "https://baike.baidu.com/item/%E5%A4%A9%E7%84%B6%E6%B0%94/_blank" </w:instrText>
                  </w:r>
                  <w:r>
                    <w:rPr>
                      <w:color w:val="auto"/>
                    </w:rPr>
                    <w:fldChar w:fldCharType="separate"/>
                  </w:r>
                  <w:r>
                    <w:rPr>
                      <w:color w:val="auto"/>
                      <w:szCs w:val="21"/>
                    </w:rPr>
                    <w:t>比重</w:t>
                  </w:r>
                  <w:r>
                    <w:rPr>
                      <w:color w:val="auto"/>
                      <w:szCs w:val="21"/>
                    </w:rPr>
                    <w:fldChar w:fldCharType="end"/>
                  </w:r>
                  <w:r>
                    <w:rPr>
                      <w:color w:val="auto"/>
                      <w:szCs w:val="21"/>
                    </w:rPr>
                    <w:t>约0.65t/m</w:t>
                  </w:r>
                  <w:r>
                    <w:rPr>
                      <w:color w:val="auto"/>
                      <w:szCs w:val="21"/>
                      <w:vertAlign w:val="superscript"/>
                    </w:rPr>
                    <w:t>3</w:t>
                  </w:r>
                  <w:r>
                    <w:rPr>
                      <w:color w:val="auto"/>
                      <w:szCs w:val="21"/>
                    </w:rPr>
                    <w:t>，比空气轻，具有无色、无味、无毒之特性。天然气主要成分</w:t>
                  </w:r>
                  <w:r>
                    <w:rPr>
                      <w:color w:val="auto"/>
                    </w:rPr>
                    <w:fldChar w:fldCharType="begin"/>
                  </w:r>
                  <w:r>
                    <w:rPr>
                      <w:color w:val="auto"/>
                    </w:rPr>
                    <w:instrText xml:space="preserve"> HYPERLINK "https://baike.baidu.com/item/%E7%83%B7%E7%83%83" \t "https://baike.baidu.com/item/%E5%A4%A9%E7%84%B6%E6%B0%94/_blank" </w:instrText>
                  </w:r>
                  <w:r>
                    <w:rPr>
                      <w:color w:val="auto"/>
                    </w:rPr>
                    <w:fldChar w:fldCharType="separate"/>
                  </w:r>
                  <w:r>
                    <w:rPr>
                      <w:color w:val="auto"/>
                      <w:szCs w:val="21"/>
                    </w:rPr>
                    <w:t>烷烃</w:t>
                  </w:r>
                  <w:r>
                    <w:rPr>
                      <w:color w:val="auto"/>
                      <w:szCs w:val="21"/>
                    </w:rPr>
                    <w:fldChar w:fldCharType="end"/>
                  </w:r>
                  <w:r>
                    <w:rPr>
                      <w:color w:val="auto"/>
                      <w:szCs w:val="21"/>
                    </w:rPr>
                    <w:t>，其中</w:t>
                  </w:r>
                  <w:r>
                    <w:rPr>
                      <w:color w:val="auto"/>
                    </w:rPr>
                    <w:fldChar w:fldCharType="begin"/>
                  </w:r>
                  <w:r>
                    <w:rPr>
                      <w:color w:val="auto"/>
                    </w:rPr>
                    <w:instrText xml:space="preserve"> HYPERLINK "https://baike.baidu.com/item/%E7%94%B2%E7%83%B7" \t "https://baike.baidu.com/item/%E5%A4%A9%E7%84%B6%E6%B0%94/_blank" </w:instrText>
                  </w:r>
                  <w:r>
                    <w:rPr>
                      <w:color w:val="auto"/>
                    </w:rPr>
                    <w:fldChar w:fldCharType="separate"/>
                  </w:r>
                  <w:r>
                    <w:rPr>
                      <w:color w:val="auto"/>
                      <w:szCs w:val="21"/>
                    </w:rPr>
                    <w:t>甲烷</w:t>
                  </w:r>
                  <w:r>
                    <w:rPr>
                      <w:color w:val="auto"/>
                      <w:szCs w:val="21"/>
                    </w:rPr>
                    <w:fldChar w:fldCharType="end"/>
                  </w:r>
                  <w:r>
                    <w:rPr>
                      <w:color w:val="auto"/>
                      <w:szCs w:val="21"/>
                    </w:rPr>
                    <w:t>占绝大多数，另有少量的</w:t>
                  </w:r>
                  <w:r>
                    <w:rPr>
                      <w:color w:val="auto"/>
                    </w:rPr>
                    <w:fldChar w:fldCharType="begin"/>
                  </w:r>
                  <w:r>
                    <w:rPr>
                      <w:color w:val="auto"/>
                    </w:rPr>
                    <w:instrText xml:space="preserve"> HYPERLINK "https://baike.baidu.com/item/%E4%B9%99%E7%83%B7" \t "https://baike.baidu.com/item/%E5%A4%A9%E7%84%B6%E6%B0%94/_blank" </w:instrText>
                  </w:r>
                  <w:r>
                    <w:rPr>
                      <w:color w:val="auto"/>
                    </w:rPr>
                    <w:fldChar w:fldCharType="separate"/>
                  </w:r>
                  <w:r>
                    <w:rPr>
                      <w:color w:val="auto"/>
                      <w:szCs w:val="21"/>
                    </w:rPr>
                    <w:t>乙烷</w:t>
                  </w:r>
                  <w:r>
                    <w:rPr>
                      <w:color w:val="auto"/>
                      <w:szCs w:val="21"/>
                    </w:rPr>
                    <w:fldChar w:fldCharType="end"/>
                  </w:r>
                  <w:r>
                    <w:rPr>
                      <w:color w:val="auto"/>
                      <w:szCs w:val="21"/>
                    </w:rPr>
                    <w:t>、</w:t>
                  </w:r>
                  <w:r>
                    <w:rPr>
                      <w:color w:val="auto"/>
                    </w:rPr>
                    <w:fldChar w:fldCharType="begin"/>
                  </w:r>
                  <w:r>
                    <w:rPr>
                      <w:color w:val="auto"/>
                    </w:rPr>
                    <w:instrText xml:space="preserve"> HYPERLINK "https://baike.baidu.com/item/%E4%B8%99%E7%83%B7" \t "https://baike.baidu.com/item/%E5%A4%A9%E7%84%B6%E6%B0%94/_blank" </w:instrText>
                  </w:r>
                  <w:r>
                    <w:rPr>
                      <w:color w:val="auto"/>
                    </w:rPr>
                    <w:fldChar w:fldCharType="separate"/>
                  </w:r>
                  <w:r>
                    <w:rPr>
                      <w:color w:val="auto"/>
                      <w:szCs w:val="21"/>
                    </w:rPr>
                    <w:t>丙烷</w:t>
                  </w:r>
                  <w:r>
                    <w:rPr>
                      <w:color w:val="auto"/>
                      <w:szCs w:val="21"/>
                    </w:rPr>
                    <w:fldChar w:fldCharType="end"/>
                  </w:r>
                  <w:r>
                    <w:rPr>
                      <w:color w:val="auto"/>
                      <w:szCs w:val="21"/>
                    </w:rPr>
                    <w:t>和</w:t>
                  </w:r>
                  <w:r>
                    <w:rPr>
                      <w:color w:val="auto"/>
                    </w:rPr>
                    <w:fldChar w:fldCharType="begin"/>
                  </w:r>
                  <w:r>
                    <w:rPr>
                      <w:color w:val="auto"/>
                    </w:rPr>
                    <w:instrText xml:space="preserve"> HYPERLINK "https://baike.baidu.com/item/%E4%B8%81%E7%83%B7" \t "https://baike.baidu.com/item/%E5%A4%A9%E7%84%B6%E6%B0%94/_blank" </w:instrText>
                  </w:r>
                  <w:r>
                    <w:rPr>
                      <w:color w:val="auto"/>
                    </w:rPr>
                    <w:fldChar w:fldCharType="separate"/>
                  </w:r>
                  <w:r>
                    <w:rPr>
                      <w:color w:val="auto"/>
                      <w:szCs w:val="21"/>
                    </w:rPr>
                    <w:t>丁烷</w:t>
                  </w:r>
                  <w:r>
                    <w:rPr>
                      <w:color w:val="auto"/>
                      <w:szCs w:val="21"/>
                    </w:rPr>
                    <w:fldChar w:fldCharType="end"/>
                  </w:r>
                  <w:r>
                    <w:rPr>
                      <w:color w:val="auto"/>
                      <w:szCs w:val="21"/>
                    </w:rPr>
                    <w:t>，此外一般有</w:t>
                  </w:r>
                  <w:r>
                    <w:rPr>
                      <w:color w:val="auto"/>
                    </w:rPr>
                    <w:fldChar w:fldCharType="begin"/>
                  </w:r>
                  <w:r>
                    <w:rPr>
                      <w:color w:val="auto"/>
                    </w:rPr>
                    <w:instrText xml:space="preserve"> HYPERLINK "https://baike.baidu.com/item/%E7%A1%AB%E5%8C%96%E6%B0%A2" \t "https://baike.baidu.com/item/%E5%A4%A9%E7%84%B6%E6%B0%94/_blank" </w:instrText>
                  </w:r>
                  <w:r>
                    <w:rPr>
                      <w:color w:val="auto"/>
                    </w:rPr>
                    <w:fldChar w:fldCharType="separate"/>
                  </w:r>
                  <w:r>
                    <w:rPr>
                      <w:color w:val="auto"/>
                      <w:szCs w:val="21"/>
                    </w:rPr>
                    <w:t>硫化氢</w:t>
                  </w:r>
                  <w:r>
                    <w:rPr>
                      <w:color w:val="auto"/>
                      <w:szCs w:val="21"/>
                    </w:rPr>
                    <w:fldChar w:fldCharType="end"/>
                  </w:r>
                  <w:r>
                    <w:rPr>
                      <w:color w:val="auto"/>
                      <w:szCs w:val="21"/>
                    </w:rPr>
                    <w:t>、</w:t>
                  </w:r>
                  <w:r>
                    <w:rPr>
                      <w:color w:val="auto"/>
                    </w:rPr>
                    <w:fldChar w:fldCharType="begin"/>
                  </w:r>
                  <w:r>
                    <w:rPr>
                      <w:color w:val="auto"/>
                    </w:rPr>
                    <w:instrText xml:space="preserve"> HYPERLINK "https://baike.baidu.com/item/%E4%BA%8C%E6%B0%A7%E5%8C%96%E7%A2%B3/349143" \t "https://baike.baidu.com/item/%E5%A4%A9%E7%84%B6%E6%B0%94/_blank" </w:instrText>
                  </w:r>
                  <w:r>
                    <w:rPr>
                      <w:color w:val="auto"/>
                    </w:rPr>
                    <w:fldChar w:fldCharType="separate"/>
                  </w:r>
                  <w:r>
                    <w:rPr>
                      <w:color w:val="auto"/>
                      <w:szCs w:val="21"/>
                    </w:rPr>
                    <w:t>二氧化碳</w:t>
                  </w:r>
                  <w:r>
                    <w:rPr>
                      <w:color w:val="auto"/>
                      <w:szCs w:val="21"/>
                    </w:rPr>
                    <w:fldChar w:fldCharType="end"/>
                  </w:r>
                  <w:r>
                    <w:rPr>
                      <w:color w:val="auto"/>
                      <w:szCs w:val="21"/>
                    </w:rPr>
                    <w:t>、氮、水汽和少量</w:t>
                  </w:r>
                  <w:r>
                    <w:rPr>
                      <w:color w:val="auto"/>
                    </w:rPr>
                    <w:fldChar w:fldCharType="begin"/>
                  </w:r>
                  <w:r>
                    <w:rPr>
                      <w:color w:val="auto"/>
                    </w:rPr>
                    <w:instrText xml:space="preserve"> HYPERLINK "https://baike.baidu.com/item/%E4%B8%80%E6%B0%A7%E5%8C%96%E7%A2%B3/163473" \t "https://baike.baidu.com/item/%E5%A4%A9%E7%84%B6%E6%B0%94/_blank" </w:instrText>
                  </w:r>
                  <w:r>
                    <w:rPr>
                      <w:color w:val="auto"/>
                    </w:rPr>
                    <w:fldChar w:fldCharType="separate"/>
                  </w:r>
                  <w:r>
                    <w:rPr>
                      <w:color w:val="auto"/>
                      <w:szCs w:val="21"/>
                    </w:rPr>
                    <w:t>一氧化碳</w:t>
                  </w:r>
                  <w:r>
                    <w:rPr>
                      <w:color w:val="auto"/>
                      <w:szCs w:val="21"/>
                    </w:rPr>
                    <w:fldChar w:fldCharType="end"/>
                  </w:r>
                  <w:r>
                    <w:rPr>
                      <w:color w:val="auto"/>
                      <w:szCs w:val="21"/>
                    </w:rPr>
                    <w:t>及微量的</w:t>
                  </w:r>
                  <w:r>
                    <w:rPr>
                      <w:color w:val="auto"/>
                    </w:rPr>
                    <w:fldChar w:fldCharType="begin"/>
                  </w:r>
                  <w:r>
                    <w:rPr>
                      <w:color w:val="auto"/>
                    </w:rPr>
                    <w:instrText xml:space="preserve"> HYPERLINK "https://baike.baidu.com/item/%E7%A8%80%E6%9C%89%E6%B0%94%E4%BD%93/573051" \t "https://baike.baidu.com/item/%E5%A4%A9%E7%84%B6%E6%B0%94/_blank" </w:instrText>
                  </w:r>
                  <w:r>
                    <w:rPr>
                      <w:color w:val="auto"/>
                    </w:rPr>
                    <w:fldChar w:fldCharType="separate"/>
                  </w:r>
                  <w:r>
                    <w:rPr>
                      <w:color w:val="auto"/>
                      <w:szCs w:val="21"/>
                    </w:rPr>
                    <w:t>稀有气体</w:t>
                  </w:r>
                  <w:r>
                    <w:rPr>
                      <w:color w:val="auto"/>
                      <w:szCs w:val="21"/>
                    </w:rPr>
                    <w:fldChar w:fldCharType="end"/>
                  </w:r>
                  <w:r>
                    <w:rPr>
                      <w:color w:val="auto"/>
                      <w:szCs w:val="21"/>
                    </w:rPr>
                    <w:t>，如</w:t>
                  </w:r>
                  <w:r>
                    <w:rPr>
                      <w:color w:val="auto"/>
                    </w:rPr>
                    <w:fldChar w:fldCharType="begin"/>
                  </w:r>
                  <w:r>
                    <w:rPr>
                      <w:color w:val="auto"/>
                    </w:rPr>
                    <w:instrText xml:space="preserve"> HYPERLINK "https://baike.baidu.com/item/%E6%B0%A6" \t "https://baike.baidu.com/item/%E5%A4%A9%E7%84%B6%E6%B0%94/_blank" </w:instrText>
                  </w:r>
                  <w:r>
                    <w:rPr>
                      <w:color w:val="auto"/>
                    </w:rPr>
                    <w:fldChar w:fldCharType="separate"/>
                  </w:r>
                  <w:r>
                    <w:rPr>
                      <w:color w:val="auto"/>
                      <w:szCs w:val="21"/>
                    </w:rPr>
                    <w:t>氦</w:t>
                  </w:r>
                  <w:r>
                    <w:rPr>
                      <w:color w:val="auto"/>
                      <w:szCs w:val="21"/>
                    </w:rPr>
                    <w:fldChar w:fldCharType="end"/>
                  </w:r>
                  <w:r>
                    <w:rPr>
                      <w:color w:val="auto"/>
                      <w:szCs w:val="21"/>
                    </w:rPr>
                    <w:t>和</w:t>
                  </w:r>
                  <w:r>
                    <w:rPr>
                      <w:color w:val="auto"/>
                    </w:rPr>
                    <w:fldChar w:fldCharType="begin"/>
                  </w:r>
                  <w:r>
                    <w:rPr>
                      <w:color w:val="auto"/>
                    </w:rPr>
                    <w:instrText xml:space="preserve"> HYPERLINK "https://baike.baidu.com/item/%E6%B0%A9" \t "https://baike.baidu.com/item/%E5%A4%A9%E7%84%B6%E6%B0%94/_blank" </w:instrText>
                  </w:r>
                  <w:r>
                    <w:rPr>
                      <w:color w:val="auto"/>
                    </w:rPr>
                    <w:fldChar w:fldCharType="separate"/>
                  </w:r>
                  <w:r>
                    <w:rPr>
                      <w:color w:val="auto"/>
                      <w:szCs w:val="21"/>
                    </w:rPr>
                    <w:t>氩</w:t>
                  </w:r>
                  <w:r>
                    <w:rPr>
                      <w:color w:val="auto"/>
                      <w:szCs w:val="21"/>
                    </w:rPr>
                    <w:fldChar w:fldCharType="end"/>
                  </w:r>
                  <w:r>
                    <w:rPr>
                      <w:color w:val="auto"/>
                      <w:szCs w:val="21"/>
                    </w:rPr>
                    <w:t>等。天然气在送到最终用户之前，为助于泄漏检测，还要用硫醇、</w:t>
                  </w:r>
                  <w:r>
                    <w:rPr>
                      <w:color w:val="auto"/>
                    </w:rPr>
                    <w:fldChar w:fldCharType="begin"/>
                  </w:r>
                  <w:r>
                    <w:rPr>
                      <w:color w:val="auto"/>
                    </w:rPr>
                    <w:instrText xml:space="preserve"> HYPERLINK "https://baike.baidu.com/item/%E5%9B%9B%E6%B0%A2%E5%99%BB%E5%90%A9" \t "https://baike.baidu.com/item/%E5%A4%A9%E7%84%B6%E6%B0%94/_blank" </w:instrText>
                  </w:r>
                  <w:r>
                    <w:rPr>
                      <w:color w:val="auto"/>
                    </w:rPr>
                    <w:fldChar w:fldCharType="separate"/>
                  </w:r>
                  <w:r>
                    <w:rPr>
                      <w:color w:val="auto"/>
                      <w:szCs w:val="21"/>
                    </w:rPr>
                    <w:t>四氢噻吩</w:t>
                  </w:r>
                  <w:r>
                    <w:rPr>
                      <w:color w:val="auto"/>
                      <w:szCs w:val="21"/>
                    </w:rPr>
                    <w:fldChar w:fldCharType="end"/>
                  </w:r>
                  <w:r>
                    <w:rPr>
                      <w:color w:val="auto"/>
                      <w:szCs w:val="21"/>
                    </w:rPr>
                    <w:t>等来给天然气添加气味。</w:t>
                  </w:r>
                </w:p>
                <w:p w14:paraId="0C8FBCBF">
                  <w:pPr>
                    <w:topLinePunct/>
                    <w:jc w:val="left"/>
                    <w:rPr>
                      <w:color w:val="auto"/>
                      <w:szCs w:val="21"/>
                    </w:rPr>
                  </w:pPr>
                  <w:r>
                    <w:rPr>
                      <w:color w:val="auto"/>
                      <w:szCs w:val="21"/>
                    </w:rPr>
                    <w:t>天然气不溶于</w:t>
                  </w:r>
                  <w:r>
                    <w:rPr>
                      <w:color w:val="auto"/>
                    </w:rPr>
                    <w:fldChar w:fldCharType="begin"/>
                  </w:r>
                  <w:r>
                    <w:rPr>
                      <w:color w:val="auto"/>
                    </w:rPr>
                    <w:instrText xml:space="preserve"> HYPERLINK "https://baike.baidu.com/item/%E6%B0%B4/34133" \t "https://baike.baidu.com/item/%E5%A4%A9%E7%84%B6%E6%B0%94/_blank" </w:instrText>
                  </w:r>
                  <w:r>
                    <w:rPr>
                      <w:color w:val="auto"/>
                    </w:rPr>
                    <w:fldChar w:fldCharType="separate"/>
                  </w:r>
                  <w:r>
                    <w:rPr>
                      <w:color w:val="auto"/>
                      <w:szCs w:val="21"/>
                    </w:rPr>
                    <w:t>水</w:t>
                  </w:r>
                  <w:r>
                    <w:rPr>
                      <w:color w:val="auto"/>
                      <w:szCs w:val="21"/>
                    </w:rPr>
                    <w:fldChar w:fldCharType="end"/>
                  </w:r>
                  <w:r>
                    <w:rPr>
                      <w:color w:val="auto"/>
                      <w:szCs w:val="21"/>
                    </w:rPr>
                    <w:t>，密度为0.7174kg/m</w:t>
                  </w:r>
                  <w:r>
                    <w:rPr>
                      <w:color w:val="auto"/>
                      <w:szCs w:val="21"/>
                      <w:vertAlign w:val="superscript"/>
                    </w:rPr>
                    <w:t>3</w:t>
                  </w:r>
                  <w:r>
                    <w:rPr>
                      <w:color w:val="auto"/>
                      <w:szCs w:val="21"/>
                    </w:rPr>
                    <w:t>，相对密度（水）为0.45（液化）t/m</w:t>
                  </w:r>
                  <w:r>
                    <w:rPr>
                      <w:color w:val="auto"/>
                      <w:szCs w:val="21"/>
                      <w:vertAlign w:val="superscript"/>
                    </w:rPr>
                    <w:t>3</w:t>
                  </w:r>
                  <w:r>
                    <w:rPr>
                      <w:color w:val="auto"/>
                      <w:szCs w:val="21"/>
                    </w:rPr>
                    <w:t>，燃点为650</w:t>
                  </w:r>
                  <w:r>
                    <w:rPr>
                      <w:rFonts w:hint="eastAsia" w:ascii="宋体" w:hAnsi="宋体" w:cs="宋体"/>
                      <w:color w:val="auto"/>
                      <w:szCs w:val="21"/>
                    </w:rPr>
                    <w:t>℃</w:t>
                  </w:r>
                  <w:r>
                    <w:rPr>
                      <w:color w:val="auto"/>
                      <w:szCs w:val="21"/>
                    </w:rPr>
                    <w:t>，</w:t>
                  </w:r>
                  <w:r>
                    <w:rPr>
                      <w:color w:val="auto"/>
                    </w:rPr>
                    <w:fldChar w:fldCharType="begin"/>
                  </w:r>
                  <w:r>
                    <w:rPr>
                      <w:color w:val="auto"/>
                    </w:rPr>
                    <w:instrText xml:space="preserve"> HYPERLINK "https://baike.baidu.com/item/%E7%88%86%E7%82%B8%E6%9E%81%E9%99%90" \t "https://baike.baidu.com/item/%E5%A4%A9%E7%84%B6%E6%B0%94/_blank" </w:instrText>
                  </w:r>
                  <w:r>
                    <w:rPr>
                      <w:color w:val="auto"/>
                    </w:rPr>
                    <w:fldChar w:fldCharType="separate"/>
                  </w:r>
                  <w:r>
                    <w:rPr>
                      <w:color w:val="auto"/>
                      <w:szCs w:val="21"/>
                    </w:rPr>
                    <w:t>爆炸极限</w:t>
                  </w:r>
                  <w:r>
                    <w:rPr>
                      <w:color w:val="auto"/>
                      <w:szCs w:val="21"/>
                    </w:rPr>
                    <w:fldChar w:fldCharType="end"/>
                  </w:r>
                  <w:r>
                    <w:rPr>
                      <w:color w:val="auto"/>
                      <w:szCs w:val="21"/>
                    </w:rPr>
                    <w:t>（V%）为5-15。在</w:t>
                  </w:r>
                  <w:r>
                    <w:rPr>
                      <w:color w:val="auto"/>
                    </w:rPr>
                    <w:fldChar w:fldCharType="begin"/>
                  </w:r>
                  <w:r>
                    <w:rPr>
                      <w:color w:val="auto"/>
                    </w:rPr>
                    <w:instrText xml:space="preserve"> HYPERLINK "https://baike.baidu.com/item/%E6%A0%87%E5%87%86%E7%8A%B6%E5%86%B5" \t "https://baike.baidu.com/item/%E5%A4%A9%E7%84%B6%E6%B0%94/_blank" </w:instrText>
                  </w:r>
                  <w:r>
                    <w:rPr>
                      <w:color w:val="auto"/>
                    </w:rPr>
                    <w:fldChar w:fldCharType="separate"/>
                  </w:r>
                  <w:r>
                    <w:rPr>
                      <w:color w:val="auto"/>
                      <w:szCs w:val="21"/>
                    </w:rPr>
                    <w:t>标准状况</w:t>
                  </w:r>
                  <w:r>
                    <w:rPr>
                      <w:color w:val="auto"/>
                      <w:szCs w:val="21"/>
                    </w:rPr>
                    <w:fldChar w:fldCharType="end"/>
                  </w:r>
                  <w:r>
                    <w:rPr>
                      <w:color w:val="auto"/>
                      <w:szCs w:val="21"/>
                    </w:rPr>
                    <w:t>下，甲烷至丁烷以气体状态存在，</w:t>
                  </w:r>
                  <w:r>
                    <w:rPr>
                      <w:color w:val="auto"/>
                    </w:rPr>
                    <w:fldChar w:fldCharType="begin"/>
                  </w:r>
                  <w:r>
                    <w:rPr>
                      <w:color w:val="auto"/>
                    </w:rPr>
                    <w:instrText xml:space="preserve"> HYPERLINK "https://baike.baidu.com/item/%E6%88%8A%E7%83%B7/16218" \t "https://baike.baidu.com/item/%E5%A4%A9%E7%84%B6%E6%B0%94/_blank" </w:instrText>
                  </w:r>
                  <w:r>
                    <w:rPr>
                      <w:color w:val="auto"/>
                    </w:rPr>
                    <w:fldChar w:fldCharType="separate"/>
                  </w:r>
                  <w:r>
                    <w:rPr>
                      <w:color w:val="auto"/>
                      <w:szCs w:val="21"/>
                    </w:rPr>
                    <w:t>戊烷</w:t>
                  </w:r>
                  <w:r>
                    <w:rPr>
                      <w:color w:val="auto"/>
                      <w:szCs w:val="21"/>
                    </w:rPr>
                    <w:fldChar w:fldCharType="end"/>
                  </w:r>
                  <w:r>
                    <w:rPr>
                      <w:color w:val="auto"/>
                      <w:szCs w:val="21"/>
                    </w:rPr>
                    <w:t>以上为液体。甲烷是最短和最轻的</w:t>
                  </w:r>
                  <w:r>
                    <w:rPr>
                      <w:color w:val="auto"/>
                    </w:rPr>
                    <w:fldChar w:fldCharType="begin"/>
                  </w:r>
                  <w:r>
                    <w:rPr>
                      <w:color w:val="auto"/>
                    </w:rPr>
                    <w:instrText xml:space="preserve"> HYPERLINK "https://baike.baidu.com/item/%E7%83%83" \t "https://baike.baidu.com/item/%E5%A4%A9%E7%84%B6%E6%B0%94/_blank" </w:instrText>
                  </w:r>
                  <w:r>
                    <w:rPr>
                      <w:color w:val="auto"/>
                    </w:rPr>
                    <w:fldChar w:fldCharType="separate"/>
                  </w:r>
                  <w:r>
                    <w:rPr>
                      <w:color w:val="auto"/>
                      <w:szCs w:val="21"/>
                    </w:rPr>
                    <w:t>烃</w:t>
                  </w:r>
                  <w:r>
                    <w:rPr>
                      <w:color w:val="auto"/>
                      <w:szCs w:val="21"/>
                    </w:rPr>
                    <w:fldChar w:fldCharType="end"/>
                  </w:r>
                  <w:r>
                    <w:rPr>
                      <w:color w:val="auto"/>
                      <w:szCs w:val="21"/>
                    </w:rPr>
                    <w:t>分子。</w:t>
                  </w:r>
                </w:p>
              </w:tc>
            </w:tr>
          </w:tbl>
          <w:p w14:paraId="59C6F8AC">
            <w:pPr>
              <w:pStyle w:val="6"/>
              <w:ind w:left="0" w:leftChars="0" w:firstLine="482" w:firstLineChars="200"/>
              <w:rPr>
                <w:b/>
                <w:bCs/>
                <w:color w:val="auto"/>
                <w:sz w:val="24"/>
              </w:rPr>
            </w:pPr>
            <w:r>
              <w:rPr>
                <w:b/>
                <w:bCs/>
                <w:color w:val="auto"/>
                <w:sz w:val="24"/>
              </w:rPr>
              <w:t>（3）原辅材料VOC</w:t>
            </w:r>
            <w:r>
              <w:rPr>
                <w:b/>
                <w:bCs/>
                <w:color w:val="auto"/>
                <w:sz w:val="24"/>
                <w:vertAlign w:val="subscript"/>
              </w:rPr>
              <w:t>S</w:t>
            </w:r>
            <w:r>
              <w:rPr>
                <w:b/>
                <w:bCs/>
                <w:color w:val="auto"/>
                <w:sz w:val="24"/>
              </w:rPr>
              <w:t>含量的限值要求符合性分析</w:t>
            </w:r>
          </w:p>
          <w:p w14:paraId="413EC1B1">
            <w:pPr>
              <w:pStyle w:val="43"/>
              <w:ind w:firstLine="482"/>
              <w:rPr>
                <w:color w:val="auto"/>
              </w:rPr>
            </w:pPr>
            <w:r>
              <w:rPr>
                <w:b/>
                <w:bCs/>
                <w:color w:val="auto"/>
              </w:rPr>
              <w:t>粉末涂料：</w:t>
            </w:r>
            <w:r>
              <w:rPr>
                <w:color w:val="auto"/>
              </w:rPr>
              <w:t>项目使用的粉末涂料属于无溶剂涂料，根据《低挥发性有机化合物含量涂料产品技术要求》（GB/T38597-2020），无溶剂涂料中挥发性有机物（VOCs）≤60g/L。根据建设单位提供的检验报告（编号：ST150</w:t>
            </w:r>
            <w:r>
              <w:rPr>
                <w:rFonts w:hint="eastAsia"/>
                <w:color w:val="auto"/>
              </w:rPr>
              <w:t>1321，详见</w:t>
            </w:r>
            <w:r>
              <w:rPr>
                <w:rFonts w:hint="eastAsia"/>
                <w:b/>
                <w:bCs/>
                <w:color w:val="auto"/>
              </w:rPr>
              <w:t>附件6</w:t>
            </w:r>
            <w:r>
              <w:rPr>
                <w:color w:val="auto"/>
              </w:rPr>
              <w:t>）可知本项目使用的</w:t>
            </w:r>
            <w:r>
              <w:rPr>
                <w:rFonts w:hint="eastAsia"/>
                <w:color w:val="auto"/>
              </w:rPr>
              <w:t>粉末涂料</w:t>
            </w:r>
            <w:r>
              <w:rPr>
                <w:color w:val="auto"/>
              </w:rPr>
              <w:t>挥发性有机化合物（VOCs）含量，检验结果</w:t>
            </w:r>
            <w:r>
              <w:rPr>
                <w:rFonts w:hint="eastAsia"/>
                <w:color w:val="auto"/>
              </w:rPr>
              <w:t>为5</w:t>
            </w:r>
            <w:r>
              <w:rPr>
                <w:color w:val="auto"/>
              </w:rPr>
              <w:t>g/L，符合《低挥发性有机化合物含量涂料产品技术要求》（GB/T38597-2020）中无溶剂涂料中挥发性有机物（VOCs）含量要求。</w:t>
            </w:r>
          </w:p>
          <w:p w14:paraId="1F997520">
            <w:pPr>
              <w:pStyle w:val="43"/>
              <w:ind w:firstLine="482"/>
              <w:rPr>
                <w:color w:val="auto"/>
              </w:rPr>
            </w:pPr>
            <w:r>
              <w:rPr>
                <w:rFonts w:hint="eastAsia"/>
                <w:b/>
                <w:bCs/>
                <w:color w:val="auto"/>
              </w:rPr>
              <w:t>水性底漆：</w:t>
            </w:r>
            <w:r>
              <w:rPr>
                <w:rFonts w:hint="eastAsia"/>
                <w:color w:val="auto"/>
              </w:rPr>
              <w:t>项目使用的水性底漆属于水性涂料，根据</w:t>
            </w:r>
            <w:r>
              <w:rPr>
                <w:color w:val="auto"/>
              </w:rPr>
              <w:t>《低挥发性有机化合物含量涂料产品技术要求》（GB/T38597-2020）</w:t>
            </w:r>
            <w:r>
              <w:rPr>
                <w:rFonts w:hint="eastAsia"/>
                <w:color w:val="auto"/>
              </w:rPr>
              <w:t>和《关于印发&lt;广东省涉挥发性有机物（VOCs）重点行业治理指引&gt;的通知》，摩托车（含电动摩托车）和自行车（含电动自行车）涂料、车辆用零部件涂料-金属件用涂料-底漆VOCs≤350g/L。</w:t>
            </w:r>
            <w:r>
              <w:rPr>
                <w:color w:val="auto"/>
              </w:rPr>
              <w:t>根据建设单位提供的</w:t>
            </w:r>
            <w:r>
              <w:rPr>
                <w:rFonts w:hint="eastAsia"/>
                <w:color w:val="auto"/>
              </w:rPr>
              <w:t>检测</w:t>
            </w:r>
            <w:r>
              <w:rPr>
                <w:color w:val="auto"/>
              </w:rPr>
              <w:t>报告（编号：ST</w:t>
            </w:r>
            <w:r>
              <w:rPr>
                <w:rFonts w:hint="eastAsia"/>
                <w:color w:val="auto"/>
              </w:rPr>
              <w:t>2008474，详见</w:t>
            </w:r>
            <w:r>
              <w:rPr>
                <w:rFonts w:hint="eastAsia"/>
                <w:b/>
                <w:bCs/>
                <w:color w:val="auto"/>
              </w:rPr>
              <w:t>附件6</w:t>
            </w:r>
            <w:r>
              <w:rPr>
                <w:color w:val="auto"/>
              </w:rPr>
              <w:t>）可知本项目使用的</w:t>
            </w:r>
            <w:r>
              <w:rPr>
                <w:rFonts w:hint="eastAsia"/>
                <w:color w:val="auto"/>
              </w:rPr>
              <w:t>水性底漆</w:t>
            </w:r>
            <w:r>
              <w:rPr>
                <w:color w:val="auto"/>
              </w:rPr>
              <w:t>挥发性有机化合物（VOCs）含量，检验结果</w:t>
            </w:r>
            <w:r>
              <w:rPr>
                <w:rFonts w:hint="eastAsia"/>
                <w:color w:val="auto"/>
              </w:rPr>
              <w:t>为62</w:t>
            </w:r>
            <w:r>
              <w:rPr>
                <w:color w:val="auto"/>
              </w:rPr>
              <w:t>g/L，符合《低挥发性有机化合物含量涂料产品技术要求》（GB/T38597-2020）</w:t>
            </w:r>
            <w:r>
              <w:rPr>
                <w:rFonts w:hint="eastAsia"/>
                <w:color w:val="auto"/>
              </w:rPr>
              <w:t>和《关于印发&lt;广东省涉挥发性有机物（VOCs）重点行业治理指引&gt;的通知》</w:t>
            </w:r>
            <w:r>
              <w:rPr>
                <w:color w:val="auto"/>
              </w:rPr>
              <w:t>中</w:t>
            </w:r>
            <w:r>
              <w:rPr>
                <w:rFonts w:hint="eastAsia"/>
                <w:color w:val="auto"/>
              </w:rPr>
              <w:t>水性底漆</w:t>
            </w:r>
            <w:r>
              <w:rPr>
                <w:color w:val="auto"/>
              </w:rPr>
              <w:t>中挥发性有机物（VOCs）含量要求。</w:t>
            </w:r>
          </w:p>
          <w:p w14:paraId="5D2F0D96">
            <w:pPr>
              <w:pStyle w:val="43"/>
              <w:ind w:firstLine="482"/>
              <w:rPr>
                <w:color w:val="auto"/>
              </w:rPr>
            </w:pPr>
            <w:r>
              <w:rPr>
                <w:rFonts w:hint="eastAsia"/>
                <w:b/>
                <w:bCs/>
                <w:color w:val="auto"/>
              </w:rPr>
              <w:t>水性面漆：</w:t>
            </w:r>
            <w:r>
              <w:rPr>
                <w:rFonts w:hint="eastAsia"/>
                <w:color w:val="auto"/>
              </w:rPr>
              <w:t>项目使用的水性面漆属于水性涂料，根据</w:t>
            </w:r>
            <w:r>
              <w:rPr>
                <w:color w:val="auto"/>
              </w:rPr>
              <w:t>《低挥发性有机化合物含量涂料产品技术要求》（GB/T38597-2020）</w:t>
            </w:r>
            <w:r>
              <w:rPr>
                <w:rFonts w:hint="eastAsia"/>
                <w:color w:val="auto"/>
              </w:rPr>
              <w:t>和《关于印发&lt;广东省涉挥发性有机物（VOCs）重点行业治理指引&gt;的通知》，摩托车（含电动摩托车）和自行车（含电动自行车）涂料、车辆用零部件涂料-金属件用涂料-面漆VOCs≤480g/L。</w:t>
            </w:r>
            <w:r>
              <w:rPr>
                <w:color w:val="auto"/>
              </w:rPr>
              <w:t>根据建设单位提供的</w:t>
            </w:r>
            <w:r>
              <w:rPr>
                <w:rFonts w:hint="eastAsia"/>
                <w:color w:val="auto"/>
              </w:rPr>
              <w:t>检测</w:t>
            </w:r>
            <w:r>
              <w:rPr>
                <w:color w:val="auto"/>
              </w:rPr>
              <w:t>报告（编号：ST</w:t>
            </w:r>
            <w:r>
              <w:rPr>
                <w:rFonts w:hint="eastAsia"/>
                <w:color w:val="auto"/>
              </w:rPr>
              <w:t>2008473，详见</w:t>
            </w:r>
            <w:r>
              <w:rPr>
                <w:rFonts w:hint="eastAsia"/>
                <w:b/>
                <w:bCs/>
                <w:color w:val="auto"/>
              </w:rPr>
              <w:t>附件6</w:t>
            </w:r>
            <w:r>
              <w:rPr>
                <w:color w:val="auto"/>
              </w:rPr>
              <w:t>）可知本项目使用的</w:t>
            </w:r>
            <w:r>
              <w:rPr>
                <w:rFonts w:hint="eastAsia"/>
                <w:color w:val="auto"/>
              </w:rPr>
              <w:t>水性面漆</w:t>
            </w:r>
            <w:r>
              <w:rPr>
                <w:color w:val="auto"/>
              </w:rPr>
              <w:t>挥发性有机化合物（VOCs）含量，检验结果</w:t>
            </w:r>
            <w:r>
              <w:rPr>
                <w:rFonts w:hint="eastAsia"/>
                <w:color w:val="auto"/>
              </w:rPr>
              <w:t>为64</w:t>
            </w:r>
            <w:r>
              <w:rPr>
                <w:color w:val="auto"/>
              </w:rPr>
              <w:t>g/L，符合《低挥发性有机化合物含量涂料产品技术要求》（GB/T38597-2020）</w:t>
            </w:r>
            <w:r>
              <w:rPr>
                <w:rFonts w:hint="eastAsia"/>
                <w:color w:val="auto"/>
              </w:rPr>
              <w:t>和《关于印发&lt;广东省涉挥发性有机物（VOCs）重点行业治理指引&gt;的通知》</w:t>
            </w:r>
            <w:r>
              <w:rPr>
                <w:color w:val="auto"/>
              </w:rPr>
              <w:t>中</w:t>
            </w:r>
            <w:r>
              <w:rPr>
                <w:rFonts w:hint="eastAsia"/>
                <w:color w:val="auto"/>
              </w:rPr>
              <w:t>水性面漆</w:t>
            </w:r>
            <w:r>
              <w:rPr>
                <w:color w:val="auto"/>
              </w:rPr>
              <w:t>中挥发性有机物（VOCs）含量要求。</w:t>
            </w:r>
          </w:p>
          <w:p w14:paraId="71291FD6">
            <w:pPr>
              <w:pStyle w:val="43"/>
              <w:ind w:firstLine="482"/>
              <w:rPr>
                <w:b/>
                <w:bCs/>
                <w:color w:val="auto"/>
              </w:rPr>
            </w:pPr>
            <w:r>
              <w:rPr>
                <w:rFonts w:hint="eastAsia"/>
                <w:b/>
                <w:bCs/>
                <w:color w:val="auto"/>
              </w:rPr>
              <w:t>水性清漆：</w:t>
            </w:r>
            <w:r>
              <w:rPr>
                <w:rFonts w:hint="eastAsia"/>
                <w:color w:val="auto"/>
              </w:rPr>
              <w:t>项目使用的水性清漆属于水性涂料，根据</w:t>
            </w:r>
            <w:r>
              <w:rPr>
                <w:color w:val="auto"/>
              </w:rPr>
              <w:t>《低挥发性有机化合物含量涂料产品技术要求》（GB/T38597-2020）</w:t>
            </w:r>
            <w:r>
              <w:rPr>
                <w:rFonts w:hint="eastAsia"/>
                <w:color w:val="auto"/>
              </w:rPr>
              <w:t>和《关于印发&lt;广东省涉挥发性有机物（VOCs）重点行业治理指引&gt;的通知》，摩托车（含电动摩托车）和自行车（含电动自行车）涂料、车辆用零部件涂料-金属件用涂料-清漆VOCs≤420g/L。</w:t>
            </w:r>
            <w:r>
              <w:rPr>
                <w:color w:val="auto"/>
              </w:rPr>
              <w:t>根据建设单位提供的</w:t>
            </w:r>
            <w:r>
              <w:rPr>
                <w:rFonts w:hint="eastAsia"/>
                <w:color w:val="auto"/>
              </w:rPr>
              <w:t>检测</w:t>
            </w:r>
            <w:r>
              <w:rPr>
                <w:color w:val="auto"/>
              </w:rPr>
              <w:t>报告（编号：</w:t>
            </w:r>
            <w:r>
              <w:rPr>
                <w:rFonts w:hint="eastAsia"/>
                <w:color w:val="auto"/>
              </w:rPr>
              <w:t>ST2205725，详见</w:t>
            </w:r>
            <w:r>
              <w:rPr>
                <w:rFonts w:hint="eastAsia"/>
                <w:b/>
                <w:bCs/>
                <w:color w:val="auto"/>
              </w:rPr>
              <w:t>附件6</w:t>
            </w:r>
            <w:r>
              <w:rPr>
                <w:color w:val="auto"/>
              </w:rPr>
              <w:t>）可知本项目使用的</w:t>
            </w:r>
            <w:r>
              <w:rPr>
                <w:rFonts w:hint="eastAsia"/>
                <w:color w:val="auto"/>
              </w:rPr>
              <w:t>水性清漆</w:t>
            </w:r>
            <w:r>
              <w:rPr>
                <w:color w:val="auto"/>
              </w:rPr>
              <w:t>挥发性有机化合物（VOCs）含量，检验结果</w:t>
            </w:r>
            <w:r>
              <w:rPr>
                <w:rFonts w:hint="eastAsia"/>
                <w:color w:val="auto"/>
              </w:rPr>
              <w:t>为50</w:t>
            </w:r>
            <w:r>
              <w:rPr>
                <w:color w:val="auto"/>
              </w:rPr>
              <w:t>g/L，符合《低挥发性有机化合物含量涂料产品技术要求》（GB/T38597-2020）</w:t>
            </w:r>
            <w:r>
              <w:rPr>
                <w:rFonts w:hint="eastAsia"/>
                <w:color w:val="auto"/>
              </w:rPr>
              <w:t>和《关于印发&lt;广东省涉挥发性有机物（VOCs）重点行业治理指引&gt;的通知》</w:t>
            </w:r>
            <w:r>
              <w:rPr>
                <w:color w:val="auto"/>
              </w:rPr>
              <w:t>中</w:t>
            </w:r>
            <w:r>
              <w:rPr>
                <w:rFonts w:hint="eastAsia"/>
                <w:color w:val="auto"/>
              </w:rPr>
              <w:t>水性清漆</w:t>
            </w:r>
            <w:r>
              <w:rPr>
                <w:color w:val="auto"/>
              </w:rPr>
              <w:t>中挥发性有机物（VOCs）含量要求。</w:t>
            </w:r>
          </w:p>
          <w:p w14:paraId="51B7479B">
            <w:pPr>
              <w:spacing w:line="360" w:lineRule="auto"/>
              <w:ind w:firstLine="482" w:firstLineChars="200"/>
              <w:jc w:val="left"/>
              <w:rPr>
                <w:b/>
                <w:bCs/>
                <w:color w:val="auto"/>
                <w:sz w:val="24"/>
              </w:rPr>
            </w:pPr>
            <w:r>
              <w:rPr>
                <w:rFonts w:hint="eastAsia"/>
                <w:b/>
                <w:bCs/>
                <w:color w:val="auto"/>
                <w:sz w:val="24"/>
              </w:rPr>
              <w:t>（4）水性涂料使用合理性分析</w:t>
            </w:r>
          </w:p>
          <w:p w14:paraId="7F42F0AD">
            <w:pPr>
              <w:spacing w:line="360" w:lineRule="auto"/>
              <w:ind w:firstLine="480" w:firstLineChars="200"/>
              <w:jc w:val="left"/>
              <w:rPr>
                <w:color w:val="auto"/>
                <w:sz w:val="24"/>
              </w:rPr>
            </w:pPr>
            <w:r>
              <w:rPr>
                <w:rFonts w:hint="eastAsia"/>
                <w:color w:val="auto"/>
                <w:sz w:val="24"/>
              </w:rPr>
              <w:t>项目水性涂料主要用作铝制车架及家具配件的表面喷涂，可以显著减少环境污染，符合现代社会对可持续发展的追求。水性涂料以水为稀释剂，不含有害溶剂，对人体和环境无害；此外，自行车和电动助力车在使用过程中经常面临各种恶劣天气和环境挑战，如紫外线、雨水、盐雾等，这要求涂层具备良好的耐候性和抗腐蚀性，水性涂料通过先进的配方设计，能够有效延长车辆的使用寿命；在耐磨性能上，水性涂料采用高性能树脂和颜料，可提高涂层的附着力，增强抗划伤能力，减少维修和重新涂装的频率；水性涂料还具有良好的施工性能，流平性和干燥速度较快，使得在涂装过程中能够实现均匀的涂层效果，减少涂装缺陷的发生，既提高了生产效率，也降低了生产成本。</w:t>
            </w:r>
          </w:p>
          <w:p w14:paraId="46182837">
            <w:pPr>
              <w:spacing w:line="360" w:lineRule="auto"/>
              <w:ind w:firstLine="480" w:firstLineChars="200"/>
              <w:jc w:val="left"/>
              <w:rPr>
                <w:color w:val="auto"/>
                <w:sz w:val="24"/>
              </w:rPr>
            </w:pPr>
            <w:r>
              <w:rPr>
                <w:rFonts w:hint="eastAsia"/>
                <w:color w:val="auto"/>
                <w:sz w:val="24"/>
              </w:rPr>
              <w:t>国内市场上，深圳喜德盛成为中国自行车行业首个实现全水性涂料绿色涂装的企业；天津富士达自行车有限公司在“共享单车项目”使用水性涂料涂装，以“青桔共享单车”涂装项目为例；2020年，浙江德清久胜车业有限公司两条生产线全部使用水性工业漆替代油性漆，从源头解决了VOCs排放问题，成为蓝天保卫战典型案例；爱玛作为国内电动车销量领先企业，已完成生产线“油改水”转型。</w:t>
            </w:r>
          </w:p>
          <w:p w14:paraId="27CB9A20">
            <w:pPr>
              <w:spacing w:line="360" w:lineRule="auto"/>
              <w:ind w:firstLine="480" w:firstLineChars="200"/>
              <w:jc w:val="left"/>
              <w:rPr>
                <w:color w:val="auto"/>
                <w:sz w:val="24"/>
              </w:rPr>
            </w:pPr>
            <w:r>
              <w:rPr>
                <w:rFonts w:hint="eastAsia"/>
                <w:color w:val="auto"/>
                <w:sz w:val="24"/>
              </w:rPr>
              <w:t>综上，水性涂料在自行车和电动助力车车架上的应用具有显著的优势，它不仅符合环保要求，还能提高车架的耐用性和美观度。随着涂料技术的不断进步和骑行者对品质生活的追求，未来水性涂料在户外产品上的应用将更为广泛，因此项目铝制车架采用水性涂料合理可行的。</w:t>
            </w:r>
          </w:p>
          <w:p w14:paraId="48E496CA">
            <w:pPr>
              <w:spacing w:line="360" w:lineRule="auto"/>
              <w:ind w:firstLine="482" w:firstLineChars="200"/>
              <w:jc w:val="left"/>
              <w:rPr>
                <w:b/>
                <w:bCs/>
                <w:color w:val="auto"/>
                <w:sz w:val="24"/>
              </w:rPr>
            </w:pPr>
            <w:r>
              <w:rPr>
                <w:b/>
                <w:bCs/>
                <w:color w:val="auto"/>
                <w:sz w:val="24"/>
              </w:rPr>
              <w:t>（</w:t>
            </w:r>
            <w:r>
              <w:rPr>
                <w:rFonts w:hint="eastAsia"/>
                <w:b/>
                <w:bCs/>
                <w:color w:val="auto"/>
                <w:sz w:val="24"/>
              </w:rPr>
              <w:t>5</w:t>
            </w:r>
            <w:r>
              <w:rPr>
                <w:b/>
                <w:bCs/>
                <w:color w:val="auto"/>
                <w:sz w:val="24"/>
              </w:rPr>
              <w:t>）原辅材料用量核算</w:t>
            </w:r>
          </w:p>
          <w:p w14:paraId="0479A312">
            <w:pPr>
              <w:spacing w:line="360" w:lineRule="auto"/>
              <w:ind w:firstLine="482" w:firstLineChars="200"/>
              <w:jc w:val="left"/>
              <w:rPr>
                <w:b/>
                <w:bCs/>
                <w:color w:val="auto"/>
                <w:sz w:val="24"/>
              </w:rPr>
            </w:pPr>
            <w:r>
              <w:rPr>
                <w:b/>
                <w:bCs/>
                <w:color w:val="auto"/>
                <w:sz w:val="24"/>
              </w:rPr>
              <w:t>1）前处理药剂</w:t>
            </w:r>
          </w:p>
          <w:p w14:paraId="4424EC0E">
            <w:pPr>
              <w:spacing w:line="360" w:lineRule="auto"/>
              <w:ind w:firstLine="480" w:firstLineChars="200"/>
              <w:jc w:val="left"/>
              <w:rPr>
                <w:rFonts w:hint="default" w:ascii="Times New Roman" w:hAnsi="Times New Roman" w:eastAsia="宋体" w:cs="Times New Roman"/>
                <w:color w:val="auto"/>
                <w:sz w:val="24"/>
                <w:lang w:val="en-US" w:eastAsia="zh-CN"/>
              </w:rPr>
            </w:pPr>
            <w:r>
              <w:rPr>
                <w:color w:val="auto"/>
                <w:sz w:val="24"/>
              </w:rPr>
              <w:t>本项目设有</w:t>
            </w:r>
            <w:r>
              <w:rPr>
                <w:rFonts w:hint="eastAsia"/>
                <w:color w:val="auto"/>
                <w:sz w:val="24"/>
              </w:rPr>
              <w:t>1</w:t>
            </w:r>
            <w:r>
              <w:rPr>
                <w:color w:val="auto"/>
                <w:sz w:val="24"/>
              </w:rPr>
              <w:t>条前处理线，设</w:t>
            </w:r>
            <w:r>
              <w:rPr>
                <w:rFonts w:hint="eastAsia"/>
                <w:color w:val="auto"/>
                <w:sz w:val="24"/>
              </w:rPr>
              <w:t>有</w:t>
            </w:r>
            <w:r>
              <w:rPr>
                <w:color w:val="auto"/>
                <w:sz w:val="24"/>
              </w:rPr>
              <w:t>6个功能槽。各功能槽的槽液均使用新鲜水和相应的药剂按比例进行调配。根据建设单位提供的MSDS可知，各药剂中的组成成分均属于不易挥发的物质，且工作温度在25</w:t>
            </w:r>
            <w:r>
              <w:rPr>
                <w:rFonts w:hint="eastAsia" w:ascii="宋体" w:hAnsi="宋体" w:cs="宋体"/>
                <w:color w:val="auto"/>
                <w:sz w:val="24"/>
              </w:rPr>
              <w:t>℃</w:t>
            </w:r>
            <w:r>
              <w:rPr>
                <w:color w:val="auto"/>
                <w:sz w:val="24"/>
              </w:rPr>
              <w:t>，不属高温作业，</w:t>
            </w:r>
            <w:r>
              <w:rPr>
                <w:rFonts w:hint="eastAsia"/>
                <w:color w:val="auto"/>
                <w:sz w:val="24"/>
              </w:rPr>
              <w:t>本报告</w:t>
            </w:r>
            <w:r>
              <w:rPr>
                <w:color w:val="auto"/>
                <w:sz w:val="24"/>
              </w:rPr>
              <w:t>主要考虑工件带走量和蒸发损耗，槽液由于工件带走需要定期补充药剂和新鲜水，工件带走量参考《污染源源强核算技术指南 电镀》（HJ984-2018）附录D，因工件形状简单，</w:t>
            </w:r>
            <w:r>
              <w:rPr>
                <w:rFonts w:hint="eastAsia"/>
                <w:color w:val="auto"/>
                <w:sz w:val="24"/>
              </w:rPr>
              <w:t>自动线挂镀</w:t>
            </w:r>
            <w:r>
              <w:rPr>
                <w:color w:val="auto"/>
                <w:sz w:val="24"/>
              </w:rPr>
              <w:t>带出系数取0.</w:t>
            </w:r>
            <w:r>
              <w:rPr>
                <w:rFonts w:hint="eastAsia"/>
                <w:color w:val="auto"/>
                <w:sz w:val="24"/>
              </w:rPr>
              <w:t>1</w:t>
            </w:r>
            <w:r>
              <w:rPr>
                <w:color w:val="auto"/>
                <w:sz w:val="24"/>
              </w:rPr>
              <w:t>L/m</w:t>
            </w:r>
            <w:r>
              <w:rPr>
                <w:color w:val="auto"/>
                <w:sz w:val="24"/>
                <w:vertAlign w:val="superscript"/>
              </w:rPr>
              <w:t>2</w:t>
            </w:r>
            <w:r>
              <w:rPr>
                <w:color w:val="auto"/>
                <w:sz w:val="24"/>
              </w:rPr>
              <w:t>。</w:t>
            </w:r>
            <w:r>
              <w:rPr>
                <w:rFonts w:hint="eastAsia"/>
                <w:color w:val="auto"/>
                <w:sz w:val="24"/>
                <w:lang w:val="en-US" w:eastAsia="zh-CN"/>
              </w:rPr>
              <w:t>功能槽运行过程因吸热蒸发造成损耗，</w:t>
            </w:r>
            <w:r>
              <w:rPr>
                <w:color w:val="auto"/>
                <w:sz w:val="24"/>
              </w:rPr>
              <w:t>根据建设单位实际情况，损耗率按2%计。</w:t>
            </w:r>
          </w:p>
          <w:p w14:paraId="265F57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b/>
                <w:bCs/>
                <w:color w:val="auto"/>
              </w:rPr>
            </w:pPr>
            <w:r>
              <w:rPr>
                <w:color w:val="auto"/>
                <w:sz w:val="24"/>
              </w:rPr>
              <w:t>另外，磷化槽需</w:t>
            </w:r>
            <w:r>
              <w:rPr>
                <w:rFonts w:hint="eastAsia"/>
                <w:color w:val="auto"/>
                <w:sz w:val="24"/>
              </w:rPr>
              <w:t>每月</w:t>
            </w:r>
            <w:r>
              <w:rPr>
                <w:color w:val="auto"/>
                <w:sz w:val="24"/>
              </w:rPr>
              <w:t>进行捞渣（含残留槽液），损耗约为槽体有效容积的10%，除油槽、</w:t>
            </w:r>
            <w:r>
              <w:rPr>
                <w:rFonts w:hint="eastAsia"/>
                <w:color w:val="auto"/>
                <w:sz w:val="24"/>
              </w:rPr>
              <w:t>除锈槽、脱脂槽</w:t>
            </w:r>
            <w:r>
              <w:rPr>
                <w:color w:val="auto"/>
                <w:sz w:val="24"/>
              </w:rPr>
              <w:t>和表调槽</w:t>
            </w:r>
            <w:r>
              <w:rPr>
                <w:rFonts w:hint="eastAsia"/>
                <w:color w:val="auto"/>
                <w:sz w:val="24"/>
              </w:rPr>
              <w:t>每季度</w:t>
            </w:r>
            <w:r>
              <w:rPr>
                <w:color w:val="auto"/>
                <w:sz w:val="24"/>
              </w:rPr>
              <w:t>进行整槽更换</w:t>
            </w:r>
            <w:r>
              <w:rPr>
                <w:rFonts w:hint="eastAsia"/>
                <w:color w:val="auto"/>
                <w:sz w:val="24"/>
              </w:rPr>
              <w:t>，更换废液产污系数按0.9计</w:t>
            </w:r>
            <w:r>
              <w:rPr>
                <w:color w:val="auto"/>
                <w:sz w:val="24"/>
              </w:rPr>
              <w:t>。本项目前处理线功能槽药剂及用水情况见下表。</w:t>
            </w:r>
          </w:p>
        </w:tc>
      </w:tr>
    </w:tbl>
    <w:p w14:paraId="56813803">
      <w:pPr>
        <w:pStyle w:val="31"/>
        <w:jc w:val="center"/>
        <w:rPr>
          <w:rFonts w:ascii="Times New Roman" w:hAnsi="Times New Roman" w:eastAsia="黑体"/>
          <w:snapToGrid w:val="0"/>
          <w:sz w:val="36"/>
          <w:szCs w:val="36"/>
        </w:rPr>
        <w:sectPr>
          <w:pgSz w:w="11906" w:h="16838"/>
          <w:pgMar w:top="1440" w:right="1080" w:bottom="1440" w:left="1080" w:header="851" w:footer="851" w:gutter="0"/>
          <w:cols w:space="720" w:num="1"/>
          <w:docGrid w:linePitch="312" w:charSpace="0"/>
        </w:sectPr>
      </w:pPr>
    </w:p>
    <w:tbl>
      <w:tblPr>
        <w:tblStyle w:val="3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22036"/>
      </w:tblGrid>
      <w:tr w14:paraId="55720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0" w:hRule="atLeast"/>
        </w:trPr>
        <w:tc>
          <w:tcPr>
            <w:tcW w:w="121" w:type="pct"/>
          </w:tcPr>
          <w:p w14:paraId="364EC17A">
            <w:pPr>
              <w:pStyle w:val="31"/>
              <w:adjustRightInd w:val="0"/>
              <w:snapToGrid w:val="0"/>
              <w:spacing w:before="0" w:beforeAutospacing="0" w:after="0" w:afterAutospacing="0"/>
              <w:jc w:val="center"/>
              <w:rPr>
                <w:rFonts w:ascii="Times New Roman" w:hAnsi="Times New Roman"/>
                <w:bCs/>
                <w:color w:val="auto"/>
                <w:kern w:val="2"/>
                <w:szCs w:val="24"/>
              </w:rPr>
            </w:pPr>
          </w:p>
        </w:tc>
        <w:tc>
          <w:tcPr>
            <w:tcW w:w="4878" w:type="pct"/>
          </w:tcPr>
          <w:p w14:paraId="06613EDD">
            <w:pPr>
              <w:numPr>
                <w:ilvl w:val="0"/>
                <w:numId w:val="10"/>
              </w:numPr>
              <w:adjustRightInd w:val="0"/>
              <w:snapToGrid w:val="0"/>
              <w:jc w:val="center"/>
              <w:rPr>
                <w:b/>
                <w:bCs/>
                <w:color w:val="auto"/>
                <w:kern w:val="0"/>
                <w:szCs w:val="21"/>
                <w:lang w:bidi="ar"/>
              </w:rPr>
            </w:pPr>
            <w:r>
              <w:rPr>
                <w:b/>
                <w:bCs/>
                <w:color w:val="auto"/>
                <w:kern w:val="0"/>
                <w:szCs w:val="21"/>
                <w:lang w:bidi="ar"/>
              </w:rPr>
              <w:t>本项目前处理线功能槽药剂及用水情况一览表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023"/>
              <w:gridCol w:w="989"/>
              <w:gridCol w:w="922"/>
              <w:gridCol w:w="1100"/>
              <w:gridCol w:w="1100"/>
              <w:gridCol w:w="1144"/>
              <w:gridCol w:w="1200"/>
              <w:gridCol w:w="1056"/>
              <w:gridCol w:w="1122"/>
              <w:gridCol w:w="1122"/>
              <w:gridCol w:w="1022"/>
              <w:gridCol w:w="1067"/>
              <w:gridCol w:w="1089"/>
              <w:gridCol w:w="1100"/>
              <w:gridCol w:w="1100"/>
              <w:gridCol w:w="718"/>
              <w:gridCol w:w="744"/>
              <w:gridCol w:w="1005"/>
              <w:gridCol w:w="1031"/>
              <w:gridCol w:w="1022"/>
            </w:tblGrid>
            <w:tr w14:paraId="57FF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34" w:type="dxa"/>
                  <w:vMerge w:val="restart"/>
                  <w:vAlign w:val="center"/>
                </w:tcPr>
                <w:p w14:paraId="5BB55A15">
                  <w:pPr>
                    <w:widowControl/>
                    <w:jc w:val="center"/>
                    <w:textAlignment w:val="center"/>
                    <w:rPr>
                      <w:b/>
                      <w:bCs/>
                      <w:color w:val="auto"/>
                      <w:szCs w:val="21"/>
                    </w:rPr>
                  </w:pPr>
                  <w:r>
                    <w:rPr>
                      <w:b/>
                      <w:bCs/>
                      <w:color w:val="auto"/>
                      <w:kern w:val="0"/>
                      <w:szCs w:val="21"/>
                      <w:lang w:bidi="ar"/>
                    </w:rPr>
                    <w:t>槽体名称</w:t>
                  </w:r>
                </w:p>
              </w:tc>
              <w:tc>
                <w:tcPr>
                  <w:tcW w:w="1023" w:type="dxa"/>
                  <w:vMerge w:val="restart"/>
                  <w:vAlign w:val="center"/>
                </w:tcPr>
                <w:p w14:paraId="574DC180">
                  <w:pPr>
                    <w:widowControl/>
                    <w:jc w:val="center"/>
                    <w:textAlignment w:val="center"/>
                    <w:rPr>
                      <w:b/>
                      <w:bCs/>
                      <w:color w:val="auto"/>
                      <w:szCs w:val="21"/>
                    </w:rPr>
                  </w:pPr>
                  <w:r>
                    <w:rPr>
                      <w:b/>
                      <w:bCs/>
                      <w:color w:val="auto"/>
                      <w:kern w:val="0"/>
                      <w:szCs w:val="21"/>
                      <w:lang w:bidi="ar"/>
                    </w:rPr>
                    <w:t>槽体有效容积(m</w:t>
                  </w:r>
                  <w:r>
                    <w:rPr>
                      <w:b/>
                      <w:bCs/>
                      <w:color w:val="auto"/>
                      <w:kern w:val="0"/>
                      <w:szCs w:val="21"/>
                      <w:vertAlign w:val="superscript"/>
                      <w:lang w:bidi="ar"/>
                    </w:rPr>
                    <w:t>3</w:t>
                  </w:r>
                  <w:r>
                    <w:rPr>
                      <w:b/>
                      <w:bCs/>
                      <w:color w:val="auto"/>
                      <w:kern w:val="0"/>
                      <w:szCs w:val="21"/>
                      <w:lang w:bidi="ar"/>
                    </w:rPr>
                    <w:t>)</w:t>
                  </w:r>
                </w:p>
              </w:tc>
              <w:tc>
                <w:tcPr>
                  <w:tcW w:w="989" w:type="dxa"/>
                  <w:vMerge w:val="restart"/>
                  <w:vAlign w:val="center"/>
                </w:tcPr>
                <w:p w14:paraId="5D053E97">
                  <w:pPr>
                    <w:widowControl/>
                    <w:jc w:val="center"/>
                    <w:textAlignment w:val="center"/>
                    <w:rPr>
                      <w:b/>
                      <w:bCs/>
                      <w:color w:val="auto"/>
                      <w:szCs w:val="21"/>
                    </w:rPr>
                  </w:pPr>
                  <w:r>
                    <w:rPr>
                      <w:b/>
                      <w:bCs/>
                      <w:color w:val="auto"/>
                      <w:kern w:val="0"/>
                      <w:szCs w:val="21"/>
                      <w:lang w:bidi="ar"/>
                    </w:rPr>
                    <w:t>药剂名称</w:t>
                  </w:r>
                </w:p>
              </w:tc>
              <w:tc>
                <w:tcPr>
                  <w:tcW w:w="922" w:type="dxa"/>
                  <w:vMerge w:val="restart"/>
                  <w:vAlign w:val="center"/>
                </w:tcPr>
                <w:p w14:paraId="2D3F00B2">
                  <w:pPr>
                    <w:widowControl/>
                    <w:jc w:val="center"/>
                    <w:textAlignment w:val="center"/>
                    <w:rPr>
                      <w:b/>
                      <w:bCs/>
                      <w:color w:val="auto"/>
                      <w:szCs w:val="21"/>
                    </w:rPr>
                  </w:pPr>
                  <w:r>
                    <w:rPr>
                      <w:b/>
                      <w:bCs/>
                      <w:color w:val="auto"/>
                      <w:kern w:val="0"/>
                      <w:szCs w:val="21"/>
                      <w:lang w:bidi="ar"/>
                    </w:rPr>
                    <w:t>药槽浓度(g/L)</w:t>
                  </w:r>
                </w:p>
              </w:tc>
              <w:tc>
                <w:tcPr>
                  <w:tcW w:w="2200" w:type="dxa"/>
                  <w:gridSpan w:val="2"/>
                  <w:vAlign w:val="center"/>
                </w:tcPr>
                <w:p w14:paraId="650A7E55">
                  <w:pPr>
                    <w:widowControl/>
                    <w:jc w:val="center"/>
                    <w:textAlignment w:val="center"/>
                    <w:rPr>
                      <w:b/>
                      <w:bCs/>
                      <w:color w:val="auto"/>
                      <w:szCs w:val="21"/>
                    </w:rPr>
                  </w:pPr>
                  <w:r>
                    <w:rPr>
                      <w:b/>
                      <w:bCs/>
                      <w:color w:val="auto"/>
                      <w:kern w:val="0"/>
                      <w:szCs w:val="21"/>
                      <w:lang w:bidi="ar"/>
                    </w:rPr>
                    <w:t>单个槽体组分的量</w:t>
                  </w:r>
                </w:p>
              </w:tc>
              <w:tc>
                <w:tcPr>
                  <w:tcW w:w="1144" w:type="dxa"/>
                  <w:vMerge w:val="restart"/>
                  <w:vAlign w:val="center"/>
                </w:tcPr>
                <w:p w14:paraId="5E9D82A1">
                  <w:pPr>
                    <w:widowControl/>
                    <w:jc w:val="center"/>
                    <w:textAlignment w:val="center"/>
                    <w:rPr>
                      <w:b/>
                      <w:bCs/>
                      <w:color w:val="auto"/>
                      <w:kern w:val="0"/>
                      <w:szCs w:val="21"/>
                      <w:lang w:bidi="ar"/>
                    </w:rPr>
                  </w:pPr>
                  <w:r>
                    <w:rPr>
                      <w:rFonts w:hint="eastAsia"/>
                      <w:b/>
                      <w:bCs/>
                      <w:color w:val="auto"/>
                      <w:kern w:val="0"/>
                      <w:szCs w:val="21"/>
                      <w:lang w:bidi="ar"/>
                    </w:rPr>
                    <w:t>工作时间</w:t>
                  </w:r>
                </w:p>
              </w:tc>
              <w:tc>
                <w:tcPr>
                  <w:tcW w:w="1200" w:type="dxa"/>
                  <w:vMerge w:val="restart"/>
                  <w:vAlign w:val="center"/>
                </w:tcPr>
                <w:p w14:paraId="5BA94F13">
                  <w:pPr>
                    <w:widowControl/>
                    <w:jc w:val="center"/>
                    <w:textAlignment w:val="center"/>
                    <w:rPr>
                      <w:b/>
                      <w:bCs/>
                      <w:color w:val="auto"/>
                      <w:szCs w:val="21"/>
                    </w:rPr>
                  </w:pPr>
                  <w:r>
                    <w:rPr>
                      <w:b/>
                      <w:bCs/>
                      <w:color w:val="auto"/>
                      <w:kern w:val="0"/>
                      <w:szCs w:val="21"/>
                      <w:lang w:bidi="ar"/>
                    </w:rPr>
                    <w:t>工件带出系数(L/m</w:t>
                  </w:r>
                  <w:r>
                    <w:rPr>
                      <w:b/>
                      <w:bCs/>
                      <w:color w:val="auto"/>
                      <w:kern w:val="0"/>
                      <w:szCs w:val="21"/>
                      <w:vertAlign w:val="superscript"/>
                      <w:lang w:bidi="ar"/>
                    </w:rPr>
                    <w:t>2</w:t>
                  </w:r>
                  <w:r>
                    <w:rPr>
                      <w:b/>
                      <w:bCs/>
                      <w:color w:val="auto"/>
                      <w:kern w:val="0"/>
                      <w:szCs w:val="21"/>
                      <w:lang w:bidi="ar"/>
                    </w:rPr>
                    <w:t>)</w:t>
                  </w:r>
                </w:p>
              </w:tc>
              <w:tc>
                <w:tcPr>
                  <w:tcW w:w="1056" w:type="dxa"/>
                  <w:vMerge w:val="restart"/>
                  <w:vAlign w:val="center"/>
                </w:tcPr>
                <w:p w14:paraId="094B7E06">
                  <w:pPr>
                    <w:widowControl/>
                    <w:jc w:val="center"/>
                    <w:textAlignment w:val="center"/>
                    <w:rPr>
                      <w:b/>
                      <w:bCs/>
                      <w:color w:val="auto"/>
                      <w:kern w:val="0"/>
                      <w:szCs w:val="21"/>
                      <w:lang w:bidi="ar"/>
                    </w:rPr>
                  </w:pPr>
                  <w:r>
                    <w:rPr>
                      <w:b/>
                      <w:bCs/>
                      <w:color w:val="auto"/>
                      <w:kern w:val="0"/>
                      <w:szCs w:val="21"/>
                      <w:lang w:bidi="ar"/>
                    </w:rPr>
                    <w:t>清洗</w:t>
                  </w:r>
                </w:p>
                <w:p w14:paraId="302E51CC">
                  <w:pPr>
                    <w:widowControl/>
                    <w:jc w:val="center"/>
                    <w:textAlignment w:val="center"/>
                    <w:rPr>
                      <w:b/>
                      <w:bCs/>
                      <w:color w:val="auto"/>
                      <w:szCs w:val="21"/>
                    </w:rPr>
                  </w:pPr>
                  <w:r>
                    <w:rPr>
                      <w:b/>
                      <w:bCs/>
                      <w:color w:val="auto"/>
                      <w:kern w:val="0"/>
                      <w:szCs w:val="21"/>
                      <w:lang w:bidi="ar"/>
                    </w:rPr>
                    <w:t>面积(m</w:t>
                  </w:r>
                  <w:r>
                    <w:rPr>
                      <w:b/>
                      <w:bCs/>
                      <w:color w:val="auto"/>
                      <w:kern w:val="0"/>
                      <w:szCs w:val="21"/>
                      <w:vertAlign w:val="superscript"/>
                      <w:lang w:bidi="ar"/>
                    </w:rPr>
                    <w:t>2</w:t>
                  </w:r>
                  <w:r>
                    <w:rPr>
                      <w:b/>
                      <w:bCs/>
                      <w:color w:val="auto"/>
                      <w:kern w:val="0"/>
                      <w:szCs w:val="21"/>
                      <w:lang w:bidi="ar"/>
                    </w:rPr>
                    <w:t>/a)</w:t>
                  </w:r>
                </w:p>
              </w:tc>
              <w:tc>
                <w:tcPr>
                  <w:tcW w:w="1122" w:type="dxa"/>
                  <w:vMerge w:val="restart"/>
                  <w:vAlign w:val="center"/>
                </w:tcPr>
                <w:p w14:paraId="7C04B9A0">
                  <w:pPr>
                    <w:widowControl/>
                    <w:jc w:val="center"/>
                    <w:textAlignment w:val="center"/>
                    <w:rPr>
                      <w:b/>
                      <w:bCs/>
                      <w:color w:val="auto"/>
                      <w:szCs w:val="21"/>
                    </w:rPr>
                  </w:pPr>
                  <w:r>
                    <w:rPr>
                      <w:b/>
                      <w:bCs/>
                      <w:color w:val="auto"/>
                      <w:kern w:val="0"/>
                      <w:szCs w:val="21"/>
                      <w:lang w:bidi="ar"/>
                    </w:rPr>
                    <w:t>带出药剂量(t/a)</w:t>
                  </w:r>
                </w:p>
              </w:tc>
              <w:tc>
                <w:tcPr>
                  <w:tcW w:w="1122" w:type="dxa"/>
                  <w:vMerge w:val="restart"/>
                  <w:vAlign w:val="center"/>
                </w:tcPr>
                <w:p w14:paraId="5C522A02">
                  <w:pPr>
                    <w:widowControl/>
                    <w:jc w:val="center"/>
                    <w:textAlignment w:val="center"/>
                    <w:rPr>
                      <w:b/>
                      <w:bCs/>
                      <w:color w:val="auto"/>
                      <w:szCs w:val="21"/>
                    </w:rPr>
                  </w:pPr>
                  <w:r>
                    <w:rPr>
                      <w:b/>
                      <w:bCs/>
                      <w:color w:val="auto"/>
                      <w:kern w:val="0"/>
                      <w:szCs w:val="21"/>
                      <w:lang w:bidi="ar"/>
                    </w:rPr>
                    <w:t>蒸发损耗水量(t/a)</w:t>
                  </w:r>
                </w:p>
              </w:tc>
              <w:tc>
                <w:tcPr>
                  <w:tcW w:w="1022" w:type="dxa"/>
                  <w:vMerge w:val="restart"/>
                  <w:vAlign w:val="center"/>
                </w:tcPr>
                <w:p w14:paraId="5722645E">
                  <w:pPr>
                    <w:widowControl/>
                    <w:jc w:val="center"/>
                    <w:textAlignment w:val="center"/>
                    <w:rPr>
                      <w:b/>
                      <w:bCs/>
                      <w:color w:val="auto"/>
                      <w:szCs w:val="21"/>
                    </w:rPr>
                  </w:pPr>
                  <w:r>
                    <w:rPr>
                      <w:b/>
                      <w:bCs/>
                      <w:color w:val="auto"/>
                      <w:kern w:val="0"/>
                      <w:szCs w:val="21"/>
                      <w:lang w:bidi="ar"/>
                    </w:rPr>
                    <w:t>补充水量(t/a)</w:t>
                  </w:r>
                </w:p>
              </w:tc>
              <w:tc>
                <w:tcPr>
                  <w:tcW w:w="2156" w:type="dxa"/>
                  <w:gridSpan w:val="2"/>
                  <w:vAlign w:val="center"/>
                </w:tcPr>
                <w:p w14:paraId="5D715B97">
                  <w:pPr>
                    <w:widowControl/>
                    <w:jc w:val="center"/>
                    <w:textAlignment w:val="center"/>
                    <w:rPr>
                      <w:b/>
                      <w:bCs/>
                      <w:color w:val="auto"/>
                      <w:szCs w:val="21"/>
                    </w:rPr>
                  </w:pPr>
                  <w:r>
                    <w:rPr>
                      <w:b/>
                      <w:bCs/>
                      <w:color w:val="auto"/>
                      <w:kern w:val="0"/>
                      <w:szCs w:val="21"/>
                      <w:lang w:bidi="ar"/>
                    </w:rPr>
                    <w:t>单次开槽</w:t>
                  </w:r>
                </w:p>
              </w:tc>
              <w:tc>
                <w:tcPr>
                  <w:tcW w:w="2200" w:type="dxa"/>
                  <w:gridSpan w:val="2"/>
                  <w:vAlign w:val="center"/>
                </w:tcPr>
                <w:p w14:paraId="60D389D8">
                  <w:pPr>
                    <w:widowControl/>
                    <w:jc w:val="center"/>
                    <w:textAlignment w:val="center"/>
                    <w:rPr>
                      <w:b/>
                      <w:bCs/>
                      <w:color w:val="auto"/>
                      <w:szCs w:val="21"/>
                    </w:rPr>
                  </w:pPr>
                  <w:r>
                    <w:rPr>
                      <w:b/>
                      <w:bCs/>
                      <w:color w:val="auto"/>
                      <w:kern w:val="0"/>
                      <w:szCs w:val="21"/>
                      <w:lang w:bidi="ar"/>
                    </w:rPr>
                    <w:t>单次捞渣补充</w:t>
                  </w:r>
                </w:p>
              </w:tc>
              <w:tc>
                <w:tcPr>
                  <w:tcW w:w="718" w:type="dxa"/>
                  <w:vMerge w:val="restart"/>
                  <w:vAlign w:val="center"/>
                </w:tcPr>
                <w:p w14:paraId="2E5C0314">
                  <w:pPr>
                    <w:widowControl/>
                    <w:jc w:val="center"/>
                    <w:textAlignment w:val="center"/>
                    <w:rPr>
                      <w:b/>
                      <w:bCs/>
                      <w:color w:val="auto"/>
                      <w:szCs w:val="21"/>
                    </w:rPr>
                  </w:pPr>
                  <w:r>
                    <w:rPr>
                      <w:b/>
                      <w:bCs/>
                      <w:color w:val="auto"/>
                      <w:kern w:val="0"/>
                      <w:szCs w:val="21"/>
                      <w:lang w:bidi="ar"/>
                    </w:rPr>
                    <w:t>年更换频次</w:t>
                  </w:r>
                </w:p>
              </w:tc>
              <w:tc>
                <w:tcPr>
                  <w:tcW w:w="744" w:type="dxa"/>
                  <w:vMerge w:val="restart"/>
                  <w:vAlign w:val="center"/>
                </w:tcPr>
                <w:p w14:paraId="1AEEE76A">
                  <w:pPr>
                    <w:widowControl/>
                    <w:jc w:val="center"/>
                    <w:textAlignment w:val="center"/>
                    <w:rPr>
                      <w:b/>
                      <w:bCs/>
                      <w:color w:val="auto"/>
                      <w:szCs w:val="21"/>
                    </w:rPr>
                  </w:pPr>
                  <w:r>
                    <w:rPr>
                      <w:b/>
                      <w:bCs/>
                      <w:color w:val="auto"/>
                      <w:kern w:val="0"/>
                      <w:szCs w:val="21"/>
                      <w:lang w:bidi="ar"/>
                    </w:rPr>
                    <w:t>年捞渣频次</w:t>
                  </w:r>
                </w:p>
              </w:tc>
              <w:tc>
                <w:tcPr>
                  <w:tcW w:w="1005" w:type="dxa"/>
                  <w:vMerge w:val="restart"/>
                  <w:vAlign w:val="center"/>
                </w:tcPr>
                <w:p w14:paraId="5A309C7B">
                  <w:pPr>
                    <w:widowControl/>
                    <w:jc w:val="center"/>
                    <w:textAlignment w:val="center"/>
                    <w:rPr>
                      <w:b/>
                      <w:bCs/>
                      <w:color w:val="auto"/>
                      <w:szCs w:val="21"/>
                    </w:rPr>
                  </w:pPr>
                  <w:r>
                    <w:rPr>
                      <w:b/>
                      <w:bCs/>
                      <w:color w:val="auto"/>
                      <w:kern w:val="0"/>
                      <w:szCs w:val="21"/>
                      <w:lang w:bidi="ar"/>
                    </w:rPr>
                    <w:t>药剂用量(t/a)</w:t>
                  </w:r>
                </w:p>
              </w:tc>
              <w:tc>
                <w:tcPr>
                  <w:tcW w:w="1031" w:type="dxa"/>
                  <w:vMerge w:val="restart"/>
                  <w:vAlign w:val="center"/>
                </w:tcPr>
                <w:p w14:paraId="15F005C2">
                  <w:pPr>
                    <w:widowControl/>
                    <w:jc w:val="center"/>
                    <w:textAlignment w:val="center"/>
                    <w:rPr>
                      <w:b/>
                      <w:bCs/>
                      <w:color w:val="auto"/>
                      <w:szCs w:val="21"/>
                    </w:rPr>
                  </w:pPr>
                  <w:r>
                    <w:rPr>
                      <w:b/>
                      <w:bCs/>
                      <w:color w:val="auto"/>
                      <w:kern w:val="0"/>
                      <w:szCs w:val="21"/>
                      <w:lang w:bidi="ar"/>
                    </w:rPr>
                    <w:t>用水量(t/a)</w:t>
                  </w:r>
                </w:p>
              </w:tc>
              <w:tc>
                <w:tcPr>
                  <w:tcW w:w="1022" w:type="dxa"/>
                  <w:vMerge w:val="restart"/>
                  <w:vAlign w:val="center"/>
                </w:tcPr>
                <w:p w14:paraId="3419AC9C">
                  <w:pPr>
                    <w:widowControl/>
                    <w:jc w:val="center"/>
                    <w:textAlignment w:val="center"/>
                    <w:rPr>
                      <w:b/>
                      <w:bCs/>
                      <w:color w:val="auto"/>
                      <w:szCs w:val="21"/>
                    </w:rPr>
                  </w:pPr>
                  <w:r>
                    <w:rPr>
                      <w:b/>
                      <w:bCs/>
                      <w:color w:val="auto"/>
                      <w:kern w:val="0"/>
                      <w:szCs w:val="21"/>
                      <w:lang w:bidi="ar"/>
                    </w:rPr>
                    <w:t>废液量(t/a)</w:t>
                  </w:r>
                </w:p>
              </w:tc>
            </w:tr>
            <w:tr w14:paraId="7A8C0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4" w:type="dxa"/>
                  <w:vMerge w:val="continue"/>
                  <w:vAlign w:val="center"/>
                </w:tcPr>
                <w:p w14:paraId="03E7C0DC">
                  <w:pPr>
                    <w:jc w:val="center"/>
                    <w:rPr>
                      <w:b/>
                      <w:bCs/>
                      <w:color w:val="auto"/>
                      <w:szCs w:val="21"/>
                    </w:rPr>
                  </w:pPr>
                </w:p>
              </w:tc>
              <w:tc>
                <w:tcPr>
                  <w:tcW w:w="1023" w:type="dxa"/>
                  <w:vMerge w:val="continue"/>
                  <w:vAlign w:val="center"/>
                </w:tcPr>
                <w:p w14:paraId="6CDE58F6">
                  <w:pPr>
                    <w:jc w:val="center"/>
                    <w:rPr>
                      <w:b/>
                      <w:bCs/>
                      <w:color w:val="auto"/>
                      <w:szCs w:val="21"/>
                    </w:rPr>
                  </w:pPr>
                </w:p>
              </w:tc>
              <w:tc>
                <w:tcPr>
                  <w:tcW w:w="989" w:type="dxa"/>
                  <w:vMerge w:val="continue"/>
                  <w:vAlign w:val="center"/>
                </w:tcPr>
                <w:p w14:paraId="2907D98B">
                  <w:pPr>
                    <w:jc w:val="center"/>
                    <w:rPr>
                      <w:b/>
                      <w:bCs/>
                      <w:color w:val="auto"/>
                      <w:szCs w:val="21"/>
                    </w:rPr>
                  </w:pPr>
                </w:p>
              </w:tc>
              <w:tc>
                <w:tcPr>
                  <w:tcW w:w="922" w:type="dxa"/>
                  <w:vMerge w:val="continue"/>
                  <w:vAlign w:val="center"/>
                </w:tcPr>
                <w:p w14:paraId="2D316CDC">
                  <w:pPr>
                    <w:jc w:val="center"/>
                    <w:rPr>
                      <w:b/>
                      <w:bCs/>
                      <w:color w:val="auto"/>
                      <w:szCs w:val="21"/>
                    </w:rPr>
                  </w:pPr>
                </w:p>
              </w:tc>
              <w:tc>
                <w:tcPr>
                  <w:tcW w:w="1100" w:type="dxa"/>
                  <w:vAlign w:val="center"/>
                </w:tcPr>
                <w:p w14:paraId="5C29F2B6">
                  <w:pPr>
                    <w:widowControl/>
                    <w:jc w:val="center"/>
                    <w:textAlignment w:val="center"/>
                    <w:rPr>
                      <w:b/>
                      <w:bCs/>
                      <w:color w:val="auto"/>
                      <w:szCs w:val="21"/>
                    </w:rPr>
                  </w:pPr>
                  <w:r>
                    <w:rPr>
                      <w:b/>
                      <w:bCs/>
                      <w:color w:val="auto"/>
                      <w:kern w:val="0"/>
                      <w:szCs w:val="21"/>
                      <w:lang w:bidi="ar"/>
                    </w:rPr>
                    <w:t>药剂量(t)</w:t>
                  </w:r>
                </w:p>
              </w:tc>
              <w:tc>
                <w:tcPr>
                  <w:tcW w:w="1100" w:type="dxa"/>
                  <w:vAlign w:val="center"/>
                </w:tcPr>
                <w:p w14:paraId="50511233">
                  <w:pPr>
                    <w:widowControl/>
                    <w:jc w:val="center"/>
                    <w:textAlignment w:val="center"/>
                    <w:rPr>
                      <w:b/>
                      <w:bCs/>
                      <w:color w:val="auto"/>
                      <w:szCs w:val="21"/>
                    </w:rPr>
                  </w:pPr>
                  <w:r>
                    <w:rPr>
                      <w:b/>
                      <w:bCs/>
                      <w:color w:val="auto"/>
                      <w:kern w:val="0"/>
                      <w:szCs w:val="21"/>
                      <w:lang w:bidi="ar"/>
                    </w:rPr>
                    <w:t>用水量(t)</w:t>
                  </w:r>
                </w:p>
              </w:tc>
              <w:tc>
                <w:tcPr>
                  <w:tcW w:w="1144" w:type="dxa"/>
                  <w:vMerge w:val="continue"/>
                  <w:vAlign w:val="center"/>
                </w:tcPr>
                <w:p w14:paraId="5133FF73">
                  <w:pPr>
                    <w:jc w:val="center"/>
                    <w:rPr>
                      <w:b/>
                      <w:bCs/>
                      <w:color w:val="auto"/>
                      <w:szCs w:val="21"/>
                    </w:rPr>
                  </w:pPr>
                </w:p>
              </w:tc>
              <w:tc>
                <w:tcPr>
                  <w:tcW w:w="1200" w:type="dxa"/>
                  <w:vMerge w:val="continue"/>
                  <w:vAlign w:val="center"/>
                </w:tcPr>
                <w:p w14:paraId="52DBBF36">
                  <w:pPr>
                    <w:jc w:val="center"/>
                    <w:rPr>
                      <w:b/>
                      <w:bCs/>
                      <w:color w:val="auto"/>
                      <w:szCs w:val="21"/>
                    </w:rPr>
                  </w:pPr>
                </w:p>
              </w:tc>
              <w:tc>
                <w:tcPr>
                  <w:tcW w:w="1056" w:type="dxa"/>
                  <w:vMerge w:val="continue"/>
                  <w:vAlign w:val="center"/>
                </w:tcPr>
                <w:p w14:paraId="53434BB0">
                  <w:pPr>
                    <w:widowControl/>
                    <w:jc w:val="center"/>
                    <w:textAlignment w:val="center"/>
                    <w:rPr>
                      <w:b/>
                      <w:bCs/>
                      <w:color w:val="auto"/>
                      <w:szCs w:val="21"/>
                    </w:rPr>
                  </w:pPr>
                </w:p>
              </w:tc>
              <w:tc>
                <w:tcPr>
                  <w:tcW w:w="1122" w:type="dxa"/>
                  <w:vMerge w:val="continue"/>
                  <w:vAlign w:val="center"/>
                </w:tcPr>
                <w:p w14:paraId="57BB8D4E">
                  <w:pPr>
                    <w:jc w:val="center"/>
                    <w:rPr>
                      <w:b/>
                      <w:bCs/>
                      <w:color w:val="auto"/>
                      <w:szCs w:val="21"/>
                    </w:rPr>
                  </w:pPr>
                </w:p>
              </w:tc>
              <w:tc>
                <w:tcPr>
                  <w:tcW w:w="1122" w:type="dxa"/>
                  <w:vMerge w:val="continue"/>
                  <w:vAlign w:val="center"/>
                </w:tcPr>
                <w:p w14:paraId="5128D887">
                  <w:pPr>
                    <w:jc w:val="center"/>
                    <w:rPr>
                      <w:b/>
                      <w:bCs/>
                      <w:color w:val="auto"/>
                      <w:szCs w:val="21"/>
                    </w:rPr>
                  </w:pPr>
                </w:p>
              </w:tc>
              <w:tc>
                <w:tcPr>
                  <w:tcW w:w="1022" w:type="dxa"/>
                  <w:vMerge w:val="continue"/>
                  <w:vAlign w:val="center"/>
                </w:tcPr>
                <w:p w14:paraId="2707A22A">
                  <w:pPr>
                    <w:jc w:val="center"/>
                    <w:rPr>
                      <w:b/>
                      <w:bCs/>
                      <w:color w:val="auto"/>
                      <w:szCs w:val="21"/>
                    </w:rPr>
                  </w:pPr>
                </w:p>
              </w:tc>
              <w:tc>
                <w:tcPr>
                  <w:tcW w:w="1067" w:type="dxa"/>
                  <w:vAlign w:val="center"/>
                </w:tcPr>
                <w:p w14:paraId="6AE4E70B">
                  <w:pPr>
                    <w:widowControl/>
                    <w:jc w:val="center"/>
                    <w:textAlignment w:val="center"/>
                    <w:rPr>
                      <w:b/>
                      <w:bCs/>
                      <w:color w:val="auto"/>
                      <w:szCs w:val="21"/>
                    </w:rPr>
                  </w:pPr>
                  <w:r>
                    <w:rPr>
                      <w:b/>
                      <w:bCs/>
                      <w:color w:val="auto"/>
                      <w:kern w:val="0"/>
                      <w:szCs w:val="21"/>
                      <w:lang w:bidi="ar"/>
                    </w:rPr>
                    <w:t>药剂量(t)</w:t>
                  </w:r>
                </w:p>
              </w:tc>
              <w:tc>
                <w:tcPr>
                  <w:tcW w:w="1089" w:type="dxa"/>
                  <w:vAlign w:val="center"/>
                </w:tcPr>
                <w:p w14:paraId="6A807D44">
                  <w:pPr>
                    <w:widowControl/>
                    <w:jc w:val="center"/>
                    <w:textAlignment w:val="center"/>
                    <w:rPr>
                      <w:b/>
                      <w:bCs/>
                      <w:color w:val="auto"/>
                      <w:szCs w:val="21"/>
                    </w:rPr>
                  </w:pPr>
                  <w:r>
                    <w:rPr>
                      <w:b/>
                      <w:bCs/>
                      <w:color w:val="auto"/>
                      <w:kern w:val="0"/>
                      <w:szCs w:val="21"/>
                      <w:lang w:bidi="ar"/>
                    </w:rPr>
                    <w:t>用水量(t)</w:t>
                  </w:r>
                </w:p>
              </w:tc>
              <w:tc>
                <w:tcPr>
                  <w:tcW w:w="1100" w:type="dxa"/>
                  <w:vAlign w:val="center"/>
                </w:tcPr>
                <w:p w14:paraId="5E5285AC">
                  <w:pPr>
                    <w:widowControl/>
                    <w:jc w:val="center"/>
                    <w:textAlignment w:val="center"/>
                    <w:rPr>
                      <w:b/>
                      <w:bCs/>
                      <w:color w:val="auto"/>
                      <w:szCs w:val="21"/>
                    </w:rPr>
                  </w:pPr>
                  <w:r>
                    <w:rPr>
                      <w:b/>
                      <w:bCs/>
                      <w:color w:val="auto"/>
                      <w:kern w:val="0"/>
                      <w:szCs w:val="21"/>
                      <w:lang w:bidi="ar"/>
                    </w:rPr>
                    <w:t>药剂量(t)</w:t>
                  </w:r>
                </w:p>
              </w:tc>
              <w:tc>
                <w:tcPr>
                  <w:tcW w:w="1100" w:type="dxa"/>
                  <w:vAlign w:val="center"/>
                </w:tcPr>
                <w:p w14:paraId="1EDF0DE0">
                  <w:pPr>
                    <w:widowControl/>
                    <w:jc w:val="center"/>
                    <w:textAlignment w:val="center"/>
                    <w:rPr>
                      <w:b/>
                      <w:bCs/>
                      <w:color w:val="auto"/>
                      <w:szCs w:val="21"/>
                    </w:rPr>
                  </w:pPr>
                  <w:r>
                    <w:rPr>
                      <w:b/>
                      <w:bCs/>
                      <w:color w:val="auto"/>
                      <w:kern w:val="0"/>
                      <w:szCs w:val="21"/>
                      <w:lang w:bidi="ar"/>
                    </w:rPr>
                    <w:t>用水量(t)</w:t>
                  </w:r>
                </w:p>
              </w:tc>
              <w:tc>
                <w:tcPr>
                  <w:tcW w:w="718" w:type="dxa"/>
                  <w:vMerge w:val="continue"/>
                  <w:vAlign w:val="center"/>
                </w:tcPr>
                <w:p w14:paraId="6E23FD8C">
                  <w:pPr>
                    <w:jc w:val="center"/>
                    <w:rPr>
                      <w:b/>
                      <w:bCs/>
                      <w:color w:val="auto"/>
                      <w:szCs w:val="21"/>
                    </w:rPr>
                  </w:pPr>
                </w:p>
              </w:tc>
              <w:tc>
                <w:tcPr>
                  <w:tcW w:w="744" w:type="dxa"/>
                  <w:vMerge w:val="continue"/>
                  <w:vAlign w:val="center"/>
                </w:tcPr>
                <w:p w14:paraId="75C2E662">
                  <w:pPr>
                    <w:jc w:val="center"/>
                    <w:rPr>
                      <w:b/>
                      <w:bCs/>
                      <w:color w:val="auto"/>
                      <w:szCs w:val="21"/>
                    </w:rPr>
                  </w:pPr>
                </w:p>
              </w:tc>
              <w:tc>
                <w:tcPr>
                  <w:tcW w:w="1005" w:type="dxa"/>
                  <w:vMerge w:val="continue"/>
                  <w:vAlign w:val="center"/>
                </w:tcPr>
                <w:p w14:paraId="510D27A0">
                  <w:pPr>
                    <w:jc w:val="center"/>
                    <w:rPr>
                      <w:b/>
                      <w:bCs/>
                      <w:color w:val="auto"/>
                      <w:szCs w:val="21"/>
                    </w:rPr>
                  </w:pPr>
                </w:p>
              </w:tc>
              <w:tc>
                <w:tcPr>
                  <w:tcW w:w="1031" w:type="dxa"/>
                  <w:vMerge w:val="continue"/>
                  <w:vAlign w:val="center"/>
                </w:tcPr>
                <w:p w14:paraId="00B5FFDE">
                  <w:pPr>
                    <w:jc w:val="center"/>
                    <w:rPr>
                      <w:b/>
                      <w:bCs/>
                      <w:color w:val="auto"/>
                      <w:szCs w:val="21"/>
                    </w:rPr>
                  </w:pPr>
                </w:p>
              </w:tc>
              <w:tc>
                <w:tcPr>
                  <w:tcW w:w="1022" w:type="dxa"/>
                  <w:vMerge w:val="continue"/>
                  <w:vAlign w:val="center"/>
                </w:tcPr>
                <w:p w14:paraId="612599D9">
                  <w:pPr>
                    <w:jc w:val="center"/>
                    <w:rPr>
                      <w:b/>
                      <w:bCs/>
                      <w:color w:val="auto"/>
                      <w:szCs w:val="21"/>
                    </w:rPr>
                  </w:pPr>
                </w:p>
              </w:tc>
            </w:tr>
            <w:tr w14:paraId="0CDFF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134" w:type="dxa"/>
                  <w:vAlign w:val="center"/>
                </w:tcPr>
                <w:p w14:paraId="6A14FC52">
                  <w:pPr>
                    <w:widowControl/>
                    <w:jc w:val="center"/>
                    <w:textAlignment w:val="center"/>
                    <w:rPr>
                      <w:color w:val="auto"/>
                      <w:szCs w:val="21"/>
                    </w:rPr>
                  </w:pPr>
                  <w:r>
                    <w:rPr>
                      <w:rFonts w:hint="eastAsia"/>
                      <w:color w:val="auto"/>
                      <w:kern w:val="0"/>
                      <w:szCs w:val="21"/>
                      <w:lang w:bidi="ar"/>
                    </w:rPr>
                    <w:t>除油</w:t>
                  </w:r>
                  <w:r>
                    <w:rPr>
                      <w:color w:val="auto"/>
                      <w:kern w:val="0"/>
                      <w:szCs w:val="21"/>
                      <w:lang w:bidi="ar"/>
                    </w:rPr>
                    <w:t>槽</w:t>
                  </w:r>
                </w:p>
              </w:tc>
              <w:tc>
                <w:tcPr>
                  <w:tcW w:w="1023" w:type="dxa"/>
                  <w:vAlign w:val="center"/>
                </w:tcPr>
                <w:p w14:paraId="4220BC11">
                  <w:pPr>
                    <w:widowControl/>
                    <w:jc w:val="center"/>
                    <w:textAlignment w:val="center"/>
                    <w:rPr>
                      <w:color w:val="auto"/>
                      <w:szCs w:val="21"/>
                    </w:rPr>
                  </w:pPr>
                  <w:r>
                    <w:rPr>
                      <w:rFonts w:hint="eastAsia"/>
                      <w:color w:val="auto"/>
                      <w:szCs w:val="21"/>
                    </w:rPr>
                    <w:t>4</w:t>
                  </w:r>
                </w:p>
              </w:tc>
              <w:tc>
                <w:tcPr>
                  <w:tcW w:w="989" w:type="dxa"/>
                  <w:vAlign w:val="center"/>
                </w:tcPr>
                <w:p w14:paraId="7CDBAFB0">
                  <w:pPr>
                    <w:widowControl/>
                    <w:jc w:val="center"/>
                    <w:textAlignment w:val="center"/>
                    <w:rPr>
                      <w:color w:val="auto"/>
                      <w:szCs w:val="21"/>
                    </w:rPr>
                  </w:pPr>
                  <w:r>
                    <w:rPr>
                      <w:rFonts w:hint="eastAsia"/>
                      <w:color w:val="auto"/>
                      <w:kern w:val="0"/>
                      <w:szCs w:val="21"/>
                      <w:lang w:bidi="ar"/>
                    </w:rPr>
                    <w:t>除油粉</w:t>
                  </w:r>
                </w:p>
              </w:tc>
              <w:tc>
                <w:tcPr>
                  <w:tcW w:w="922" w:type="dxa"/>
                  <w:vAlign w:val="center"/>
                </w:tcPr>
                <w:p w14:paraId="12EFF923">
                  <w:pPr>
                    <w:widowControl/>
                    <w:jc w:val="center"/>
                    <w:textAlignment w:val="center"/>
                    <w:rPr>
                      <w:color w:val="auto"/>
                      <w:szCs w:val="21"/>
                    </w:rPr>
                  </w:pPr>
                  <w:r>
                    <w:rPr>
                      <w:color w:val="auto"/>
                      <w:kern w:val="0"/>
                      <w:szCs w:val="21"/>
                      <w:lang w:bidi="ar"/>
                    </w:rPr>
                    <w:t>50</w:t>
                  </w:r>
                </w:p>
              </w:tc>
              <w:tc>
                <w:tcPr>
                  <w:tcW w:w="1100" w:type="dxa"/>
                  <w:vAlign w:val="center"/>
                </w:tcPr>
                <w:p w14:paraId="1B35737B">
                  <w:pPr>
                    <w:widowControl/>
                    <w:jc w:val="center"/>
                    <w:textAlignment w:val="center"/>
                    <w:rPr>
                      <w:color w:val="auto"/>
                      <w:szCs w:val="21"/>
                    </w:rPr>
                  </w:pPr>
                  <w:r>
                    <w:rPr>
                      <w:color w:val="auto"/>
                      <w:kern w:val="0"/>
                      <w:szCs w:val="21"/>
                      <w:lang w:bidi="ar"/>
                    </w:rPr>
                    <w:t>0.2</w:t>
                  </w:r>
                </w:p>
              </w:tc>
              <w:tc>
                <w:tcPr>
                  <w:tcW w:w="1100" w:type="dxa"/>
                  <w:vAlign w:val="center"/>
                </w:tcPr>
                <w:p w14:paraId="6C9BFF43">
                  <w:pPr>
                    <w:widowControl/>
                    <w:jc w:val="center"/>
                    <w:textAlignment w:val="center"/>
                    <w:rPr>
                      <w:color w:val="auto"/>
                      <w:szCs w:val="21"/>
                    </w:rPr>
                  </w:pPr>
                  <w:r>
                    <w:rPr>
                      <w:color w:val="auto"/>
                      <w:kern w:val="0"/>
                      <w:szCs w:val="21"/>
                      <w:lang w:bidi="ar"/>
                    </w:rPr>
                    <w:t>3.8</w:t>
                  </w:r>
                </w:p>
              </w:tc>
              <w:tc>
                <w:tcPr>
                  <w:tcW w:w="1144" w:type="dxa"/>
                  <w:vAlign w:val="center"/>
                </w:tcPr>
                <w:p w14:paraId="379C956B">
                  <w:pPr>
                    <w:widowControl/>
                    <w:jc w:val="center"/>
                    <w:textAlignment w:val="center"/>
                    <w:rPr>
                      <w:color w:val="auto"/>
                      <w:kern w:val="0"/>
                      <w:szCs w:val="21"/>
                      <w:lang w:bidi="ar"/>
                    </w:rPr>
                  </w:pPr>
                  <w:r>
                    <w:rPr>
                      <w:rFonts w:hint="eastAsia" w:eastAsiaTheme="minorEastAsia"/>
                      <w:color w:val="auto"/>
                      <w:kern w:val="0"/>
                      <w:szCs w:val="21"/>
                      <w:lang w:bidi="ar"/>
                    </w:rPr>
                    <w:t>10h/d，235d/a</w:t>
                  </w:r>
                </w:p>
              </w:tc>
              <w:tc>
                <w:tcPr>
                  <w:tcW w:w="1200" w:type="dxa"/>
                  <w:vAlign w:val="center"/>
                </w:tcPr>
                <w:p w14:paraId="0D1CE8E4">
                  <w:pPr>
                    <w:widowControl/>
                    <w:jc w:val="center"/>
                    <w:textAlignment w:val="center"/>
                    <w:rPr>
                      <w:color w:val="auto"/>
                      <w:szCs w:val="21"/>
                    </w:rPr>
                  </w:pPr>
                  <w:r>
                    <w:rPr>
                      <w:color w:val="auto"/>
                      <w:kern w:val="0"/>
                      <w:szCs w:val="21"/>
                      <w:lang w:bidi="ar"/>
                    </w:rPr>
                    <w:t>0.</w:t>
                  </w:r>
                  <w:r>
                    <w:rPr>
                      <w:rFonts w:hint="eastAsia"/>
                      <w:color w:val="auto"/>
                      <w:kern w:val="0"/>
                      <w:szCs w:val="21"/>
                      <w:lang w:bidi="ar"/>
                    </w:rPr>
                    <w:t>1</w:t>
                  </w:r>
                </w:p>
              </w:tc>
              <w:tc>
                <w:tcPr>
                  <w:tcW w:w="1056" w:type="dxa"/>
                  <w:vAlign w:val="center"/>
                </w:tcPr>
                <w:p w14:paraId="291F1D17">
                  <w:pPr>
                    <w:widowControl/>
                    <w:jc w:val="center"/>
                    <w:textAlignment w:val="center"/>
                    <w:rPr>
                      <w:color w:val="auto"/>
                      <w:szCs w:val="21"/>
                    </w:rPr>
                  </w:pPr>
                  <w:r>
                    <w:rPr>
                      <w:color w:val="auto"/>
                      <w:kern w:val="0"/>
                      <w:szCs w:val="21"/>
                      <w:lang w:bidi="ar"/>
                    </w:rPr>
                    <w:t>188605.8</w:t>
                  </w:r>
                </w:p>
              </w:tc>
              <w:tc>
                <w:tcPr>
                  <w:tcW w:w="1122" w:type="dxa"/>
                  <w:vAlign w:val="center"/>
                </w:tcPr>
                <w:p w14:paraId="29ABBFEB">
                  <w:pPr>
                    <w:widowControl/>
                    <w:jc w:val="center"/>
                    <w:textAlignment w:val="center"/>
                    <w:rPr>
                      <w:color w:val="auto"/>
                      <w:szCs w:val="21"/>
                    </w:rPr>
                  </w:pPr>
                  <w:r>
                    <w:rPr>
                      <w:color w:val="auto"/>
                      <w:kern w:val="0"/>
                      <w:szCs w:val="21"/>
                      <w:lang w:bidi="ar"/>
                    </w:rPr>
                    <w:t xml:space="preserve">0.94 </w:t>
                  </w:r>
                </w:p>
              </w:tc>
              <w:tc>
                <w:tcPr>
                  <w:tcW w:w="1122" w:type="dxa"/>
                  <w:vAlign w:val="center"/>
                </w:tcPr>
                <w:p w14:paraId="3CEE5591">
                  <w:pPr>
                    <w:widowControl/>
                    <w:jc w:val="center"/>
                    <w:textAlignment w:val="center"/>
                    <w:rPr>
                      <w:color w:val="auto"/>
                      <w:szCs w:val="21"/>
                    </w:rPr>
                  </w:pPr>
                  <w:r>
                    <w:rPr>
                      <w:color w:val="auto"/>
                      <w:kern w:val="0"/>
                      <w:szCs w:val="21"/>
                      <w:lang w:bidi="ar"/>
                    </w:rPr>
                    <w:t>18.8</w:t>
                  </w:r>
                </w:p>
              </w:tc>
              <w:tc>
                <w:tcPr>
                  <w:tcW w:w="1022" w:type="dxa"/>
                  <w:vAlign w:val="center"/>
                </w:tcPr>
                <w:p w14:paraId="1E556230">
                  <w:pPr>
                    <w:widowControl/>
                    <w:jc w:val="center"/>
                    <w:textAlignment w:val="center"/>
                    <w:rPr>
                      <w:color w:val="auto"/>
                      <w:szCs w:val="21"/>
                    </w:rPr>
                  </w:pPr>
                  <w:r>
                    <w:rPr>
                      <w:color w:val="auto"/>
                      <w:kern w:val="0"/>
                      <w:szCs w:val="21"/>
                      <w:lang w:bidi="ar"/>
                    </w:rPr>
                    <w:t xml:space="preserve">36.72 </w:t>
                  </w:r>
                </w:p>
              </w:tc>
              <w:tc>
                <w:tcPr>
                  <w:tcW w:w="1067" w:type="dxa"/>
                  <w:vAlign w:val="center"/>
                </w:tcPr>
                <w:p w14:paraId="4CA47BFE">
                  <w:pPr>
                    <w:widowControl/>
                    <w:jc w:val="center"/>
                    <w:textAlignment w:val="center"/>
                    <w:rPr>
                      <w:color w:val="auto"/>
                      <w:szCs w:val="21"/>
                    </w:rPr>
                  </w:pPr>
                  <w:r>
                    <w:rPr>
                      <w:color w:val="auto"/>
                      <w:kern w:val="0"/>
                      <w:szCs w:val="21"/>
                      <w:lang w:bidi="ar"/>
                    </w:rPr>
                    <w:t>0.2</w:t>
                  </w:r>
                </w:p>
              </w:tc>
              <w:tc>
                <w:tcPr>
                  <w:tcW w:w="1089" w:type="dxa"/>
                  <w:vAlign w:val="center"/>
                </w:tcPr>
                <w:p w14:paraId="5D358DB9">
                  <w:pPr>
                    <w:widowControl/>
                    <w:jc w:val="center"/>
                    <w:textAlignment w:val="center"/>
                    <w:rPr>
                      <w:color w:val="auto"/>
                      <w:szCs w:val="21"/>
                    </w:rPr>
                  </w:pPr>
                  <w:r>
                    <w:rPr>
                      <w:color w:val="auto"/>
                      <w:kern w:val="0"/>
                      <w:szCs w:val="21"/>
                      <w:lang w:bidi="ar"/>
                    </w:rPr>
                    <w:t>3.8</w:t>
                  </w:r>
                </w:p>
              </w:tc>
              <w:tc>
                <w:tcPr>
                  <w:tcW w:w="1100" w:type="dxa"/>
                  <w:vAlign w:val="center"/>
                </w:tcPr>
                <w:p w14:paraId="6A8AD2DD">
                  <w:pPr>
                    <w:widowControl/>
                    <w:jc w:val="center"/>
                    <w:textAlignment w:val="center"/>
                    <w:rPr>
                      <w:color w:val="auto"/>
                      <w:szCs w:val="21"/>
                    </w:rPr>
                  </w:pPr>
                  <w:r>
                    <w:rPr>
                      <w:color w:val="auto"/>
                      <w:kern w:val="0"/>
                      <w:szCs w:val="21"/>
                      <w:lang w:bidi="ar"/>
                    </w:rPr>
                    <w:t>/</w:t>
                  </w:r>
                </w:p>
              </w:tc>
              <w:tc>
                <w:tcPr>
                  <w:tcW w:w="1100" w:type="dxa"/>
                  <w:vAlign w:val="center"/>
                </w:tcPr>
                <w:p w14:paraId="6AC84E43">
                  <w:pPr>
                    <w:widowControl/>
                    <w:jc w:val="center"/>
                    <w:textAlignment w:val="center"/>
                    <w:rPr>
                      <w:color w:val="auto"/>
                      <w:szCs w:val="21"/>
                    </w:rPr>
                  </w:pPr>
                  <w:r>
                    <w:rPr>
                      <w:color w:val="auto"/>
                      <w:kern w:val="0"/>
                      <w:szCs w:val="21"/>
                      <w:lang w:bidi="ar"/>
                    </w:rPr>
                    <w:t>/</w:t>
                  </w:r>
                </w:p>
              </w:tc>
              <w:tc>
                <w:tcPr>
                  <w:tcW w:w="718" w:type="dxa"/>
                  <w:vAlign w:val="center"/>
                </w:tcPr>
                <w:p w14:paraId="216F4259">
                  <w:pPr>
                    <w:widowControl/>
                    <w:jc w:val="center"/>
                    <w:textAlignment w:val="center"/>
                    <w:rPr>
                      <w:color w:val="auto"/>
                      <w:szCs w:val="21"/>
                    </w:rPr>
                  </w:pPr>
                  <w:r>
                    <w:rPr>
                      <w:rFonts w:hint="eastAsia"/>
                      <w:color w:val="auto"/>
                      <w:kern w:val="0"/>
                      <w:szCs w:val="21"/>
                      <w:lang w:bidi="ar"/>
                    </w:rPr>
                    <w:t>3</w:t>
                  </w:r>
                </w:p>
              </w:tc>
              <w:tc>
                <w:tcPr>
                  <w:tcW w:w="744" w:type="dxa"/>
                  <w:vAlign w:val="center"/>
                </w:tcPr>
                <w:p w14:paraId="44511A49">
                  <w:pPr>
                    <w:widowControl/>
                    <w:jc w:val="center"/>
                    <w:textAlignment w:val="center"/>
                    <w:rPr>
                      <w:color w:val="auto"/>
                      <w:szCs w:val="21"/>
                    </w:rPr>
                  </w:pPr>
                  <w:r>
                    <w:rPr>
                      <w:color w:val="auto"/>
                      <w:kern w:val="0"/>
                      <w:szCs w:val="21"/>
                      <w:lang w:bidi="ar"/>
                    </w:rPr>
                    <w:t>/</w:t>
                  </w:r>
                </w:p>
              </w:tc>
              <w:tc>
                <w:tcPr>
                  <w:tcW w:w="1005" w:type="dxa"/>
                  <w:vAlign w:val="center"/>
                </w:tcPr>
                <w:p w14:paraId="766A4712">
                  <w:pPr>
                    <w:widowControl/>
                    <w:jc w:val="center"/>
                    <w:textAlignment w:val="center"/>
                    <w:rPr>
                      <w:color w:val="auto"/>
                      <w:szCs w:val="21"/>
                    </w:rPr>
                  </w:pPr>
                  <w:r>
                    <w:rPr>
                      <w:color w:val="auto"/>
                      <w:kern w:val="0"/>
                      <w:szCs w:val="21"/>
                      <w:lang w:bidi="ar"/>
                    </w:rPr>
                    <w:t xml:space="preserve">1.54 </w:t>
                  </w:r>
                </w:p>
              </w:tc>
              <w:tc>
                <w:tcPr>
                  <w:tcW w:w="1031" w:type="dxa"/>
                  <w:vAlign w:val="center"/>
                </w:tcPr>
                <w:p w14:paraId="66357499">
                  <w:pPr>
                    <w:widowControl/>
                    <w:jc w:val="center"/>
                    <w:textAlignment w:val="center"/>
                    <w:rPr>
                      <w:color w:val="auto"/>
                      <w:szCs w:val="21"/>
                    </w:rPr>
                  </w:pPr>
                  <w:r>
                    <w:rPr>
                      <w:color w:val="auto"/>
                      <w:kern w:val="0"/>
                      <w:szCs w:val="21"/>
                      <w:lang w:bidi="ar"/>
                    </w:rPr>
                    <w:t>48.12</w:t>
                  </w:r>
                </w:p>
              </w:tc>
              <w:tc>
                <w:tcPr>
                  <w:tcW w:w="1022" w:type="dxa"/>
                  <w:vAlign w:val="center"/>
                </w:tcPr>
                <w:p w14:paraId="2BC7038D">
                  <w:pPr>
                    <w:widowControl/>
                    <w:jc w:val="center"/>
                    <w:textAlignment w:val="center"/>
                    <w:rPr>
                      <w:color w:val="auto"/>
                      <w:szCs w:val="21"/>
                    </w:rPr>
                  </w:pPr>
                  <w:r>
                    <w:rPr>
                      <w:color w:val="auto"/>
                      <w:kern w:val="0"/>
                      <w:szCs w:val="21"/>
                      <w:lang w:bidi="ar"/>
                    </w:rPr>
                    <w:t xml:space="preserve">10.8 </w:t>
                  </w:r>
                </w:p>
              </w:tc>
            </w:tr>
            <w:tr w14:paraId="3A50D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vAlign w:val="center"/>
                </w:tcPr>
                <w:p w14:paraId="06F75178">
                  <w:pPr>
                    <w:widowControl/>
                    <w:jc w:val="center"/>
                    <w:textAlignment w:val="center"/>
                    <w:rPr>
                      <w:color w:val="auto"/>
                      <w:szCs w:val="21"/>
                    </w:rPr>
                  </w:pPr>
                  <w:r>
                    <w:rPr>
                      <w:rFonts w:hint="eastAsia"/>
                      <w:color w:val="auto"/>
                      <w:kern w:val="0"/>
                      <w:szCs w:val="21"/>
                      <w:lang w:bidi="ar"/>
                    </w:rPr>
                    <w:t>除锈</w:t>
                  </w:r>
                  <w:r>
                    <w:rPr>
                      <w:color w:val="auto"/>
                      <w:kern w:val="0"/>
                      <w:szCs w:val="21"/>
                      <w:lang w:bidi="ar"/>
                    </w:rPr>
                    <w:t>槽</w:t>
                  </w:r>
                </w:p>
              </w:tc>
              <w:tc>
                <w:tcPr>
                  <w:tcW w:w="1023" w:type="dxa"/>
                  <w:vAlign w:val="center"/>
                </w:tcPr>
                <w:p w14:paraId="58FD1600">
                  <w:pPr>
                    <w:widowControl/>
                    <w:jc w:val="center"/>
                    <w:textAlignment w:val="center"/>
                    <w:rPr>
                      <w:color w:val="auto"/>
                      <w:szCs w:val="21"/>
                    </w:rPr>
                  </w:pPr>
                  <w:r>
                    <w:rPr>
                      <w:rFonts w:hint="eastAsia"/>
                      <w:color w:val="auto"/>
                      <w:szCs w:val="21"/>
                    </w:rPr>
                    <w:t>4</w:t>
                  </w:r>
                </w:p>
              </w:tc>
              <w:tc>
                <w:tcPr>
                  <w:tcW w:w="989" w:type="dxa"/>
                  <w:vAlign w:val="center"/>
                </w:tcPr>
                <w:p w14:paraId="0041DAB1">
                  <w:pPr>
                    <w:widowControl/>
                    <w:jc w:val="center"/>
                    <w:textAlignment w:val="center"/>
                    <w:rPr>
                      <w:color w:val="auto"/>
                      <w:szCs w:val="21"/>
                    </w:rPr>
                  </w:pPr>
                  <w:r>
                    <w:rPr>
                      <w:rFonts w:hint="eastAsia"/>
                      <w:color w:val="auto"/>
                      <w:szCs w:val="21"/>
                    </w:rPr>
                    <w:t>硫酸（98%）</w:t>
                  </w:r>
                </w:p>
              </w:tc>
              <w:tc>
                <w:tcPr>
                  <w:tcW w:w="922" w:type="dxa"/>
                  <w:vAlign w:val="center"/>
                </w:tcPr>
                <w:p w14:paraId="796F5FDC">
                  <w:pPr>
                    <w:widowControl/>
                    <w:jc w:val="center"/>
                    <w:textAlignment w:val="center"/>
                    <w:rPr>
                      <w:color w:val="auto"/>
                      <w:szCs w:val="21"/>
                    </w:rPr>
                  </w:pPr>
                  <w:r>
                    <w:rPr>
                      <w:rFonts w:hint="eastAsia"/>
                      <w:color w:val="auto"/>
                      <w:kern w:val="0"/>
                      <w:szCs w:val="21"/>
                      <w:lang w:bidi="ar"/>
                    </w:rPr>
                    <w:t>186.5</w:t>
                  </w:r>
                </w:p>
              </w:tc>
              <w:tc>
                <w:tcPr>
                  <w:tcW w:w="1100" w:type="dxa"/>
                  <w:vAlign w:val="center"/>
                </w:tcPr>
                <w:p w14:paraId="40BD7788">
                  <w:pPr>
                    <w:widowControl/>
                    <w:jc w:val="center"/>
                    <w:textAlignment w:val="center"/>
                    <w:rPr>
                      <w:color w:val="auto"/>
                      <w:szCs w:val="21"/>
                    </w:rPr>
                  </w:pPr>
                  <w:r>
                    <w:rPr>
                      <w:rFonts w:hint="eastAsia"/>
                      <w:color w:val="auto"/>
                      <w:kern w:val="0"/>
                      <w:szCs w:val="21"/>
                      <w:lang w:bidi="ar"/>
                    </w:rPr>
                    <w:t>0.746</w:t>
                  </w:r>
                </w:p>
              </w:tc>
              <w:tc>
                <w:tcPr>
                  <w:tcW w:w="1100" w:type="dxa"/>
                  <w:vAlign w:val="center"/>
                </w:tcPr>
                <w:p w14:paraId="3F9F60F7">
                  <w:pPr>
                    <w:widowControl/>
                    <w:jc w:val="center"/>
                    <w:textAlignment w:val="center"/>
                    <w:rPr>
                      <w:color w:val="auto"/>
                      <w:szCs w:val="21"/>
                    </w:rPr>
                  </w:pPr>
                  <w:r>
                    <w:rPr>
                      <w:rFonts w:hint="eastAsia"/>
                      <w:color w:val="auto"/>
                      <w:kern w:val="0"/>
                      <w:szCs w:val="21"/>
                      <w:lang w:bidi="ar"/>
                    </w:rPr>
                    <w:t>3.592</w:t>
                  </w:r>
                </w:p>
              </w:tc>
              <w:tc>
                <w:tcPr>
                  <w:tcW w:w="1144" w:type="dxa"/>
                  <w:vAlign w:val="center"/>
                </w:tcPr>
                <w:p w14:paraId="6057C549">
                  <w:pPr>
                    <w:jc w:val="center"/>
                    <w:rPr>
                      <w:color w:val="auto"/>
                      <w:szCs w:val="21"/>
                    </w:rPr>
                  </w:pPr>
                  <w:r>
                    <w:rPr>
                      <w:rFonts w:hint="eastAsia" w:eastAsiaTheme="minorEastAsia"/>
                      <w:color w:val="auto"/>
                      <w:kern w:val="0"/>
                      <w:szCs w:val="21"/>
                      <w:lang w:bidi="ar"/>
                    </w:rPr>
                    <w:t>10h/d，235d/a</w:t>
                  </w:r>
                </w:p>
              </w:tc>
              <w:tc>
                <w:tcPr>
                  <w:tcW w:w="1200" w:type="dxa"/>
                  <w:vAlign w:val="center"/>
                </w:tcPr>
                <w:p w14:paraId="22386E64">
                  <w:pPr>
                    <w:jc w:val="center"/>
                    <w:rPr>
                      <w:color w:val="auto"/>
                      <w:szCs w:val="21"/>
                    </w:rPr>
                  </w:pPr>
                  <w:r>
                    <w:rPr>
                      <w:color w:val="auto"/>
                      <w:kern w:val="0"/>
                      <w:szCs w:val="21"/>
                      <w:lang w:bidi="ar"/>
                    </w:rPr>
                    <w:t>0.</w:t>
                  </w:r>
                  <w:r>
                    <w:rPr>
                      <w:rFonts w:hint="eastAsia"/>
                      <w:color w:val="auto"/>
                      <w:kern w:val="0"/>
                      <w:szCs w:val="21"/>
                      <w:lang w:bidi="ar"/>
                    </w:rPr>
                    <w:t>1</w:t>
                  </w:r>
                </w:p>
              </w:tc>
              <w:tc>
                <w:tcPr>
                  <w:tcW w:w="1056" w:type="dxa"/>
                  <w:vAlign w:val="center"/>
                </w:tcPr>
                <w:p w14:paraId="69EFC93E">
                  <w:pPr>
                    <w:widowControl/>
                    <w:jc w:val="center"/>
                    <w:textAlignment w:val="center"/>
                    <w:rPr>
                      <w:color w:val="auto"/>
                      <w:szCs w:val="21"/>
                    </w:rPr>
                  </w:pPr>
                  <w:r>
                    <w:rPr>
                      <w:color w:val="auto"/>
                      <w:kern w:val="0"/>
                      <w:szCs w:val="21"/>
                      <w:lang w:bidi="ar"/>
                    </w:rPr>
                    <w:t>188605.8</w:t>
                  </w:r>
                </w:p>
              </w:tc>
              <w:tc>
                <w:tcPr>
                  <w:tcW w:w="1122" w:type="dxa"/>
                  <w:vAlign w:val="center"/>
                </w:tcPr>
                <w:p w14:paraId="2F084457">
                  <w:pPr>
                    <w:widowControl/>
                    <w:jc w:val="center"/>
                    <w:textAlignment w:val="center"/>
                    <w:rPr>
                      <w:color w:val="auto"/>
                      <w:szCs w:val="21"/>
                    </w:rPr>
                  </w:pPr>
                  <w:r>
                    <w:rPr>
                      <w:color w:val="auto"/>
                      <w:kern w:val="0"/>
                      <w:szCs w:val="21"/>
                      <w:lang w:bidi="ar"/>
                    </w:rPr>
                    <w:t xml:space="preserve">2.05 </w:t>
                  </w:r>
                </w:p>
              </w:tc>
              <w:tc>
                <w:tcPr>
                  <w:tcW w:w="1122" w:type="dxa"/>
                  <w:vAlign w:val="center"/>
                </w:tcPr>
                <w:p w14:paraId="6B3277E6">
                  <w:pPr>
                    <w:widowControl/>
                    <w:jc w:val="center"/>
                    <w:textAlignment w:val="center"/>
                    <w:rPr>
                      <w:color w:val="auto"/>
                      <w:szCs w:val="21"/>
                    </w:rPr>
                  </w:pPr>
                  <w:r>
                    <w:rPr>
                      <w:color w:val="auto"/>
                      <w:kern w:val="0"/>
                      <w:szCs w:val="21"/>
                      <w:lang w:bidi="ar"/>
                    </w:rPr>
                    <w:t>18.8</w:t>
                  </w:r>
                </w:p>
              </w:tc>
              <w:tc>
                <w:tcPr>
                  <w:tcW w:w="1022" w:type="dxa"/>
                  <w:vAlign w:val="center"/>
                </w:tcPr>
                <w:p w14:paraId="0A2E9889">
                  <w:pPr>
                    <w:widowControl/>
                    <w:jc w:val="center"/>
                    <w:textAlignment w:val="center"/>
                    <w:rPr>
                      <w:color w:val="auto"/>
                      <w:szCs w:val="21"/>
                    </w:rPr>
                  </w:pPr>
                  <w:r>
                    <w:rPr>
                      <w:color w:val="auto"/>
                      <w:kern w:val="0"/>
                      <w:szCs w:val="21"/>
                      <w:lang w:bidi="ar"/>
                    </w:rPr>
                    <w:t xml:space="preserve">37.22 </w:t>
                  </w:r>
                </w:p>
              </w:tc>
              <w:tc>
                <w:tcPr>
                  <w:tcW w:w="1067" w:type="dxa"/>
                  <w:vAlign w:val="center"/>
                </w:tcPr>
                <w:p w14:paraId="389E7B7D">
                  <w:pPr>
                    <w:widowControl/>
                    <w:jc w:val="center"/>
                    <w:textAlignment w:val="center"/>
                    <w:rPr>
                      <w:color w:val="auto"/>
                      <w:szCs w:val="21"/>
                    </w:rPr>
                  </w:pPr>
                  <w:r>
                    <w:rPr>
                      <w:color w:val="auto"/>
                      <w:kern w:val="0"/>
                      <w:szCs w:val="21"/>
                      <w:lang w:bidi="ar"/>
                    </w:rPr>
                    <w:t>0.746</w:t>
                  </w:r>
                </w:p>
              </w:tc>
              <w:tc>
                <w:tcPr>
                  <w:tcW w:w="1089" w:type="dxa"/>
                  <w:vAlign w:val="center"/>
                </w:tcPr>
                <w:p w14:paraId="32F43B55">
                  <w:pPr>
                    <w:widowControl/>
                    <w:jc w:val="center"/>
                    <w:textAlignment w:val="center"/>
                    <w:rPr>
                      <w:color w:val="auto"/>
                      <w:szCs w:val="21"/>
                    </w:rPr>
                  </w:pPr>
                  <w:r>
                    <w:rPr>
                      <w:color w:val="auto"/>
                      <w:kern w:val="0"/>
                      <w:szCs w:val="21"/>
                      <w:lang w:bidi="ar"/>
                    </w:rPr>
                    <w:t>3.592</w:t>
                  </w:r>
                </w:p>
              </w:tc>
              <w:tc>
                <w:tcPr>
                  <w:tcW w:w="1100" w:type="dxa"/>
                  <w:vAlign w:val="center"/>
                </w:tcPr>
                <w:p w14:paraId="5E950C4F">
                  <w:pPr>
                    <w:widowControl/>
                    <w:jc w:val="center"/>
                    <w:textAlignment w:val="center"/>
                    <w:rPr>
                      <w:color w:val="auto"/>
                      <w:szCs w:val="21"/>
                    </w:rPr>
                  </w:pPr>
                  <w:r>
                    <w:rPr>
                      <w:color w:val="auto"/>
                      <w:kern w:val="0"/>
                      <w:szCs w:val="21"/>
                      <w:lang w:bidi="ar"/>
                    </w:rPr>
                    <w:t>/</w:t>
                  </w:r>
                </w:p>
              </w:tc>
              <w:tc>
                <w:tcPr>
                  <w:tcW w:w="1100" w:type="dxa"/>
                  <w:vAlign w:val="center"/>
                </w:tcPr>
                <w:p w14:paraId="17062A23">
                  <w:pPr>
                    <w:widowControl/>
                    <w:jc w:val="center"/>
                    <w:textAlignment w:val="center"/>
                    <w:rPr>
                      <w:color w:val="auto"/>
                      <w:szCs w:val="21"/>
                    </w:rPr>
                  </w:pPr>
                  <w:r>
                    <w:rPr>
                      <w:color w:val="auto"/>
                      <w:kern w:val="0"/>
                      <w:szCs w:val="21"/>
                      <w:lang w:bidi="ar"/>
                    </w:rPr>
                    <w:t>/</w:t>
                  </w:r>
                </w:p>
              </w:tc>
              <w:tc>
                <w:tcPr>
                  <w:tcW w:w="718" w:type="dxa"/>
                  <w:vAlign w:val="center"/>
                </w:tcPr>
                <w:p w14:paraId="628B48B8">
                  <w:pPr>
                    <w:widowControl/>
                    <w:jc w:val="center"/>
                    <w:textAlignment w:val="center"/>
                    <w:rPr>
                      <w:color w:val="auto"/>
                      <w:szCs w:val="21"/>
                    </w:rPr>
                  </w:pPr>
                  <w:r>
                    <w:rPr>
                      <w:rFonts w:hint="eastAsia"/>
                      <w:color w:val="auto"/>
                      <w:kern w:val="0"/>
                      <w:szCs w:val="21"/>
                      <w:lang w:bidi="ar"/>
                    </w:rPr>
                    <w:t>3</w:t>
                  </w:r>
                </w:p>
              </w:tc>
              <w:tc>
                <w:tcPr>
                  <w:tcW w:w="744" w:type="dxa"/>
                  <w:vAlign w:val="center"/>
                </w:tcPr>
                <w:p w14:paraId="1471AA0A">
                  <w:pPr>
                    <w:widowControl/>
                    <w:jc w:val="center"/>
                    <w:textAlignment w:val="center"/>
                    <w:rPr>
                      <w:color w:val="auto"/>
                      <w:szCs w:val="21"/>
                    </w:rPr>
                  </w:pPr>
                  <w:r>
                    <w:rPr>
                      <w:color w:val="auto"/>
                      <w:kern w:val="0"/>
                      <w:szCs w:val="21"/>
                      <w:lang w:bidi="ar"/>
                    </w:rPr>
                    <w:t>/</w:t>
                  </w:r>
                </w:p>
              </w:tc>
              <w:tc>
                <w:tcPr>
                  <w:tcW w:w="1005" w:type="dxa"/>
                  <w:vAlign w:val="center"/>
                </w:tcPr>
                <w:p w14:paraId="67950A63">
                  <w:pPr>
                    <w:widowControl/>
                    <w:jc w:val="center"/>
                    <w:textAlignment w:val="center"/>
                    <w:rPr>
                      <w:color w:val="auto"/>
                      <w:szCs w:val="21"/>
                    </w:rPr>
                  </w:pPr>
                  <w:r>
                    <w:rPr>
                      <w:color w:val="auto"/>
                      <w:kern w:val="0"/>
                      <w:szCs w:val="21"/>
                      <w:lang w:bidi="ar"/>
                    </w:rPr>
                    <w:t xml:space="preserve">4.28 </w:t>
                  </w:r>
                </w:p>
              </w:tc>
              <w:tc>
                <w:tcPr>
                  <w:tcW w:w="1031" w:type="dxa"/>
                  <w:vAlign w:val="center"/>
                </w:tcPr>
                <w:p w14:paraId="5BBC601D">
                  <w:pPr>
                    <w:widowControl/>
                    <w:jc w:val="center"/>
                    <w:textAlignment w:val="center"/>
                    <w:rPr>
                      <w:color w:val="auto"/>
                      <w:szCs w:val="21"/>
                    </w:rPr>
                  </w:pPr>
                  <w:r>
                    <w:rPr>
                      <w:color w:val="auto"/>
                      <w:kern w:val="0"/>
                      <w:szCs w:val="21"/>
                      <w:lang w:bidi="ar"/>
                    </w:rPr>
                    <w:t>47.99</w:t>
                  </w:r>
                </w:p>
              </w:tc>
              <w:tc>
                <w:tcPr>
                  <w:tcW w:w="1022" w:type="dxa"/>
                  <w:vAlign w:val="center"/>
                </w:tcPr>
                <w:p w14:paraId="64C024CE">
                  <w:pPr>
                    <w:widowControl/>
                    <w:jc w:val="center"/>
                    <w:textAlignment w:val="center"/>
                    <w:rPr>
                      <w:color w:val="auto"/>
                      <w:szCs w:val="21"/>
                    </w:rPr>
                  </w:pPr>
                  <w:r>
                    <w:rPr>
                      <w:color w:val="auto"/>
                      <w:kern w:val="0"/>
                      <w:szCs w:val="21"/>
                      <w:lang w:bidi="ar"/>
                    </w:rPr>
                    <w:t xml:space="preserve">11.7 </w:t>
                  </w:r>
                </w:p>
              </w:tc>
            </w:tr>
            <w:tr w14:paraId="6B042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4" w:type="dxa"/>
                  <w:vAlign w:val="center"/>
                </w:tcPr>
                <w:p w14:paraId="4B7D9B5A">
                  <w:pPr>
                    <w:widowControl/>
                    <w:jc w:val="center"/>
                    <w:textAlignment w:val="center"/>
                    <w:rPr>
                      <w:color w:val="auto"/>
                      <w:szCs w:val="21"/>
                    </w:rPr>
                  </w:pPr>
                  <w:r>
                    <w:rPr>
                      <w:rFonts w:hint="eastAsia"/>
                      <w:color w:val="auto"/>
                      <w:kern w:val="0"/>
                      <w:szCs w:val="21"/>
                      <w:lang w:bidi="ar"/>
                    </w:rPr>
                    <w:t>脱脂</w:t>
                  </w:r>
                  <w:r>
                    <w:rPr>
                      <w:color w:val="auto"/>
                      <w:kern w:val="0"/>
                      <w:szCs w:val="21"/>
                      <w:lang w:bidi="ar"/>
                    </w:rPr>
                    <w:t>槽</w:t>
                  </w:r>
                </w:p>
              </w:tc>
              <w:tc>
                <w:tcPr>
                  <w:tcW w:w="1023" w:type="dxa"/>
                  <w:vAlign w:val="center"/>
                </w:tcPr>
                <w:p w14:paraId="2CBDA95B">
                  <w:pPr>
                    <w:widowControl/>
                    <w:jc w:val="center"/>
                    <w:textAlignment w:val="center"/>
                    <w:rPr>
                      <w:color w:val="auto"/>
                      <w:szCs w:val="21"/>
                    </w:rPr>
                  </w:pPr>
                  <w:r>
                    <w:rPr>
                      <w:rFonts w:hint="eastAsia"/>
                      <w:color w:val="auto"/>
                      <w:szCs w:val="21"/>
                    </w:rPr>
                    <w:t>4</w:t>
                  </w:r>
                </w:p>
              </w:tc>
              <w:tc>
                <w:tcPr>
                  <w:tcW w:w="989" w:type="dxa"/>
                  <w:vAlign w:val="center"/>
                </w:tcPr>
                <w:p w14:paraId="0316E3DA">
                  <w:pPr>
                    <w:widowControl/>
                    <w:jc w:val="center"/>
                    <w:textAlignment w:val="center"/>
                    <w:rPr>
                      <w:color w:val="auto"/>
                      <w:szCs w:val="21"/>
                    </w:rPr>
                  </w:pPr>
                  <w:r>
                    <w:rPr>
                      <w:rFonts w:hint="eastAsia"/>
                      <w:color w:val="auto"/>
                      <w:kern w:val="0"/>
                      <w:szCs w:val="21"/>
                      <w:lang w:bidi="ar"/>
                    </w:rPr>
                    <w:t>脱脂剂</w:t>
                  </w:r>
                </w:p>
              </w:tc>
              <w:tc>
                <w:tcPr>
                  <w:tcW w:w="922" w:type="dxa"/>
                  <w:vAlign w:val="center"/>
                </w:tcPr>
                <w:p w14:paraId="202FC2DE">
                  <w:pPr>
                    <w:widowControl/>
                    <w:jc w:val="center"/>
                    <w:textAlignment w:val="center"/>
                    <w:rPr>
                      <w:color w:val="auto"/>
                      <w:szCs w:val="21"/>
                    </w:rPr>
                  </w:pPr>
                  <w:r>
                    <w:rPr>
                      <w:rFonts w:hint="eastAsia"/>
                      <w:color w:val="auto"/>
                      <w:kern w:val="0"/>
                      <w:szCs w:val="21"/>
                      <w:lang w:bidi="ar"/>
                    </w:rPr>
                    <w:t>52.5</w:t>
                  </w:r>
                </w:p>
              </w:tc>
              <w:tc>
                <w:tcPr>
                  <w:tcW w:w="1100" w:type="dxa"/>
                  <w:vAlign w:val="center"/>
                </w:tcPr>
                <w:p w14:paraId="6353799E">
                  <w:pPr>
                    <w:widowControl/>
                    <w:jc w:val="center"/>
                    <w:textAlignment w:val="center"/>
                    <w:rPr>
                      <w:color w:val="auto"/>
                      <w:szCs w:val="21"/>
                    </w:rPr>
                  </w:pPr>
                  <w:r>
                    <w:rPr>
                      <w:color w:val="auto"/>
                      <w:kern w:val="0"/>
                      <w:szCs w:val="21"/>
                      <w:lang w:bidi="ar"/>
                    </w:rPr>
                    <w:t>0.21</w:t>
                  </w:r>
                </w:p>
              </w:tc>
              <w:tc>
                <w:tcPr>
                  <w:tcW w:w="1100" w:type="dxa"/>
                  <w:vAlign w:val="center"/>
                </w:tcPr>
                <w:p w14:paraId="146D915F">
                  <w:pPr>
                    <w:widowControl/>
                    <w:jc w:val="center"/>
                    <w:textAlignment w:val="center"/>
                    <w:rPr>
                      <w:color w:val="auto"/>
                      <w:szCs w:val="21"/>
                    </w:rPr>
                  </w:pPr>
                  <w:r>
                    <w:rPr>
                      <w:color w:val="auto"/>
                      <w:kern w:val="0"/>
                      <w:szCs w:val="21"/>
                      <w:lang w:bidi="ar"/>
                    </w:rPr>
                    <w:t>3.8</w:t>
                  </w:r>
                </w:p>
              </w:tc>
              <w:tc>
                <w:tcPr>
                  <w:tcW w:w="1144" w:type="dxa"/>
                  <w:vAlign w:val="center"/>
                </w:tcPr>
                <w:p w14:paraId="4A6E9D5D">
                  <w:pPr>
                    <w:widowControl/>
                    <w:jc w:val="center"/>
                    <w:textAlignment w:val="center"/>
                    <w:rPr>
                      <w:color w:val="auto"/>
                      <w:kern w:val="0"/>
                      <w:szCs w:val="21"/>
                      <w:lang w:bidi="ar"/>
                    </w:rPr>
                  </w:pPr>
                  <w:r>
                    <w:rPr>
                      <w:rFonts w:hint="eastAsia" w:eastAsiaTheme="minorEastAsia"/>
                      <w:color w:val="auto"/>
                      <w:kern w:val="0"/>
                      <w:szCs w:val="21"/>
                      <w:lang w:bidi="ar"/>
                    </w:rPr>
                    <w:t>10h/d，65d/a</w:t>
                  </w:r>
                </w:p>
              </w:tc>
              <w:tc>
                <w:tcPr>
                  <w:tcW w:w="1200" w:type="dxa"/>
                  <w:vAlign w:val="center"/>
                </w:tcPr>
                <w:p w14:paraId="1097C6F0">
                  <w:pPr>
                    <w:widowControl/>
                    <w:jc w:val="center"/>
                    <w:textAlignment w:val="center"/>
                    <w:rPr>
                      <w:color w:val="auto"/>
                      <w:szCs w:val="21"/>
                    </w:rPr>
                  </w:pPr>
                  <w:r>
                    <w:rPr>
                      <w:color w:val="auto"/>
                      <w:kern w:val="0"/>
                      <w:szCs w:val="21"/>
                      <w:lang w:bidi="ar"/>
                    </w:rPr>
                    <w:t>0.</w:t>
                  </w:r>
                  <w:r>
                    <w:rPr>
                      <w:rFonts w:hint="eastAsia"/>
                      <w:color w:val="auto"/>
                      <w:kern w:val="0"/>
                      <w:szCs w:val="21"/>
                      <w:lang w:bidi="ar"/>
                    </w:rPr>
                    <w:t>1</w:t>
                  </w:r>
                </w:p>
              </w:tc>
              <w:tc>
                <w:tcPr>
                  <w:tcW w:w="1056" w:type="dxa"/>
                  <w:vAlign w:val="center"/>
                </w:tcPr>
                <w:p w14:paraId="29B7A9F9">
                  <w:pPr>
                    <w:widowControl/>
                    <w:jc w:val="center"/>
                    <w:textAlignment w:val="center"/>
                    <w:rPr>
                      <w:color w:val="auto"/>
                      <w:szCs w:val="21"/>
                    </w:rPr>
                  </w:pPr>
                  <w:r>
                    <w:rPr>
                      <w:color w:val="auto"/>
                      <w:kern w:val="0"/>
                      <w:szCs w:val="21"/>
                      <w:lang w:bidi="ar"/>
                    </w:rPr>
                    <w:t>108565.2</w:t>
                  </w:r>
                </w:p>
              </w:tc>
              <w:tc>
                <w:tcPr>
                  <w:tcW w:w="1122" w:type="dxa"/>
                  <w:vAlign w:val="center"/>
                </w:tcPr>
                <w:p w14:paraId="0600858F">
                  <w:pPr>
                    <w:widowControl/>
                    <w:jc w:val="center"/>
                    <w:textAlignment w:val="center"/>
                    <w:rPr>
                      <w:color w:val="auto"/>
                      <w:szCs w:val="21"/>
                    </w:rPr>
                  </w:pPr>
                  <w:r>
                    <w:rPr>
                      <w:color w:val="auto"/>
                      <w:kern w:val="0"/>
                      <w:szCs w:val="21"/>
                      <w:lang w:bidi="ar"/>
                    </w:rPr>
                    <w:t xml:space="preserve">0.54 </w:t>
                  </w:r>
                </w:p>
              </w:tc>
              <w:tc>
                <w:tcPr>
                  <w:tcW w:w="1122" w:type="dxa"/>
                  <w:vAlign w:val="center"/>
                </w:tcPr>
                <w:p w14:paraId="5D107918">
                  <w:pPr>
                    <w:widowControl/>
                    <w:jc w:val="center"/>
                    <w:textAlignment w:val="center"/>
                    <w:rPr>
                      <w:color w:val="auto"/>
                      <w:szCs w:val="21"/>
                    </w:rPr>
                  </w:pPr>
                  <w:r>
                    <w:rPr>
                      <w:color w:val="auto"/>
                      <w:kern w:val="0"/>
                      <w:szCs w:val="21"/>
                      <w:lang w:bidi="ar"/>
                    </w:rPr>
                    <w:t>5.2</w:t>
                  </w:r>
                </w:p>
              </w:tc>
              <w:tc>
                <w:tcPr>
                  <w:tcW w:w="1022" w:type="dxa"/>
                  <w:vAlign w:val="center"/>
                </w:tcPr>
                <w:p w14:paraId="5C0265C2">
                  <w:pPr>
                    <w:widowControl/>
                    <w:jc w:val="center"/>
                    <w:textAlignment w:val="center"/>
                    <w:rPr>
                      <w:color w:val="auto"/>
                      <w:szCs w:val="21"/>
                    </w:rPr>
                  </w:pPr>
                  <w:r>
                    <w:rPr>
                      <w:color w:val="auto"/>
                      <w:kern w:val="0"/>
                      <w:szCs w:val="21"/>
                      <w:lang w:bidi="ar"/>
                    </w:rPr>
                    <w:t xml:space="preserve">15.5 </w:t>
                  </w:r>
                </w:p>
              </w:tc>
              <w:tc>
                <w:tcPr>
                  <w:tcW w:w="1067" w:type="dxa"/>
                  <w:vAlign w:val="center"/>
                </w:tcPr>
                <w:p w14:paraId="6306ADB9">
                  <w:pPr>
                    <w:widowControl/>
                    <w:jc w:val="center"/>
                    <w:textAlignment w:val="center"/>
                    <w:rPr>
                      <w:color w:val="auto"/>
                      <w:szCs w:val="21"/>
                    </w:rPr>
                  </w:pPr>
                  <w:r>
                    <w:rPr>
                      <w:color w:val="auto"/>
                      <w:kern w:val="0"/>
                      <w:szCs w:val="21"/>
                      <w:lang w:bidi="ar"/>
                    </w:rPr>
                    <w:t>0.21</w:t>
                  </w:r>
                </w:p>
              </w:tc>
              <w:tc>
                <w:tcPr>
                  <w:tcW w:w="1089" w:type="dxa"/>
                  <w:vAlign w:val="center"/>
                </w:tcPr>
                <w:p w14:paraId="124381C7">
                  <w:pPr>
                    <w:widowControl/>
                    <w:jc w:val="center"/>
                    <w:textAlignment w:val="center"/>
                    <w:rPr>
                      <w:color w:val="auto"/>
                      <w:szCs w:val="21"/>
                    </w:rPr>
                  </w:pPr>
                  <w:r>
                    <w:rPr>
                      <w:color w:val="auto"/>
                      <w:kern w:val="0"/>
                      <w:szCs w:val="21"/>
                      <w:lang w:bidi="ar"/>
                    </w:rPr>
                    <w:t>3.8</w:t>
                  </w:r>
                </w:p>
              </w:tc>
              <w:tc>
                <w:tcPr>
                  <w:tcW w:w="1100" w:type="dxa"/>
                  <w:vAlign w:val="center"/>
                </w:tcPr>
                <w:p w14:paraId="42D67487">
                  <w:pPr>
                    <w:widowControl/>
                    <w:jc w:val="center"/>
                    <w:textAlignment w:val="center"/>
                    <w:rPr>
                      <w:color w:val="auto"/>
                      <w:szCs w:val="21"/>
                    </w:rPr>
                  </w:pPr>
                  <w:r>
                    <w:rPr>
                      <w:color w:val="auto"/>
                      <w:kern w:val="0"/>
                      <w:szCs w:val="21"/>
                      <w:lang w:bidi="ar"/>
                    </w:rPr>
                    <w:t>/</w:t>
                  </w:r>
                </w:p>
              </w:tc>
              <w:tc>
                <w:tcPr>
                  <w:tcW w:w="1100" w:type="dxa"/>
                  <w:vAlign w:val="center"/>
                </w:tcPr>
                <w:p w14:paraId="38413297">
                  <w:pPr>
                    <w:widowControl/>
                    <w:jc w:val="center"/>
                    <w:textAlignment w:val="center"/>
                    <w:rPr>
                      <w:color w:val="auto"/>
                      <w:szCs w:val="21"/>
                    </w:rPr>
                  </w:pPr>
                  <w:r>
                    <w:rPr>
                      <w:color w:val="auto"/>
                      <w:kern w:val="0"/>
                      <w:szCs w:val="21"/>
                      <w:lang w:bidi="ar"/>
                    </w:rPr>
                    <w:t>/</w:t>
                  </w:r>
                </w:p>
              </w:tc>
              <w:tc>
                <w:tcPr>
                  <w:tcW w:w="718" w:type="dxa"/>
                  <w:vAlign w:val="center"/>
                </w:tcPr>
                <w:p w14:paraId="383E92A3">
                  <w:pPr>
                    <w:widowControl/>
                    <w:jc w:val="center"/>
                    <w:textAlignment w:val="center"/>
                    <w:rPr>
                      <w:color w:val="auto"/>
                      <w:szCs w:val="21"/>
                    </w:rPr>
                  </w:pPr>
                  <w:r>
                    <w:rPr>
                      <w:rFonts w:hint="eastAsia"/>
                      <w:color w:val="auto"/>
                      <w:kern w:val="0"/>
                      <w:szCs w:val="21"/>
                      <w:lang w:bidi="ar"/>
                    </w:rPr>
                    <w:t>1</w:t>
                  </w:r>
                </w:p>
              </w:tc>
              <w:tc>
                <w:tcPr>
                  <w:tcW w:w="744" w:type="dxa"/>
                  <w:vAlign w:val="center"/>
                </w:tcPr>
                <w:p w14:paraId="538C5181">
                  <w:pPr>
                    <w:widowControl/>
                    <w:jc w:val="center"/>
                    <w:textAlignment w:val="center"/>
                    <w:rPr>
                      <w:color w:val="auto"/>
                      <w:szCs w:val="21"/>
                    </w:rPr>
                  </w:pPr>
                  <w:r>
                    <w:rPr>
                      <w:color w:val="auto"/>
                      <w:kern w:val="0"/>
                      <w:szCs w:val="21"/>
                      <w:lang w:bidi="ar"/>
                    </w:rPr>
                    <w:t>/</w:t>
                  </w:r>
                </w:p>
              </w:tc>
              <w:tc>
                <w:tcPr>
                  <w:tcW w:w="1005" w:type="dxa"/>
                  <w:vAlign w:val="center"/>
                </w:tcPr>
                <w:p w14:paraId="491F96FB">
                  <w:pPr>
                    <w:widowControl/>
                    <w:jc w:val="center"/>
                    <w:textAlignment w:val="center"/>
                    <w:rPr>
                      <w:color w:val="auto"/>
                      <w:szCs w:val="21"/>
                    </w:rPr>
                  </w:pPr>
                  <w:r>
                    <w:rPr>
                      <w:color w:val="auto"/>
                      <w:kern w:val="0"/>
                      <w:szCs w:val="21"/>
                      <w:lang w:bidi="ar"/>
                    </w:rPr>
                    <w:t xml:space="preserve">0.75 </w:t>
                  </w:r>
                </w:p>
              </w:tc>
              <w:tc>
                <w:tcPr>
                  <w:tcW w:w="1031" w:type="dxa"/>
                  <w:vAlign w:val="center"/>
                </w:tcPr>
                <w:p w14:paraId="5BF00235">
                  <w:pPr>
                    <w:widowControl/>
                    <w:jc w:val="center"/>
                    <w:textAlignment w:val="center"/>
                    <w:rPr>
                      <w:color w:val="auto"/>
                      <w:szCs w:val="21"/>
                    </w:rPr>
                  </w:pPr>
                  <w:r>
                    <w:rPr>
                      <w:color w:val="auto"/>
                      <w:kern w:val="0"/>
                      <w:szCs w:val="21"/>
                      <w:lang w:bidi="ar"/>
                    </w:rPr>
                    <w:t>19.34</w:t>
                  </w:r>
                </w:p>
              </w:tc>
              <w:tc>
                <w:tcPr>
                  <w:tcW w:w="1022" w:type="dxa"/>
                  <w:vAlign w:val="center"/>
                </w:tcPr>
                <w:p w14:paraId="2191A218">
                  <w:pPr>
                    <w:widowControl/>
                    <w:jc w:val="center"/>
                    <w:textAlignment w:val="center"/>
                    <w:rPr>
                      <w:color w:val="auto"/>
                      <w:szCs w:val="21"/>
                    </w:rPr>
                  </w:pPr>
                  <w:r>
                    <w:rPr>
                      <w:color w:val="auto"/>
                      <w:kern w:val="0"/>
                      <w:szCs w:val="21"/>
                      <w:lang w:bidi="ar"/>
                    </w:rPr>
                    <w:t xml:space="preserve">3.61 </w:t>
                  </w:r>
                </w:p>
              </w:tc>
            </w:tr>
            <w:tr w14:paraId="0A143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vAlign w:val="center"/>
                </w:tcPr>
                <w:p w14:paraId="19B2D868">
                  <w:pPr>
                    <w:widowControl/>
                    <w:jc w:val="center"/>
                    <w:textAlignment w:val="center"/>
                    <w:rPr>
                      <w:color w:val="auto"/>
                      <w:szCs w:val="21"/>
                    </w:rPr>
                  </w:pPr>
                  <w:r>
                    <w:rPr>
                      <w:rFonts w:hint="eastAsia"/>
                      <w:color w:val="auto"/>
                      <w:kern w:val="0"/>
                      <w:szCs w:val="21"/>
                      <w:lang w:bidi="ar"/>
                    </w:rPr>
                    <w:t>表调槽</w:t>
                  </w:r>
                </w:p>
              </w:tc>
              <w:tc>
                <w:tcPr>
                  <w:tcW w:w="1023" w:type="dxa"/>
                  <w:vAlign w:val="center"/>
                </w:tcPr>
                <w:p w14:paraId="7D24D389">
                  <w:pPr>
                    <w:widowControl/>
                    <w:jc w:val="center"/>
                    <w:textAlignment w:val="center"/>
                    <w:rPr>
                      <w:color w:val="auto"/>
                      <w:szCs w:val="21"/>
                    </w:rPr>
                  </w:pPr>
                  <w:r>
                    <w:rPr>
                      <w:rFonts w:hint="eastAsia"/>
                      <w:color w:val="auto"/>
                      <w:szCs w:val="21"/>
                    </w:rPr>
                    <w:t>4</w:t>
                  </w:r>
                </w:p>
              </w:tc>
              <w:tc>
                <w:tcPr>
                  <w:tcW w:w="989" w:type="dxa"/>
                  <w:vAlign w:val="center"/>
                </w:tcPr>
                <w:p w14:paraId="08D43319">
                  <w:pPr>
                    <w:widowControl/>
                    <w:jc w:val="center"/>
                    <w:textAlignment w:val="center"/>
                    <w:rPr>
                      <w:color w:val="auto"/>
                      <w:szCs w:val="21"/>
                    </w:rPr>
                  </w:pPr>
                  <w:r>
                    <w:rPr>
                      <w:rFonts w:hint="eastAsia"/>
                      <w:color w:val="auto"/>
                      <w:kern w:val="0"/>
                      <w:szCs w:val="21"/>
                      <w:lang w:bidi="ar"/>
                    </w:rPr>
                    <w:t>表调剂</w:t>
                  </w:r>
                </w:p>
              </w:tc>
              <w:tc>
                <w:tcPr>
                  <w:tcW w:w="922" w:type="dxa"/>
                  <w:vAlign w:val="center"/>
                </w:tcPr>
                <w:p w14:paraId="4FB8F12A">
                  <w:pPr>
                    <w:widowControl/>
                    <w:jc w:val="center"/>
                    <w:textAlignment w:val="center"/>
                    <w:rPr>
                      <w:color w:val="auto"/>
                      <w:szCs w:val="21"/>
                    </w:rPr>
                  </w:pPr>
                  <w:r>
                    <w:rPr>
                      <w:color w:val="auto"/>
                      <w:kern w:val="0"/>
                      <w:szCs w:val="21"/>
                      <w:lang w:bidi="ar"/>
                    </w:rPr>
                    <w:t>3</w:t>
                  </w:r>
                </w:p>
              </w:tc>
              <w:tc>
                <w:tcPr>
                  <w:tcW w:w="1100" w:type="dxa"/>
                  <w:vAlign w:val="center"/>
                </w:tcPr>
                <w:p w14:paraId="0508C31C">
                  <w:pPr>
                    <w:widowControl/>
                    <w:jc w:val="center"/>
                    <w:textAlignment w:val="center"/>
                    <w:rPr>
                      <w:color w:val="auto"/>
                      <w:szCs w:val="21"/>
                    </w:rPr>
                  </w:pPr>
                  <w:r>
                    <w:rPr>
                      <w:color w:val="auto"/>
                      <w:kern w:val="0"/>
                      <w:szCs w:val="21"/>
                      <w:lang w:bidi="ar"/>
                    </w:rPr>
                    <w:t>0.012</w:t>
                  </w:r>
                </w:p>
              </w:tc>
              <w:tc>
                <w:tcPr>
                  <w:tcW w:w="1100" w:type="dxa"/>
                  <w:vAlign w:val="center"/>
                </w:tcPr>
                <w:p w14:paraId="3C31BD66">
                  <w:pPr>
                    <w:widowControl/>
                    <w:jc w:val="center"/>
                    <w:textAlignment w:val="center"/>
                    <w:rPr>
                      <w:color w:val="auto"/>
                      <w:szCs w:val="21"/>
                    </w:rPr>
                  </w:pPr>
                  <w:r>
                    <w:rPr>
                      <w:color w:val="auto"/>
                      <w:kern w:val="0"/>
                      <w:szCs w:val="21"/>
                      <w:lang w:bidi="ar"/>
                    </w:rPr>
                    <w:t>3.988</w:t>
                  </w:r>
                </w:p>
              </w:tc>
              <w:tc>
                <w:tcPr>
                  <w:tcW w:w="1144" w:type="dxa"/>
                  <w:vAlign w:val="center"/>
                </w:tcPr>
                <w:p w14:paraId="5B3BBCAF">
                  <w:pPr>
                    <w:widowControl/>
                    <w:jc w:val="center"/>
                    <w:textAlignment w:val="center"/>
                    <w:rPr>
                      <w:color w:val="auto"/>
                      <w:kern w:val="0"/>
                      <w:szCs w:val="21"/>
                      <w:lang w:bidi="ar"/>
                    </w:rPr>
                  </w:pPr>
                  <w:r>
                    <w:rPr>
                      <w:rFonts w:hint="eastAsia" w:eastAsiaTheme="minorEastAsia"/>
                      <w:color w:val="auto"/>
                      <w:kern w:val="0"/>
                      <w:szCs w:val="21"/>
                      <w:lang w:bidi="ar"/>
                    </w:rPr>
                    <w:t>10h/d，300d/a</w:t>
                  </w:r>
                </w:p>
              </w:tc>
              <w:tc>
                <w:tcPr>
                  <w:tcW w:w="1200" w:type="dxa"/>
                  <w:vAlign w:val="center"/>
                </w:tcPr>
                <w:p w14:paraId="1DC25C1E">
                  <w:pPr>
                    <w:widowControl/>
                    <w:jc w:val="center"/>
                    <w:textAlignment w:val="center"/>
                    <w:rPr>
                      <w:color w:val="auto"/>
                      <w:szCs w:val="21"/>
                    </w:rPr>
                  </w:pPr>
                  <w:r>
                    <w:rPr>
                      <w:color w:val="auto"/>
                      <w:kern w:val="0"/>
                      <w:szCs w:val="21"/>
                      <w:lang w:bidi="ar"/>
                    </w:rPr>
                    <w:t>0.</w:t>
                  </w:r>
                  <w:r>
                    <w:rPr>
                      <w:rFonts w:hint="eastAsia"/>
                      <w:color w:val="auto"/>
                      <w:kern w:val="0"/>
                      <w:szCs w:val="21"/>
                      <w:lang w:bidi="ar"/>
                    </w:rPr>
                    <w:t>1</w:t>
                  </w:r>
                </w:p>
              </w:tc>
              <w:tc>
                <w:tcPr>
                  <w:tcW w:w="1056" w:type="dxa"/>
                  <w:vAlign w:val="center"/>
                </w:tcPr>
                <w:p w14:paraId="4454BCDF">
                  <w:pPr>
                    <w:widowControl/>
                    <w:jc w:val="center"/>
                    <w:textAlignment w:val="center"/>
                    <w:rPr>
                      <w:color w:val="auto"/>
                      <w:szCs w:val="21"/>
                    </w:rPr>
                  </w:pPr>
                  <w:r>
                    <w:rPr>
                      <w:rFonts w:hint="eastAsia"/>
                      <w:color w:val="auto"/>
                      <w:kern w:val="0"/>
                      <w:szCs w:val="21"/>
                      <w:lang w:bidi="ar"/>
                    </w:rPr>
                    <w:t>297171</w:t>
                  </w:r>
                </w:p>
              </w:tc>
              <w:tc>
                <w:tcPr>
                  <w:tcW w:w="1122" w:type="dxa"/>
                  <w:vAlign w:val="center"/>
                </w:tcPr>
                <w:p w14:paraId="01DE85EA">
                  <w:pPr>
                    <w:widowControl/>
                    <w:jc w:val="center"/>
                    <w:textAlignment w:val="center"/>
                    <w:rPr>
                      <w:color w:val="auto"/>
                      <w:szCs w:val="21"/>
                    </w:rPr>
                  </w:pPr>
                  <w:r>
                    <w:rPr>
                      <w:color w:val="auto"/>
                      <w:kern w:val="0"/>
                      <w:szCs w:val="21"/>
                      <w:lang w:bidi="ar"/>
                    </w:rPr>
                    <w:t xml:space="preserve">0.089 </w:t>
                  </w:r>
                </w:p>
              </w:tc>
              <w:tc>
                <w:tcPr>
                  <w:tcW w:w="1122" w:type="dxa"/>
                  <w:vAlign w:val="center"/>
                </w:tcPr>
                <w:p w14:paraId="50C41FBF">
                  <w:pPr>
                    <w:widowControl/>
                    <w:jc w:val="center"/>
                    <w:textAlignment w:val="center"/>
                    <w:rPr>
                      <w:color w:val="auto"/>
                      <w:szCs w:val="21"/>
                    </w:rPr>
                  </w:pPr>
                  <w:r>
                    <w:rPr>
                      <w:color w:val="auto"/>
                      <w:kern w:val="0"/>
                      <w:szCs w:val="21"/>
                      <w:lang w:bidi="ar"/>
                    </w:rPr>
                    <w:t>24</w:t>
                  </w:r>
                </w:p>
              </w:tc>
              <w:tc>
                <w:tcPr>
                  <w:tcW w:w="1022" w:type="dxa"/>
                  <w:vAlign w:val="center"/>
                </w:tcPr>
                <w:p w14:paraId="0F02D602">
                  <w:pPr>
                    <w:widowControl/>
                    <w:jc w:val="center"/>
                    <w:textAlignment w:val="center"/>
                    <w:rPr>
                      <w:color w:val="auto"/>
                      <w:szCs w:val="21"/>
                    </w:rPr>
                  </w:pPr>
                  <w:r>
                    <w:rPr>
                      <w:color w:val="auto"/>
                      <w:kern w:val="0"/>
                      <w:szCs w:val="21"/>
                      <w:lang w:bidi="ar"/>
                    </w:rPr>
                    <w:t xml:space="preserve">53.63 </w:t>
                  </w:r>
                </w:p>
              </w:tc>
              <w:tc>
                <w:tcPr>
                  <w:tcW w:w="1067" w:type="dxa"/>
                  <w:vAlign w:val="center"/>
                </w:tcPr>
                <w:p w14:paraId="7AD8B941">
                  <w:pPr>
                    <w:widowControl/>
                    <w:jc w:val="center"/>
                    <w:textAlignment w:val="center"/>
                    <w:rPr>
                      <w:color w:val="auto"/>
                      <w:szCs w:val="21"/>
                    </w:rPr>
                  </w:pPr>
                  <w:r>
                    <w:rPr>
                      <w:color w:val="auto"/>
                      <w:kern w:val="0"/>
                      <w:szCs w:val="21"/>
                      <w:lang w:bidi="ar"/>
                    </w:rPr>
                    <w:t>0.012</w:t>
                  </w:r>
                </w:p>
              </w:tc>
              <w:tc>
                <w:tcPr>
                  <w:tcW w:w="1089" w:type="dxa"/>
                  <w:vAlign w:val="center"/>
                </w:tcPr>
                <w:p w14:paraId="6747EB19">
                  <w:pPr>
                    <w:widowControl/>
                    <w:jc w:val="center"/>
                    <w:textAlignment w:val="center"/>
                    <w:rPr>
                      <w:color w:val="auto"/>
                      <w:szCs w:val="21"/>
                    </w:rPr>
                  </w:pPr>
                  <w:r>
                    <w:rPr>
                      <w:color w:val="auto"/>
                      <w:kern w:val="0"/>
                      <w:szCs w:val="21"/>
                      <w:lang w:bidi="ar"/>
                    </w:rPr>
                    <w:t>3.988</w:t>
                  </w:r>
                </w:p>
              </w:tc>
              <w:tc>
                <w:tcPr>
                  <w:tcW w:w="1100" w:type="dxa"/>
                  <w:vAlign w:val="center"/>
                </w:tcPr>
                <w:p w14:paraId="4D12FAEB">
                  <w:pPr>
                    <w:widowControl/>
                    <w:jc w:val="center"/>
                    <w:textAlignment w:val="center"/>
                    <w:rPr>
                      <w:color w:val="auto"/>
                      <w:szCs w:val="21"/>
                    </w:rPr>
                  </w:pPr>
                  <w:r>
                    <w:rPr>
                      <w:color w:val="auto"/>
                      <w:kern w:val="0"/>
                      <w:szCs w:val="21"/>
                      <w:lang w:bidi="ar"/>
                    </w:rPr>
                    <w:t>/</w:t>
                  </w:r>
                </w:p>
              </w:tc>
              <w:tc>
                <w:tcPr>
                  <w:tcW w:w="1100" w:type="dxa"/>
                  <w:vAlign w:val="center"/>
                </w:tcPr>
                <w:p w14:paraId="6C30E53B">
                  <w:pPr>
                    <w:widowControl/>
                    <w:jc w:val="center"/>
                    <w:textAlignment w:val="center"/>
                    <w:rPr>
                      <w:color w:val="auto"/>
                      <w:szCs w:val="21"/>
                    </w:rPr>
                  </w:pPr>
                  <w:r>
                    <w:rPr>
                      <w:color w:val="auto"/>
                      <w:kern w:val="0"/>
                      <w:szCs w:val="21"/>
                      <w:lang w:bidi="ar"/>
                    </w:rPr>
                    <w:t>/</w:t>
                  </w:r>
                </w:p>
              </w:tc>
              <w:tc>
                <w:tcPr>
                  <w:tcW w:w="718" w:type="dxa"/>
                  <w:vAlign w:val="center"/>
                </w:tcPr>
                <w:p w14:paraId="2AD6FCCD">
                  <w:pPr>
                    <w:widowControl/>
                    <w:jc w:val="center"/>
                    <w:textAlignment w:val="center"/>
                    <w:rPr>
                      <w:color w:val="auto"/>
                      <w:szCs w:val="21"/>
                    </w:rPr>
                  </w:pPr>
                  <w:r>
                    <w:rPr>
                      <w:rFonts w:hint="eastAsia"/>
                      <w:color w:val="auto"/>
                      <w:kern w:val="0"/>
                      <w:szCs w:val="21"/>
                      <w:lang w:bidi="ar"/>
                    </w:rPr>
                    <w:t>4</w:t>
                  </w:r>
                </w:p>
              </w:tc>
              <w:tc>
                <w:tcPr>
                  <w:tcW w:w="744" w:type="dxa"/>
                  <w:vAlign w:val="center"/>
                </w:tcPr>
                <w:p w14:paraId="14ACFB66">
                  <w:pPr>
                    <w:widowControl/>
                    <w:jc w:val="center"/>
                    <w:textAlignment w:val="center"/>
                    <w:rPr>
                      <w:color w:val="auto"/>
                      <w:szCs w:val="21"/>
                    </w:rPr>
                  </w:pPr>
                  <w:r>
                    <w:rPr>
                      <w:color w:val="auto"/>
                      <w:kern w:val="0"/>
                      <w:szCs w:val="21"/>
                      <w:lang w:bidi="ar"/>
                    </w:rPr>
                    <w:t>/</w:t>
                  </w:r>
                </w:p>
              </w:tc>
              <w:tc>
                <w:tcPr>
                  <w:tcW w:w="1005" w:type="dxa"/>
                  <w:vAlign w:val="center"/>
                </w:tcPr>
                <w:p w14:paraId="4B353100">
                  <w:pPr>
                    <w:widowControl/>
                    <w:jc w:val="center"/>
                    <w:textAlignment w:val="center"/>
                    <w:rPr>
                      <w:color w:val="auto"/>
                      <w:szCs w:val="21"/>
                    </w:rPr>
                  </w:pPr>
                  <w:r>
                    <w:rPr>
                      <w:color w:val="auto"/>
                      <w:kern w:val="0"/>
                      <w:szCs w:val="21"/>
                      <w:lang w:bidi="ar"/>
                    </w:rPr>
                    <w:t xml:space="preserve">0.137 </w:t>
                  </w:r>
                </w:p>
              </w:tc>
              <w:tc>
                <w:tcPr>
                  <w:tcW w:w="1031" w:type="dxa"/>
                  <w:vAlign w:val="center"/>
                </w:tcPr>
                <w:p w14:paraId="52A5A8A3">
                  <w:pPr>
                    <w:widowControl/>
                    <w:jc w:val="center"/>
                    <w:textAlignment w:val="center"/>
                    <w:rPr>
                      <w:color w:val="auto"/>
                      <w:szCs w:val="21"/>
                    </w:rPr>
                  </w:pPr>
                  <w:r>
                    <w:rPr>
                      <w:color w:val="auto"/>
                      <w:kern w:val="0"/>
                      <w:szCs w:val="21"/>
                      <w:lang w:bidi="ar"/>
                    </w:rPr>
                    <w:t>69.58</w:t>
                  </w:r>
                </w:p>
              </w:tc>
              <w:tc>
                <w:tcPr>
                  <w:tcW w:w="1022" w:type="dxa"/>
                  <w:vAlign w:val="center"/>
                </w:tcPr>
                <w:p w14:paraId="384354AD">
                  <w:pPr>
                    <w:widowControl/>
                    <w:jc w:val="center"/>
                    <w:textAlignment w:val="center"/>
                    <w:rPr>
                      <w:color w:val="auto"/>
                      <w:szCs w:val="21"/>
                    </w:rPr>
                  </w:pPr>
                  <w:r>
                    <w:rPr>
                      <w:color w:val="auto"/>
                      <w:kern w:val="0"/>
                      <w:szCs w:val="21"/>
                      <w:lang w:bidi="ar"/>
                    </w:rPr>
                    <w:t xml:space="preserve">14.4 </w:t>
                  </w:r>
                </w:p>
              </w:tc>
            </w:tr>
            <w:tr w14:paraId="19FCA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vMerge w:val="restart"/>
                  <w:vAlign w:val="center"/>
                </w:tcPr>
                <w:p w14:paraId="441DFAAA">
                  <w:pPr>
                    <w:widowControl/>
                    <w:jc w:val="center"/>
                    <w:textAlignment w:val="center"/>
                    <w:rPr>
                      <w:color w:val="auto"/>
                      <w:szCs w:val="21"/>
                    </w:rPr>
                  </w:pPr>
                  <w:r>
                    <w:rPr>
                      <w:rFonts w:hint="eastAsia"/>
                      <w:color w:val="auto"/>
                      <w:kern w:val="0"/>
                      <w:szCs w:val="21"/>
                      <w:lang w:bidi="ar"/>
                    </w:rPr>
                    <w:t>磷化</w:t>
                  </w:r>
                  <w:r>
                    <w:rPr>
                      <w:color w:val="auto"/>
                      <w:kern w:val="0"/>
                      <w:szCs w:val="21"/>
                      <w:lang w:bidi="ar"/>
                    </w:rPr>
                    <w:t>槽</w:t>
                  </w:r>
                  <w:r>
                    <w:rPr>
                      <w:rFonts w:hint="eastAsia"/>
                      <w:color w:val="auto"/>
                      <w:kern w:val="0"/>
                      <w:szCs w:val="21"/>
                      <w:lang w:bidi="ar"/>
                    </w:rPr>
                    <w:t>1</w:t>
                  </w:r>
                </w:p>
              </w:tc>
              <w:tc>
                <w:tcPr>
                  <w:tcW w:w="1023" w:type="dxa"/>
                  <w:vMerge w:val="restart"/>
                  <w:vAlign w:val="center"/>
                </w:tcPr>
                <w:p w14:paraId="4D263615">
                  <w:pPr>
                    <w:widowControl/>
                    <w:jc w:val="center"/>
                    <w:textAlignment w:val="center"/>
                    <w:rPr>
                      <w:color w:val="auto"/>
                      <w:szCs w:val="21"/>
                    </w:rPr>
                  </w:pPr>
                  <w:r>
                    <w:rPr>
                      <w:rFonts w:hint="eastAsia"/>
                      <w:color w:val="auto"/>
                      <w:szCs w:val="21"/>
                    </w:rPr>
                    <w:t>4</w:t>
                  </w:r>
                </w:p>
              </w:tc>
              <w:tc>
                <w:tcPr>
                  <w:tcW w:w="989" w:type="dxa"/>
                  <w:vAlign w:val="center"/>
                </w:tcPr>
                <w:p w14:paraId="4DF593CD">
                  <w:pPr>
                    <w:widowControl/>
                    <w:jc w:val="center"/>
                    <w:textAlignment w:val="center"/>
                    <w:rPr>
                      <w:color w:val="auto"/>
                      <w:szCs w:val="21"/>
                    </w:rPr>
                  </w:pPr>
                  <w:r>
                    <w:rPr>
                      <w:color w:val="auto"/>
                      <w:kern w:val="0"/>
                      <w:szCs w:val="21"/>
                      <w:lang w:bidi="ar"/>
                    </w:rPr>
                    <w:t>磷化剂</w:t>
                  </w:r>
                </w:p>
              </w:tc>
              <w:tc>
                <w:tcPr>
                  <w:tcW w:w="922" w:type="dxa"/>
                  <w:vAlign w:val="center"/>
                </w:tcPr>
                <w:p w14:paraId="613406F2">
                  <w:pPr>
                    <w:widowControl/>
                    <w:jc w:val="center"/>
                    <w:textAlignment w:val="center"/>
                    <w:rPr>
                      <w:color w:val="auto"/>
                      <w:szCs w:val="21"/>
                    </w:rPr>
                  </w:pPr>
                  <w:r>
                    <w:rPr>
                      <w:rFonts w:hint="eastAsia"/>
                      <w:color w:val="auto"/>
                      <w:kern w:val="0"/>
                      <w:szCs w:val="21"/>
                      <w:lang w:bidi="ar"/>
                    </w:rPr>
                    <w:t>67.5</w:t>
                  </w:r>
                </w:p>
              </w:tc>
              <w:tc>
                <w:tcPr>
                  <w:tcW w:w="1100" w:type="dxa"/>
                  <w:vAlign w:val="center"/>
                </w:tcPr>
                <w:p w14:paraId="23FB6C33">
                  <w:pPr>
                    <w:widowControl/>
                    <w:jc w:val="center"/>
                    <w:textAlignment w:val="center"/>
                    <w:rPr>
                      <w:color w:val="auto"/>
                      <w:szCs w:val="21"/>
                    </w:rPr>
                  </w:pPr>
                  <w:r>
                    <w:rPr>
                      <w:color w:val="auto"/>
                      <w:kern w:val="0"/>
                      <w:szCs w:val="21"/>
                      <w:lang w:bidi="ar"/>
                    </w:rPr>
                    <w:t>0.2</w:t>
                  </w:r>
                  <w:r>
                    <w:rPr>
                      <w:rFonts w:hint="eastAsia"/>
                      <w:color w:val="auto"/>
                      <w:kern w:val="0"/>
                      <w:szCs w:val="21"/>
                      <w:lang w:bidi="ar"/>
                    </w:rPr>
                    <w:t>7</w:t>
                  </w:r>
                </w:p>
              </w:tc>
              <w:tc>
                <w:tcPr>
                  <w:tcW w:w="1100" w:type="dxa"/>
                  <w:vMerge w:val="restart"/>
                  <w:vAlign w:val="center"/>
                </w:tcPr>
                <w:p w14:paraId="7F72A4C9">
                  <w:pPr>
                    <w:widowControl/>
                    <w:jc w:val="center"/>
                    <w:textAlignment w:val="center"/>
                    <w:rPr>
                      <w:color w:val="auto"/>
                      <w:szCs w:val="21"/>
                    </w:rPr>
                  </w:pPr>
                  <w:r>
                    <w:rPr>
                      <w:rFonts w:hint="eastAsia"/>
                      <w:color w:val="auto"/>
                      <w:kern w:val="0"/>
                      <w:szCs w:val="21"/>
                      <w:lang w:bidi="ar"/>
                    </w:rPr>
                    <w:t>3.752</w:t>
                  </w:r>
                </w:p>
              </w:tc>
              <w:tc>
                <w:tcPr>
                  <w:tcW w:w="1144" w:type="dxa"/>
                  <w:vMerge w:val="restart"/>
                  <w:vAlign w:val="center"/>
                </w:tcPr>
                <w:p w14:paraId="6C289F10">
                  <w:pPr>
                    <w:widowControl/>
                    <w:jc w:val="center"/>
                    <w:textAlignment w:val="center"/>
                    <w:rPr>
                      <w:color w:val="auto"/>
                      <w:kern w:val="0"/>
                      <w:szCs w:val="21"/>
                      <w:lang w:bidi="ar"/>
                    </w:rPr>
                  </w:pPr>
                  <w:r>
                    <w:rPr>
                      <w:rFonts w:hint="eastAsia" w:eastAsiaTheme="minorEastAsia"/>
                      <w:color w:val="auto"/>
                      <w:kern w:val="0"/>
                      <w:szCs w:val="21"/>
                      <w:lang w:bidi="ar"/>
                    </w:rPr>
                    <w:t>10h/d，235d/a</w:t>
                  </w:r>
                </w:p>
              </w:tc>
              <w:tc>
                <w:tcPr>
                  <w:tcW w:w="1200" w:type="dxa"/>
                  <w:vMerge w:val="restart"/>
                  <w:vAlign w:val="center"/>
                </w:tcPr>
                <w:p w14:paraId="6D6B2651">
                  <w:pPr>
                    <w:widowControl/>
                    <w:jc w:val="center"/>
                    <w:textAlignment w:val="center"/>
                    <w:rPr>
                      <w:color w:val="auto"/>
                      <w:szCs w:val="21"/>
                    </w:rPr>
                  </w:pPr>
                  <w:r>
                    <w:rPr>
                      <w:color w:val="auto"/>
                      <w:kern w:val="0"/>
                      <w:szCs w:val="21"/>
                      <w:lang w:bidi="ar"/>
                    </w:rPr>
                    <w:t>0.</w:t>
                  </w:r>
                  <w:r>
                    <w:rPr>
                      <w:rFonts w:hint="eastAsia"/>
                      <w:color w:val="auto"/>
                      <w:kern w:val="0"/>
                      <w:szCs w:val="21"/>
                      <w:lang w:bidi="ar"/>
                    </w:rPr>
                    <w:t>1</w:t>
                  </w:r>
                </w:p>
              </w:tc>
              <w:tc>
                <w:tcPr>
                  <w:tcW w:w="1056" w:type="dxa"/>
                  <w:vMerge w:val="restart"/>
                  <w:vAlign w:val="center"/>
                </w:tcPr>
                <w:p w14:paraId="42A9D4DB">
                  <w:pPr>
                    <w:widowControl/>
                    <w:jc w:val="center"/>
                    <w:textAlignment w:val="center"/>
                    <w:rPr>
                      <w:color w:val="auto"/>
                      <w:szCs w:val="21"/>
                    </w:rPr>
                  </w:pPr>
                  <w:r>
                    <w:rPr>
                      <w:color w:val="auto"/>
                      <w:kern w:val="0"/>
                      <w:szCs w:val="21"/>
                      <w:lang w:bidi="ar"/>
                    </w:rPr>
                    <w:t>188605.8</w:t>
                  </w:r>
                </w:p>
              </w:tc>
              <w:tc>
                <w:tcPr>
                  <w:tcW w:w="1122" w:type="dxa"/>
                  <w:vAlign w:val="center"/>
                </w:tcPr>
                <w:p w14:paraId="0857B0E6">
                  <w:pPr>
                    <w:widowControl/>
                    <w:jc w:val="center"/>
                    <w:textAlignment w:val="center"/>
                    <w:rPr>
                      <w:color w:val="auto"/>
                      <w:szCs w:val="21"/>
                    </w:rPr>
                  </w:pPr>
                  <w:r>
                    <w:rPr>
                      <w:color w:val="auto"/>
                      <w:kern w:val="0"/>
                      <w:szCs w:val="21"/>
                      <w:lang w:bidi="ar"/>
                    </w:rPr>
                    <w:t xml:space="preserve">0.96 </w:t>
                  </w:r>
                </w:p>
              </w:tc>
              <w:tc>
                <w:tcPr>
                  <w:tcW w:w="1122" w:type="dxa"/>
                  <w:vMerge w:val="restart"/>
                  <w:vAlign w:val="center"/>
                </w:tcPr>
                <w:p w14:paraId="272A2B24">
                  <w:pPr>
                    <w:widowControl/>
                    <w:jc w:val="center"/>
                    <w:textAlignment w:val="center"/>
                    <w:rPr>
                      <w:color w:val="auto"/>
                      <w:szCs w:val="21"/>
                    </w:rPr>
                  </w:pPr>
                  <w:r>
                    <w:rPr>
                      <w:color w:val="auto"/>
                      <w:kern w:val="0"/>
                      <w:szCs w:val="21"/>
                      <w:lang w:bidi="ar"/>
                    </w:rPr>
                    <w:t>18.8</w:t>
                  </w:r>
                </w:p>
              </w:tc>
              <w:tc>
                <w:tcPr>
                  <w:tcW w:w="1022" w:type="dxa"/>
                  <w:vMerge w:val="restart"/>
                  <w:vAlign w:val="center"/>
                </w:tcPr>
                <w:p w14:paraId="17C5D7C7">
                  <w:pPr>
                    <w:widowControl/>
                    <w:jc w:val="center"/>
                    <w:textAlignment w:val="center"/>
                    <w:rPr>
                      <w:color w:val="auto"/>
                      <w:szCs w:val="21"/>
                    </w:rPr>
                  </w:pPr>
                  <w:r>
                    <w:rPr>
                      <w:color w:val="auto"/>
                      <w:kern w:val="0"/>
                      <w:szCs w:val="21"/>
                      <w:lang w:bidi="ar"/>
                    </w:rPr>
                    <w:t xml:space="preserve">36.81 </w:t>
                  </w:r>
                </w:p>
              </w:tc>
              <w:tc>
                <w:tcPr>
                  <w:tcW w:w="1067" w:type="dxa"/>
                  <w:vAlign w:val="center"/>
                </w:tcPr>
                <w:p w14:paraId="1BF39CA6">
                  <w:pPr>
                    <w:widowControl/>
                    <w:jc w:val="center"/>
                    <w:textAlignment w:val="center"/>
                    <w:rPr>
                      <w:color w:val="auto"/>
                      <w:szCs w:val="21"/>
                    </w:rPr>
                  </w:pPr>
                  <w:r>
                    <w:rPr>
                      <w:color w:val="auto"/>
                      <w:kern w:val="0"/>
                      <w:szCs w:val="21"/>
                      <w:lang w:bidi="ar"/>
                    </w:rPr>
                    <w:t>/</w:t>
                  </w:r>
                </w:p>
              </w:tc>
              <w:tc>
                <w:tcPr>
                  <w:tcW w:w="1089" w:type="dxa"/>
                  <w:vMerge w:val="restart"/>
                  <w:vAlign w:val="center"/>
                </w:tcPr>
                <w:p w14:paraId="6BCD5E59">
                  <w:pPr>
                    <w:widowControl/>
                    <w:jc w:val="center"/>
                    <w:textAlignment w:val="center"/>
                    <w:rPr>
                      <w:color w:val="auto"/>
                      <w:szCs w:val="21"/>
                    </w:rPr>
                  </w:pPr>
                  <w:r>
                    <w:rPr>
                      <w:color w:val="auto"/>
                      <w:kern w:val="0"/>
                      <w:szCs w:val="21"/>
                      <w:lang w:bidi="ar"/>
                    </w:rPr>
                    <w:t>/</w:t>
                  </w:r>
                </w:p>
              </w:tc>
              <w:tc>
                <w:tcPr>
                  <w:tcW w:w="1100" w:type="dxa"/>
                  <w:vAlign w:val="center"/>
                </w:tcPr>
                <w:p w14:paraId="40A97890">
                  <w:pPr>
                    <w:widowControl/>
                    <w:jc w:val="center"/>
                    <w:textAlignment w:val="center"/>
                    <w:rPr>
                      <w:b/>
                      <w:bCs/>
                      <w:color w:val="auto"/>
                      <w:szCs w:val="21"/>
                    </w:rPr>
                  </w:pPr>
                  <w:r>
                    <w:rPr>
                      <w:color w:val="auto"/>
                      <w:kern w:val="0"/>
                      <w:szCs w:val="21"/>
                      <w:lang w:bidi="ar"/>
                    </w:rPr>
                    <w:t>0.027</w:t>
                  </w:r>
                </w:p>
              </w:tc>
              <w:tc>
                <w:tcPr>
                  <w:tcW w:w="1100" w:type="dxa"/>
                  <w:vMerge w:val="restart"/>
                  <w:vAlign w:val="center"/>
                </w:tcPr>
                <w:p w14:paraId="40830C72">
                  <w:pPr>
                    <w:widowControl/>
                    <w:jc w:val="center"/>
                    <w:textAlignment w:val="center"/>
                    <w:rPr>
                      <w:color w:val="auto"/>
                      <w:szCs w:val="21"/>
                    </w:rPr>
                  </w:pPr>
                  <w:r>
                    <w:rPr>
                      <w:color w:val="auto"/>
                      <w:kern w:val="0"/>
                      <w:szCs w:val="21"/>
                      <w:lang w:bidi="ar"/>
                    </w:rPr>
                    <w:t xml:space="preserve">0.3752 </w:t>
                  </w:r>
                </w:p>
              </w:tc>
              <w:tc>
                <w:tcPr>
                  <w:tcW w:w="718" w:type="dxa"/>
                  <w:vMerge w:val="restart"/>
                  <w:vAlign w:val="center"/>
                </w:tcPr>
                <w:p w14:paraId="7E814CF9">
                  <w:pPr>
                    <w:widowControl/>
                    <w:jc w:val="center"/>
                    <w:textAlignment w:val="center"/>
                    <w:rPr>
                      <w:color w:val="auto"/>
                      <w:szCs w:val="21"/>
                    </w:rPr>
                  </w:pPr>
                  <w:r>
                    <w:rPr>
                      <w:color w:val="auto"/>
                      <w:kern w:val="0"/>
                      <w:szCs w:val="21"/>
                      <w:lang w:bidi="ar"/>
                    </w:rPr>
                    <w:t>/</w:t>
                  </w:r>
                </w:p>
              </w:tc>
              <w:tc>
                <w:tcPr>
                  <w:tcW w:w="744" w:type="dxa"/>
                  <w:vMerge w:val="restart"/>
                  <w:vAlign w:val="center"/>
                </w:tcPr>
                <w:p w14:paraId="4172EB50">
                  <w:pPr>
                    <w:widowControl/>
                    <w:jc w:val="center"/>
                    <w:textAlignment w:val="center"/>
                    <w:rPr>
                      <w:color w:val="auto"/>
                      <w:szCs w:val="21"/>
                    </w:rPr>
                  </w:pPr>
                  <w:r>
                    <w:rPr>
                      <w:rFonts w:hint="eastAsia"/>
                      <w:color w:val="auto"/>
                      <w:kern w:val="0"/>
                      <w:szCs w:val="21"/>
                      <w:lang w:bidi="ar"/>
                    </w:rPr>
                    <w:t>10</w:t>
                  </w:r>
                </w:p>
              </w:tc>
              <w:tc>
                <w:tcPr>
                  <w:tcW w:w="1005" w:type="dxa"/>
                  <w:vAlign w:val="center"/>
                </w:tcPr>
                <w:p w14:paraId="70BA2377">
                  <w:pPr>
                    <w:widowControl/>
                    <w:jc w:val="center"/>
                    <w:textAlignment w:val="center"/>
                    <w:rPr>
                      <w:color w:val="auto"/>
                      <w:szCs w:val="21"/>
                    </w:rPr>
                  </w:pPr>
                  <w:r>
                    <w:rPr>
                      <w:color w:val="auto"/>
                      <w:kern w:val="0"/>
                      <w:szCs w:val="21"/>
                      <w:lang w:bidi="ar"/>
                    </w:rPr>
                    <w:t xml:space="preserve">1.23 </w:t>
                  </w:r>
                </w:p>
              </w:tc>
              <w:tc>
                <w:tcPr>
                  <w:tcW w:w="1031" w:type="dxa"/>
                  <w:vMerge w:val="restart"/>
                  <w:vAlign w:val="center"/>
                </w:tcPr>
                <w:p w14:paraId="2FEF9068">
                  <w:pPr>
                    <w:widowControl/>
                    <w:jc w:val="center"/>
                    <w:textAlignment w:val="center"/>
                    <w:rPr>
                      <w:color w:val="auto"/>
                      <w:szCs w:val="21"/>
                    </w:rPr>
                  </w:pPr>
                  <w:r>
                    <w:rPr>
                      <w:color w:val="auto"/>
                      <w:kern w:val="0"/>
                      <w:szCs w:val="21"/>
                      <w:lang w:bidi="ar"/>
                    </w:rPr>
                    <w:t>40.56</w:t>
                  </w:r>
                </w:p>
              </w:tc>
              <w:tc>
                <w:tcPr>
                  <w:tcW w:w="1022" w:type="dxa"/>
                  <w:vMerge w:val="restart"/>
                  <w:vAlign w:val="center"/>
                </w:tcPr>
                <w:p w14:paraId="1483A925">
                  <w:pPr>
                    <w:widowControl/>
                    <w:jc w:val="center"/>
                    <w:textAlignment w:val="center"/>
                    <w:rPr>
                      <w:color w:val="auto"/>
                      <w:szCs w:val="21"/>
                    </w:rPr>
                  </w:pPr>
                  <w:r>
                    <w:rPr>
                      <w:color w:val="auto"/>
                      <w:kern w:val="0"/>
                      <w:szCs w:val="21"/>
                      <w:lang w:bidi="ar"/>
                    </w:rPr>
                    <w:t>/</w:t>
                  </w:r>
                </w:p>
              </w:tc>
            </w:tr>
            <w:tr w14:paraId="539AA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vMerge w:val="continue"/>
                  <w:vAlign w:val="center"/>
                </w:tcPr>
                <w:p w14:paraId="0DDB4C85">
                  <w:pPr>
                    <w:widowControl/>
                    <w:jc w:val="center"/>
                    <w:textAlignment w:val="center"/>
                    <w:rPr>
                      <w:color w:val="auto"/>
                      <w:kern w:val="0"/>
                      <w:szCs w:val="21"/>
                      <w:lang w:bidi="ar"/>
                    </w:rPr>
                  </w:pPr>
                </w:p>
              </w:tc>
              <w:tc>
                <w:tcPr>
                  <w:tcW w:w="1023" w:type="dxa"/>
                  <w:vMerge w:val="continue"/>
                  <w:vAlign w:val="center"/>
                </w:tcPr>
                <w:p w14:paraId="311334E0">
                  <w:pPr>
                    <w:widowControl/>
                    <w:jc w:val="center"/>
                    <w:textAlignment w:val="center"/>
                    <w:rPr>
                      <w:color w:val="auto"/>
                      <w:kern w:val="0"/>
                      <w:szCs w:val="21"/>
                      <w:lang w:bidi="ar"/>
                    </w:rPr>
                  </w:pPr>
                </w:p>
              </w:tc>
              <w:tc>
                <w:tcPr>
                  <w:tcW w:w="989" w:type="dxa"/>
                  <w:vAlign w:val="center"/>
                </w:tcPr>
                <w:p w14:paraId="48E055CF">
                  <w:pPr>
                    <w:widowControl/>
                    <w:jc w:val="center"/>
                    <w:textAlignment w:val="center"/>
                    <w:rPr>
                      <w:color w:val="auto"/>
                      <w:kern w:val="0"/>
                      <w:szCs w:val="21"/>
                      <w:lang w:bidi="ar"/>
                    </w:rPr>
                  </w:pPr>
                  <w:r>
                    <w:rPr>
                      <w:color w:val="auto"/>
                      <w:kern w:val="0"/>
                      <w:szCs w:val="21"/>
                      <w:lang w:bidi="ar"/>
                    </w:rPr>
                    <w:t>促进剂</w:t>
                  </w:r>
                </w:p>
              </w:tc>
              <w:tc>
                <w:tcPr>
                  <w:tcW w:w="922" w:type="dxa"/>
                  <w:vAlign w:val="center"/>
                </w:tcPr>
                <w:p w14:paraId="6148B745">
                  <w:pPr>
                    <w:widowControl/>
                    <w:jc w:val="center"/>
                    <w:textAlignment w:val="center"/>
                    <w:rPr>
                      <w:color w:val="auto"/>
                      <w:kern w:val="0"/>
                      <w:szCs w:val="21"/>
                      <w:lang w:bidi="ar"/>
                    </w:rPr>
                  </w:pPr>
                  <w:r>
                    <w:rPr>
                      <w:rFonts w:hint="eastAsia"/>
                      <w:color w:val="auto"/>
                      <w:kern w:val="0"/>
                      <w:szCs w:val="21"/>
                      <w:lang w:bidi="ar"/>
                    </w:rPr>
                    <w:t>12.5</w:t>
                  </w:r>
                </w:p>
              </w:tc>
              <w:tc>
                <w:tcPr>
                  <w:tcW w:w="1100" w:type="dxa"/>
                  <w:vAlign w:val="center"/>
                </w:tcPr>
                <w:p w14:paraId="3DABC070">
                  <w:pPr>
                    <w:widowControl/>
                    <w:jc w:val="center"/>
                    <w:textAlignment w:val="center"/>
                    <w:rPr>
                      <w:color w:val="auto"/>
                      <w:kern w:val="0"/>
                      <w:szCs w:val="21"/>
                      <w:lang w:bidi="ar"/>
                    </w:rPr>
                  </w:pPr>
                  <w:r>
                    <w:rPr>
                      <w:color w:val="auto"/>
                      <w:kern w:val="0"/>
                      <w:szCs w:val="21"/>
                      <w:lang w:bidi="ar"/>
                    </w:rPr>
                    <w:t>0.0</w:t>
                  </w:r>
                  <w:r>
                    <w:rPr>
                      <w:rFonts w:hint="eastAsia"/>
                      <w:color w:val="auto"/>
                      <w:kern w:val="0"/>
                      <w:szCs w:val="21"/>
                      <w:lang w:bidi="ar"/>
                    </w:rPr>
                    <w:t>5</w:t>
                  </w:r>
                </w:p>
              </w:tc>
              <w:tc>
                <w:tcPr>
                  <w:tcW w:w="1100" w:type="dxa"/>
                  <w:vMerge w:val="continue"/>
                  <w:vAlign w:val="center"/>
                </w:tcPr>
                <w:p w14:paraId="01025186">
                  <w:pPr>
                    <w:widowControl/>
                    <w:jc w:val="center"/>
                    <w:textAlignment w:val="center"/>
                    <w:rPr>
                      <w:color w:val="auto"/>
                      <w:kern w:val="0"/>
                      <w:szCs w:val="21"/>
                      <w:lang w:bidi="ar"/>
                    </w:rPr>
                  </w:pPr>
                </w:p>
              </w:tc>
              <w:tc>
                <w:tcPr>
                  <w:tcW w:w="1144" w:type="dxa"/>
                  <w:vMerge w:val="continue"/>
                  <w:vAlign w:val="center"/>
                </w:tcPr>
                <w:p w14:paraId="50FE2412">
                  <w:pPr>
                    <w:widowControl/>
                    <w:jc w:val="center"/>
                    <w:textAlignment w:val="center"/>
                    <w:rPr>
                      <w:color w:val="auto"/>
                      <w:kern w:val="0"/>
                      <w:szCs w:val="21"/>
                      <w:lang w:bidi="ar"/>
                    </w:rPr>
                  </w:pPr>
                </w:p>
              </w:tc>
              <w:tc>
                <w:tcPr>
                  <w:tcW w:w="1200" w:type="dxa"/>
                  <w:vMerge w:val="continue"/>
                  <w:vAlign w:val="center"/>
                </w:tcPr>
                <w:p w14:paraId="40BAAEB1">
                  <w:pPr>
                    <w:widowControl/>
                    <w:jc w:val="center"/>
                    <w:textAlignment w:val="center"/>
                    <w:rPr>
                      <w:color w:val="auto"/>
                      <w:kern w:val="0"/>
                      <w:szCs w:val="21"/>
                      <w:lang w:bidi="ar"/>
                    </w:rPr>
                  </w:pPr>
                </w:p>
              </w:tc>
              <w:tc>
                <w:tcPr>
                  <w:tcW w:w="1056" w:type="dxa"/>
                  <w:vMerge w:val="continue"/>
                  <w:vAlign w:val="center"/>
                </w:tcPr>
                <w:p w14:paraId="54CC8DAC">
                  <w:pPr>
                    <w:widowControl/>
                    <w:jc w:val="center"/>
                    <w:textAlignment w:val="center"/>
                    <w:rPr>
                      <w:color w:val="auto"/>
                      <w:kern w:val="0"/>
                      <w:szCs w:val="21"/>
                      <w:lang w:bidi="ar"/>
                    </w:rPr>
                  </w:pPr>
                </w:p>
              </w:tc>
              <w:tc>
                <w:tcPr>
                  <w:tcW w:w="1122" w:type="dxa"/>
                  <w:vAlign w:val="center"/>
                </w:tcPr>
                <w:p w14:paraId="4663E35D">
                  <w:pPr>
                    <w:widowControl/>
                    <w:jc w:val="center"/>
                    <w:textAlignment w:val="center"/>
                    <w:rPr>
                      <w:color w:val="auto"/>
                      <w:kern w:val="0"/>
                      <w:szCs w:val="21"/>
                      <w:lang w:bidi="ar"/>
                    </w:rPr>
                  </w:pPr>
                  <w:r>
                    <w:rPr>
                      <w:color w:val="auto"/>
                      <w:kern w:val="0"/>
                      <w:szCs w:val="21"/>
                      <w:lang w:bidi="ar"/>
                    </w:rPr>
                    <w:t xml:space="preserve">0.23 </w:t>
                  </w:r>
                </w:p>
              </w:tc>
              <w:tc>
                <w:tcPr>
                  <w:tcW w:w="1122" w:type="dxa"/>
                  <w:vMerge w:val="continue"/>
                  <w:vAlign w:val="center"/>
                </w:tcPr>
                <w:p w14:paraId="01164580">
                  <w:pPr>
                    <w:jc w:val="center"/>
                    <w:rPr>
                      <w:color w:val="auto"/>
                      <w:kern w:val="0"/>
                      <w:szCs w:val="21"/>
                      <w:lang w:bidi="ar"/>
                    </w:rPr>
                  </w:pPr>
                </w:p>
              </w:tc>
              <w:tc>
                <w:tcPr>
                  <w:tcW w:w="1022" w:type="dxa"/>
                  <w:vMerge w:val="continue"/>
                  <w:vAlign w:val="center"/>
                </w:tcPr>
                <w:p w14:paraId="4E74E364">
                  <w:pPr>
                    <w:jc w:val="center"/>
                    <w:rPr>
                      <w:color w:val="auto"/>
                      <w:kern w:val="0"/>
                      <w:szCs w:val="21"/>
                      <w:lang w:bidi="ar"/>
                    </w:rPr>
                  </w:pPr>
                </w:p>
              </w:tc>
              <w:tc>
                <w:tcPr>
                  <w:tcW w:w="1067" w:type="dxa"/>
                  <w:vAlign w:val="center"/>
                </w:tcPr>
                <w:p w14:paraId="75444D64">
                  <w:pPr>
                    <w:widowControl/>
                    <w:jc w:val="center"/>
                    <w:textAlignment w:val="center"/>
                    <w:rPr>
                      <w:color w:val="auto"/>
                      <w:kern w:val="0"/>
                      <w:szCs w:val="21"/>
                      <w:lang w:bidi="ar"/>
                    </w:rPr>
                  </w:pPr>
                  <w:r>
                    <w:rPr>
                      <w:color w:val="auto"/>
                      <w:kern w:val="0"/>
                      <w:szCs w:val="21"/>
                      <w:lang w:bidi="ar"/>
                    </w:rPr>
                    <w:t>/</w:t>
                  </w:r>
                </w:p>
              </w:tc>
              <w:tc>
                <w:tcPr>
                  <w:tcW w:w="1089" w:type="dxa"/>
                  <w:vMerge w:val="continue"/>
                  <w:vAlign w:val="center"/>
                </w:tcPr>
                <w:p w14:paraId="5859E75E">
                  <w:pPr>
                    <w:jc w:val="center"/>
                    <w:rPr>
                      <w:color w:val="auto"/>
                      <w:kern w:val="0"/>
                      <w:szCs w:val="21"/>
                      <w:lang w:bidi="ar"/>
                    </w:rPr>
                  </w:pPr>
                </w:p>
              </w:tc>
              <w:tc>
                <w:tcPr>
                  <w:tcW w:w="1100" w:type="dxa"/>
                  <w:vAlign w:val="center"/>
                </w:tcPr>
                <w:p w14:paraId="0C0DECAD">
                  <w:pPr>
                    <w:widowControl/>
                    <w:jc w:val="center"/>
                    <w:textAlignment w:val="center"/>
                    <w:rPr>
                      <w:b/>
                      <w:bCs/>
                      <w:color w:val="auto"/>
                      <w:kern w:val="0"/>
                      <w:szCs w:val="21"/>
                      <w:lang w:bidi="ar"/>
                    </w:rPr>
                  </w:pPr>
                  <w:r>
                    <w:rPr>
                      <w:color w:val="auto"/>
                      <w:kern w:val="0"/>
                      <w:szCs w:val="21"/>
                      <w:lang w:bidi="ar"/>
                    </w:rPr>
                    <w:t xml:space="preserve">0.005 </w:t>
                  </w:r>
                </w:p>
              </w:tc>
              <w:tc>
                <w:tcPr>
                  <w:tcW w:w="1100" w:type="dxa"/>
                  <w:vMerge w:val="continue"/>
                  <w:vAlign w:val="center"/>
                </w:tcPr>
                <w:p w14:paraId="0D3D4F11">
                  <w:pPr>
                    <w:jc w:val="center"/>
                    <w:rPr>
                      <w:color w:val="auto"/>
                      <w:kern w:val="0"/>
                      <w:szCs w:val="21"/>
                      <w:lang w:bidi="ar"/>
                    </w:rPr>
                  </w:pPr>
                </w:p>
              </w:tc>
              <w:tc>
                <w:tcPr>
                  <w:tcW w:w="718" w:type="dxa"/>
                  <w:vMerge w:val="continue"/>
                  <w:vAlign w:val="center"/>
                </w:tcPr>
                <w:p w14:paraId="040EE4B8">
                  <w:pPr>
                    <w:jc w:val="center"/>
                    <w:rPr>
                      <w:color w:val="auto"/>
                      <w:kern w:val="0"/>
                      <w:szCs w:val="21"/>
                      <w:lang w:bidi="ar"/>
                    </w:rPr>
                  </w:pPr>
                </w:p>
              </w:tc>
              <w:tc>
                <w:tcPr>
                  <w:tcW w:w="744" w:type="dxa"/>
                  <w:vMerge w:val="continue"/>
                  <w:vAlign w:val="center"/>
                </w:tcPr>
                <w:p w14:paraId="4A691A65">
                  <w:pPr>
                    <w:jc w:val="center"/>
                    <w:rPr>
                      <w:color w:val="auto"/>
                      <w:kern w:val="0"/>
                      <w:szCs w:val="21"/>
                      <w:lang w:bidi="ar"/>
                    </w:rPr>
                  </w:pPr>
                </w:p>
              </w:tc>
              <w:tc>
                <w:tcPr>
                  <w:tcW w:w="1005" w:type="dxa"/>
                  <w:vAlign w:val="center"/>
                </w:tcPr>
                <w:p w14:paraId="3D266D55">
                  <w:pPr>
                    <w:widowControl/>
                    <w:jc w:val="center"/>
                    <w:textAlignment w:val="center"/>
                    <w:rPr>
                      <w:color w:val="auto"/>
                      <w:kern w:val="0"/>
                      <w:szCs w:val="21"/>
                      <w:lang w:bidi="ar"/>
                    </w:rPr>
                  </w:pPr>
                  <w:r>
                    <w:rPr>
                      <w:color w:val="auto"/>
                      <w:kern w:val="0"/>
                      <w:szCs w:val="21"/>
                      <w:lang w:bidi="ar"/>
                    </w:rPr>
                    <w:t xml:space="preserve">0.280 </w:t>
                  </w:r>
                </w:p>
              </w:tc>
              <w:tc>
                <w:tcPr>
                  <w:tcW w:w="1031" w:type="dxa"/>
                  <w:vMerge w:val="continue"/>
                  <w:vAlign w:val="center"/>
                </w:tcPr>
                <w:p w14:paraId="063D2B27">
                  <w:pPr>
                    <w:jc w:val="center"/>
                    <w:rPr>
                      <w:color w:val="auto"/>
                      <w:kern w:val="0"/>
                      <w:szCs w:val="21"/>
                      <w:lang w:bidi="ar"/>
                    </w:rPr>
                  </w:pPr>
                </w:p>
              </w:tc>
              <w:tc>
                <w:tcPr>
                  <w:tcW w:w="1022" w:type="dxa"/>
                  <w:vMerge w:val="continue"/>
                  <w:vAlign w:val="center"/>
                </w:tcPr>
                <w:p w14:paraId="73AD1F67">
                  <w:pPr>
                    <w:jc w:val="center"/>
                    <w:rPr>
                      <w:color w:val="auto"/>
                      <w:kern w:val="0"/>
                      <w:szCs w:val="21"/>
                      <w:lang w:bidi="ar"/>
                    </w:rPr>
                  </w:pPr>
                </w:p>
              </w:tc>
            </w:tr>
            <w:tr w14:paraId="4AFB3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34" w:type="dxa"/>
                  <w:vMerge w:val="restart"/>
                  <w:vAlign w:val="center"/>
                </w:tcPr>
                <w:p w14:paraId="6E1FCDD3">
                  <w:pPr>
                    <w:widowControl/>
                    <w:jc w:val="center"/>
                    <w:textAlignment w:val="center"/>
                    <w:rPr>
                      <w:color w:val="auto"/>
                      <w:szCs w:val="21"/>
                    </w:rPr>
                  </w:pPr>
                  <w:r>
                    <w:rPr>
                      <w:color w:val="auto"/>
                      <w:kern w:val="0"/>
                      <w:szCs w:val="21"/>
                      <w:lang w:bidi="ar"/>
                    </w:rPr>
                    <w:t>磷化槽</w:t>
                  </w:r>
                  <w:r>
                    <w:rPr>
                      <w:rFonts w:hint="eastAsia"/>
                      <w:color w:val="auto"/>
                      <w:kern w:val="0"/>
                      <w:szCs w:val="21"/>
                      <w:lang w:bidi="ar"/>
                    </w:rPr>
                    <w:t>2</w:t>
                  </w:r>
                </w:p>
              </w:tc>
              <w:tc>
                <w:tcPr>
                  <w:tcW w:w="1023" w:type="dxa"/>
                  <w:vMerge w:val="restart"/>
                  <w:vAlign w:val="center"/>
                </w:tcPr>
                <w:p w14:paraId="5527FA68">
                  <w:pPr>
                    <w:widowControl/>
                    <w:jc w:val="center"/>
                    <w:textAlignment w:val="center"/>
                    <w:rPr>
                      <w:color w:val="auto"/>
                      <w:szCs w:val="21"/>
                    </w:rPr>
                  </w:pPr>
                  <w:r>
                    <w:rPr>
                      <w:rFonts w:hint="eastAsia"/>
                      <w:color w:val="auto"/>
                      <w:szCs w:val="21"/>
                    </w:rPr>
                    <w:t>4</w:t>
                  </w:r>
                </w:p>
              </w:tc>
              <w:tc>
                <w:tcPr>
                  <w:tcW w:w="989" w:type="dxa"/>
                  <w:vAlign w:val="center"/>
                </w:tcPr>
                <w:p w14:paraId="79BE5134">
                  <w:pPr>
                    <w:widowControl/>
                    <w:jc w:val="center"/>
                    <w:textAlignment w:val="center"/>
                    <w:rPr>
                      <w:color w:val="auto"/>
                      <w:szCs w:val="21"/>
                    </w:rPr>
                  </w:pPr>
                  <w:r>
                    <w:rPr>
                      <w:color w:val="auto"/>
                      <w:kern w:val="0"/>
                      <w:szCs w:val="21"/>
                      <w:lang w:bidi="ar"/>
                    </w:rPr>
                    <w:t>磷化剂</w:t>
                  </w:r>
                </w:p>
              </w:tc>
              <w:tc>
                <w:tcPr>
                  <w:tcW w:w="922" w:type="dxa"/>
                  <w:vAlign w:val="center"/>
                </w:tcPr>
                <w:p w14:paraId="153E2789">
                  <w:pPr>
                    <w:widowControl/>
                    <w:jc w:val="center"/>
                    <w:textAlignment w:val="center"/>
                    <w:rPr>
                      <w:color w:val="auto"/>
                      <w:szCs w:val="21"/>
                    </w:rPr>
                  </w:pPr>
                  <w:r>
                    <w:rPr>
                      <w:rFonts w:hint="eastAsia"/>
                      <w:color w:val="auto"/>
                      <w:kern w:val="0"/>
                      <w:szCs w:val="21"/>
                      <w:lang w:bidi="ar"/>
                    </w:rPr>
                    <w:t>67.5</w:t>
                  </w:r>
                </w:p>
              </w:tc>
              <w:tc>
                <w:tcPr>
                  <w:tcW w:w="1100" w:type="dxa"/>
                  <w:vAlign w:val="center"/>
                </w:tcPr>
                <w:p w14:paraId="0C7F7F20">
                  <w:pPr>
                    <w:widowControl/>
                    <w:jc w:val="center"/>
                    <w:textAlignment w:val="center"/>
                    <w:rPr>
                      <w:color w:val="auto"/>
                      <w:szCs w:val="21"/>
                    </w:rPr>
                  </w:pPr>
                  <w:r>
                    <w:rPr>
                      <w:color w:val="auto"/>
                      <w:kern w:val="0"/>
                      <w:szCs w:val="21"/>
                      <w:lang w:bidi="ar"/>
                    </w:rPr>
                    <w:t>0.2</w:t>
                  </w:r>
                  <w:r>
                    <w:rPr>
                      <w:rFonts w:hint="eastAsia"/>
                      <w:color w:val="auto"/>
                      <w:kern w:val="0"/>
                      <w:szCs w:val="21"/>
                      <w:lang w:bidi="ar"/>
                    </w:rPr>
                    <w:t>7</w:t>
                  </w:r>
                </w:p>
              </w:tc>
              <w:tc>
                <w:tcPr>
                  <w:tcW w:w="1100" w:type="dxa"/>
                  <w:vMerge w:val="restart"/>
                  <w:vAlign w:val="center"/>
                </w:tcPr>
                <w:p w14:paraId="123CA5A0">
                  <w:pPr>
                    <w:widowControl/>
                    <w:jc w:val="center"/>
                    <w:textAlignment w:val="center"/>
                    <w:rPr>
                      <w:color w:val="auto"/>
                    </w:rPr>
                  </w:pPr>
                  <w:r>
                    <w:rPr>
                      <w:rFonts w:hint="eastAsia"/>
                      <w:color w:val="auto"/>
                      <w:kern w:val="0"/>
                      <w:szCs w:val="21"/>
                      <w:lang w:bidi="ar"/>
                    </w:rPr>
                    <w:t>3.752</w:t>
                  </w:r>
                </w:p>
              </w:tc>
              <w:tc>
                <w:tcPr>
                  <w:tcW w:w="1144" w:type="dxa"/>
                  <w:vMerge w:val="restart"/>
                  <w:vAlign w:val="center"/>
                </w:tcPr>
                <w:p w14:paraId="3BAAAB0A">
                  <w:pPr>
                    <w:widowControl/>
                    <w:jc w:val="center"/>
                    <w:textAlignment w:val="center"/>
                    <w:rPr>
                      <w:color w:val="auto"/>
                      <w:kern w:val="0"/>
                      <w:szCs w:val="21"/>
                      <w:lang w:bidi="ar"/>
                    </w:rPr>
                  </w:pPr>
                  <w:r>
                    <w:rPr>
                      <w:rFonts w:hint="eastAsia" w:eastAsiaTheme="minorEastAsia"/>
                      <w:color w:val="auto"/>
                      <w:kern w:val="0"/>
                      <w:szCs w:val="21"/>
                      <w:lang w:bidi="ar"/>
                    </w:rPr>
                    <w:t>10h/d，65d/a</w:t>
                  </w:r>
                </w:p>
              </w:tc>
              <w:tc>
                <w:tcPr>
                  <w:tcW w:w="1200" w:type="dxa"/>
                  <w:vMerge w:val="restart"/>
                  <w:vAlign w:val="center"/>
                </w:tcPr>
                <w:p w14:paraId="1D707627">
                  <w:pPr>
                    <w:widowControl/>
                    <w:jc w:val="center"/>
                    <w:textAlignment w:val="center"/>
                    <w:rPr>
                      <w:color w:val="auto"/>
                      <w:szCs w:val="21"/>
                    </w:rPr>
                  </w:pPr>
                  <w:r>
                    <w:rPr>
                      <w:rFonts w:hint="eastAsia"/>
                      <w:color w:val="auto"/>
                      <w:kern w:val="0"/>
                      <w:szCs w:val="21"/>
                      <w:lang w:bidi="ar"/>
                    </w:rPr>
                    <w:t>0.1</w:t>
                  </w:r>
                </w:p>
              </w:tc>
              <w:tc>
                <w:tcPr>
                  <w:tcW w:w="1056" w:type="dxa"/>
                  <w:vMerge w:val="restart"/>
                  <w:vAlign w:val="center"/>
                </w:tcPr>
                <w:p w14:paraId="7E716FA2">
                  <w:pPr>
                    <w:widowControl/>
                    <w:jc w:val="center"/>
                    <w:textAlignment w:val="center"/>
                    <w:rPr>
                      <w:color w:val="auto"/>
                      <w:szCs w:val="21"/>
                    </w:rPr>
                  </w:pPr>
                  <w:r>
                    <w:rPr>
                      <w:color w:val="auto"/>
                      <w:kern w:val="0"/>
                      <w:szCs w:val="21"/>
                      <w:lang w:bidi="ar"/>
                    </w:rPr>
                    <w:t>108565.2</w:t>
                  </w:r>
                </w:p>
              </w:tc>
              <w:tc>
                <w:tcPr>
                  <w:tcW w:w="1122" w:type="dxa"/>
                  <w:vAlign w:val="center"/>
                </w:tcPr>
                <w:p w14:paraId="60D4A644">
                  <w:pPr>
                    <w:widowControl/>
                    <w:jc w:val="center"/>
                    <w:textAlignment w:val="center"/>
                    <w:rPr>
                      <w:color w:val="auto"/>
                      <w:szCs w:val="21"/>
                    </w:rPr>
                  </w:pPr>
                  <w:r>
                    <w:rPr>
                      <w:color w:val="auto"/>
                      <w:kern w:val="0"/>
                      <w:szCs w:val="21"/>
                      <w:lang w:bidi="ar"/>
                    </w:rPr>
                    <w:t xml:space="preserve">0.55 </w:t>
                  </w:r>
                </w:p>
              </w:tc>
              <w:tc>
                <w:tcPr>
                  <w:tcW w:w="1122" w:type="dxa"/>
                  <w:vMerge w:val="restart"/>
                  <w:vAlign w:val="center"/>
                </w:tcPr>
                <w:p w14:paraId="58FB67D4">
                  <w:pPr>
                    <w:widowControl/>
                    <w:jc w:val="center"/>
                    <w:textAlignment w:val="center"/>
                    <w:rPr>
                      <w:color w:val="auto"/>
                      <w:szCs w:val="21"/>
                    </w:rPr>
                  </w:pPr>
                  <w:r>
                    <w:rPr>
                      <w:color w:val="auto"/>
                      <w:kern w:val="0"/>
                      <w:szCs w:val="21"/>
                      <w:lang w:bidi="ar"/>
                    </w:rPr>
                    <w:t>5.2</w:t>
                  </w:r>
                </w:p>
              </w:tc>
              <w:tc>
                <w:tcPr>
                  <w:tcW w:w="1022" w:type="dxa"/>
                  <w:vMerge w:val="restart"/>
                  <w:vAlign w:val="center"/>
                </w:tcPr>
                <w:p w14:paraId="3FCB03C9">
                  <w:pPr>
                    <w:widowControl/>
                    <w:jc w:val="center"/>
                    <w:textAlignment w:val="center"/>
                    <w:rPr>
                      <w:color w:val="auto"/>
                      <w:szCs w:val="21"/>
                    </w:rPr>
                  </w:pPr>
                  <w:r>
                    <w:rPr>
                      <w:color w:val="auto"/>
                      <w:kern w:val="0"/>
                      <w:szCs w:val="21"/>
                      <w:lang w:bidi="ar"/>
                    </w:rPr>
                    <w:t xml:space="preserve">15.6 </w:t>
                  </w:r>
                </w:p>
              </w:tc>
              <w:tc>
                <w:tcPr>
                  <w:tcW w:w="1067" w:type="dxa"/>
                  <w:vAlign w:val="center"/>
                </w:tcPr>
                <w:p w14:paraId="6A5D12B4">
                  <w:pPr>
                    <w:widowControl/>
                    <w:jc w:val="center"/>
                    <w:textAlignment w:val="center"/>
                    <w:rPr>
                      <w:color w:val="auto"/>
                      <w:szCs w:val="21"/>
                    </w:rPr>
                  </w:pPr>
                  <w:r>
                    <w:rPr>
                      <w:color w:val="auto"/>
                      <w:kern w:val="0"/>
                      <w:szCs w:val="21"/>
                      <w:lang w:bidi="ar"/>
                    </w:rPr>
                    <w:t>/</w:t>
                  </w:r>
                </w:p>
              </w:tc>
              <w:tc>
                <w:tcPr>
                  <w:tcW w:w="1089" w:type="dxa"/>
                  <w:vMerge w:val="restart"/>
                  <w:vAlign w:val="center"/>
                </w:tcPr>
                <w:p w14:paraId="0FA377AF">
                  <w:pPr>
                    <w:widowControl/>
                    <w:jc w:val="center"/>
                    <w:textAlignment w:val="center"/>
                    <w:rPr>
                      <w:color w:val="auto"/>
                      <w:szCs w:val="21"/>
                    </w:rPr>
                  </w:pPr>
                  <w:r>
                    <w:rPr>
                      <w:color w:val="auto"/>
                      <w:kern w:val="0"/>
                      <w:szCs w:val="21"/>
                      <w:lang w:bidi="ar"/>
                    </w:rPr>
                    <w:t>/</w:t>
                  </w:r>
                </w:p>
              </w:tc>
              <w:tc>
                <w:tcPr>
                  <w:tcW w:w="1100" w:type="dxa"/>
                  <w:vAlign w:val="center"/>
                </w:tcPr>
                <w:p w14:paraId="0D332475">
                  <w:pPr>
                    <w:widowControl/>
                    <w:jc w:val="center"/>
                    <w:textAlignment w:val="center"/>
                    <w:rPr>
                      <w:b/>
                      <w:bCs/>
                      <w:color w:val="auto"/>
                      <w:szCs w:val="21"/>
                    </w:rPr>
                  </w:pPr>
                  <w:r>
                    <w:rPr>
                      <w:color w:val="auto"/>
                      <w:kern w:val="0"/>
                      <w:szCs w:val="21"/>
                      <w:lang w:bidi="ar"/>
                    </w:rPr>
                    <w:t>0.027</w:t>
                  </w:r>
                </w:p>
              </w:tc>
              <w:tc>
                <w:tcPr>
                  <w:tcW w:w="1100" w:type="dxa"/>
                  <w:vMerge w:val="restart"/>
                  <w:vAlign w:val="center"/>
                </w:tcPr>
                <w:p w14:paraId="7E0A5299">
                  <w:pPr>
                    <w:widowControl/>
                    <w:jc w:val="center"/>
                    <w:textAlignment w:val="center"/>
                    <w:rPr>
                      <w:color w:val="auto"/>
                      <w:szCs w:val="21"/>
                    </w:rPr>
                  </w:pPr>
                  <w:r>
                    <w:rPr>
                      <w:color w:val="auto"/>
                      <w:kern w:val="0"/>
                      <w:szCs w:val="21"/>
                      <w:lang w:bidi="ar"/>
                    </w:rPr>
                    <w:t xml:space="preserve">0.3752 </w:t>
                  </w:r>
                </w:p>
              </w:tc>
              <w:tc>
                <w:tcPr>
                  <w:tcW w:w="718" w:type="dxa"/>
                  <w:vMerge w:val="restart"/>
                  <w:vAlign w:val="center"/>
                </w:tcPr>
                <w:p w14:paraId="6D0FBD54">
                  <w:pPr>
                    <w:widowControl/>
                    <w:jc w:val="center"/>
                    <w:textAlignment w:val="center"/>
                    <w:rPr>
                      <w:color w:val="auto"/>
                      <w:szCs w:val="21"/>
                    </w:rPr>
                  </w:pPr>
                  <w:r>
                    <w:rPr>
                      <w:color w:val="auto"/>
                      <w:kern w:val="0"/>
                      <w:szCs w:val="21"/>
                      <w:lang w:bidi="ar"/>
                    </w:rPr>
                    <w:t>/</w:t>
                  </w:r>
                </w:p>
              </w:tc>
              <w:tc>
                <w:tcPr>
                  <w:tcW w:w="744" w:type="dxa"/>
                  <w:vMerge w:val="restart"/>
                  <w:vAlign w:val="center"/>
                </w:tcPr>
                <w:p w14:paraId="0FDF2233">
                  <w:pPr>
                    <w:widowControl/>
                    <w:jc w:val="center"/>
                    <w:textAlignment w:val="center"/>
                    <w:rPr>
                      <w:color w:val="auto"/>
                      <w:szCs w:val="21"/>
                    </w:rPr>
                  </w:pPr>
                  <w:r>
                    <w:rPr>
                      <w:rFonts w:hint="eastAsia"/>
                      <w:color w:val="auto"/>
                      <w:kern w:val="0"/>
                      <w:szCs w:val="21"/>
                      <w:lang w:bidi="ar"/>
                    </w:rPr>
                    <w:t>2</w:t>
                  </w:r>
                </w:p>
              </w:tc>
              <w:tc>
                <w:tcPr>
                  <w:tcW w:w="1005" w:type="dxa"/>
                  <w:vAlign w:val="center"/>
                </w:tcPr>
                <w:p w14:paraId="7E2FBA8B">
                  <w:pPr>
                    <w:widowControl/>
                    <w:jc w:val="center"/>
                    <w:textAlignment w:val="center"/>
                    <w:rPr>
                      <w:color w:val="auto"/>
                      <w:szCs w:val="21"/>
                    </w:rPr>
                  </w:pPr>
                  <w:r>
                    <w:rPr>
                      <w:color w:val="auto"/>
                      <w:kern w:val="0"/>
                      <w:szCs w:val="21"/>
                      <w:lang w:bidi="ar"/>
                    </w:rPr>
                    <w:t xml:space="preserve">0.61 </w:t>
                  </w:r>
                </w:p>
              </w:tc>
              <w:tc>
                <w:tcPr>
                  <w:tcW w:w="1031" w:type="dxa"/>
                  <w:vMerge w:val="restart"/>
                  <w:vAlign w:val="center"/>
                </w:tcPr>
                <w:p w14:paraId="0814534C">
                  <w:pPr>
                    <w:widowControl/>
                    <w:jc w:val="center"/>
                    <w:textAlignment w:val="center"/>
                    <w:rPr>
                      <w:color w:val="auto"/>
                      <w:szCs w:val="21"/>
                    </w:rPr>
                  </w:pPr>
                  <w:r>
                    <w:rPr>
                      <w:color w:val="auto"/>
                      <w:kern w:val="0"/>
                      <w:szCs w:val="21"/>
                      <w:lang w:bidi="ar"/>
                    </w:rPr>
                    <w:t>16.32</w:t>
                  </w:r>
                </w:p>
              </w:tc>
              <w:tc>
                <w:tcPr>
                  <w:tcW w:w="1022" w:type="dxa"/>
                  <w:vMerge w:val="restart"/>
                  <w:vAlign w:val="center"/>
                </w:tcPr>
                <w:p w14:paraId="0ECC3433">
                  <w:pPr>
                    <w:widowControl/>
                    <w:jc w:val="center"/>
                    <w:textAlignment w:val="center"/>
                    <w:rPr>
                      <w:color w:val="auto"/>
                      <w:szCs w:val="21"/>
                    </w:rPr>
                  </w:pPr>
                  <w:r>
                    <w:rPr>
                      <w:color w:val="auto"/>
                      <w:kern w:val="0"/>
                      <w:szCs w:val="21"/>
                      <w:lang w:bidi="ar"/>
                    </w:rPr>
                    <w:t>/</w:t>
                  </w:r>
                </w:p>
              </w:tc>
            </w:tr>
            <w:tr w14:paraId="5CC0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134" w:type="dxa"/>
                  <w:vMerge w:val="continue"/>
                  <w:vAlign w:val="center"/>
                </w:tcPr>
                <w:p w14:paraId="2222F095">
                  <w:pPr>
                    <w:jc w:val="center"/>
                    <w:rPr>
                      <w:color w:val="auto"/>
                      <w:szCs w:val="21"/>
                    </w:rPr>
                  </w:pPr>
                </w:p>
              </w:tc>
              <w:tc>
                <w:tcPr>
                  <w:tcW w:w="1023" w:type="dxa"/>
                  <w:vMerge w:val="continue"/>
                  <w:vAlign w:val="center"/>
                </w:tcPr>
                <w:p w14:paraId="31744744">
                  <w:pPr>
                    <w:jc w:val="center"/>
                    <w:rPr>
                      <w:color w:val="auto"/>
                      <w:szCs w:val="21"/>
                    </w:rPr>
                  </w:pPr>
                </w:p>
              </w:tc>
              <w:tc>
                <w:tcPr>
                  <w:tcW w:w="989" w:type="dxa"/>
                  <w:vAlign w:val="center"/>
                </w:tcPr>
                <w:p w14:paraId="54DECBF3">
                  <w:pPr>
                    <w:widowControl/>
                    <w:jc w:val="center"/>
                    <w:textAlignment w:val="center"/>
                    <w:rPr>
                      <w:color w:val="auto"/>
                      <w:szCs w:val="21"/>
                    </w:rPr>
                  </w:pPr>
                  <w:r>
                    <w:rPr>
                      <w:color w:val="auto"/>
                      <w:kern w:val="0"/>
                      <w:szCs w:val="21"/>
                      <w:lang w:bidi="ar"/>
                    </w:rPr>
                    <w:t>促进剂</w:t>
                  </w:r>
                </w:p>
              </w:tc>
              <w:tc>
                <w:tcPr>
                  <w:tcW w:w="922" w:type="dxa"/>
                  <w:vAlign w:val="center"/>
                </w:tcPr>
                <w:p w14:paraId="024317BA">
                  <w:pPr>
                    <w:widowControl/>
                    <w:jc w:val="center"/>
                    <w:textAlignment w:val="center"/>
                    <w:rPr>
                      <w:color w:val="auto"/>
                      <w:kern w:val="0"/>
                      <w:szCs w:val="21"/>
                      <w:lang w:bidi="ar"/>
                    </w:rPr>
                  </w:pPr>
                  <w:r>
                    <w:rPr>
                      <w:rFonts w:hint="eastAsia"/>
                      <w:color w:val="auto"/>
                      <w:kern w:val="0"/>
                      <w:szCs w:val="21"/>
                      <w:lang w:bidi="ar"/>
                    </w:rPr>
                    <w:t>12.5</w:t>
                  </w:r>
                </w:p>
              </w:tc>
              <w:tc>
                <w:tcPr>
                  <w:tcW w:w="1100" w:type="dxa"/>
                  <w:vAlign w:val="center"/>
                </w:tcPr>
                <w:p w14:paraId="62F1E401">
                  <w:pPr>
                    <w:widowControl/>
                    <w:jc w:val="center"/>
                    <w:textAlignment w:val="center"/>
                    <w:rPr>
                      <w:color w:val="auto"/>
                      <w:szCs w:val="21"/>
                    </w:rPr>
                  </w:pPr>
                  <w:r>
                    <w:rPr>
                      <w:color w:val="auto"/>
                      <w:kern w:val="0"/>
                      <w:szCs w:val="21"/>
                      <w:lang w:bidi="ar"/>
                    </w:rPr>
                    <w:t>0.0</w:t>
                  </w:r>
                  <w:r>
                    <w:rPr>
                      <w:rFonts w:hint="eastAsia"/>
                      <w:color w:val="auto"/>
                      <w:kern w:val="0"/>
                      <w:szCs w:val="21"/>
                      <w:lang w:bidi="ar"/>
                    </w:rPr>
                    <w:t>5</w:t>
                  </w:r>
                </w:p>
              </w:tc>
              <w:tc>
                <w:tcPr>
                  <w:tcW w:w="1100" w:type="dxa"/>
                  <w:vMerge w:val="continue"/>
                  <w:vAlign w:val="center"/>
                </w:tcPr>
                <w:p w14:paraId="74C4E55C">
                  <w:pPr>
                    <w:jc w:val="center"/>
                    <w:rPr>
                      <w:color w:val="auto"/>
                      <w:szCs w:val="21"/>
                    </w:rPr>
                  </w:pPr>
                </w:p>
              </w:tc>
              <w:tc>
                <w:tcPr>
                  <w:tcW w:w="1144" w:type="dxa"/>
                  <w:vMerge w:val="continue"/>
                  <w:vAlign w:val="center"/>
                </w:tcPr>
                <w:p w14:paraId="409FF9F3">
                  <w:pPr>
                    <w:jc w:val="center"/>
                    <w:rPr>
                      <w:color w:val="auto"/>
                      <w:szCs w:val="21"/>
                    </w:rPr>
                  </w:pPr>
                </w:p>
              </w:tc>
              <w:tc>
                <w:tcPr>
                  <w:tcW w:w="1200" w:type="dxa"/>
                  <w:vMerge w:val="continue"/>
                  <w:vAlign w:val="center"/>
                </w:tcPr>
                <w:p w14:paraId="5444BF1C">
                  <w:pPr>
                    <w:jc w:val="center"/>
                    <w:rPr>
                      <w:color w:val="auto"/>
                      <w:szCs w:val="21"/>
                    </w:rPr>
                  </w:pPr>
                </w:p>
              </w:tc>
              <w:tc>
                <w:tcPr>
                  <w:tcW w:w="1056" w:type="dxa"/>
                  <w:vMerge w:val="continue"/>
                  <w:vAlign w:val="center"/>
                </w:tcPr>
                <w:p w14:paraId="6C647B39">
                  <w:pPr>
                    <w:jc w:val="center"/>
                    <w:rPr>
                      <w:color w:val="auto"/>
                      <w:szCs w:val="21"/>
                    </w:rPr>
                  </w:pPr>
                </w:p>
              </w:tc>
              <w:tc>
                <w:tcPr>
                  <w:tcW w:w="1122" w:type="dxa"/>
                  <w:vAlign w:val="center"/>
                </w:tcPr>
                <w:p w14:paraId="65D822AE">
                  <w:pPr>
                    <w:widowControl/>
                    <w:jc w:val="center"/>
                    <w:textAlignment w:val="center"/>
                    <w:rPr>
                      <w:color w:val="auto"/>
                      <w:szCs w:val="21"/>
                    </w:rPr>
                  </w:pPr>
                  <w:r>
                    <w:rPr>
                      <w:color w:val="auto"/>
                      <w:kern w:val="0"/>
                      <w:szCs w:val="21"/>
                      <w:lang w:bidi="ar"/>
                    </w:rPr>
                    <w:t xml:space="preserve">0.13 </w:t>
                  </w:r>
                </w:p>
              </w:tc>
              <w:tc>
                <w:tcPr>
                  <w:tcW w:w="1122" w:type="dxa"/>
                  <w:vMerge w:val="continue"/>
                  <w:vAlign w:val="center"/>
                </w:tcPr>
                <w:p w14:paraId="2FB7597C">
                  <w:pPr>
                    <w:jc w:val="center"/>
                    <w:rPr>
                      <w:color w:val="auto"/>
                      <w:szCs w:val="21"/>
                    </w:rPr>
                  </w:pPr>
                </w:p>
              </w:tc>
              <w:tc>
                <w:tcPr>
                  <w:tcW w:w="1022" w:type="dxa"/>
                  <w:vMerge w:val="continue"/>
                  <w:vAlign w:val="center"/>
                </w:tcPr>
                <w:p w14:paraId="27F0AF95">
                  <w:pPr>
                    <w:jc w:val="center"/>
                    <w:rPr>
                      <w:color w:val="auto"/>
                      <w:szCs w:val="21"/>
                    </w:rPr>
                  </w:pPr>
                </w:p>
              </w:tc>
              <w:tc>
                <w:tcPr>
                  <w:tcW w:w="1067" w:type="dxa"/>
                  <w:vAlign w:val="center"/>
                </w:tcPr>
                <w:p w14:paraId="578CB02F">
                  <w:pPr>
                    <w:widowControl/>
                    <w:jc w:val="center"/>
                    <w:textAlignment w:val="center"/>
                    <w:rPr>
                      <w:color w:val="auto"/>
                      <w:szCs w:val="21"/>
                    </w:rPr>
                  </w:pPr>
                  <w:r>
                    <w:rPr>
                      <w:color w:val="auto"/>
                      <w:kern w:val="0"/>
                      <w:szCs w:val="21"/>
                      <w:lang w:bidi="ar"/>
                    </w:rPr>
                    <w:t>/</w:t>
                  </w:r>
                </w:p>
              </w:tc>
              <w:tc>
                <w:tcPr>
                  <w:tcW w:w="1089" w:type="dxa"/>
                  <w:vMerge w:val="continue"/>
                  <w:vAlign w:val="center"/>
                </w:tcPr>
                <w:p w14:paraId="4B4FD8BC">
                  <w:pPr>
                    <w:jc w:val="center"/>
                    <w:rPr>
                      <w:color w:val="auto"/>
                      <w:szCs w:val="21"/>
                    </w:rPr>
                  </w:pPr>
                </w:p>
              </w:tc>
              <w:tc>
                <w:tcPr>
                  <w:tcW w:w="1100" w:type="dxa"/>
                  <w:vAlign w:val="center"/>
                </w:tcPr>
                <w:p w14:paraId="513A8015">
                  <w:pPr>
                    <w:widowControl/>
                    <w:jc w:val="center"/>
                    <w:textAlignment w:val="center"/>
                    <w:rPr>
                      <w:b/>
                      <w:bCs/>
                      <w:color w:val="auto"/>
                      <w:szCs w:val="21"/>
                    </w:rPr>
                  </w:pPr>
                  <w:r>
                    <w:rPr>
                      <w:color w:val="auto"/>
                      <w:kern w:val="0"/>
                      <w:szCs w:val="21"/>
                      <w:lang w:bidi="ar"/>
                    </w:rPr>
                    <w:t>0.005</w:t>
                  </w:r>
                </w:p>
              </w:tc>
              <w:tc>
                <w:tcPr>
                  <w:tcW w:w="1100" w:type="dxa"/>
                  <w:vMerge w:val="continue"/>
                  <w:vAlign w:val="center"/>
                </w:tcPr>
                <w:p w14:paraId="4C509306">
                  <w:pPr>
                    <w:jc w:val="center"/>
                    <w:rPr>
                      <w:color w:val="auto"/>
                      <w:szCs w:val="21"/>
                    </w:rPr>
                  </w:pPr>
                </w:p>
              </w:tc>
              <w:tc>
                <w:tcPr>
                  <w:tcW w:w="718" w:type="dxa"/>
                  <w:vMerge w:val="continue"/>
                  <w:vAlign w:val="center"/>
                </w:tcPr>
                <w:p w14:paraId="4A252E83">
                  <w:pPr>
                    <w:jc w:val="center"/>
                    <w:rPr>
                      <w:color w:val="auto"/>
                      <w:szCs w:val="21"/>
                    </w:rPr>
                  </w:pPr>
                </w:p>
              </w:tc>
              <w:tc>
                <w:tcPr>
                  <w:tcW w:w="744" w:type="dxa"/>
                  <w:vMerge w:val="continue"/>
                  <w:vAlign w:val="center"/>
                </w:tcPr>
                <w:p w14:paraId="0F762F8F">
                  <w:pPr>
                    <w:jc w:val="center"/>
                    <w:rPr>
                      <w:color w:val="auto"/>
                      <w:szCs w:val="21"/>
                    </w:rPr>
                  </w:pPr>
                </w:p>
              </w:tc>
              <w:tc>
                <w:tcPr>
                  <w:tcW w:w="1005" w:type="dxa"/>
                  <w:vAlign w:val="center"/>
                </w:tcPr>
                <w:p w14:paraId="440B3DDE">
                  <w:pPr>
                    <w:widowControl/>
                    <w:jc w:val="center"/>
                    <w:textAlignment w:val="center"/>
                    <w:rPr>
                      <w:color w:val="auto"/>
                      <w:szCs w:val="21"/>
                    </w:rPr>
                  </w:pPr>
                  <w:r>
                    <w:rPr>
                      <w:color w:val="auto"/>
                      <w:kern w:val="0"/>
                      <w:szCs w:val="21"/>
                      <w:lang w:bidi="ar"/>
                    </w:rPr>
                    <w:t xml:space="preserve">0.143 </w:t>
                  </w:r>
                </w:p>
              </w:tc>
              <w:tc>
                <w:tcPr>
                  <w:tcW w:w="1031" w:type="dxa"/>
                  <w:vMerge w:val="continue"/>
                  <w:vAlign w:val="center"/>
                </w:tcPr>
                <w:p w14:paraId="7E513AF9">
                  <w:pPr>
                    <w:jc w:val="center"/>
                    <w:rPr>
                      <w:color w:val="auto"/>
                      <w:szCs w:val="21"/>
                    </w:rPr>
                  </w:pPr>
                </w:p>
              </w:tc>
              <w:tc>
                <w:tcPr>
                  <w:tcW w:w="1022" w:type="dxa"/>
                  <w:vMerge w:val="continue"/>
                  <w:vAlign w:val="center"/>
                </w:tcPr>
                <w:p w14:paraId="0D504DAF">
                  <w:pPr>
                    <w:jc w:val="center"/>
                    <w:rPr>
                      <w:color w:val="auto"/>
                      <w:szCs w:val="21"/>
                    </w:rPr>
                  </w:pPr>
                </w:p>
              </w:tc>
            </w:tr>
            <w:tr w14:paraId="07E3F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9757" w:type="dxa"/>
                  <w:gridSpan w:val="19"/>
                  <w:vAlign w:val="center"/>
                </w:tcPr>
                <w:p w14:paraId="6EDED70C">
                  <w:pPr>
                    <w:widowControl/>
                    <w:jc w:val="center"/>
                    <w:textAlignment w:val="center"/>
                    <w:rPr>
                      <w:color w:val="auto"/>
                      <w:szCs w:val="21"/>
                    </w:rPr>
                  </w:pPr>
                  <w:r>
                    <w:rPr>
                      <w:color w:val="auto"/>
                      <w:kern w:val="0"/>
                      <w:szCs w:val="21"/>
                      <w:lang w:bidi="ar"/>
                    </w:rPr>
                    <w:t>小计</w:t>
                  </w:r>
                </w:p>
              </w:tc>
              <w:tc>
                <w:tcPr>
                  <w:tcW w:w="1031" w:type="dxa"/>
                  <w:vAlign w:val="center"/>
                </w:tcPr>
                <w:p w14:paraId="75ECE204">
                  <w:pPr>
                    <w:widowControl/>
                    <w:jc w:val="center"/>
                    <w:textAlignment w:val="center"/>
                    <w:rPr>
                      <w:color w:val="auto"/>
                      <w:szCs w:val="21"/>
                    </w:rPr>
                  </w:pPr>
                  <w:r>
                    <w:rPr>
                      <w:color w:val="auto"/>
                      <w:kern w:val="0"/>
                      <w:sz w:val="22"/>
                      <w:szCs w:val="22"/>
                      <w:lang w:bidi="ar"/>
                    </w:rPr>
                    <w:t>241.91</w:t>
                  </w:r>
                </w:p>
              </w:tc>
              <w:tc>
                <w:tcPr>
                  <w:tcW w:w="1022" w:type="dxa"/>
                  <w:vAlign w:val="center"/>
                </w:tcPr>
                <w:p w14:paraId="1BA79AA2">
                  <w:pPr>
                    <w:widowControl/>
                    <w:jc w:val="center"/>
                    <w:textAlignment w:val="center"/>
                    <w:rPr>
                      <w:color w:val="auto"/>
                      <w:szCs w:val="21"/>
                    </w:rPr>
                  </w:pPr>
                  <w:r>
                    <w:rPr>
                      <w:rFonts w:hint="eastAsia"/>
                      <w:color w:val="auto"/>
                      <w:szCs w:val="21"/>
                    </w:rPr>
                    <w:t>40.51</w:t>
                  </w:r>
                </w:p>
              </w:tc>
            </w:tr>
            <w:tr w14:paraId="522DB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810" w:type="dxa"/>
                  <w:gridSpan w:val="21"/>
                  <w:vAlign w:val="center"/>
                </w:tcPr>
                <w:p w14:paraId="4EA05C2B">
                  <w:pPr>
                    <w:jc w:val="left"/>
                    <w:textAlignment w:val="center"/>
                    <w:rPr>
                      <w:rFonts w:eastAsiaTheme="minorEastAsia"/>
                      <w:color w:val="auto"/>
                      <w:kern w:val="0"/>
                      <w:szCs w:val="21"/>
                      <w:lang w:bidi="ar"/>
                    </w:rPr>
                  </w:pPr>
                  <w:r>
                    <w:rPr>
                      <w:rFonts w:eastAsiaTheme="minorEastAsia"/>
                      <w:color w:val="auto"/>
                      <w:kern w:val="0"/>
                      <w:szCs w:val="21"/>
                      <w:lang w:bidi="ar"/>
                    </w:rPr>
                    <w:t>注：1、</w:t>
                  </w:r>
                  <w:r>
                    <w:rPr>
                      <w:rFonts w:hint="eastAsia" w:eastAsiaTheme="minorEastAsia"/>
                      <w:color w:val="auto"/>
                      <w:kern w:val="0"/>
                      <w:szCs w:val="21"/>
                      <w:lang w:bidi="ar"/>
                    </w:rPr>
                    <w:t>除油槽药槽浓度为5%，除油粉用量为4t×5%=0.2t，单槽用水量=4-0.2t=3.8t；药槽浓度折算为0.2×1000000÷4m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÷1000=50g/L；药槽密度折算为（0.2+3.8）÷4=</w:t>
                  </w:r>
                  <w:r>
                    <w:rPr>
                      <w:rFonts w:eastAsiaTheme="minorEastAsia"/>
                      <w:color w:val="auto"/>
                      <w:kern w:val="0"/>
                      <w:szCs w:val="21"/>
                      <w:lang w:bidi="ar"/>
                    </w:rPr>
                    <w:t>1.0g/cm</w:t>
                  </w:r>
                  <w:r>
                    <w:rPr>
                      <w:rFonts w:eastAsiaTheme="minorEastAsia"/>
                      <w:color w:val="auto"/>
                      <w:kern w:val="0"/>
                      <w:szCs w:val="21"/>
                      <w:vertAlign w:val="superscript"/>
                      <w:lang w:bidi="ar"/>
                    </w:rPr>
                    <w:t>3</w:t>
                  </w:r>
                </w:p>
                <w:p w14:paraId="78FCC40B">
                  <w:pPr>
                    <w:numPr>
                      <w:ilvl w:val="0"/>
                      <w:numId w:val="14"/>
                    </w:numPr>
                    <w:jc w:val="left"/>
                    <w:textAlignment w:val="center"/>
                    <w:rPr>
                      <w:color w:val="auto"/>
                      <w:szCs w:val="21"/>
                    </w:rPr>
                  </w:pPr>
                  <w:r>
                    <w:rPr>
                      <w:rFonts w:hint="eastAsia" w:eastAsiaTheme="minorEastAsia"/>
                      <w:color w:val="auto"/>
                      <w:kern w:val="0"/>
                      <w:szCs w:val="21"/>
                      <w:lang w:bidi="ar"/>
                    </w:rPr>
                    <w:t>除锈槽药槽浓度为10%，硫酸用量为4m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×10%÷98%=0.408m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，硫酸密度</w:t>
                  </w:r>
                  <w:r>
                    <w:rPr>
                      <w:rFonts w:hint="eastAsia"/>
                      <w:color w:val="auto"/>
                      <w:kern w:val="0"/>
                      <w:szCs w:val="21"/>
                    </w:rPr>
                    <w:t>1.83</w:t>
                  </w:r>
                  <w:r>
                    <w:rPr>
                      <w:color w:val="auto"/>
                      <w:szCs w:val="21"/>
                    </w:rPr>
                    <w:t>g/cm</w:t>
                  </w:r>
                  <w:r>
                    <w:rPr>
                      <w:color w:val="auto"/>
                      <w:szCs w:val="21"/>
                      <w:vertAlign w:val="superscript"/>
                    </w:rPr>
                    <w:t>3</w:t>
                  </w:r>
                  <w:r>
                    <w:rPr>
                      <w:rFonts w:hint="eastAsia"/>
                      <w:color w:val="auto"/>
                      <w:szCs w:val="21"/>
                    </w:rPr>
                    <w:t>，则</w:t>
                  </w:r>
                  <w:r>
                    <w:rPr>
                      <w:rFonts w:hint="eastAsia" w:eastAsiaTheme="minorEastAsia"/>
                      <w:color w:val="auto"/>
                      <w:kern w:val="0"/>
                      <w:szCs w:val="21"/>
                      <w:lang w:bidi="ar"/>
                    </w:rPr>
                    <w:t>单槽</w:t>
                  </w:r>
                  <w:r>
                    <w:rPr>
                      <w:rFonts w:hint="eastAsia"/>
                      <w:color w:val="auto"/>
                      <w:szCs w:val="21"/>
                    </w:rPr>
                    <w:t>硫酸用量折算为0.746t，单槽用水量=4-0.408m</w:t>
                  </w:r>
                  <w:r>
                    <w:rPr>
                      <w:rFonts w:hint="eastAsia"/>
                      <w:color w:val="auto"/>
                      <w:szCs w:val="21"/>
                      <w:vertAlign w:val="superscript"/>
                    </w:rPr>
                    <w:t>3</w:t>
                  </w:r>
                  <w:r>
                    <w:rPr>
                      <w:rFonts w:hint="eastAsia"/>
                      <w:color w:val="auto"/>
                      <w:szCs w:val="21"/>
                    </w:rPr>
                    <w:t>=3.592m</w:t>
                  </w:r>
                  <w:r>
                    <w:rPr>
                      <w:rFonts w:hint="eastAsia"/>
                      <w:color w:val="auto"/>
                      <w:szCs w:val="21"/>
                      <w:vertAlign w:val="superscript"/>
                    </w:rPr>
                    <w:t>3</w:t>
                  </w:r>
                  <w:r>
                    <w:rPr>
                      <w:rFonts w:hint="eastAsia"/>
                      <w:color w:val="auto"/>
                      <w:szCs w:val="21"/>
                    </w:rPr>
                    <w:t>，折算为3.592t；</w:t>
                  </w:r>
                  <w:r>
                    <w:rPr>
                      <w:rFonts w:hint="eastAsia" w:eastAsiaTheme="minorEastAsia"/>
                      <w:color w:val="auto"/>
                      <w:kern w:val="0"/>
                      <w:szCs w:val="21"/>
                      <w:lang w:bidi="ar"/>
                    </w:rPr>
                    <w:t>药槽浓度折算为0.746×1000000÷4m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÷1000=186.5g/L；药槽密度折算为（0.746+3.592）÷4=1.085</w:t>
                  </w:r>
                  <w:r>
                    <w:rPr>
                      <w:rFonts w:eastAsiaTheme="minorEastAsia"/>
                      <w:color w:val="auto"/>
                      <w:kern w:val="0"/>
                      <w:szCs w:val="21"/>
                      <w:lang w:bidi="ar"/>
                    </w:rPr>
                    <w:t>g/cm</w:t>
                  </w:r>
                  <w:r>
                    <w:rPr>
                      <w:rFonts w:eastAsiaTheme="minorEastAsia"/>
                      <w:color w:val="auto"/>
                      <w:kern w:val="0"/>
                      <w:szCs w:val="21"/>
                      <w:vertAlign w:val="superscript"/>
                      <w:lang w:bidi="ar"/>
                    </w:rPr>
                    <w:t>3</w:t>
                  </w:r>
                </w:p>
                <w:p w14:paraId="13F9E5D1">
                  <w:pPr>
                    <w:numPr>
                      <w:ilvl w:val="0"/>
                      <w:numId w:val="14"/>
                    </w:numPr>
                    <w:jc w:val="left"/>
                    <w:textAlignment w:val="center"/>
                    <w:rPr>
                      <w:rFonts w:eastAsiaTheme="minorEastAsia"/>
                      <w:color w:val="auto"/>
                      <w:kern w:val="0"/>
                      <w:szCs w:val="21"/>
                      <w:lang w:bidi="ar"/>
                    </w:rPr>
                  </w:pPr>
                  <w:r>
                    <w:rPr>
                      <w:rFonts w:hint="eastAsia" w:eastAsiaTheme="minorEastAsia"/>
                      <w:color w:val="auto"/>
                      <w:kern w:val="0"/>
                      <w:szCs w:val="21"/>
                      <w:lang w:bidi="ar"/>
                    </w:rPr>
                    <w:t>脱脂槽药槽浓度为5%，脱脂剂用量为4m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×5%÷100%=0.2m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，脱脂剂密度</w:t>
                  </w:r>
                  <w:r>
                    <w:rPr>
                      <w:rFonts w:hint="eastAsia"/>
                      <w:color w:val="auto"/>
                      <w:kern w:val="0"/>
                      <w:szCs w:val="21"/>
                    </w:rPr>
                    <w:t>1.05</w:t>
                  </w:r>
                  <w:r>
                    <w:rPr>
                      <w:color w:val="auto"/>
                      <w:szCs w:val="21"/>
                    </w:rPr>
                    <w:t>g/cm</w:t>
                  </w:r>
                  <w:r>
                    <w:rPr>
                      <w:color w:val="auto"/>
                      <w:szCs w:val="21"/>
                      <w:vertAlign w:val="superscript"/>
                    </w:rPr>
                    <w:t>3</w:t>
                  </w:r>
                  <w:r>
                    <w:rPr>
                      <w:rFonts w:hint="eastAsia"/>
                      <w:color w:val="auto"/>
                      <w:szCs w:val="21"/>
                    </w:rPr>
                    <w:t>，则</w:t>
                  </w:r>
                  <w:r>
                    <w:rPr>
                      <w:rFonts w:hint="eastAsia" w:eastAsiaTheme="minorEastAsia"/>
                      <w:color w:val="auto"/>
                      <w:kern w:val="0"/>
                      <w:szCs w:val="21"/>
                      <w:lang w:bidi="ar"/>
                    </w:rPr>
                    <w:t>单槽脱脂剂</w:t>
                  </w:r>
                  <w:r>
                    <w:rPr>
                      <w:rFonts w:hint="eastAsia"/>
                      <w:color w:val="auto"/>
                      <w:szCs w:val="21"/>
                    </w:rPr>
                    <w:t>用量折算为0.21t，单槽用水量=4-0.2m</w:t>
                  </w:r>
                  <w:r>
                    <w:rPr>
                      <w:rFonts w:hint="eastAsia"/>
                      <w:color w:val="auto"/>
                      <w:szCs w:val="21"/>
                      <w:vertAlign w:val="superscript"/>
                    </w:rPr>
                    <w:t>3</w:t>
                  </w:r>
                  <w:r>
                    <w:rPr>
                      <w:rFonts w:hint="eastAsia"/>
                      <w:color w:val="auto"/>
                      <w:szCs w:val="21"/>
                    </w:rPr>
                    <w:t>=3.8m</w:t>
                  </w:r>
                  <w:r>
                    <w:rPr>
                      <w:rFonts w:hint="eastAsia"/>
                      <w:color w:val="auto"/>
                      <w:szCs w:val="21"/>
                      <w:vertAlign w:val="superscript"/>
                    </w:rPr>
                    <w:t>3</w:t>
                  </w:r>
                  <w:r>
                    <w:rPr>
                      <w:rFonts w:hint="eastAsia"/>
                      <w:color w:val="auto"/>
                      <w:szCs w:val="21"/>
                    </w:rPr>
                    <w:t>，折算为3.8t；</w:t>
                  </w:r>
                  <w:r>
                    <w:rPr>
                      <w:rFonts w:hint="eastAsia" w:eastAsiaTheme="minorEastAsia"/>
                      <w:color w:val="auto"/>
                      <w:kern w:val="0"/>
                      <w:szCs w:val="21"/>
                      <w:lang w:bidi="ar"/>
                    </w:rPr>
                    <w:t>药槽浓度折算为0.21×1000000÷4m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÷1000=52.5g/L；药槽密度折算为（0.21+3.8）÷4=1.003</w:t>
                  </w:r>
                  <w:r>
                    <w:rPr>
                      <w:rFonts w:eastAsiaTheme="minorEastAsia"/>
                      <w:color w:val="auto"/>
                      <w:kern w:val="0"/>
                      <w:szCs w:val="21"/>
                      <w:lang w:bidi="ar"/>
                    </w:rPr>
                    <w:t>g/cm</w:t>
                  </w:r>
                  <w:r>
                    <w:rPr>
                      <w:rFonts w:eastAsiaTheme="minorEastAsia"/>
                      <w:color w:val="auto"/>
                      <w:kern w:val="0"/>
                      <w:szCs w:val="21"/>
                      <w:vertAlign w:val="superscript"/>
                      <w:lang w:bidi="ar"/>
                    </w:rPr>
                    <w:t>3</w:t>
                  </w:r>
                </w:p>
                <w:p w14:paraId="74F2344D">
                  <w:pPr>
                    <w:numPr>
                      <w:ilvl w:val="0"/>
                      <w:numId w:val="14"/>
                    </w:numPr>
                    <w:jc w:val="left"/>
                    <w:textAlignment w:val="center"/>
                    <w:rPr>
                      <w:rFonts w:eastAsiaTheme="minorEastAsia"/>
                      <w:color w:val="auto"/>
                      <w:kern w:val="0"/>
                      <w:szCs w:val="21"/>
                      <w:lang w:bidi="ar"/>
                    </w:rPr>
                  </w:pPr>
                  <w:r>
                    <w:rPr>
                      <w:rFonts w:hint="eastAsia" w:eastAsiaTheme="minorEastAsia"/>
                      <w:color w:val="auto"/>
                      <w:kern w:val="0"/>
                      <w:szCs w:val="21"/>
                      <w:lang w:bidi="ar"/>
                    </w:rPr>
                    <w:t>表调槽药槽浓度为0.3%，表调剂用量为4t×0.3%=0.012t，</w:t>
                  </w:r>
                  <w:r>
                    <w:rPr>
                      <w:rFonts w:hint="eastAsia"/>
                      <w:color w:val="auto"/>
                      <w:szCs w:val="21"/>
                    </w:rPr>
                    <w:t>单槽用水量=4-0.12t=3.988t；</w:t>
                  </w:r>
                  <w:r>
                    <w:rPr>
                      <w:rFonts w:hint="eastAsia" w:eastAsiaTheme="minorEastAsia"/>
                      <w:color w:val="auto"/>
                      <w:kern w:val="0"/>
                      <w:szCs w:val="21"/>
                      <w:lang w:bidi="ar"/>
                    </w:rPr>
                    <w:t>药槽浓度折算为0.012×1000000÷4m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÷1000=3g/L；药槽密度折算为（0.012+3.988）÷4=1.0</w:t>
                  </w:r>
                  <w:r>
                    <w:rPr>
                      <w:rFonts w:eastAsiaTheme="minorEastAsia"/>
                      <w:color w:val="auto"/>
                      <w:kern w:val="0"/>
                      <w:szCs w:val="21"/>
                      <w:lang w:bidi="ar"/>
                    </w:rPr>
                    <w:t>g/cm</w:t>
                  </w:r>
                  <w:r>
                    <w:rPr>
                      <w:rFonts w:eastAsiaTheme="minorEastAsia"/>
                      <w:color w:val="auto"/>
                      <w:kern w:val="0"/>
                      <w:szCs w:val="21"/>
                      <w:vertAlign w:val="superscript"/>
                      <w:lang w:bidi="ar"/>
                    </w:rPr>
                    <w:t>3</w:t>
                  </w:r>
                </w:p>
                <w:p w14:paraId="0ACD62B7">
                  <w:pPr>
                    <w:numPr>
                      <w:ilvl w:val="0"/>
                      <w:numId w:val="14"/>
                    </w:numPr>
                    <w:jc w:val="left"/>
                    <w:textAlignment w:val="center"/>
                    <w:rPr>
                      <w:rFonts w:eastAsiaTheme="minorEastAsia"/>
                      <w:color w:val="auto"/>
                      <w:kern w:val="0"/>
                      <w:szCs w:val="21"/>
                      <w:lang w:bidi="ar"/>
                    </w:rPr>
                  </w:pPr>
                  <w:r>
                    <w:rPr>
                      <w:rFonts w:hint="eastAsia" w:eastAsiaTheme="minorEastAsia"/>
                      <w:color w:val="auto"/>
                      <w:kern w:val="0"/>
                      <w:szCs w:val="21"/>
                      <w:lang w:bidi="ar"/>
                    </w:rPr>
                    <w:t>磷化槽中磷化剂浓度为5%、促进剂浓度为1.2%，则磷化剂用量为4m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×5%÷100%=0.2m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、促进剂用量为4m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×1.2%÷100%=0.048m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，磷化剂密度</w:t>
                  </w:r>
                  <w:r>
                    <w:rPr>
                      <w:rFonts w:hint="eastAsia"/>
                      <w:color w:val="auto"/>
                      <w:kern w:val="0"/>
                      <w:szCs w:val="21"/>
                    </w:rPr>
                    <w:t>1.35</w:t>
                  </w:r>
                  <w:r>
                    <w:rPr>
                      <w:color w:val="auto"/>
                      <w:szCs w:val="21"/>
                    </w:rPr>
                    <w:t>g/cm</w:t>
                  </w:r>
                  <w:r>
                    <w:rPr>
                      <w:color w:val="auto"/>
                      <w:szCs w:val="21"/>
                      <w:vertAlign w:val="superscript"/>
                    </w:rPr>
                    <w:t>3</w:t>
                  </w:r>
                  <w:r>
                    <w:rPr>
                      <w:rFonts w:hint="eastAsia"/>
                      <w:color w:val="auto"/>
                      <w:szCs w:val="21"/>
                    </w:rPr>
                    <w:t>、</w:t>
                  </w:r>
                  <w:r>
                    <w:rPr>
                      <w:rFonts w:hint="eastAsia" w:eastAsiaTheme="minorEastAsia"/>
                      <w:color w:val="auto"/>
                      <w:kern w:val="0"/>
                      <w:szCs w:val="21"/>
                      <w:lang w:bidi="ar"/>
                    </w:rPr>
                    <w:t>促进剂密度</w:t>
                  </w:r>
                  <w:r>
                    <w:rPr>
                      <w:rFonts w:hint="eastAsia"/>
                      <w:color w:val="auto"/>
                      <w:kern w:val="0"/>
                      <w:szCs w:val="21"/>
                    </w:rPr>
                    <w:t>1.05</w:t>
                  </w:r>
                  <w:r>
                    <w:rPr>
                      <w:color w:val="auto"/>
                      <w:szCs w:val="21"/>
                    </w:rPr>
                    <w:t>g/cm</w:t>
                  </w:r>
                  <w:r>
                    <w:rPr>
                      <w:color w:val="auto"/>
                      <w:szCs w:val="21"/>
                      <w:vertAlign w:val="superscript"/>
                    </w:rPr>
                    <w:t>3</w:t>
                  </w:r>
                  <w:r>
                    <w:rPr>
                      <w:rFonts w:hint="eastAsia"/>
                      <w:color w:val="auto"/>
                      <w:szCs w:val="21"/>
                    </w:rPr>
                    <w:t>，则</w:t>
                  </w:r>
                  <w:r>
                    <w:rPr>
                      <w:rFonts w:hint="eastAsia" w:eastAsiaTheme="minorEastAsia"/>
                      <w:color w:val="auto"/>
                      <w:kern w:val="0"/>
                      <w:szCs w:val="21"/>
                      <w:lang w:bidi="ar"/>
                    </w:rPr>
                    <w:t>单槽磷化剂</w:t>
                  </w:r>
                  <w:r>
                    <w:rPr>
                      <w:rFonts w:hint="eastAsia"/>
                      <w:color w:val="auto"/>
                      <w:szCs w:val="21"/>
                    </w:rPr>
                    <w:t>用量折算为0.27t、</w:t>
                  </w:r>
                  <w:r>
                    <w:rPr>
                      <w:rFonts w:hint="eastAsia" w:eastAsiaTheme="minorEastAsia"/>
                      <w:color w:val="auto"/>
                      <w:kern w:val="0"/>
                      <w:szCs w:val="21"/>
                      <w:lang w:bidi="ar"/>
                    </w:rPr>
                    <w:t>促进剂</w:t>
                  </w:r>
                  <w:r>
                    <w:rPr>
                      <w:rFonts w:hint="eastAsia"/>
                      <w:color w:val="auto"/>
                      <w:szCs w:val="21"/>
                    </w:rPr>
                    <w:t>用量折算为0.05t，单槽用水量=4-0.2-0.048m</w:t>
                  </w:r>
                  <w:r>
                    <w:rPr>
                      <w:rFonts w:hint="eastAsia"/>
                      <w:color w:val="auto"/>
                      <w:szCs w:val="21"/>
                      <w:vertAlign w:val="superscript"/>
                    </w:rPr>
                    <w:t>3</w:t>
                  </w:r>
                  <w:r>
                    <w:rPr>
                      <w:rFonts w:hint="eastAsia"/>
                      <w:color w:val="auto"/>
                      <w:szCs w:val="21"/>
                    </w:rPr>
                    <w:t>=3.752m</w:t>
                  </w:r>
                  <w:r>
                    <w:rPr>
                      <w:rFonts w:hint="eastAsia"/>
                      <w:color w:val="auto"/>
                      <w:szCs w:val="21"/>
                      <w:vertAlign w:val="superscript"/>
                    </w:rPr>
                    <w:t>3</w:t>
                  </w:r>
                  <w:r>
                    <w:rPr>
                      <w:rFonts w:hint="eastAsia"/>
                      <w:color w:val="auto"/>
                      <w:szCs w:val="21"/>
                    </w:rPr>
                    <w:t>，折算为3.752t；</w:t>
                  </w:r>
                  <w:r>
                    <w:rPr>
                      <w:rFonts w:hint="eastAsia" w:eastAsiaTheme="minorEastAsia"/>
                      <w:color w:val="auto"/>
                      <w:kern w:val="0"/>
                      <w:szCs w:val="21"/>
                      <w:lang w:bidi="ar"/>
                    </w:rPr>
                    <w:t>药槽磷化剂浓度折算为0.27×1000000÷4m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÷1000=67.5g/L，促进剂浓度折算为0.05×1000000÷4m</w:t>
                  </w:r>
                  <w:r>
                    <w:rPr>
                      <w:rFonts w:hint="eastAsia" w:eastAsiaTheme="minorEastAsia"/>
                      <w:color w:val="auto"/>
                      <w:kern w:val="0"/>
                      <w:szCs w:val="21"/>
                      <w:vertAlign w:val="superscript"/>
                      <w:lang w:bidi="ar"/>
                    </w:rPr>
                    <w:t>3</w:t>
                  </w:r>
                  <w:r>
                    <w:rPr>
                      <w:rFonts w:hint="eastAsia" w:eastAsiaTheme="minorEastAsia"/>
                      <w:color w:val="auto"/>
                      <w:kern w:val="0"/>
                      <w:szCs w:val="21"/>
                      <w:lang w:bidi="ar"/>
                    </w:rPr>
                    <w:t>÷1000=12.5g/L；药槽密度折算为（0.27+0.05+3.752）÷4=1.018</w:t>
                  </w:r>
                  <w:r>
                    <w:rPr>
                      <w:rFonts w:eastAsiaTheme="minorEastAsia"/>
                      <w:color w:val="auto"/>
                      <w:kern w:val="0"/>
                      <w:szCs w:val="21"/>
                      <w:lang w:bidi="ar"/>
                    </w:rPr>
                    <w:t>g/cm</w:t>
                  </w:r>
                  <w:r>
                    <w:rPr>
                      <w:rFonts w:eastAsiaTheme="minorEastAsia"/>
                      <w:color w:val="auto"/>
                      <w:kern w:val="0"/>
                      <w:szCs w:val="21"/>
                      <w:vertAlign w:val="superscript"/>
                      <w:lang w:bidi="ar"/>
                    </w:rPr>
                    <w:t>3</w:t>
                  </w:r>
                </w:p>
                <w:p w14:paraId="0450B9F6">
                  <w:pPr>
                    <w:numPr>
                      <w:ilvl w:val="0"/>
                      <w:numId w:val="14"/>
                    </w:numPr>
                    <w:jc w:val="left"/>
                    <w:textAlignment w:val="center"/>
                    <w:rPr>
                      <w:rFonts w:eastAsiaTheme="minorEastAsia"/>
                      <w:color w:val="auto"/>
                      <w:kern w:val="0"/>
                      <w:szCs w:val="21"/>
                      <w:lang w:bidi="ar"/>
                    </w:rPr>
                  </w:pPr>
                  <w:r>
                    <w:rPr>
                      <w:rFonts w:hint="eastAsia" w:eastAsiaTheme="minorEastAsia"/>
                      <w:color w:val="auto"/>
                      <w:kern w:val="0"/>
                      <w:szCs w:val="21"/>
                      <w:lang w:bidi="ar"/>
                    </w:rPr>
                    <w:t>各药槽的加工时间根据表2-10各类材质工件的加工时间计，其中除油槽、除锈槽、磷化槽1加工时间为10h/d，235d/a；脱脂槽、磷化槽2加工时间为10h/d，65d/a；表调槽加工时间为10h/d，300d/a</w:t>
                  </w:r>
                </w:p>
                <w:p w14:paraId="27FABDAD">
                  <w:pPr>
                    <w:numPr>
                      <w:ilvl w:val="0"/>
                      <w:numId w:val="14"/>
                    </w:numPr>
                    <w:jc w:val="left"/>
                    <w:textAlignment w:val="center"/>
                    <w:rPr>
                      <w:rFonts w:eastAsiaTheme="minorEastAsia"/>
                      <w:color w:val="auto"/>
                      <w:kern w:val="0"/>
                      <w:szCs w:val="21"/>
                      <w:lang w:bidi="ar"/>
                    </w:rPr>
                  </w:pPr>
                  <w:r>
                    <w:rPr>
                      <w:rFonts w:hint="eastAsia" w:eastAsiaTheme="minorEastAsia"/>
                      <w:color w:val="auto"/>
                      <w:kern w:val="0"/>
                      <w:szCs w:val="21"/>
                      <w:lang w:bidi="ar"/>
                    </w:rPr>
                    <w:t>清洗面积根据表2-7确定，其中除油槽、除锈槽、磷化槽1主要加工碳钢工件，合计清洗面积为188605.8m</w:t>
                  </w:r>
                  <w:r>
                    <w:rPr>
                      <w:rFonts w:hint="eastAsia" w:eastAsiaTheme="minorEastAsia"/>
                      <w:color w:val="auto"/>
                      <w:kern w:val="0"/>
                      <w:szCs w:val="21"/>
                      <w:vertAlign w:val="superscript"/>
                      <w:lang w:bidi="ar"/>
                    </w:rPr>
                    <w:t>2</w:t>
                  </w:r>
                  <w:r>
                    <w:rPr>
                      <w:rFonts w:hint="eastAsia" w:eastAsiaTheme="minorEastAsia"/>
                      <w:color w:val="auto"/>
                      <w:kern w:val="0"/>
                      <w:szCs w:val="21"/>
                      <w:lang w:bidi="ar"/>
                    </w:rPr>
                    <w:t>/a，脱脂槽、磷化槽2主要加工铝制工件，合计清洗面积为108565.2m</w:t>
                  </w:r>
                  <w:r>
                    <w:rPr>
                      <w:rFonts w:hint="eastAsia" w:eastAsiaTheme="minorEastAsia"/>
                      <w:color w:val="auto"/>
                      <w:kern w:val="0"/>
                      <w:szCs w:val="21"/>
                      <w:vertAlign w:val="superscript"/>
                      <w:lang w:bidi="ar"/>
                    </w:rPr>
                    <w:t>2</w:t>
                  </w:r>
                  <w:r>
                    <w:rPr>
                      <w:rFonts w:hint="eastAsia" w:eastAsiaTheme="minorEastAsia"/>
                      <w:color w:val="auto"/>
                      <w:kern w:val="0"/>
                      <w:szCs w:val="21"/>
                      <w:lang w:bidi="ar"/>
                    </w:rPr>
                    <w:t>/a，表调槽为共用设备，合计清洗面积为297171m</w:t>
                  </w:r>
                  <w:r>
                    <w:rPr>
                      <w:rFonts w:hint="eastAsia" w:eastAsiaTheme="minorEastAsia"/>
                      <w:color w:val="auto"/>
                      <w:kern w:val="0"/>
                      <w:szCs w:val="21"/>
                      <w:vertAlign w:val="superscript"/>
                      <w:lang w:bidi="ar"/>
                    </w:rPr>
                    <w:t>2</w:t>
                  </w:r>
                  <w:r>
                    <w:rPr>
                      <w:rFonts w:hint="eastAsia" w:eastAsiaTheme="minorEastAsia"/>
                      <w:color w:val="auto"/>
                      <w:kern w:val="0"/>
                      <w:szCs w:val="21"/>
                      <w:lang w:bidi="ar"/>
                    </w:rPr>
                    <w:t>/a</w:t>
                  </w:r>
                </w:p>
                <w:p w14:paraId="594B6F3C">
                  <w:pPr>
                    <w:numPr>
                      <w:ilvl w:val="0"/>
                      <w:numId w:val="14"/>
                    </w:numPr>
                    <w:jc w:val="left"/>
                    <w:textAlignment w:val="center"/>
                    <w:rPr>
                      <w:rFonts w:eastAsiaTheme="minorEastAsia"/>
                      <w:color w:val="auto"/>
                    </w:rPr>
                  </w:pPr>
                  <w:r>
                    <w:rPr>
                      <w:rFonts w:eastAsiaTheme="minorEastAsia"/>
                      <w:color w:val="auto"/>
                      <w:kern w:val="0"/>
                      <w:szCs w:val="21"/>
                      <w:lang w:bidi="ar"/>
                    </w:rPr>
                    <w:t>补充水量＝</w:t>
                  </w:r>
                  <w:r>
                    <w:rPr>
                      <w:rFonts w:hint="eastAsia" w:eastAsiaTheme="minorEastAsia"/>
                      <w:color w:val="auto"/>
                      <w:kern w:val="0"/>
                      <w:szCs w:val="21"/>
                      <w:lang w:bidi="ar"/>
                    </w:rPr>
                    <w:t>工件清洗面积*工件带出系数</w:t>
                  </w:r>
                  <w:r>
                    <w:rPr>
                      <w:rFonts w:eastAsiaTheme="minorEastAsia"/>
                      <w:color w:val="auto"/>
                      <w:kern w:val="0"/>
                      <w:szCs w:val="21"/>
                      <w:lang w:bidi="ar"/>
                    </w:rPr>
                    <w:t>*</w:t>
                  </w:r>
                  <w:r>
                    <w:rPr>
                      <w:rFonts w:hint="eastAsia" w:eastAsiaTheme="minorEastAsia"/>
                      <w:color w:val="auto"/>
                      <w:kern w:val="0"/>
                      <w:szCs w:val="21"/>
                      <w:lang w:bidi="ar"/>
                    </w:rPr>
                    <w:t>槽液密度</w:t>
                  </w:r>
                  <w:r>
                    <w:rPr>
                      <w:rFonts w:hint="eastAsia"/>
                      <w:color w:val="auto"/>
                    </w:rPr>
                    <w:t>-带出药剂量</w:t>
                  </w:r>
                  <w:r>
                    <w:rPr>
                      <w:rFonts w:eastAsiaTheme="minorEastAsia"/>
                      <w:color w:val="auto"/>
                      <w:kern w:val="0"/>
                      <w:szCs w:val="21"/>
                      <w:lang w:bidi="ar"/>
                    </w:rPr>
                    <w:t>+蒸发损耗水量</w:t>
                  </w:r>
                </w:p>
                <w:p w14:paraId="3DF74563">
                  <w:pPr>
                    <w:numPr>
                      <w:ilvl w:val="0"/>
                      <w:numId w:val="14"/>
                    </w:numPr>
                    <w:jc w:val="left"/>
                    <w:textAlignment w:val="center"/>
                    <w:rPr>
                      <w:color w:val="auto"/>
                    </w:rPr>
                  </w:pPr>
                  <w:r>
                    <w:rPr>
                      <w:rFonts w:hint="eastAsia"/>
                      <w:color w:val="auto"/>
                    </w:rPr>
                    <w:t>项目磷化工艺采取锌系磷化，用于涂装前处理的锌系磷化膜膜重一般在1.5-3.5g/m</w:t>
                  </w:r>
                  <w:r>
                    <w:rPr>
                      <w:rFonts w:hint="eastAsia"/>
                      <w:color w:val="auto"/>
                      <w:vertAlign w:val="superscript"/>
                    </w:rPr>
                    <w:t>2</w:t>
                  </w:r>
                  <w:r>
                    <w:rPr>
                      <w:rFonts w:hint="eastAsia"/>
                      <w:color w:val="auto"/>
                    </w:rPr>
                    <w:t>，本报告取2.5g/m</w:t>
                  </w:r>
                  <w:r>
                    <w:rPr>
                      <w:rFonts w:hint="eastAsia"/>
                      <w:color w:val="auto"/>
                      <w:vertAlign w:val="superscript"/>
                    </w:rPr>
                    <w:t>2</w:t>
                  </w:r>
                  <w:r>
                    <w:rPr>
                      <w:rFonts w:hint="eastAsia"/>
                      <w:color w:val="auto"/>
                    </w:rPr>
                    <w:t>，磷化加工面积合计</w:t>
                  </w:r>
                  <w:r>
                    <w:rPr>
                      <w:rFonts w:hint="eastAsia"/>
                      <w:color w:val="auto"/>
                      <w:kern w:val="0"/>
                      <w:szCs w:val="21"/>
                      <w:lang w:bidi="ar"/>
                    </w:rPr>
                    <w:t>297171</w:t>
                  </w:r>
                  <w:r>
                    <w:rPr>
                      <w:rFonts w:hint="eastAsia"/>
                      <w:color w:val="auto"/>
                    </w:rPr>
                    <w:t>m</w:t>
                  </w:r>
                  <w:r>
                    <w:rPr>
                      <w:rFonts w:hint="eastAsia"/>
                      <w:color w:val="auto"/>
                      <w:vertAlign w:val="superscript"/>
                    </w:rPr>
                    <w:t>2</w:t>
                  </w:r>
                  <w:r>
                    <w:rPr>
                      <w:rFonts w:hint="eastAsia"/>
                      <w:color w:val="auto"/>
                    </w:rPr>
                    <w:t>，则磷化膜膜重合计0.743t，锌系磷化膜主要成分为</w:t>
                  </w:r>
                  <w:r>
                    <w:rPr>
                      <w:rFonts w:hint="eastAsia"/>
                      <w:color w:val="auto"/>
                      <w:kern w:val="0"/>
                      <w:szCs w:val="21"/>
                      <w:lang w:bidi="ar"/>
                    </w:rPr>
                    <w:t>Zn</w:t>
                  </w:r>
                  <w:r>
                    <w:rPr>
                      <w:rFonts w:hint="eastAsia"/>
                      <w:color w:val="auto"/>
                      <w:kern w:val="0"/>
                      <w:szCs w:val="21"/>
                      <w:vertAlign w:val="subscript"/>
                      <w:lang w:bidi="ar"/>
                    </w:rPr>
                    <w:t>3</w:t>
                  </w:r>
                  <w:r>
                    <w:rPr>
                      <w:rFonts w:hint="eastAsia"/>
                      <w:color w:val="auto"/>
                      <w:kern w:val="0"/>
                      <w:szCs w:val="21"/>
                      <w:lang w:bidi="ar"/>
                    </w:rPr>
                    <w:t>(PO</w:t>
                  </w:r>
                  <w:r>
                    <w:rPr>
                      <w:rFonts w:hint="eastAsia"/>
                      <w:color w:val="auto"/>
                      <w:kern w:val="0"/>
                      <w:szCs w:val="21"/>
                      <w:vertAlign w:val="subscript"/>
                      <w:lang w:bidi="ar"/>
                    </w:rPr>
                    <w:t>4</w:t>
                  </w:r>
                  <w:r>
                    <w:rPr>
                      <w:rFonts w:hint="eastAsia"/>
                      <w:color w:val="auto"/>
                      <w:kern w:val="0"/>
                      <w:szCs w:val="21"/>
                      <w:lang w:bidi="ar"/>
                    </w:rPr>
                    <w:t>)</w:t>
                  </w:r>
                  <w:r>
                    <w:rPr>
                      <w:rFonts w:hint="eastAsia"/>
                      <w:color w:val="auto"/>
                      <w:kern w:val="0"/>
                      <w:szCs w:val="21"/>
                      <w:vertAlign w:val="subscript"/>
                      <w:lang w:bidi="ar"/>
                    </w:rPr>
                    <w:t>2</w:t>
                  </w:r>
                  <w:r>
                    <w:rPr>
                      <w:rFonts w:eastAsia="微软雅黑"/>
                      <w:color w:val="auto"/>
                      <w:kern w:val="0"/>
                      <w:szCs w:val="21"/>
                      <w:lang w:bidi="ar"/>
                    </w:rPr>
                    <w:t>·</w:t>
                  </w:r>
                  <w:r>
                    <w:rPr>
                      <w:rFonts w:hint="eastAsia" w:eastAsia="微软雅黑"/>
                      <w:color w:val="auto"/>
                      <w:kern w:val="0"/>
                      <w:szCs w:val="21"/>
                      <w:lang w:bidi="ar"/>
                    </w:rPr>
                    <w:t>4H</w:t>
                  </w:r>
                  <w:r>
                    <w:rPr>
                      <w:rFonts w:hint="eastAsia" w:eastAsia="微软雅黑"/>
                      <w:color w:val="auto"/>
                      <w:kern w:val="0"/>
                      <w:szCs w:val="21"/>
                      <w:vertAlign w:val="subscript"/>
                      <w:lang w:bidi="ar"/>
                    </w:rPr>
                    <w:t>2</w:t>
                  </w:r>
                  <w:r>
                    <w:rPr>
                      <w:rFonts w:hint="eastAsia" w:eastAsia="微软雅黑"/>
                      <w:color w:val="auto"/>
                      <w:kern w:val="0"/>
                      <w:szCs w:val="21"/>
                      <w:lang w:bidi="ar"/>
                    </w:rPr>
                    <w:t>O</w:t>
                  </w:r>
                  <w:r>
                    <w:rPr>
                      <w:color w:val="auto"/>
                      <w:kern w:val="0"/>
                      <w:szCs w:val="21"/>
                      <w:lang w:bidi="ar"/>
                    </w:rPr>
                    <w:t>，</w:t>
                  </w:r>
                  <w:r>
                    <w:rPr>
                      <w:rFonts w:hint="eastAsia"/>
                      <w:color w:val="auto"/>
                      <w:kern w:val="0"/>
                      <w:szCs w:val="21"/>
                      <w:lang w:bidi="ar"/>
                    </w:rPr>
                    <w:t>则可反推锌系磷化膜上Zn</w:t>
                  </w:r>
                  <w:r>
                    <w:rPr>
                      <w:rFonts w:hint="eastAsia"/>
                      <w:color w:val="auto"/>
                      <w:kern w:val="0"/>
                      <w:szCs w:val="21"/>
                      <w:vertAlign w:val="superscript"/>
                      <w:lang w:bidi="ar"/>
                    </w:rPr>
                    <w:t>2+</w:t>
                  </w:r>
                  <w:r>
                    <w:rPr>
                      <w:rFonts w:hint="eastAsia"/>
                      <w:color w:val="auto"/>
                      <w:kern w:val="0"/>
                      <w:szCs w:val="21"/>
                      <w:lang w:bidi="ar"/>
                    </w:rPr>
                    <w:t>含量为0.318t，P</w:t>
                  </w:r>
                  <w:r>
                    <w:rPr>
                      <w:rFonts w:hint="eastAsia"/>
                      <w:color w:val="auto"/>
                      <w:kern w:val="0"/>
                      <w:szCs w:val="21"/>
                      <w:vertAlign w:val="superscript"/>
                      <w:lang w:bidi="ar"/>
                    </w:rPr>
                    <w:t>3-</w:t>
                  </w:r>
                  <w:r>
                    <w:rPr>
                      <w:rFonts w:hint="eastAsia"/>
                      <w:color w:val="auto"/>
                      <w:kern w:val="0"/>
                      <w:szCs w:val="21"/>
                      <w:lang w:bidi="ar"/>
                    </w:rPr>
                    <w:t>含量为0.1t，则可反推出进入产品的磷化剂量为1.13t（以Zn</w:t>
                  </w:r>
                  <w:r>
                    <w:rPr>
                      <w:rFonts w:hint="eastAsia"/>
                      <w:color w:val="auto"/>
                      <w:kern w:val="0"/>
                      <w:szCs w:val="21"/>
                      <w:vertAlign w:val="superscript"/>
                      <w:lang w:bidi="ar"/>
                    </w:rPr>
                    <w:t>2+</w:t>
                  </w:r>
                  <w:r>
                    <w:rPr>
                      <w:rFonts w:hint="eastAsia"/>
                      <w:color w:val="auto"/>
                      <w:kern w:val="0"/>
                      <w:szCs w:val="21"/>
                      <w:lang w:bidi="ar"/>
                    </w:rPr>
                    <w:t>含量反推的磷化剂为1.13t，以P</w:t>
                  </w:r>
                  <w:r>
                    <w:rPr>
                      <w:rFonts w:hint="eastAsia"/>
                      <w:color w:val="auto"/>
                      <w:kern w:val="0"/>
                      <w:szCs w:val="21"/>
                      <w:vertAlign w:val="superscript"/>
                      <w:lang w:bidi="ar"/>
                    </w:rPr>
                    <w:t>3-</w:t>
                  </w:r>
                  <w:r>
                    <w:rPr>
                      <w:rFonts w:hint="eastAsia"/>
                      <w:color w:val="auto"/>
                      <w:kern w:val="0"/>
                      <w:szCs w:val="21"/>
                      <w:lang w:bidi="ar"/>
                    </w:rPr>
                    <w:t>含量反推的磷化剂为0.753t，本报告取1.13t）</w:t>
                  </w:r>
                </w:p>
              </w:tc>
            </w:tr>
          </w:tbl>
          <w:p w14:paraId="3E2E08D2">
            <w:pPr>
              <w:widowControl/>
              <w:adjustRightInd w:val="0"/>
              <w:snapToGrid w:val="0"/>
              <w:spacing w:before="120" w:beforeLines="50" w:line="360" w:lineRule="auto"/>
              <w:ind w:firstLine="480" w:firstLineChars="200"/>
              <w:rPr>
                <w:b/>
                <w:bCs/>
                <w:color w:val="auto"/>
                <w:kern w:val="0"/>
                <w:sz w:val="24"/>
              </w:rPr>
            </w:pPr>
            <w:r>
              <w:rPr>
                <w:color w:val="auto"/>
                <w:kern w:val="0"/>
                <w:sz w:val="24"/>
              </w:rPr>
              <w:t>由上表可知，本项目前处理线</w:t>
            </w:r>
            <w:r>
              <w:rPr>
                <w:color w:val="auto"/>
                <w:sz w:val="24"/>
              </w:rPr>
              <w:t>各功能槽</w:t>
            </w:r>
            <w:r>
              <w:rPr>
                <w:color w:val="auto"/>
                <w:kern w:val="0"/>
                <w:sz w:val="24"/>
              </w:rPr>
              <w:t>的药剂</w:t>
            </w:r>
            <w:r>
              <w:rPr>
                <w:rFonts w:hint="eastAsia"/>
                <w:color w:val="auto"/>
                <w:kern w:val="0"/>
                <w:sz w:val="24"/>
              </w:rPr>
              <w:t>理论使</w:t>
            </w:r>
            <w:r>
              <w:rPr>
                <w:color w:val="auto"/>
                <w:kern w:val="0"/>
                <w:sz w:val="24"/>
              </w:rPr>
              <w:t>用量分别为除油粉</w:t>
            </w:r>
            <w:r>
              <w:rPr>
                <w:rFonts w:hint="eastAsia"/>
                <w:color w:val="auto"/>
                <w:kern w:val="0"/>
                <w:sz w:val="24"/>
              </w:rPr>
              <w:t>1.54</w:t>
            </w:r>
            <w:r>
              <w:rPr>
                <w:color w:val="auto"/>
                <w:kern w:val="0"/>
                <w:sz w:val="24"/>
              </w:rPr>
              <w:t>t/a，</w:t>
            </w:r>
            <w:r>
              <w:rPr>
                <w:rFonts w:hint="eastAsia"/>
                <w:color w:val="auto"/>
                <w:kern w:val="0"/>
                <w:sz w:val="24"/>
              </w:rPr>
              <w:t>硫酸4.28</w:t>
            </w:r>
            <w:r>
              <w:rPr>
                <w:color w:val="auto"/>
                <w:kern w:val="0"/>
                <w:sz w:val="24"/>
              </w:rPr>
              <w:t>t/a，</w:t>
            </w:r>
            <w:r>
              <w:rPr>
                <w:rFonts w:hint="eastAsia"/>
                <w:color w:val="auto"/>
                <w:kern w:val="0"/>
                <w:sz w:val="24"/>
              </w:rPr>
              <w:t>脱脂剂0.75</w:t>
            </w:r>
            <w:r>
              <w:rPr>
                <w:color w:val="auto"/>
                <w:kern w:val="0"/>
                <w:sz w:val="24"/>
              </w:rPr>
              <w:t>t/a，</w:t>
            </w:r>
            <w:r>
              <w:rPr>
                <w:rFonts w:hint="eastAsia"/>
                <w:color w:val="auto"/>
                <w:kern w:val="0"/>
                <w:sz w:val="24"/>
              </w:rPr>
              <w:t>表调剂0.137t/a，磷化剂2.97t/a，</w:t>
            </w:r>
            <w:r>
              <w:rPr>
                <w:color w:val="auto"/>
                <w:kern w:val="0"/>
                <w:sz w:val="24"/>
              </w:rPr>
              <w:t>促进剂</w:t>
            </w:r>
            <w:r>
              <w:rPr>
                <w:rFonts w:hint="eastAsia"/>
                <w:color w:val="auto"/>
                <w:kern w:val="0"/>
                <w:sz w:val="24"/>
              </w:rPr>
              <w:t>0.423</w:t>
            </w:r>
            <w:r>
              <w:rPr>
                <w:color w:val="auto"/>
                <w:kern w:val="0"/>
                <w:sz w:val="24"/>
              </w:rPr>
              <w:t>t/a。</w:t>
            </w:r>
          </w:p>
          <w:p w14:paraId="0715412D">
            <w:pPr>
              <w:pStyle w:val="31"/>
              <w:adjustRightInd w:val="0"/>
              <w:snapToGrid w:val="0"/>
              <w:spacing w:before="120" w:beforeLines="50" w:beforeAutospacing="0" w:after="0" w:afterAutospacing="0" w:line="360" w:lineRule="auto"/>
              <w:jc w:val="both"/>
              <w:rPr>
                <w:rFonts w:ascii="Times New Roman" w:hAnsi="Times New Roman"/>
                <w:bCs/>
                <w:color w:val="auto"/>
                <w:kern w:val="2"/>
                <w:szCs w:val="24"/>
              </w:rPr>
            </w:pPr>
          </w:p>
        </w:tc>
      </w:tr>
    </w:tbl>
    <w:p w14:paraId="12E36F82">
      <w:pPr>
        <w:pStyle w:val="31"/>
        <w:jc w:val="center"/>
        <w:rPr>
          <w:rFonts w:ascii="Times New Roman" w:hAnsi="Times New Roman" w:eastAsia="黑体"/>
          <w:snapToGrid w:val="0"/>
          <w:color w:val="auto"/>
          <w:sz w:val="21"/>
          <w:szCs w:val="21"/>
        </w:rPr>
        <w:sectPr>
          <w:pgSz w:w="23811" w:h="16838" w:orient="landscape"/>
          <w:pgMar w:top="720" w:right="720" w:bottom="720" w:left="720" w:header="851" w:footer="851" w:gutter="0"/>
          <w:cols w:space="720" w:num="1"/>
          <w:docGrid w:linePitch="312" w:charSpace="0"/>
        </w:sectPr>
      </w:pPr>
    </w:p>
    <w:tbl>
      <w:tblPr>
        <w:tblStyle w:val="35"/>
        <w:tblW w:w="499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2"/>
        <w:gridCol w:w="10209"/>
      </w:tblGrid>
      <w:tr w14:paraId="2F7A79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Align w:val="center"/>
          </w:tcPr>
          <w:p w14:paraId="3A39994E">
            <w:pPr>
              <w:pStyle w:val="31"/>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工艺流程和产排污环节</w:t>
            </w:r>
          </w:p>
        </w:tc>
        <w:tc>
          <w:tcPr>
            <w:tcW w:w="4787" w:type="pct"/>
          </w:tcPr>
          <w:p w14:paraId="4EBB1F53">
            <w:pPr>
              <w:pStyle w:val="43"/>
              <w:ind w:firstLine="482"/>
              <w:rPr>
                <w:b/>
                <w:color w:val="auto"/>
              </w:rPr>
            </w:pPr>
            <w:r>
              <w:rPr>
                <w:b/>
                <w:color w:val="auto"/>
              </w:rPr>
              <w:t>2）</w:t>
            </w:r>
            <w:r>
              <w:rPr>
                <w:rFonts w:hint="eastAsia"/>
                <w:b/>
                <w:color w:val="auto"/>
              </w:rPr>
              <w:t>粉末涂料</w:t>
            </w:r>
            <w:r>
              <w:rPr>
                <w:b/>
                <w:color w:val="auto"/>
              </w:rPr>
              <w:t>用量核算</w:t>
            </w:r>
          </w:p>
          <w:p w14:paraId="7BAD92C2">
            <w:pPr>
              <w:pStyle w:val="43"/>
              <w:rPr>
                <w:color w:val="auto"/>
              </w:rPr>
            </w:pPr>
            <w:r>
              <w:rPr>
                <w:color w:val="auto"/>
              </w:rPr>
              <w:t>根据建设单位提供的资料，项目</w:t>
            </w:r>
            <w:r>
              <w:rPr>
                <w:rFonts w:hint="eastAsia"/>
                <w:color w:val="auto"/>
              </w:rPr>
              <w:t>碳钢材质</w:t>
            </w:r>
            <w:r>
              <w:rPr>
                <w:color w:val="auto"/>
              </w:rPr>
              <w:t>产品喷</w:t>
            </w:r>
            <w:r>
              <w:rPr>
                <w:color w:val="auto"/>
                <w:szCs w:val="24"/>
              </w:rPr>
              <w:t>粉</w:t>
            </w:r>
            <w:r>
              <w:rPr>
                <w:rFonts w:hint="eastAsia"/>
                <w:color w:val="auto"/>
                <w:szCs w:val="24"/>
              </w:rPr>
              <w:t>1</w:t>
            </w:r>
            <w:r>
              <w:rPr>
                <w:color w:val="auto"/>
                <w:szCs w:val="24"/>
              </w:rPr>
              <w:t>次，喷粉控制厚度0.07mm~0.1mm，本评价取值0.08mm，根据建设单位提供的</w:t>
            </w:r>
            <w:r>
              <w:rPr>
                <w:rFonts w:hint="eastAsia"/>
                <w:color w:val="auto"/>
                <w:szCs w:val="24"/>
              </w:rPr>
              <w:t>粉末涂料</w:t>
            </w:r>
            <w:r>
              <w:rPr>
                <w:color w:val="auto"/>
                <w:szCs w:val="24"/>
              </w:rPr>
              <w:t>MSDS，项目的</w:t>
            </w:r>
            <w:r>
              <w:rPr>
                <w:rFonts w:hint="eastAsia"/>
                <w:color w:val="auto"/>
                <w:szCs w:val="24"/>
              </w:rPr>
              <w:t>粉末涂料</w:t>
            </w:r>
            <w:r>
              <w:rPr>
                <w:color w:val="auto"/>
              </w:rPr>
              <w:t>密度为</w:t>
            </w:r>
            <w:r>
              <w:rPr>
                <w:rFonts w:hint="eastAsia"/>
                <w:color w:val="auto"/>
              </w:rPr>
              <w:t>1.2</w:t>
            </w:r>
            <w:r>
              <w:rPr>
                <w:color w:val="auto"/>
              </w:rPr>
              <w:t>-1.</w:t>
            </w:r>
            <w:r>
              <w:rPr>
                <w:rFonts w:hint="eastAsia"/>
                <w:color w:val="auto"/>
              </w:rPr>
              <w:t>9</w:t>
            </w:r>
            <w:r>
              <w:rPr>
                <w:color w:val="auto"/>
              </w:rPr>
              <w:t>g/cm</w:t>
            </w:r>
            <w:r>
              <w:rPr>
                <w:color w:val="auto"/>
                <w:vertAlign w:val="superscript"/>
              </w:rPr>
              <w:t>3</w:t>
            </w:r>
            <w:r>
              <w:rPr>
                <w:color w:val="auto"/>
              </w:rPr>
              <w:t>，本评价取值1.</w:t>
            </w:r>
            <w:r>
              <w:rPr>
                <w:rFonts w:hint="eastAsia"/>
                <w:color w:val="auto"/>
              </w:rPr>
              <w:t>5</w:t>
            </w:r>
            <w:r>
              <w:rPr>
                <w:color w:val="auto"/>
              </w:rPr>
              <w:t>5g/cm</w:t>
            </w:r>
            <w:r>
              <w:rPr>
                <w:color w:val="auto"/>
                <w:vertAlign w:val="superscript"/>
              </w:rPr>
              <w:t>3</w:t>
            </w:r>
            <w:r>
              <w:rPr>
                <w:color w:val="auto"/>
              </w:rPr>
              <w:t>，项目</w:t>
            </w:r>
            <w:r>
              <w:rPr>
                <w:rFonts w:hint="eastAsia"/>
                <w:color w:val="auto"/>
              </w:rPr>
              <w:t>粉末涂料</w:t>
            </w:r>
            <w:r>
              <w:rPr>
                <w:color w:val="auto"/>
              </w:rPr>
              <w:t>的用量核算见</w:t>
            </w:r>
            <w:r>
              <w:rPr>
                <w:rFonts w:hint="eastAsia"/>
                <w:color w:val="auto"/>
              </w:rPr>
              <w:t>表2-16，根据建设单位提供，不合格品返工量约占投用产品产能的5%，则不合格品返工粉末涂料用量核算见表2-17</w:t>
            </w:r>
            <w:r>
              <w:rPr>
                <w:color w:val="auto"/>
              </w:rPr>
              <w:t>：</w:t>
            </w:r>
          </w:p>
          <w:p w14:paraId="4CE413FD">
            <w:pPr>
              <w:numPr>
                <w:ilvl w:val="0"/>
                <w:numId w:val="10"/>
              </w:numPr>
              <w:adjustRightInd w:val="0"/>
              <w:snapToGrid w:val="0"/>
              <w:jc w:val="center"/>
              <w:rPr>
                <w:b/>
                <w:color w:val="auto"/>
                <w:szCs w:val="21"/>
              </w:rPr>
            </w:pPr>
            <w:r>
              <w:rPr>
                <w:b/>
                <w:color w:val="auto"/>
                <w:szCs w:val="21"/>
              </w:rPr>
              <w:t xml:space="preserve">  项目</w:t>
            </w:r>
            <w:r>
              <w:rPr>
                <w:rFonts w:hint="eastAsia"/>
                <w:b/>
                <w:color w:val="auto"/>
                <w:szCs w:val="21"/>
              </w:rPr>
              <w:t>粉末涂料</w:t>
            </w:r>
            <w:r>
              <w:rPr>
                <w:b/>
                <w:color w:val="auto"/>
                <w:szCs w:val="21"/>
              </w:rPr>
              <w:t>用量核算一览表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41"/>
              <w:gridCol w:w="1041"/>
              <w:gridCol w:w="1297"/>
              <w:gridCol w:w="1113"/>
              <w:gridCol w:w="1081"/>
              <w:gridCol w:w="590"/>
              <w:gridCol w:w="1132"/>
              <w:gridCol w:w="1064"/>
            </w:tblGrid>
            <w:tr w14:paraId="11BE1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81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4DF9FF5">
                  <w:pPr>
                    <w:jc w:val="center"/>
                    <w:textAlignment w:val="center"/>
                    <w:rPr>
                      <w:b/>
                      <w:bCs/>
                      <w:color w:val="auto"/>
                      <w:szCs w:val="21"/>
                    </w:rPr>
                  </w:pPr>
                  <w:r>
                    <w:rPr>
                      <w:b/>
                      <w:bCs/>
                      <w:color w:val="auto"/>
                      <w:szCs w:val="21"/>
                      <w:lang w:bidi="ar"/>
                    </w:rPr>
                    <w:t>喷涂产品名称</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2086C0B">
                  <w:pPr>
                    <w:jc w:val="center"/>
                    <w:textAlignment w:val="center"/>
                    <w:rPr>
                      <w:b/>
                      <w:bCs/>
                      <w:color w:val="auto"/>
                      <w:szCs w:val="21"/>
                    </w:rPr>
                  </w:pPr>
                  <w:r>
                    <w:rPr>
                      <w:rFonts w:hint="eastAsia"/>
                      <w:b/>
                      <w:bCs/>
                      <w:color w:val="auto"/>
                      <w:szCs w:val="21"/>
                    </w:rPr>
                    <w:t>产量（件）</w:t>
                  </w:r>
                </w:p>
              </w:tc>
              <w:tc>
                <w:tcPr>
                  <w:tcW w:w="104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825CD5E">
                  <w:pPr>
                    <w:jc w:val="center"/>
                    <w:textAlignment w:val="center"/>
                    <w:rPr>
                      <w:b/>
                      <w:bCs/>
                      <w:color w:val="auto"/>
                      <w:szCs w:val="21"/>
                      <w:lang w:bidi="ar"/>
                    </w:rPr>
                  </w:pPr>
                  <w:r>
                    <w:rPr>
                      <w:b/>
                      <w:bCs/>
                      <w:color w:val="auto"/>
                      <w:szCs w:val="21"/>
                      <w:lang w:bidi="ar"/>
                    </w:rPr>
                    <w:t>涂料品种</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D447439">
                  <w:pPr>
                    <w:jc w:val="center"/>
                    <w:textAlignment w:val="center"/>
                    <w:rPr>
                      <w:b/>
                      <w:bCs/>
                      <w:color w:val="auto"/>
                      <w:szCs w:val="21"/>
                      <w:lang w:bidi="ar"/>
                    </w:rPr>
                  </w:pPr>
                  <w:r>
                    <w:rPr>
                      <w:rFonts w:hint="eastAsia"/>
                      <w:b/>
                      <w:bCs/>
                      <w:color w:val="auto"/>
                      <w:szCs w:val="21"/>
                      <w:lang w:bidi="ar"/>
                    </w:rPr>
                    <w:t>单位喷粉</w:t>
                  </w:r>
                  <w:r>
                    <w:rPr>
                      <w:b/>
                      <w:bCs/>
                      <w:color w:val="auto"/>
                      <w:szCs w:val="21"/>
                      <w:lang w:bidi="ar"/>
                    </w:rPr>
                    <w:t>面积</w:t>
                  </w:r>
                </w:p>
                <w:p w14:paraId="762BB02E">
                  <w:pPr>
                    <w:jc w:val="center"/>
                    <w:textAlignment w:val="center"/>
                    <w:rPr>
                      <w:b/>
                      <w:bCs/>
                      <w:color w:val="auto"/>
                      <w:szCs w:val="21"/>
                    </w:rPr>
                  </w:pPr>
                  <w:r>
                    <w:rPr>
                      <w:b/>
                      <w:bCs/>
                      <w:color w:val="auto"/>
                      <w:szCs w:val="21"/>
                      <w:lang w:bidi="ar"/>
                    </w:rPr>
                    <w:t>（m</w:t>
                  </w:r>
                  <w:r>
                    <w:rPr>
                      <w:b/>
                      <w:bCs/>
                      <w:color w:val="auto"/>
                      <w:szCs w:val="21"/>
                      <w:vertAlign w:val="superscript"/>
                      <w:lang w:bidi="ar"/>
                    </w:rPr>
                    <w:t>2</w:t>
                  </w:r>
                  <w:r>
                    <w:rPr>
                      <w:b/>
                      <w:bCs/>
                      <w:color w:val="auto"/>
                      <w:szCs w:val="21"/>
                      <w:lang w:bidi="ar"/>
                    </w:rPr>
                    <w:t>）</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512D01F">
                  <w:pPr>
                    <w:jc w:val="center"/>
                    <w:textAlignment w:val="center"/>
                    <w:rPr>
                      <w:b/>
                      <w:bCs/>
                      <w:color w:val="auto"/>
                      <w:szCs w:val="21"/>
                      <w:lang w:bidi="ar"/>
                    </w:rPr>
                  </w:pPr>
                  <w:r>
                    <w:rPr>
                      <w:b/>
                      <w:bCs/>
                      <w:color w:val="auto"/>
                      <w:szCs w:val="21"/>
                      <w:lang w:bidi="ar"/>
                    </w:rPr>
                    <w:t>喷涂厚度</w:t>
                  </w:r>
                </w:p>
                <w:p w14:paraId="3DC6EF08">
                  <w:pPr>
                    <w:jc w:val="center"/>
                    <w:textAlignment w:val="center"/>
                    <w:rPr>
                      <w:b/>
                      <w:bCs/>
                      <w:color w:val="auto"/>
                      <w:szCs w:val="21"/>
                    </w:rPr>
                  </w:pPr>
                  <w:r>
                    <w:rPr>
                      <w:b/>
                      <w:bCs/>
                      <w:color w:val="auto"/>
                      <w:szCs w:val="21"/>
                      <w:lang w:bidi="ar"/>
                    </w:rPr>
                    <w:t>（mm）</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3CCE179">
                  <w:pPr>
                    <w:jc w:val="center"/>
                    <w:textAlignment w:val="center"/>
                    <w:rPr>
                      <w:b/>
                      <w:bCs/>
                      <w:color w:val="auto"/>
                      <w:szCs w:val="21"/>
                      <w:lang w:bidi="ar"/>
                    </w:rPr>
                  </w:pPr>
                  <w:r>
                    <w:rPr>
                      <w:b/>
                      <w:bCs/>
                      <w:color w:val="auto"/>
                      <w:szCs w:val="21"/>
                      <w:lang w:bidi="ar"/>
                    </w:rPr>
                    <w:t>涂料密度</w:t>
                  </w:r>
                </w:p>
                <w:p w14:paraId="35F29116">
                  <w:pPr>
                    <w:jc w:val="center"/>
                    <w:textAlignment w:val="center"/>
                    <w:rPr>
                      <w:b/>
                      <w:bCs/>
                      <w:color w:val="auto"/>
                      <w:szCs w:val="21"/>
                    </w:rPr>
                  </w:pPr>
                  <w:r>
                    <w:rPr>
                      <w:b/>
                      <w:bCs/>
                      <w:color w:val="auto"/>
                      <w:szCs w:val="21"/>
                      <w:lang w:bidi="ar"/>
                    </w:rPr>
                    <w:t>（g/cm³）</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5B4C053">
                  <w:pPr>
                    <w:jc w:val="center"/>
                    <w:textAlignment w:val="center"/>
                    <w:rPr>
                      <w:b/>
                      <w:bCs/>
                      <w:color w:val="auto"/>
                      <w:szCs w:val="21"/>
                    </w:rPr>
                  </w:pPr>
                  <w:r>
                    <w:rPr>
                      <w:b/>
                      <w:bCs/>
                      <w:color w:val="auto"/>
                      <w:szCs w:val="21"/>
                      <w:lang w:bidi="ar"/>
                    </w:rPr>
                    <w:t>喷涂次数</w:t>
                  </w:r>
                </w:p>
              </w:tc>
              <w:tc>
                <w:tcPr>
                  <w:tcW w:w="567"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24306FE">
                  <w:pPr>
                    <w:jc w:val="center"/>
                    <w:textAlignment w:val="center"/>
                    <w:rPr>
                      <w:b/>
                      <w:bCs/>
                      <w:color w:val="auto"/>
                      <w:szCs w:val="21"/>
                    </w:rPr>
                  </w:pPr>
                  <w:r>
                    <w:rPr>
                      <w:b/>
                      <w:bCs/>
                      <w:color w:val="auto"/>
                      <w:szCs w:val="21"/>
                    </w:rPr>
                    <w:t>最终利用率*</w:t>
                  </w:r>
                </w:p>
              </w:tc>
              <w:tc>
                <w:tcPr>
                  <w:tcW w:w="533"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0702C1F">
                  <w:pPr>
                    <w:jc w:val="center"/>
                    <w:textAlignment w:val="center"/>
                    <w:rPr>
                      <w:b/>
                      <w:bCs/>
                      <w:color w:val="auto"/>
                      <w:szCs w:val="21"/>
                      <w:lang w:bidi="ar"/>
                    </w:rPr>
                  </w:pPr>
                  <w:r>
                    <w:rPr>
                      <w:b/>
                      <w:bCs/>
                      <w:color w:val="auto"/>
                      <w:szCs w:val="21"/>
                      <w:lang w:bidi="ar"/>
                    </w:rPr>
                    <w:t>年用量</w:t>
                  </w:r>
                </w:p>
                <w:p w14:paraId="3A595FD4">
                  <w:pPr>
                    <w:jc w:val="center"/>
                    <w:textAlignment w:val="center"/>
                    <w:rPr>
                      <w:b/>
                      <w:bCs/>
                      <w:color w:val="auto"/>
                      <w:szCs w:val="21"/>
                      <w:lang w:bidi="ar"/>
                    </w:rPr>
                  </w:pPr>
                  <w:r>
                    <w:rPr>
                      <w:b/>
                      <w:bCs/>
                      <w:color w:val="auto"/>
                      <w:szCs w:val="21"/>
                      <w:lang w:bidi="ar"/>
                    </w:rPr>
                    <w:t>(t/a)</w:t>
                  </w:r>
                </w:p>
              </w:tc>
            </w:tr>
            <w:tr w14:paraId="6A88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1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43FD616">
                  <w:pPr>
                    <w:pStyle w:val="127"/>
                    <w:rPr>
                      <w:color w:val="auto"/>
                    </w:rPr>
                  </w:pPr>
                  <w:r>
                    <w:rPr>
                      <w:rFonts w:hint="eastAsia"/>
                      <w:color w:val="auto"/>
                    </w:rPr>
                    <w:t>自行车车架</w:t>
                  </w:r>
                </w:p>
              </w:tc>
              <w:tc>
                <w:tcPr>
                  <w:tcW w:w="104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004E94D">
                  <w:pPr>
                    <w:widowControl/>
                    <w:jc w:val="center"/>
                    <w:textAlignment w:val="center"/>
                    <w:rPr>
                      <w:color w:val="auto"/>
                      <w:szCs w:val="21"/>
                    </w:rPr>
                  </w:pPr>
                  <w:r>
                    <w:rPr>
                      <w:color w:val="auto"/>
                      <w:kern w:val="0"/>
                      <w:szCs w:val="21"/>
                      <w:lang w:bidi="ar"/>
                    </w:rPr>
                    <w:t>90000</w:t>
                  </w:r>
                </w:p>
              </w:tc>
              <w:tc>
                <w:tcPr>
                  <w:tcW w:w="104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7770A9C">
                  <w:pPr>
                    <w:pStyle w:val="43"/>
                    <w:spacing w:line="240" w:lineRule="auto"/>
                    <w:ind w:firstLine="0" w:firstLineChars="0"/>
                    <w:jc w:val="center"/>
                    <w:rPr>
                      <w:color w:val="auto"/>
                      <w:sz w:val="21"/>
                      <w:szCs w:val="21"/>
                    </w:rPr>
                  </w:pPr>
                  <w:r>
                    <w:rPr>
                      <w:rFonts w:hint="eastAsia"/>
                      <w:color w:val="auto"/>
                      <w:sz w:val="21"/>
                      <w:szCs w:val="21"/>
                    </w:rPr>
                    <w:t>粉末涂料</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CDEE221">
                  <w:pPr>
                    <w:widowControl/>
                    <w:jc w:val="center"/>
                    <w:textAlignment w:val="center"/>
                    <w:rPr>
                      <w:color w:val="auto"/>
                      <w:szCs w:val="21"/>
                    </w:rPr>
                  </w:pPr>
                  <w:r>
                    <w:rPr>
                      <w:color w:val="auto"/>
                      <w:kern w:val="0"/>
                      <w:szCs w:val="21"/>
                      <w:lang w:bidi="ar"/>
                    </w:rPr>
                    <w:t>0.2674</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D95F590">
                  <w:pPr>
                    <w:jc w:val="center"/>
                    <w:textAlignment w:val="center"/>
                    <w:rPr>
                      <w:color w:val="auto"/>
                      <w:szCs w:val="21"/>
                    </w:rPr>
                  </w:pPr>
                  <w:r>
                    <w:rPr>
                      <w:color w:val="auto"/>
                      <w:szCs w:val="21"/>
                    </w:rPr>
                    <w:t>0.0</w:t>
                  </w:r>
                  <w:r>
                    <w:rPr>
                      <w:rFonts w:hint="eastAsia"/>
                      <w:color w:val="auto"/>
                      <w:szCs w:val="21"/>
                    </w:rPr>
                    <w:t>8</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CFA6C9B">
                  <w:pPr>
                    <w:jc w:val="center"/>
                    <w:textAlignment w:val="center"/>
                    <w:rPr>
                      <w:color w:val="auto"/>
                      <w:szCs w:val="21"/>
                    </w:rPr>
                  </w:pPr>
                  <w:r>
                    <w:rPr>
                      <w:color w:val="auto"/>
                      <w:szCs w:val="21"/>
                    </w:rPr>
                    <w:t>1.</w:t>
                  </w:r>
                  <w:r>
                    <w:rPr>
                      <w:rFonts w:hint="eastAsia"/>
                      <w:color w:val="auto"/>
                      <w:szCs w:val="21"/>
                    </w:rPr>
                    <w:t>5</w:t>
                  </w:r>
                  <w:r>
                    <w:rPr>
                      <w:color w:val="auto"/>
                      <w:szCs w:val="21"/>
                    </w:rPr>
                    <w:t>5</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E25413C">
                  <w:pPr>
                    <w:jc w:val="center"/>
                    <w:textAlignment w:val="center"/>
                    <w:rPr>
                      <w:color w:val="auto"/>
                      <w:szCs w:val="21"/>
                    </w:rPr>
                  </w:pPr>
                  <w:r>
                    <w:rPr>
                      <w:rFonts w:hint="eastAsia"/>
                      <w:color w:val="auto"/>
                      <w:szCs w:val="21"/>
                    </w:rPr>
                    <w:t>1</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6448D37">
                  <w:pPr>
                    <w:widowControl/>
                    <w:jc w:val="center"/>
                    <w:textAlignment w:val="center"/>
                    <w:rPr>
                      <w:color w:val="auto"/>
                      <w:szCs w:val="21"/>
                    </w:rPr>
                  </w:pPr>
                  <w:r>
                    <w:rPr>
                      <w:color w:val="auto"/>
                      <w:kern w:val="0"/>
                      <w:szCs w:val="21"/>
                      <w:lang w:bidi="ar"/>
                    </w:rPr>
                    <w:t>95%</w:t>
                  </w:r>
                </w:p>
              </w:tc>
              <w:tc>
                <w:tcPr>
                  <w:tcW w:w="106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EEA388B">
                  <w:pPr>
                    <w:widowControl/>
                    <w:jc w:val="center"/>
                    <w:textAlignment w:val="center"/>
                    <w:rPr>
                      <w:color w:val="auto"/>
                      <w:szCs w:val="21"/>
                    </w:rPr>
                  </w:pPr>
                  <w:r>
                    <w:rPr>
                      <w:color w:val="auto"/>
                      <w:kern w:val="0"/>
                      <w:szCs w:val="21"/>
                      <w:lang w:bidi="ar"/>
                    </w:rPr>
                    <w:t xml:space="preserve">3.14 </w:t>
                  </w:r>
                </w:p>
              </w:tc>
            </w:tr>
            <w:tr w14:paraId="6283E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F09072E">
                  <w:pPr>
                    <w:pStyle w:val="127"/>
                    <w:rPr>
                      <w:color w:val="auto"/>
                    </w:rPr>
                  </w:pPr>
                  <w:r>
                    <w:rPr>
                      <w:rFonts w:hint="eastAsia"/>
                      <w:color w:val="auto"/>
                    </w:rPr>
                    <w:t>电动助力车车架</w:t>
                  </w:r>
                </w:p>
              </w:tc>
              <w:tc>
                <w:tcPr>
                  <w:tcW w:w="104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8655E02">
                  <w:pPr>
                    <w:widowControl/>
                    <w:jc w:val="center"/>
                    <w:textAlignment w:val="center"/>
                    <w:rPr>
                      <w:color w:val="auto"/>
                      <w:szCs w:val="21"/>
                    </w:rPr>
                  </w:pPr>
                  <w:r>
                    <w:rPr>
                      <w:color w:val="auto"/>
                      <w:kern w:val="0"/>
                      <w:szCs w:val="21"/>
                      <w:lang w:bidi="ar"/>
                    </w:rPr>
                    <w:t>84000</w:t>
                  </w:r>
                </w:p>
              </w:tc>
              <w:tc>
                <w:tcPr>
                  <w:tcW w:w="104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3D43498">
                  <w:pPr>
                    <w:pStyle w:val="43"/>
                    <w:spacing w:line="240" w:lineRule="auto"/>
                    <w:ind w:firstLine="0" w:firstLineChars="0"/>
                    <w:jc w:val="center"/>
                    <w:rPr>
                      <w:color w:val="auto"/>
                      <w:sz w:val="21"/>
                      <w:szCs w:val="21"/>
                    </w:rPr>
                  </w:pPr>
                  <w:r>
                    <w:rPr>
                      <w:rFonts w:hint="eastAsia"/>
                      <w:color w:val="auto"/>
                      <w:sz w:val="21"/>
                      <w:szCs w:val="21"/>
                    </w:rPr>
                    <w:t>粉末涂料</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EF251BA">
                  <w:pPr>
                    <w:widowControl/>
                    <w:jc w:val="center"/>
                    <w:textAlignment w:val="center"/>
                    <w:rPr>
                      <w:color w:val="auto"/>
                      <w:szCs w:val="21"/>
                    </w:rPr>
                  </w:pPr>
                  <w:r>
                    <w:rPr>
                      <w:color w:val="auto"/>
                      <w:kern w:val="0"/>
                      <w:szCs w:val="21"/>
                      <w:lang w:bidi="ar"/>
                    </w:rPr>
                    <w:t>0.3703</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1365AB6">
                  <w:pPr>
                    <w:jc w:val="center"/>
                    <w:textAlignment w:val="center"/>
                    <w:rPr>
                      <w:color w:val="auto"/>
                      <w:szCs w:val="21"/>
                    </w:rPr>
                  </w:pPr>
                  <w:r>
                    <w:rPr>
                      <w:color w:val="auto"/>
                      <w:szCs w:val="21"/>
                    </w:rPr>
                    <w:t>0.0</w:t>
                  </w:r>
                  <w:r>
                    <w:rPr>
                      <w:rFonts w:hint="eastAsia"/>
                      <w:color w:val="auto"/>
                      <w:szCs w:val="21"/>
                    </w:rPr>
                    <w:t>8</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D42C1A0">
                  <w:pPr>
                    <w:jc w:val="center"/>
                    <w:textAlignment w:val="center"/>
                    <w:rPr>
                      <w:color w:val="auto"/>
                      <w:szCs w:val="21"/>
                    </w:rPr>
                  </w:pPr>
                  <w:r>
                    <w:rPr>
                      <w:color w:val="auto"/>
                      <w:szCs w:val="21"/>
                    </w:rPr>
                    <w:t>1.</w:t>
                  </w:r>
                  <w:r>
                    <w:rPr>
                      <w:rFonts w:hint="eastAsia"/>
                      <w:color w:val="auto"/>
                      <w:szCs w:val="21"/>
                    </w:rPr>
                    <w:t>5</w:t>
                  </w:r>
                  <w:r>
                    <w:rPr>
                      <w:color w:val="auto"/>
                      <w:szCs w:val="21"/>
                    </w:rPr>
                    <w:t>5</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50AD1DE">
                  <w:pPr>
                    <w:jc w:val="center"/>
                    <w:textAlignment w:val="center"/>
                    <w:rPr>
                      <w:color w:val="auto"/>
                      <w:szCs w:val="21"/>
                    </w:rPr>
                  </w:pPr>
                  <w:r>
                    <w:rPr>
                      <w:rFonts w:hint="eastAsia"/>
                      <w:color w:val="auto"/>
                      <w:szCs w:val="21"/>
                    </w:rPr>
                    <w:t>1</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B221B13">
                  <w:pPr>
                    <w:widowControl/>
                    <w:jc w:val="center"/>
                    <w:textAlignment w:val="center"/>
                    <w:rPr>
                      <w:color w:val="auto"/>
                      <w:szCs w:val="21"/>
                    </w:rPr>
                  </w:pPr>
                  <w:r>
                    <w:rPr>
                      <w:color w:val="auto"/>
                      <w:kern w:val="0"/>
                      <w:szCs w:val="21"/>
                      <w:lang w:bidi="ar"/>
                    </w:rPr>
                    <w:t>95%</w:t>
                  </w:r>
                </w:p>
              </w:tc>
              <w:tc>
                <w:tcPr>
                  <w:tcW w:w="106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6757130">
                  <w:pPr>
                    <w:widowControl/>
                    <w:jc w:val="center"/>
                    <w:textAlignment w:val="center"/>
                    <w:rPr>
                      <w:color w:val="auto"/>
                      <w:szCs w:val="21"/>
                    </w:rPr>
                  </w:pPr>
                  <w:r>
                    <w:rPr>
                      <w:color w:val="auto"/>
                      <w:kern w:val="0"/>
                      <w:szCs w:val="21"/>
                      <w:lang w:bidi="ar"/>
                    </w:rPr>
                    <w:t xml:space="preserve">4.06 </w:t>
                  </w:r>
                </w:p>
              </w:tc>
            </w:tr>
            <w:tr w14:paraId="58E10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81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8D94737">
                  <w:pPr>
                    <w:jc w:val="center"/>
                    <w:rPr>
                      <w:color w:val="auto"/>
                    </w:rPr>
                  </w:pPr>
                  <w:r>
                    <w:rPr>
                      <w:rFonts w:hint="eastAsia"/>
                      <w:color w:val="auto"/>
                    </w:rPr>
                    <w:t>家私配件</w:t>
                  </w:r>
                </w:p>
              </w:tc>
              <w:tc>
                <w:tcPr>
                  <w:tcW w:w="104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28DF780">
                  <w:pPr>
                    <w:widowControl/>
                    <w:jc w:val="center"/>
                    <w:textAlignment w:val="center"/>
                    <w:rPr>
                      <w:color w:val="auto"/>
                      <w:szCs w:val="21"/>
                    </w:rPr>
                  </w:pPr>
                  <w:r>
                    <w:rPr>
                      <w:color w:val="auto"/>
                      <w:kern w:val="0"/>
                      <w:szCs w:val="21"/>
                      <w:lang w:bidi="ar"/>
                    </w:rPr>
                    <w:t>84000</w:t>
                  </w:r>
                </w:p>
              </w:tc>
              <w:tc>
                <w:tcPr>
                  <w:tcW w:w="104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B5CC057">
                  <w:pPr>
                    <w:pStyle w:val="43"/>
                    <w:spacing w:line="240" w:lineRule="auto"/>
                    <w:ind w:firstLine="0" w:firstLineChars="0"/>
                    <w:jc w:val="center"/>
                    <w:rPr>
                      <w:color w:val="auto"/>
                      <w:sz w:val="21"/>
                      <w:szCs w:val="21"/>
                    </w:rPr>
                  </w:pPr>
                  <w:r>
                    <w:rPr>
                      <w:rFonts w:hint="eastAsia"/>
                      <w:color w:val="auto"/>
                      <w:sz w:val="21"/>
                      <w:szCs w:val="21"/>
                    </w:rPr>
                    <w:t>粉末涂料</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04BB774">
                  <w:pPr>
                    <w:widowControl/>
                    <w:jc w:val="center"/>
                    <w:textAlignment w:val="center"/>
                    <w:rPr>
                      <w:color w:val="auto"/>
                      <w:szCs w:val="21"/>
                    </w:rPr>
                  </w:pPr>
                  <w:r>
                    <w:rPr>
                      <w:rFonts w:hint="eastAsia"/>
                      <w:color w:val="auto"/>
                      <w:kern w:val="0"/>
                      <w:szCs w:val="21"/>
                      <w:lang w:bidi="ar"/>
                    </w:rPr>
                    <w:t>0.556</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3C99B8E">
                  <w:pPr>
                    <w:jc w:val="center"/>
                    <w:textAlignment w:val="center"/>
                    <w:rPr>
                      <w:color w:val="auto"/>
                      <w:szCs w:val="21"/>
                    </w:rPr>
                  </w:pPr>
                  <w:r>
                    <w:rPr>
                      <w:color w:val="auto"/>
                      <w:szCs w:val="21"/>
                    </w:rPr>
                    <w:t>0.0</w:t>
                  </w:r>
                  <w:r>
                    <w:rPr>
                      <w:rFonts w:hint="eastAsia"/>
                      <w:color w:val="auto"/>
                      <w:szCs w:val="21"/>
                    </w:rPr>
                    <w:t>8</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8617C31">
                  <w:pPr>
                    <w:jc w:val="center"/>
                    <w:textAlignment w:val="center"/>
                    <w:rPr>
                      <w:color w:val="auto"/>
                      <w:szCs w:val="21"/>
                    </w:rPr>
                  </w:pPr>
                  <w:r>
                    <w:rPr>
                      <w:color w:val="auto"/>
                      <w:szCs w:val="21"/>
                    </w:rPr>
                    <w:t>1.</w:t>
                  </w:r>
                  <w:r>
                    <w:rPr>
                      <w:rFonts w:hint="eastAsia"/>
                      <w:color w:val="auto"/>
                      <w:szCs w:val="21"/>
                    </w:rPr>
                    <w:t>5</w:t>
                  </w:r>
                  <w:r>
                    <w:rPr>
                      <w:color w:val="auto"/>
                      <w:szCs w:val="21"/>
                    </w:rPr>
                    <w:t>5</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EE622F7">
                  <w:pPr>
                    <w:jc w:val="center"/>
                    <w:textAlignment w:val="center"/>
                    <w:rPr>
                      <w:color w:val="auto"/>
                      <w:szCs w:val="21"/>
                    </w:rPr>
                  </w:pPr>
                  <w:r>
                    <w:rPr>
                      <w:rFonts w:hint="eastAsia"/>
                      <w:color w:val="auto"/>
                      <w:szCs w:val="21"/>
                    </w:rPr>
                    <w:t>1</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DD83C4B">
                  <w:pPr>
                    <w:widowControl/>
                    <w:jc w:val="center"/>
                    <w:textAlignment w:val="center"/>
                    <w:rPr>
                      <w:color w:val="auto"/>
                      <w:szCs w:val="21"/>
                    </w:rPr>
                  </w:pPr>
                  <w:r>
                    <w:rPr>
                      <w:color w:val="auto"/>
                      <w:kern w:val="0"/>
                      <w:szCs w:val="21"/>
                      <w:lang w:bidi="ar"/>
                    </w:rPr>
                    <w:t>95%</w:t>
                  </w:r>
                </w:p>
              </w:tc>
              <w:tc>
                <w:tcPr>
                  <w:tcW w:w="106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B8DC591">
                  <w:pPr>
                    <w:widowControl/>
                    <w:jc w:val="center"/>
                    <w:textAlignment w:val="center"/>
                    <w:rPr>
                      <w:color w:val="auto"/>
                      <w:szCs w:val="21"/>
                    </w:rPr>
                  </w:pPr>
                  <w:r>
                    <w:rPr>
                      <w:color w:val="auto"/>
                      <w:kern w:val="0"/>
                      <w:szCs w:val="21"/>
                      <w:lang w:bidi="ar"/>
                    </w:rPr>
                    <w:t>6.1</w:t>
                  </w:r>
                </w:p>
              </w:tc>
            </w:tr>
            <w:tr w14:paraId="6FBD1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4466" w:type="pct"/>
                  <w:gridSpan w:val="8"/>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BEE1E3A">
                  <w:pPr>
                    <w:jc w:val="center"/>
                    <w:textAlignment w:val="center"/>
                    <w:rPr>
                      <w:color w:val="auto"/>
                      <w:szCs w:val="21"/>
                    </w:rPr>
                  </w:pPr>
                  <w:r>
                    <w:rPr>
                      <w:color w:val="auto"/>
                      <w:szCs w:val="21"/>
                    </w:rPr>
                    <w:t>小计</w:t>
                  </w:r>
                </w:p>
              </w:tc>
              <w:tc>
                <w:tcPr>
                  <w:tcW w:w="106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90A6B25">
                  <w:pPr>
                    <w:widowControl/>
                    <w:jc w:val="center"/>
                    <w:textAlignment w:val="center"/>
                    <w:rPr>
                      <w:color w:val="auto"/>
                      <w:szCs w:val="21"/>
                    </w:rPr>
                  </w:pPr>
                  <w:r>
                    <w:rPr>
                      <w:rFonts w:hint="eastAsia"/>
                      <w:color w:val="auto"/>
                      <w:kern w:val="0"/>
                      <w:szCs w:val="21"/>
                      <w:lang w:bidi="ar"/>
                    </w:rPr>
                    <w:t>13.3</w:t>
                  </w:r>
                </w:p>
              </w:tc>
            </w:tr>
            <w:tr w14:paraId="20877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5000" w:type="pct"/>
                  <w:gridSpan w:val="9"/>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40C5F3C">
                  <w:pPr>
                    <w:widowControl/>
                    <w:jc w:val="left"/>
                    <w:textAlignment w:val="center"/>
                    <w:rPr>
                      <w:color w:val="auto"/>
                      <w:kern w:val="0"/>
                      <w:szCs w:val="21"/>
                      <w:lang w:bidi="ar"/>
                    </w:rPr>
                  </w:pPr>
                  <w:r>
                    <w:rPr>
                      <w:color w:val="auto"/>
                      <w:kern w:val="0"/>
                      <w:szCs w:val="21"/>
                      <w:lang w:bidi="ar"/>
                    </w:rPr>
                    <w:t>注：</w:t>
                  </w:r>
                  <w:r>
                    <w:rPr>
                      <w:rFonts w:hint="eastAsia"/>
                      <w:color w:val="auto"/>
                      <w:kern w:val="0"/>
                      <w:szCs w:val="21"/>
                      <w:lang w:bidi="ar"/>
                    </w:rPr>
                    <w:t>1、</w:t>
                  </w:r>
                  <w:r>
                    <w:rPr>
                      <w:color w:val="auto"/>
                      <w:kern w:val="0"/>
                      <w:szCs w:val="21"/>
                      <w:lang w:bidi="ar"/>
                    </w:rPr>
                    <w:t>喷粉的总面积×粉膜的厚度×粉末的密度/利用率=粉末涂料年用量</w:t>
                  </w:r>
                </w:p>
                <w:p w14:paraId="29AE588A">
                  <w:pPr>
                    <w:widowControl/>
                    <w:jc w:val="left"/>
                    <w:textAlignment w:val="center"/>
                    <w:rPr>
                      <w:color w:val="auto"/>
                      <w:kern w:val="0"/>
                      <w:szCs w:val="21"/>
                      <w:lang w:bidi="ar"/>
                    </w:rPr>
                  </w:pPr>
                  <w:r>
                    <w:rPr>
                      <w:rFonts w:hint="eastAsia"/>
                      <w:color w:val="auto"/>
                      <w:kern w:val="0"/>
                      <w:szCs w:val="21"/>
                      <w:lang w:bidi="ar"/>
                    </w:rPr>
                    <w:t xml:space="preserve">    2、</w:t>
                  </w:r>
                  <w:r>
                    <w:rPr>
                      <w:rFonts w:hint="eastAsia"/>
                      <w:color w:val="auto"/>
                    </w:rPr>
                    <w:t>根据《金属静电粉末喷涂清洁生产途径探讨》（黄冬梅等．环境科学与管理，2007 年，第 23 卷第 7 期），在粉末喷涂过程中，工件的上粉率约为50%～70%，考虑到项目使用静电喷枪，喷粉过程中粉体的附着率较高，则上粉率取70%，即喷粉过程中粉末涂料有30%会形成粉尘。</w:t>
                  </w:r>
                  <w:r>
                    <w:rPr>
                      <w:bCs/>
                      <w:color w:val="auto"/>
                      <w:szCs w:val="21"/>
                    </w:rPr>
                    <w:t>其中经</w:t>
                  </w:r>
                  <w:r>
                    <w:rPr>
                      <w:rFonts w:hint="eastAsia"/>
                      <w:bCs/>
                      <w:color w:val="auto"/>
                      <w:szCs w:val="21"/>
                    </w:rPr>
                    <w:t>喷粉柜</w:t>
                  </w:r>
                  <w:r>
                    <w:rPr>
                      <w:bCs/>
                      <w:color w:val="auto"/>
                      <w:szCs w:val="21"/>
                    </w:rPr>
                    <w:t>自带</w:t>
                  </w:r>
                  <w:r>
                    <w:rPr>
                      <w:rFonts w:hint="eastAsia"/>
                      <w:bCs/>
                      <w:color w:val="auto"/>
                      <w:szCs w:val="21"/>
                    </w:rPr>
                    <w:t>滤筒</w:t>
                  </w:r>
                  <w:r>
                    <w:rPr>
                      <w:bCs/>
                      <w:color w:val="auto"/>
                      <w:szCs w:val="21"/>
                    </w:rPr>
                    <w:t>过滤装置回收后全部回用于喷粉工序，收集效率为90%，90%收集的粉尘经</w:t>
                  </w:r>
                  <w:r>
                    <w:rPr>
                      <w:rFonts w:hint="eastAsia"/>
                      <w:bCs/>
                      <w:color w:val="auto"/>
                      <w:szCs w:val="21"/>
                    </w:rPr>
                    <w:t>滤筒</w:t>
                  </w:r>
                  <w:r>
                    <w:rPr>
                      <w:bCs/>
                      <w:color w:val="auto"/>
                      <w:szCs w:val="21"/>
                    </w:rPr>
                    <w:t>+布袋除尘器二级回收处理后，粉尘</w:t>
                  </w:r>
                  <w:r>
                    <w:rPr>
                      <w:rFonts w:hint="eastAsia"/>
                      <w:bCs/>
                      <w:color w:val="auto"/>
                      <w:szCs w:val="21"/>
                    </w:rPr>
                    <w:t>回收</w:t>
                  </w:r>
                  <w:r>
                    <w:rPr>
                      <w:bCs/>
                      <w:color w:val="auto"/>
                      <w:szCs w:val="21"/>
                    </w:rPr>
                    <w:t>效率可达</w:t>
                  </w:r>
                  <w:r>
                    <w:rPr>
                      <w:rFonts w:hint="eastAsia"/>
                      <w:bCs/>
                      <w:color w:val="auto"/>
                      <w:szCs w:val="21"/>
                    </w:rPr>
                    <w:t>99</w:t>
                  </w:r>
                  <w:r>
                    <w:rPr>
                      <w:bCs/>
                      <w:color w:val="auto"/>
                      <w:szCs w:val="21"/>
                    </w:rPr>
                    <w:t>%，回收的粉尘回用于喷粉工序</w:t>
                  </w:r>
                  <w:r>
                    <w:rPr>
                      <w:rFonts w:hint="eastAsia"/>
                      <w:bCs/>
                      <w:color w:val="auto"/>
                      <w:szCs w:val="21"/>
                    </w:rPr>
                    <w:t>，回用率按95%计，</w:t>
                  </w:r>
                  <w:r>
                    <w:rPr>
                      <w:bCs/>
                      <w:color w:val="auto"/>
                      <w:szCs w:val="21"/>
                    </w:rPr>
                    <w:t>因此故喷粉过程中粉末涂料的有效利用率约为（0.7+0.3×0.90×0.9</w:t>
                  </w:r>
                  <w:r>
                    <w:rPr>
                      <w:rFonts w:hint="eastAsia"/>
                      <w:bCs/>
                      <w:color w:val="auto"/>
                      <w:szCs w:val="21"/>
                    </w:rPr>
                    <w:t>9</w:t>
                  </w:r>
                  <w:r>
                    <w:rPr>
                      <w:bCs/>
                      <w:color w:val="auto"/>
                      <w:szCs w:val="21"/>
                    </w:rPr>
                    <w:t>×0.9</w:t>
                  </w:r>
                  <w:r>
                    <w:rPr>
                      <w:rFonts w:hint="eastAsia"/>
                      <w:bCs/>
                      <w:color w:val="auto"/>
                      <w:szCs w:val="21"/>
                    </w:rPr>
                    <w:t>5</w:t>
                  </w:r>
                  <w:r>
                    <w:rPr>
                      <w:bCs/>
                      <w:color w:val="auto"/>
                      <w:szCs w:val="21"/>
                    </w:rPr>
                    <w:t>）×100%=</w:t>
                  </w:r>
                  <w:r>
                    <w:rPr>
                      <w:rFonts w:hint="eastAsia"/>
                      <w:bCs/>
                      <w:color w:val="auto"/>
                      <w:szCs w:val="21"/>
                    </w:rPr>
                    <w:t>95.3935</w:t>
                  </w:r>
                  <w:r>
                    <w:rPr>
                      <w:bCs/>
                      <w:color w:val="auto"/>
                      <w:szCs w:val="21"/>
                    </w:rPr>
                    <w:t>%。本次评价保守按照</w:t>
                  </w:r>
                  <w:r>
                    <w:rPr>
                      <w:rFonts w:hint="eastAsia"/>
                      <w:bCs/>
                      <w:color w:val="auto"/>
                      <w:szCs w:val="21"/>
                    </w:rPr>
                    <w:t>95</w:t>
                  </w:r>
                  <w:r>
                    <w:rPr>
                      <w:bCs/>
                      <w:color w:val="auto"/>
                      <w:szCs w:val="21"/>
                    </w:rPr>
                    <w:t>%计。</w:t>
                  </w:r>
                </w:p>
              </w:tc>
            </w:tr>
          </w:tbl>
          <w:p w14:paraId="078D78EB">
            <w:pPr>
              <w:adjustRightInd w:val="0"/>
              <w:snapToGrid w:val="0"/>
              <w:ind w:firstLine="420" w:firstLineChars="200"/>
              <w:rPr>
                <w:bCs/>
                <w:color w:val="auto"/>
                <w:szCs w:val="21"/>
              </w:rPr>
            </w:pPr>
          </w:p>
          <w:p w14:paraId="5964931B">
            <w:pPr>
              <w:numPr>
                <w:ilvl w:val="0"/>
                <w:numId w:val="10"/>
              </w:numPr>
              <w:adjustRightInd w:val="0"/>
              <w:snapToGrid w:val="0"/>
              <w:jc w:val="center"/>
              <w:rPr>
                <w:b/>
                <w:color w:val="auto"/>
                <w:szCs w:val="21"/>
              </w:rPr>
            </w:pPr>
            <w:r>
              <w:rPr>
                <w:b/>
                <w:color w:val="auto"/>
                <w:szCs w:val="21"/>
              </w:rPr>
              <w:t xml:space="preserve">  项目</w:t>
            </w:r>
            <w:r>
              <w:rPr>
                <w:rFonts w:hint="eastAsia"/>
                <w:b/>
                <w:color w:val="auto"/>
                <w:szCs w:val="21"/>
              </w:rPr>
              <w:t>不合格品返工粉末涂料</w:t>
            </w:r>
            <w:r>
              <w:rPr>
                <w:b/>
                <w:color w:val="auto"/>
                <w:szCs w:val="21"/>
              </w:rPr>
              <w:t>用量核算一览表</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1040"/>
              <w:gridCol w:w="1040"/>
              <w:gridCol w:w="1297"/>
              <w:gridCol w:w="1113"/>
              <w:gridCol w:w="1081"/>
              <w:gridCol w:w="590"/>
              <w:gridCol w:w="1134"/>
              <w:gridCol w:w="1065"/>
            </w:tblGrid>
            <w:tr w14:paraId="6F45E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81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26C5472">
                  <w:pPr>
                    <w:jc w:val="center"/>
                    <w:textAlignment w:val="center"/>
                    <w:rPr>
                      <w:b/>
                      <w:bCs/>
                      <w:color w:val="auto"/>
                      <w:szCs w:val="21"/>
                    </w:rPr>
                  </w:pPr>
                  <w:r>
                    <w:rPr>
                      <w:b/>
                      <w:bCs/>
                      <w:color w:val="auto"/>
                      <w:szCs w:val="21"/>
                      <w:lang w:bidi="ar"/>
                    </w:rPr>
                    <w:t>喷涂产品名称</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0F04088">
                  <w:pPr>
                    <w:jc w:val="center"/>
                    <w:textAlignment w:val="center"/>
                    <w:rPr>
                      <w:b/>
                      <w:bCs/>
                      <w:color w:val="auto"/>
                      <w:szCs w:val="21"/>
                    </w:rPr>
                  </w:pPr>
                  <w:r>
                    <w:rPr>
                      <w:rFonts w:hint="eastAsia"/>
                      <w:b/>
                      <w:bCs/>
                      <w:color w:val="auto"/>
                      <w:szCs w:val="21"/>
                    </w:rPr>
                    <w:t>返工量（件）</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BE84DD7">
                  <w:pPr>
                    <w:jc w:val="center"/>
                    <w:textAlignment w:val="center"/>
                    <w:rPr>
                      <w:b/>
                      <w:bCs/>
                      <w:color w:val="auto"/>
                      <w:szCs w:val="21"/>
                      <w:lang w:bidi="ar"/>
                    </w:rPr>
                  </w:pPr>
                  <w:r>
                    <w:rPr>
                      <w:b/>
                      <w:bCs/>
                      <w:color w:val="auto"/>
                      <w:szCs w:val="21"/>
                      <w:lang w:bidi="ar"/>
                    </w:rPr>
                    <w:t>涂料品种</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9FF16EF">
                  <w:pPr>
                    <w:jc w:val="center"/>
                    <w:textAlignment w:val="center"/>
                    <w:rPr>
                      <w:b/>
                      <w:bCs/>
                      <w:color w:val="auto"/>
                      <w:szCs w:val="21"/>
                      <w:lang w:bidi="ar"/>
                    </w:rPr>
                  </w:pPr>
                  <w:r>
                    <w:rPr>
                      <w:rFonts w:hint="eastAsia"/>
                      <w:b/>
                      <w:bCs/>
                      <w:color w:val="auto"/>
                      <w:szCs w:val="21"/>
                      <w:lang w:bidi="ar"/>
                    </w:rPr>
                    <w:t>单位喷粉</w:t>
                  </w:r>
                  <w:r>
                    <w:rPr>
                      <w:b/>
                      <w:bCs/>
                      <w:color w:val="auto"/>
                      <w:szCs w:val="21"/>
                      <w:lang w:bidi="ar"/>
                    </w:rPr>
                    <w:t>面积</w:t>
                  </w:r>
                </w:p>
                <w:p w14:paraId="5A1FA2F8">
                  <w:pPr>
                    <w:jc w:val="center"/>
                    <w:textAlignment w:val="center"/>
                    <w:rPr>
                      <w:b/>
                      <w:bCs/>
                      <w:color w:val="auto"/>
                      <w:szCs w:val="21"/>
                    </w:rPr>
                  </w:pPr>
                  <w:r>
                    <w:rPr>
                      <w:b/>
                      <w:bCs/>
                      <w:color w:val="auto"/>
                      <w:szCs w:val="21"/>
                      <w:lang w:bidi="ar"/>
                    </w:rPr>
                    <w:t>（m</w:t>
                  </w:r>
                  <w:r>
                    <w:rPr>
                      <w:b/>
                      <w:bCs/>
                      <w:color w:val="auto"/>
                      <w:szCs w:val="21"/>
                      <w:vertAlign w:val="superscript"/>
                      <w:lang w:bidi="ar"/>
                    </w:rPr>
                    <w:t>2</w:t>
                  </w:r>
                  <w:r>
                    <w:rPr>
                      <w:b/>
                      <w:bCs/>
                      <w:color w:val="auto"/>
                      <w:szCs w:val="21"/>
                      <w:lang w:bidi="ar"/>
                    </w:rPr>
                    <w:t>）</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ABBDD43">
                  <w:pPr>
                    <w:jc w:val="center"/>
                    <w:textAlignment w:val="center"/>
                    <w:rPr>
                      <w:b/>
                      <w:bCs/>
                      <w:color w:val="auto"/>
                      <w:szCs w:val="21"/>
                      <w:lang w:bidi="ar"/>
                    </w:rPr>
                  </w:pPr>
                  <w:r>
                    <w:rPr>
                      <w:b/>
                      <w:bCs/>
                      <w:color w:val="auto"/>
                      <w:szCs w:val="21"/>
                      <w:lang w:bidi="ar"/>
                    </w:rPr>
                    <w:t>喷涂厚度</w:t>
                  </w:r>
                </w:p>
                <w:p w14:paraId="64240CA8">
                  <w:pPr>
                    <w:jc w:val="center"/>
                    <w:textAlignment w:val="center"/>
                    <w:rPr>
                      <w:b/>
                      <w:bCs/>
                      <w:color w:val="auto"/>
                      <w:szCs w:val="21"/>
                    </w:rPr>
                  </w:pPr>
                  <w:r>
                    <w:rPr>
                      <w:b/>
                      <w:bCs/>
                      <w:color w:val="auto"/>
                      <w:szCs w:val="21"/>
                      <w:lang w:bidi="ar"/>
                    </w:rPr>
                    <w:t>（mm）</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6068782">
                  <w:pPr>
                    <w:jc w:val="center"/>
                    <w:textAlignment w:val="center"/>
                    <w:rPr>
                      <w:b/>
                      <w:bCs/>
                      <w:color w:val="auto"/>
                      <w:szCs w:val="21"/>
                      <w:lang w:bidi="ar"/>
                    </w:rPr>
                  </w:pPr>
                  <w:r>
                    <w:rPr>
                      <w:b/>
                      <w:bCs/>
                      <w:color w:val="auto"/>
                      <w:szCs w:val="21"/>
                      <w:lang w:bidi="ar"/>
                    </w:rPr>
                    <w:t>涂料密度</w:t>
                  </w:r>
                </w:p>
                <w:p w14:paraId="53897771">
                  <w:pPr>
                    <w:jc w:val="center"/>
                    <w:textAlignment w:val="center"/>
                    <w:rPr>
                      <w:b/>
                      <w:bCs/>
                      <w:color w:val="auto"/>
                      <w:szCs w:val="21"/>
                    </w:rPr>
                  </w:pPr>
                  <w:r>
                    <w:rPr>
                      <w:b/>
                      <w:bCs/>
                      <w:color w:val="auto"/>
                      <w:szCs w:val="21"/>
                      <w:lang w:bidi="ar"/>
                    </w:rPr>
                    <w:t>（g/cm³）</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BB8157F">
                  <w:pPr>
                    <w:jc w:val="center"/>
                    <w:textAlignment w:val="center"/>
                    <w:rPr>
                      <w:b/>
                      <w:bCs/>
                      <w:color w:val="auto"/>
                      <w:szCs w:val="21"/>
                    </w:rPr>
                  </w:pPr>
                  <w:r>
                    <w:rPr>
                      <w:b/>
                      <w:bCs/>
                      <w:color w:val="auto"/>
                      <w:szCs w:val="21"/>
                      <w:lang w:bidi="ar"/>
                    </w:rPr>
                    <w:t>喷涂次数</w:t>
                  </w:r>
                </w:p>
              </w:tc>
              <w:tc>
                <w:tcPr>
                  <w:tcW w:w="567"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01D951C">
                  <w:pPr>
                    <w:jc w:val="center"/>
                    <w:textAlignment w:val="center"/>
                    <w:rPr>
                      <w:b/>
                      <w:bCs/>
                      <w:color w:val="auto"/>
                      <w:szCs w:val="21"/>
                    </w:rPr>
                  </w:pPr>
                  <w:r>
                    <w:rPr>
                      <w:b/>
                      <w:bCs/>
                      <w:color w:val="auto"/>
                      <w:szCs w:val="21"/>
                    </w:rPr>
                    <w:t>最终利用率*</w:t>
                  </w:r>
                </w:p>
              </w:tc>
              <w:tc>
                <w:tcPr>
                  <w:tcW w:w="533"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9EE2332">
                  <w:pPr>
                    <w:jc w:val="center"/>
                    <w:textAlignment w:val="center"/>
                    <w:rPr>
                      <w:b/>
                      <w:bCs/>
                      <w:color w:val="auto"/>
                      <w:szCs w:val="21"/>
                      <w:lang w:bidi="ar"/>
                    </w:rPr>
                  </w:pPr>
                  <w:r>
                    <w:rPr>
                      <w:b/>
                      <w:bCs/>
                      <w:color w:val="auto"/>
                      <w:szCs w:val="21"/>
                      <w:lang w:bidi="ar"/>
                    </w:rPr>
                    <w:t>年用量</w:t>
                  </w:r>
                </w:p>
                <w:p w14:paraId="4FC90EB4">
                  <w:pPr>
                    <w:jc w:val="center"/>
                    <w:textAlignment w:val="center"/>
                    <w:rPr>
                      <w:b/>
                      <w:bCs/>
                      <w:color w:val="auto"/>
                      <w:szCs w:val="21"/>
                      <w:lang w:bidi="ar"/>
                    </w:rPr>
                  </w:pPr>
                  <w:r>
                    <w:rPr>
                      <w:b/>
                      <w:bCs/>
                      <w:color w:val="auto"/>
                      <w:szCs w:val="21"/>
                      <w:lang w:bidi="ar"/>
                    </w:rPr>
                    <w:t>(t/a)</w:t>
                  </w:r>
                </w:p>
              </w:tc>
            </w:tr>
            <w:tr w14:paraId="32AE3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1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86A6A18">
                  <w:pPr>
                    <w:pStyle w:val="127"/>
                    <w:rPr>
                      <w:color w:val="auto"/>
                    </w:rPr>
                  </w:pPr>
                  <w:r>
                    <w:rPr>
                      <w:rFonts w:hint="eastAsia"/>
                      <w:color w:val="auto"/>
                    </w:rPr>
                    <w:t>自行车车架</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5750DE2">
                  <w:pPr>
                    <w:widowControl/>
                    <w:jc w:val="center"/>
                    <w:textAlignment w:val="center"/>
                    <w:rPr>
                      <w:color w:val="auto"/>
                      <w:szCs w:val="21"/>
                    </w:rPr>
                  </w:pPr>
                  <w:r>
                    <w:rPr>
                      <w:rFonts w:hint="eastAsia"/>
                      <w:color w:val="auto"/>
                      <w:szCs w:val="21"/>
                    </w:rPr>
                    <w:t>4500</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6A277EA">
                  <w:pPr>
                    <w:pStyle w:val="43"/>
                    <w:spacing w:line="240" w:lineRule="auto"/>
                    <w:ind w:firstLine="0" w:firstLineChars="0"/>
                    <w:jc w:val="center"/>
                    <w:rPr>
                      <w:color w:val="auto"/>
                      <w:sz w:val="21"/>
                      <w:szCs w:val="21"/>
                    </w:rPr>
                  </w:pPr>
                  <w:r>
                    <w:rPr>
                      <w:rFonts w:hint="eastAsia"/>
                      <w:color w:val="auto"/>
                      <w:sz w:val="21"/>
                      <w:szCs w:val="21"/>
                    </w:rPr>
                    <w:t>粉末涂料</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1DEF333">
                  <w:pPr>
                    <w:widowControl/>
                    <w:jc w:val="center"/>
                    <w:textAlignment w:val="center"/>
                    <w:rPr>
                      <w:color w:val="auto"/>
                      <w:szCs w:val="21"/>
                    </w:rPr>
                  </w:pPr>
                  <w:r>
                    <w:rPr>
                      <w:color w:val="auto"/>
                      <w:kern w:val="0"/>
                      <w:szCs w:val="21"/>
                      <w:lang w:bidi="ar"/>
                    </w:rPr>
                    <w:t>0.2674</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1249EEF">
                  <w:pPr>
                    <w:jc w:val="center"/>
                    <w:textAlignment w:val="center"/>
                    <w:rPr>
                      <w:color w:val="auto"/>
                      <w:szCs w:val="21"/>
                    </w:rPr>
                  </w:pPr>
                  <w:r>
                    <w:rPr>
                      <w:color w:val="auto"/>
                      <w:szCs w:val="21"/>
                    </w:rPr>
                    <w:t>0.0</w:t>
                  </w:r>
                  <w:r>
                    <w:rPr>
                      <w:rFonts w:hint="eastAsia"/>
                      <w:color w:val="auto"/>
                      <w:szCs w:val="21"/>
                    </w:rPr>
                    <w:t>8</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4F1DB29">
                  <w:pPr>
                    <w:jc w:val="center"/>
                    <w:textAlignment w:val="center"/>
                    <w:rPr>
                      <w:color w:val="auto"/>
                      <w:szCs w:val="21"/>
                    </w:rPr>
                  </w:pPr>
                  <w:r>
                    <w:rPr>
                      <w:color w:val="auto"/>
                      <w:szCs w:val="21"/>
                    </w:rPr>
                    <w:t>1.</w:t>
                  </w:r>
                  <w:r>
                    <w:rPr>
                      <w:rFonts w:hint="eastAsia"/>
                      <w:color w:val="auto"/>
                      <w:szCs w:val="21"/>
                    </w:rPr>
                    <w:t>5</w:t>
                  </w:r>
                  <w:r>
                    <w:rPr>
                      <w:color w:val="auto"/>
                      <w:szCs w:val="21"/>
                    </w:rPr>
                    <w:t>5</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D71B7C4">
                  <w:pPr>
                    <w:jc w:val="center"/>
                    <w:textAlignment w:val="center"/>
                    <w:rPr>
                      <w:color w:val="auto"/>
                      <w:szCs w:val="21"/>
                    </w:rPr>
                  </w:pPr>
                  <w:r>
                    <w:rPr>
                      <w:rFonts w:hint="eastAsia"/>
                      <w:color w:val="auto"/>
                      <w:szCs w:val="21"/>
                    </w:rPr>
                    <w:t>1</w:t>
                  </w:r>
                </w:p>
              </w:tc>
              <w:tc>
                <w:tcPr>
                  <w:tcW w:w="567"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EA3D9F6">
                  <w:pPr>
                    <w:widowControl/>
                    <w:jc w:val="center"/>
                    <w:textAlignment w:val="center"/>
                    <w:rPr>
                      <w:color w:val="auto"/>
                      <w:szCs w:val="21"/>
                    </w:rPr>
                  </w:pPr>
                  <w:r>
                    <w:rPr>
                      <w:color w:val="auto"/>
                      <w:kern w:val="0"/>
                      <w:szCs w:val="21"/>
                      <w:lang w:bidi="ar"/>
                    </w:rPr>
                    <w:t>95%</w:t>
                  </w:r>
                </w:p>
              </w:tc>
              <w:tc>
                <w:tcPr>
                  <w:tcW w:w="10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EED5A4E">
                  <w:pPr>
                    <w:widowControl/>
                    <w:jc w:val="center"/>
                    <w:textAlignment w:val="center"/>
                    <w:rPr>
                      <w:color w:val="auto"/>
                      <w:szCs w:val="21"/>
                    </w:rPr>
                  </w:pPr>
                  <w:r>
                    <w:rPr>
                      <w:color w:val="auto"/>
                      <w:kern w:val="0"/>
                      <w:szCs w:val="21"/>
                      <w:lang w:bidi="ar"/>
                    </w:rPr>
                    <w:t xml:space="preserve">0.157 </w:t>
                  </w:r>
                </w:p>
              </w:tc>
            </w:tr>
            <w:tr w14:paraId="69838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036484E">
                  <w:pPr>
                    <w:pStyle w:val="127"/>
                    <w:rPr>
                      <w:color w:val="auto"/>
                    </w:rPr>
                  </w:pPr>
                  <w:r>
                    <w:rPr>
                      <w:rFonts w:hint="eastAsia"/>
                      <w:color w:val="auto"/>
                    </w:rPr>
                    <w:t>电动助力车车架</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D80B998">
                  <w:pPr>
                    <w:widowControl/>
                    <w:jc w:val="center"/>
                    <w:textAlignment w:val="center"/>
                    <w:rPr>
                      <w:color w:val="auto"/>
                      <w:szCs w:val="21"/>
                    </w:rPr>
                  </w:pPr>
                  <w:r>
                    <w:rPr>
                      <w:rFonts w:hint="eastAsia"/>
                      <w:color w:val="auto"/>
                      <w:szCs w:val="21"/>
                    </w:rPr>
                    <w:t>4200</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E5CCD37">
                  <w:pPr>
                    <w:pStyle w:val="43"/>
                    <w:spacing w:line="240" w:lineRule="auto"/>
                    <w:ind w:firstLine="0" w:firstLineChars="0"/>
                    <w:jc w:val="center"/>
                    <w:rPr>
                      <w:color w:val="auto"/>
                      <w:sz w:val="21"/>
                      <w:szCs w:val="21"/>
                    </w:rPr>
                  </w:pPr>
                  <w:r>
                    <w:rPr>
                      <w:rFonts w:hint="eastAsia"/>
                      <w:color w:val="auto"/>
                      <w:sz w:val="21"/>
                      <w:szCs w:val="21"/>
                    </w:rPr>
                    <w:t>粉末涂料</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9399E61">
                  <w:pPr>
                    <w:widowControl/>
                    <w:jc w:val="center"/>
                    <w:textAlignment w:val="center"/>
                    <w:rPr>
                      <w:color w:val="auto"/>
                      <w:szCs w:val="21"/>
                    </w:rPr>
                  </w:pPr>
                  <w:r>
                    <w:rPr>
                      <w:color w:val="auto"/>
                      <w:kern w:val="0"/>
                      <w:szCs w:val="21"/>
                      <w:lang w:bidi="ar"/>
                    </w:rPr>
                    <w:t>0.3703</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27DE28E">
                  <w:pPr>
                    <w:jc w:val="center"/>
                    <w:textAlignment w:val="center"/>
                    <w:rPr>
                      <w:color w:val="auto"/>
                      <w:szCs w:val="21"/>
                    </w:rPr>
                  </w:pPr>
                  <w:r>
                    <w:rPr>
                      <w:color w:val="auto"/>
                      <w:szCs w:val="21"/>
                    </w:rPr>
                    <w:t>0.0</w:t>
                  </w:r>
                  <w:r>
                    <w:rPr>
                      <w:rFonts w:hint="eastAsia"/>
                      <w:color w:val="auto"/>
                      <w:szCs w:val="21"/>
                    </w:rPr>
                    <w:t>8</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2692A0B">
                  <w:pPr>
                    <w:jc w:val="center"/>
                    <w:textAlignment w:val="center"/>
                    <w:rPr>
                      <w:color w:val="auto"/>
                      <w:szCs w:val="21"/>
                    </w:rPr>
                  </w:pPr>
                  <w:r>
                    <w:rPr>
                      <w:color w:val="auto"/>
                      <w:szCs w:val="21"/>
                    </w:rPr>
                    <w:t>1.</w:t>
                  </w:r>
                  <w:r>
                    <w:rPr>
                      <w:rFonts w:hint="eastAsia"/>
                      <w:color w:val="auto"/>
                      <w:szCs w:val="21"/>
                    </w:rPr>
                    <w:t>5</w:t>
                  </w:r>
                  <w:r>
                    <w:rPr>
                      <w:color w:val="auto"/>
                      <w:szCs w:val="21"/>
                    </w:rPr>
                    <w:t>5</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77EB446">
                  <w:pPr>
                    <w:jc w:val="center"/>
                    <w:textAlignment w:val="center"/>
                    <w:rPr>
                      <w:color w:val="auto"/>
                      <w:szCs w:val="21"/>
                    </w:rPr>
                  </w:pPr>
                  <w:r>
                    <w:rPr>
                      <w:rFonts w:hint="eastAsia"/>
                      <w:color w:val="auto"/>
                      <w:szCs w:val="21"/>
                    </w:rPr>
                    <w:t>1</w:t>
                  </w:r>
                </w:p>
              </w:tc>
              <w:tc>
                <w:tcPr>
                  <w:tcW w:w="567"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2D6B7D3">
                  <w:pPr>
                    <w:widowControl/>
                    <w:jc w:val="center"/>
                    <w:textAlignment w:val="center"/>
                    <w:rPr>
                      <w:color w:val="auto"/>
                      <w:szCs w:val="21"/>
                    </w:rPr>
                  </w:pPr>
                  <w:r>
                    <w:rPr>
                      <w:color w:val="auto"/>
                      <w:kern w:val="0"/>
                      <w:szCs w:val="21"/>
                      <w:lang w:bidi="ar"/>
                    </w:rPr>
                    <w:t>95%</w:t>
                  </w:r>
                </w:p>
              </w:tc>
              <w:tc>
                <w:tcPr>
                  <w:tcW w:w="10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256DDB0">
                  <w:pPr>
                    <w:widowControl/>
                    <w:jc w:val="center"/>
                    <w:textAlignment w:val="center"/>
                    <w:rPr>
                      <w:color w:val="auto"/>
                      <w:szCs w:val="21"/>
                    </w:rPr>
                  </w:pPr>
                  <w:r>
                    <w:rPr>
                      <w:color w:val="auto"/>
                      <w:kern w:val="0"/>
                      <w:szCs w:val="21"/>
                      <w:lang w:bidi="ar"/>
                    </w:rPr>
                    <w:t xml:space="preserve">0.203 </w:t>
                  </w:r>
                </w:p>
              </w:tc>
            </w:tr>
            <w:tr w14:paraId="27B5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81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4D5629E">
                  <w:pPr>
                    <w:jc w:val="center"/>
                    <w:rPr>
                      <w:color w:val="auto"/>
                    </w:rPr>
                  </w:pPr>
                  <w:r>
                    <w:rPr>
                      <w:rFonts w:hint="eastAsia"/>
                      <w:color w:val="auto"/>
                    </w:rPr>
                    <w:t>家私配件</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935420F">
                  <w:pPr>
                    <w:widowControl/>
                    <w:jc w:val="center"/>
                    <w:textAlignment w:val="center"/>
                    <w:rPr>
                      <w:color w:val="auto"/>
                      <w:szCs w:val="21"/>
                    </w:rPr>
                  </w:pPr>
                  <w:r>
                    <w:rPr>
                      <w:rFonts w:hint="eastAsia"/>
                      <w:color w:val="auto"/>
                      <w:szCs w:val="21"/>
                    </w:rPr>
                    <w:t>4200</w:t>
                  </w:r>
                </w:p>
              </w:tc>
              <w:tc>
                <w:tcPr>
                  <w:tcW w:w="521"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B33FA43">
                  <w:pPr>
                    <w:pStyle w:val="43"/>
                    <w:spacing w:line="240" w:lineRule="auto"/>
                    <w:ind w:firstLine="0" w:firstLineChars="0"/>
                    <w:jc w:val="center"/>
                    <w:rPr>
                      <w:color w:val="auto"/>
                      <w:sz w:val="21"/>
                      <w:szCs w:val="21"/>
                    </w:rPr>
                  </w:pPr>
                  <w:r>
                    <w:rPr>
                      <w:rFonts w:hint="eastAsia"/>
                      <w:color w:val="auto"/>
                      <w:sz w:val="21"/>
                      <w:szCs w:val="21"/>
                    </w:rPr>
                    <w:t>粉末涂料</w:t>
                  </w:r>
                </w:p>
              </w:tc>
              <w:tc>
                <w:tcPr>
                  <w:tcW w:w="650"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414BAC0">
                  <w:pPr>
                    <w:widowControl/>
                    <w:jc w:val="center"/>
                    <w:textAlignment w:val="center"/>
                    <w:rPr>
                      <w:color w:val="auto"/>
                      <w:szCs w:val="21"/>
                    </w:rPr>
                  </w:pPr>
                  <w:r>
                    <w:rPr>
                      <w:rFonts w:hint="eastAsia"/>
                      <w:color w:val="auto"/>
                      <w:kern w:val="0"/>
                      <w:szCs w:val="21"/>
                      <w:lang w:bidi="ar"/>
                    </w:rPr>
                    <w:t>0.556</w:t>
                  </w:r>
                </w:p>
              </w:tc>
              <w:tc>
                <w:tcPr>
                  <w:tcW w:w="558"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A4D2C7E">
                  <w:pPr>
                    <w:jc w:val="center"/>
                    <w:textAlignment w:val="center"/>
                    <w:rPr>
                      <w:color w:val="auto"/>
                      <w:szCs w:val="21"/>
                    </w:rPr>
                  </w:pPr>
                  <w:r>
                    <w:rPr>
                      <w:color w:val="auto"/>
                      <w:szCs w:val="21"/>
                    </w:rPr>
                    <w:t>0.0</w:t>
                  </w:r>
                  <w:r>
                    <w:rPr>
                      <w:rFonts w:hint="eastAsia"/>
                      <w:color w:val="auto"/>
                      <w:szCs w:val="21"/>
                    </w:rPr>
                    <w:t>8</w:t>
                  </w:r>
                </w:p>
              </w:tc>
              <w:tc>
                <w:tcPr>
                  <w:tcW w:w="542"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DB0C853">
                  <w:pPr>
                    <w:jc w:val="center"/>
                    <w:textAlignment w:val="center"/>
                    <w:rPr>
                      <w:color w:val="auto"/>
                      <w:szCs w:val="21"/>
                    </w:rPr>
                  </w:pPr>
                  <w:r>
                    <w:rPr>
                      <w:color w:val="auto"/>
                      <w:szCs w:val="21"/>
                    </w:rPr>
                    <w:t>1.</w:t>
                  </w:r>
                  <w:r>
                    <w:rPr>
                      <w:rFonts w:hint="eastAsia"/>
                      <w:color w:val="auto"/>
                      <w:szCs w:val="21"/>
                    </w:rPr>
                    <w:t>5</w:t>
                  </w:r>
                  <w:r>
                    <w:rPr>
                      <w:color w:val="auto"/>
                      <w:szCs w:val="21"/>
                    </w:rPr>
                    <w:t>5</w:t>
                  </w:r>
                </w:p>
              </w:tc>
              <w:tc>
                <w:tcPr>
                  <w:tcW w:w="296"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201D6DE">
                  <w:pPr>
                    <w:jc w:val="center"/>
                    <w:textAlignment w:val="center"/>
                    <w:rPr>
                      <w:color w:val="auto"/>
                      <w:szCs w:val="21"/>
                    </w:rPr>
                  </w:pPr>
                  <w:r>
                    <w:rPr>
                      <w:rFonts w:hint="eastAsia"/>
                      <w:color w:val="auto"/>
                      <w:szCs w:val="21"/>
                    </w:rPr>
                    <w:t>1</w:t>
                  </w:r>
                </w:p>
              </w:tc>
              <w:tc>
                <w:tcPr>
                  <w:tcW w:w="567" w:type="pc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B9CDDC3">
                  <w:pPr>
                    <w:widowControl/>
                    <w:jc w:val="center"/>
                    <w:textAlignment w:val="center"/>
                    <w:rPr>
                      <w:color w:val="auto"/>
                      <w:szCs w:val="21"/>
                    </w:rPr>
                  </w:pPr>
                  <w:r>
                    <w:rPr>
                      <w:color w:val="auto"/>
                      <w:kern w:val="0"/>
                      <w:szCs w:val="21"/>
                      <w:lang w:bidi="ar"/>
                    </w:rPr>
                    <w:t>95%</w:t>
                  </w:r>
                </w:p>
              </w:tc>
              <w:tc>
                <w:tcPr>
                  <w:tcW w:w="10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BF456E2">
                  <w:pPr>
                    <w:widowControl/>
                    <w:jc w:val="center"/>
                    <w:textAlignment w:val="center"/>
                    <w:rPr>
                      <w:color w:val="auto"/>
                      <w:szCs w:val="21"/>
                    </w:rPr>
                  </w:pPr>
                  <w:r>
                    <w:rPr>
                      <w:color w:val="auto"/>
                      <w:kern w:val="0"/>
                      <w:szCs w:val="21"/>
                      <w:lang w:bidi="ar"/>
                    </w:rPr>
                    <w:t xml:space="preserve">0.305 </w:t>
                  </w:r>
                </w:p>
              </w:tc>
            </w:tr>
            <w:tr w14:paraId="58405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4466" w:type="pct"/>
                  <w:gridSpan w:val="8"/>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B97857E">
                  <w:pPr>
                    <w:jc w:val="center"/>
                    <w:textAlignment w:val="center"/>
                    <w:rPr>
                      <w:color w:val="auto"/>
                      <w:szCs w:val="21"/>
                    </w:rPr>
                  </w:pPr>
                  <w:r>
                    <w:rPr>
                      <w:color w:val="auto"/>
                      <w:szCs w:val="21"/>
                    </w:rPr>
                    <w:t>小计</w:t>
                  </w:r>
                </w:p>
              </w:tc>
              <w:tc>
                <w:tcPr>
                  <w:tcW w:w="10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EE8E905">
                  <w:pPr>
                    <w:widowControl/>
                    <w:jc w:val="center"/>
                    <w:textAlignment w:val="center"/>
                    <w:rPr>
                      <w:color w:val="auto"/>
                      <w:szCs w:val="21"/>
                    </w:rPr>
                  </w:pPr>
                  <w:r>
                    <w:rPr>
                      <w:color w:val="auto"/>
                      <w:kern w:val="0"/>
                      <w:szCs w:val="21"/>
                      <w:lang w:bidi="ar"/>
                    </w:rPr>
                    <w:t xml:space="preserve">0.665 </w:t>
                  </w:r>
                </w:p>
              </w:tc>
            </w:tr>
            <w:tr w14:paraId="2A57C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5000" w:type="pct"/>
                  <w:gridSpan w:val="9"/>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69BE314">
                  <w:pPr>
                    <w:widowControl/>
                    <w:jc w:val="left"/>
                    <w:textAlignment w:val="center"/>
                    <w:rPr>
                      <w:color w:val="auto"/>
                      <w:kern w:val="0"/>
                      <w:szCs w:val="21"/>
                      <w:lang w:bidi="ar"/>
                    </w:rPr>
                  </w:pPr>
                  <w:r>
                    <w:rPr>
                      <w:color w:val="auto"/>
                      <w:kern w:val="0"/>
                      <w:szCs w:val="21"/>
                      <w:lang w:bidi="ar"/>
                    </w:rPr>
                    <w:t>注：</w:t>
                  </w:r>
                  <w:r>
                    <w:rPr>
                      <w:rFonts w:hint="eastAsia"/>
                      <w:color w:val="auto"/>
                      <w:kern w:val="0"/>
                      <w:szCs w:val="21"/>
                      <w:lang w:bidi="ar"/>
                    </w:rPr>
                    <w:t>1、返工量占各类产品产量的5%，则自行车车架返工量为4500件，电动助力车车架返工量为4200件，家私配件返工量为4200件</w:t>
                  </w:r>
                </w:p>
                <w:p w14:paraId="1563525B">
                  <w:pPr>
                    <w:widowControl/>
                    <w:ind w:firstLine="420" w:firstLineChars="200"/>
                    <w:jc w:val="left"/>
                    <w:textAlignment w:val="center"/>
                    <w:rPr>
                      <w:color w:val="auto"/>
                      <w:kern w:val="0"/>
                      <w:szCs w:val="21"/>
                      <w:lang w:bidi="ar"/>
                    </w:rPr>
                  </w:pPr>
                  <w:r>
                    <w:rPr>
                      <w:rFonts w:hint="eastAsia"/>
                      <w:color w:val="auto"/>
                      <w:kern w:val="0"/>
                      <w:szCs w:val="21"/>
                      <w:lang w:bidi="ar"/>
                    </w:rPr>
                    <w:t>2、</w:t>
                  </w:r>
                  <w:r>
                    <w:rPr>
                      <w:color w:val="auto"/>
                      <w:kern w:val="0"/>
                      <w:szCs w:val="21"/>
                      <w:lang w:bidi="ar"/>
                    </w:rPr>
                    <w:t>喷粉的总面积×粉膜的厚度×粉末的密度/利用率=粉末涂料年用量</w:t>
                  </w:r>
                </w:p>
                <w:p w14:paraId="1E5B299A">
                  <w:pPr>
                    <w:widowControl/>
                    <w:jc w:val="left"/>
                    <w:textAlignment w:val="center"/>
                    <w:rPr>
                      <w:color w:val="auto"/>
                      <w:kern w:val="0"/>
                      <w:szCs w:val="21"/>
                      <w:lang w:bidi="ar"/>
                    </w:rPr>
                  </w:pPr>
                  <w:r>
                    <w:rPr>
                      <w:rFonts w:hint="eastAsia"/>
                      <w:color w:val="auto"/>
                      <w:kern w:val="0"/>
                      <w:szCs w:val="21"/>
                      <w:lang w:bidi="ar"/>
                    </w:rPr>
                    <w:t xml:space="preserve">    3、</w:t>
                  </w:r>
                  <w:r>
                    <w:rPr>
                      <w:rFonts w:hint="eastAsia"/>
                      <w:color w:val="auto"/>
                    </w:rPr>
                    <w:t>根据《金属静电粉末喷涂清洁生产途径探讨》（黄冬梅等．环境科学与管理，2007 年，第 23 卷第 7 期），在粉末喷涂过程中，工件的上粉率约为50%～70%，考虑到项目使用静电喷枪，喷粉过程中粉体的附着率较高，则上粉率取70%，即喷粉过程中粉末涂料有30%会形成粉尘。</w:t>
                  </w:r>
                  <w:r>
                    <w:rPr>
                      <w:bCs/>
                      <w:color w:val="auto"/>
                      <w:szCs w:val="21"/>
                    </w:rPr>
                    <w:t>其中经</w:t>
                  </w:r>
                  <w:r>
                    <w:rPr>
                      <w:rFonts w:hint="eastAsia"/>
                      <w:bCs/>
                      <w:color w:val="auto"/>
                      <w:szCs w:val="21"/>
                    </w:rPr>
                    <w:t>喷粉柜</w:t>
                  </w:r>
                  <w:r>
                    <w:rPr>
                      <w:bCs/>
                      <w:color w:val="auto"/>
                      <w:szCs w:val="21"/>
                    </w:rPr>
                    <w:t>自带</w:t>
                  </w:r>
                  <w:r>
                    <w:rPr>
                      <w:rFonts w:hint="eastAsia"/>
                      <w:bCs/>
                      <w:color w:val="auto"/>
                      <w:szCs w:val="21"/>
                    </w:rPr>
                    <w:t>滤筒</w:t>
                  </w:r>
                  <w:r>
                    <w:rPr>
                      <w:bCs/>
                      <w:color w:val="auto"/>
                      <w:szCs w:val="21"/>
                    </w:rPr>
                    <w:t>过滤装置回收后全部回用于喷粉工序，收集效率为90%，90%收集的粉尘经</w:t>
                  </w:r>
                  <w:r>
                    <w:rPr>
                      <w:rFonts w:hint="eastAsia"/>
                      <w:bCs/>
                      <w:color w:val="auto"/>
                      <w:szCs w:val="21"/>
                    </w:rPr>
                    <w:t>滤筒</w:t>
                  </w:r>
                  <w:r>
                    <w:rPr>
                      <w:bCs/>
                      <w:color w:val="auto"/>
                      <w:szCs w:val="21"/>
                    </w:rPr>
                    <w:t>+布袋除尘器二级回收处理后，粉尘</w:t>
                  </w:r>
                  <w:r>
                    <w:rPr>
                      <w:rFonts w:hint="eastAsia"/>
                      <w:bCs/>
                      <w:color w:val="auto"/>
                      <w:szCs w:val="21"/>
                    </w:rPr>
                    <w:t>回收</w:t>
                  </w:r>
                  <w:r>
                    <w:rPr>
                      <w:bCs/>
                      <w:color w:val="auto"/>
                      <w:szCs w:val="21"/>
                    </w:rPr>
                    <w:t>效率可达</w:t>
                  </w:r>
                  <w:r>
                    <w:rPr>
                      <w:rFonts w:hint="eastAsia"/>
                      <w:bCs/>
                      <w:color w:val="auto"/>
                      <w:szCs w:val="21"/>
                    </w:rPr>
                    <w:t>95</w:t>
                  </w:r>
                  <w:r>
                    <w:rPr>
                      <w:bCs/>
                      <w:color w:val="auto"/>
                      <w:szCs w:val="21"/>
                    </w:rPr>
                    <w:t>%，回收的粉尘回用于喷粉工序</w:t>
                  </w:r>
                  <w:r>
                    <w:rPr>
                      <w:rFonts w:hint="eastAsia"/>
                      <w:bCs/>
                      <w:color w:val="auto"/>
                      <w:szCs w:val="21"/>
                    </w:rPr>
                    <w:t>，回用率按99%计，</w:t>
                  </w:r>
                  <w:r>
                    <w:rPr>
                      <w:bCs/>
                      <w:color w:val="auto"/>
                      <w:szCs w:val="21"/>
                    </w:rPr>
                    <w:t>因此故喷粉过程中粉末涂料的有效利用率约为（0.7+0.3×0.90×0.9</w:t>
                  </w:r>
                  <w:r>
                    <w:rPr>
                      <w:rFonts w:hint="eastAsia"/>
                      <w:bCs/>
                      <w:color w:val="auto"/>
                      <w:szCs w:val="21"/>
                    </w:rPr>
                    <w:t>5</w:t>
                  </w:r>
                  <w:r>
                    <w:rPr>
                      <w:bCs/>
                      <w:color w:val="auto"/>
                      <w:szCs w:val="21"/>
                    </w:rPr>
                    <w:t>×0.9</w:t>
                  </w:r>
                  <w:r>
                    <w:rPr>
                      <w:rFonts w:hint="eastAsia"/>
                      <w:bCs/>
                      <w:color w:val="auto"/>
                      <w:szCs w:val="21"/>
                    </w:rPr>
                    <w:t>9</w:t>
                  </w:r>
                  <w:r>
                    <w:rPr>
                      <w:bCs/>
                      <w:color w:val="auto"/>
                      <w:szCs w:val="21"/>
                    </w:rPr>
                    <w:t>）×100%=</w:t>
                  </w:r>
                  <w:r>
                    <w:rPr>
                      <w:rFonts w:hint="eastAsia"/>
                      <w:bCs/>
                      <w:color w:val="auto"/>
                      <w:szCs w:val="21"/>
                    </w:rPr>
                    <w:t>95.3935</w:t>
                  </w:r>
                  <w:r>
                    <w:rPr>
                      <w:bCs/>
                      <w:color w:val="auto"/>
                      <w:szCs w:val="21"/>
                    </w:rPr>
                    <w:t>%。本次评价保守按照</w:t>
                  </w:r>
                  <w:r>
                    <w:rPr>
                      <w:rFonts w:hint="eastAsia"/>
                      <w:bCs/>
                      <w:color w:val="auto"/>
                      <w:szCs w:val="21"/>
                    </w:rPr>
                    <w:t>95.4</w:t>
                  </w:r>
                  <w:r>
                    <w:rPr>
                      <w:bCs/>
                      <w:color w:val="auto"/>
                      <w:szCs w:val="21"/>
                    </w:rPr>
                    <w:t>%计。</w:t>
                  </w:r>
                </w:p>
              </w:tc>
            </w:tr>
          </w:tbl>
          <w:p w14:paraId="04E54A37">
            <w:pPr>
              <w:widowControl/>
              <w:adjustRightInd w:val="0"/>
              <w:snapToGrid w:val="0"/>
              <w:spacing w:line="360" w:lineRule="auto"/>
              <w:ind w:firstLine="482" w:firstLineChars="200"/>
              <w:rPr>
                <w:b/>
                <w:bCs/>
                <w:color w:val="auto"/>
                <w:kern w:val="0"/>
                <w:sz w:val="24"/>
              </w:rPr>
            </w:pPr>
          </w:p>
          <w:p w14:paraId="6B5CCECF">
            <w:pPr>
              <w:widowControl/>
              <w:adjustRightInd w:val="0"/>
              <w:snapToGrid w:val="0"/>
              <w:spacing w:line="360" w:lineRule="auto"/>
              <w:ind w:firstLine="480" w:firstLineChars="200"/>
              <w:rPr>
                <w:color w:val="auto"/>
                <w:kern w:val="0"/>
                <w:sz w:val="24"/>
              </w:rPr>
            </w:pPr>
            <w:r>
              <w:rPr>
                <w:rFonts w:hint="eastAsia"/>
                <w:color w:val="auto"/>
                <w:kern w:val="0"/>
                <w:sz w:val="24"/>
              </w:rPr>
              <w:t>综上，经核算后粉末涂料的理论使用量合计为14t/a。</w:t>
            </w:r>
          </w:p>
          <w:p w14:paraId="6276C931">
            <w:pPr>
              <w:widowControl/>
              <w:adjustRightInd w:val="0"/>
              <w:snapToGrid w:val="0"/>
              <w:spacing w:line="360" w:lineRule="auto"/>
              <w:ind w:firstLine="482" w:firstLineChars="200"/>
              <w:rPr>
                <w:b/>
                <w:bCs/>
                <w:color w:val="auto"/>
                <w:kern w:val="0"/>
                <w:sz w:val="24"/>
              </w:rPr>
            </w:pPr>
            <w:r>
              <w:rPr>
                <w:rFonts w:hint="eastAsia"/>
                <w:b/>
                <w:bCs/>
                <w:color w:val="auto"/>
                <w:kern w:val="0"/>
                <w:sz w:val="24"/>
              </w:rPr>
              <w:t>3）水性涂料用量核算</w:t>
            </w:r>
          </w:p>
          <w:p w14:paraId="02114F85">
            <w:pPr>
              <w:pStyle w:val="43"/>
              <w:rPr>
                <w:color w:val="auto"/>
              </w:rPr>
            </w:pPr>
            <w:r>
              <w:rPr>
                <w:color w:val="auto"/>
              </w:rPr>
              <w:t>根据建设单位提供的资料，项目</w:t>
            </w:r>
            <w:r>
              <w:rPr>
                <w:rFonts w:hint="eastAsia"/>
                <w:color w:val="auto"/>
              </w:rPr>
              <w:t>铝制</w:t>
            </w:r>
            <w:r>
              <w:rPr>
                <w:color w:val="auto"/>
              </w:rPr>
              <w:t>产品</w:t>
            </w:r>
            <w:r>
              <w:rPr>
                <w:rFonts w:hint="eastAsia"/>
                <w:color w:val="auto"/>
              </w:rPr>
              <w:t>需喷涂底漆、面漆、清漆各一层</w:t>
            </w:r>
            <w:r>
              <w:rPr>
                <w:color w:val="auto"/>
                <w:szCs w:val="24"/>
              </w:rPr>
              <w:t>，</w:t>
            </w:r>
            <w:r>
              <w:rPr>
                <w:rFonts w:hint="eastAsia"/>
                <w:color w:val="auto"/>
                <w:szCs w:val="24"/>
              </w:rPr>
              <w:t>喷涂厚度</w:t>
            </w:r>
            <w:r>
              <w:rPr>
                <w:color w:val="auto"/>
                <w:szCs w:val="24"/>
              </w:rPr>
              <w:t>控制</w:t>
            </w:r>
            <w:r>
              <w:rPr>
                <w:rFonts w:hint="eastAsia"/>
                <w:color w:val="auto"/>
                <w:szCs w:val="24"/>
              </w:rPr>
              <w:t>在</w:t>
            </w:r>
            <w:r>
              <w:rPr>
                <w:color w:val="auto"/>
                <w:szCs w:val="24"/>
              </w:rPr>
              <w:t>0.0</w:t>
            </w:r>
            <w:r>
              <w:rPr>
                <w:rFonts w:hint="eastAsia"/>
                <w:color w:val="auto"/>
                <w:szCs w:val="24"/>
              </w:rPr>
              <w:t>2</w:t>
            </w:r>
            <w:r>
              <w:rPr>
                <w:color w:val="auto"/>
                <w:szCs w:val="24"/>
              </w:rPr>
              <w:t>mm~0.</w:t>
            </w:r>
            <w:r>
              <w:rPr>
                <w:rFonts w:hint="eastAsia"/>
                <w:color w:val="auto"/>
                <w:szCs w:val="24"/>
              </w:rPr>
              <w:t>04</w:t>
            </w:r>
            <w:r>
              <w:rPr>
                <w:color w:val="auto"/>
                <w:szCs w:val="24"/>
              </w:rPr>
              <w:t>mm，本评价取值0.0</w:t>
            </w:r>
            <w:r>
              <w:rPr>
                <w:rFonts w:hint="eastAsia"/>
                <w:color w:val="auto"/>
                <w:szCs w:val="24"/>
              </w:rPr>
              <w:t>3</w:t>
            </w:r>
            <w:r>
              <w:rPr>
                <w:color w:val="auto"/>
                <w:szCs w:val="24"/>
              </w:rPr>
              <w:t>mm，根据建设单位提供的</w:t>
            </w:r>
            <w:r>
              <w:rPr>
                <w:rFonts w:hint="eastAsia"/>
                <w:color w:val="auto"/>
                <w:szCs w:val="24"/>
              </w:rPr>
              <w:t>水性底漆、水性面漆和水性清漆的</w:t>
            </w:r>
            <w:r>
              <w:rPr>
                <w:color w:val="auto"/>
                <w:szCs w:val="24"/>
              </w:rPr>
              <w:t>MSDS，项目的</w:t>
            </w:r>
            <w:r>
              <w:rPr>
                <w:rFonts w:hint="eastAsia"/>
                <w:color w:val="auto"/>
                <w:szCs w:val="24"/>
              </w:rPr>
              <w:t>水性底漆</w:t>
            </w:r>
            <w:r>
              <w:rPr>
                <w:color w:val="auto"/>
              </w:rPr>
              <w:t>密度为</w:t>
            </w:r>
            <w:r>
              <w:rPr>
                <w:rFonts w:hint="eastAsia"/>
                <w:color w:val="auto"/>
              </w:rPr>
              <w:t>1.3</w:t>
            </w:r>
            <w:r>
              <w:rPr>
                <w:color w:val="auto"/>
              </w:rPr>
              <w:t>g/cm</w:t>
            </w:r>
            <w:r>
              <w:rPr>
                <w:color w:val="auto"/>
                <w:vertAlign w:val="superscript"/>
              </w:rPr>
              <w:t>3</w:t>
            </w:r>
            <w:r>
              <w:rPr>
                <w:rFonts w:hint="eastAsia"/>
                <w:color w:val="auto"/>
              </w:rPr>
              <w:t>、</w:t>
            </w:r>
            <w:r>
              <w:rPr>
                <w:rFonts w:hint="eastAsia"/>
                <w:color w:val="auto"/>
                <w:szCs w:val="24"/>
              </w:rPr>
              <w:t>水性面漆</w:t>
            </w:r>
            <w:r>
              <w:rPr>
                <w:color w:val="auto"/>
              </w:rPr>
              <w:t>密度为</w:t>
            </w:r>
            <w:r>
              <w:rPr>
                <w:rFonts w:hint="eastAsia"/>
                <w:color w:val="auto"/>
              </w:rPr>
              <w:t>1.3</w:t>
            </w:r>
            <w:r>
              <w:rPr>
                <w:color w:val="auto"/>
              </w:rPr>
              <w:t>g/cm</w:t>
            </w:r>
            <w:r>
              <w:rPr>
                <w:color w:val="auto"/>
                <w:vertAlign w:val="superscript"/>
              </w:rPr>
              <w:t>3</w:t>
            </w:r>
            <w:r>
              <w:rPr>
                <w:rFonts w:hint="eastAsia"/>
                <w:color w:val="auto"/>
              </w:rPr>
              <w:t>、</w:t>
            </w:r>
            <w:r>
              <w:rPr>
                <w:rFonts w:hint="eastAsia"/>
                <w:color w:val="auto"/>
                <w:szCs w:val="24"/>
              </w:rPr>
              <w:t>水性清漆</w:t>
            </w:r>
            <w:r>
              <w:rPr>
                <w:color w:val="auto"/>
              </w:rPr>
              <w:t>密度为</w:t>
            </w:r>
            <w:r>
              <w:rPr>
                <w:rFonts w:hint="eastAsia"/>
                <w:color w:val="auto"/>
              </w:rPr>
              <w:t>1.06</w:t>
            </w:r>
            <w:r>
              <w:rPr>
                <w:color w:val="auto"/>
              </w:rPr>
              <w:t>g/cm</w:t>
            </w:r>
            <w:r>
              <w:rPr>
                <w:color w:val="auto"/>
                <w:vertAlign w:val="superscript"/>
              </w:rPr>
              <w:t>3</w:t>
            </w:r>
            <w:r>
              <w:rPr>
                <w:rFonts w:hint="eastAsia"/>
                <w:color w:val="auto"/>
              </w:rPr>
              <w:t>（密度为1.03-1.09</w:t>
            </w:r>
            <w:r>
              <w:rPr>
                <w:color w:val="auto"/>
              </w:rPr>
              <w:t>g/cm</w:t>
            </w:r>
            <w:r>
              <w:rPr>
                <w:color w:val="auto"/>
                <w:vertAlign w:val="superscript"/>
              </w:rPr>
              <w:t>3</w:t>
            </w:r>
            <w:r>
              <w:rPr>
                <w:rFonts w:hint="eastAsia"/>
                <w:color w:val="auto"/>
              </w:rPr>
              <w:t>，本报告取1.06</w:t>
            </w:r>
            <w:r>
              <w:rPr>
                <w:color w:val="auto"/>
              </w:rPr>
              <w:t>g/cm</w:t>
            </w:r>
            <w:r>
              <w:rPr>
                <w:color w:val="auto"/>
                <w:vertAlign w:val="superscript"/>
              </w:rPr>
              <w:t>3</w:t>
            </w:r>
            <w:r>
              <w:rPr>
                <w:rFonts w:hint="eastAsia"/>
                <w:color w:val="auto"/>
              </w:rPr>
              <w:t>）</w:t>
            </w:r>
            <w:r>
              <w:rPr>
                <w:color w:val="auto"/>
              </w:rPr>
              <w:t>，</w:t>
            </w:r>
            <w:r>
              <w:rPr>
                <w:rFonts w:hint="eastAsia"/>
                <w:color w:val="auto"/>
              </w:rPr>
              <w:t>则</w:t>
            </w:r>
            <w:r>
              <w:rPr>
                <w:color w:val="auto"/>
              </w:rPr>
              <w:t>项目</w:t>
            </w:r>
            <w:r>
              <w:rPr>
                <w:rFonts w:hint="eastAsia"/>
                <w:color w:val="auto"/>
              </w:rPr>
              <w:t>水性涂料</w:t>
            </w:r>
            <w:r>
              <w:rPr>
                <w:color w:val="auto"/>
              </w:rPr>
              <w:t>的用量核算见</w:t>
            </w:r>
            <w:r>
              <w:rPr>
                <w:rFonts w:hint="eastAsia"/>
                <w:color w:val="auto"/>
              </w:rPr>
              <w:t>表2-18，根据建设单位提供，不合格品返工量约占投用产品产能的5%，则不合格品返工水性涂料用量核算见表2-19</w:t>
            </w:r>
            <w:r>
              <w:rPr>
                <w:color w:val="auto"/>
              </w:rPr>
              <w:t>：</w:t>
            </w:r>
          </w:p>
          <w:p w14:paraId="6D245850">
            <w:pPr>
              <w:numPr>
                <w:ilvl w:val="0"/>
                <w:numId w:val="10"/>
              </w:numPr>
              <w:adjustRightInd w:val="0"/>
              <w:snapToGrid w:val="0"/>
              <w:jc w:val="center"/>
              <w:rPr>
                <w:b/>
                <w:color w:val="auto"/>
                <w:szCs w:val="21"/>
              </w:rPr>
            </w:pPr>
            <w:r>
              <w:rPr>
                <w:rFonts w:hint="eastAsia"/>
                <w:b/>
                <w:color w:val="auto"/>
                <w:szCs w:val="21"/>
              </w:rPr>
              <w:t>水性涂料用量产能核算一览表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844"/>
              <w:gridCol w:w="1133"/>
              <w:gridCol w:w="1298"/>
              <w:gridCol w:w="906"/>
              <w:gridCol w:w="1391"/>
              <w:gridCol w:w="1077"/>
              <w:gridCol w:w="1211"/>
              <w:gridCol w:w="1092"/>
            </w:tblGrid>
            <w:tr w14:paraId="3511A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Align w:val="center"/>
                </w:tcPr>
                <w:p w14:paraId="265CDB58">
                  <w:pPr>
                    <w:jc w:val="center"/>
                    <w:rPr>
                      <w:b/>
                      <w:bCs/>
                      <w:color w:val="auto"/>
                    </w:rPr>
                  </w:pPr>
                  <w:r>
                    <w:rPr>
                      <w:rFonts w:hint="eastAsia"/>
                      <w:b/>
                      <w:bCs/>
                      <w:color w:val="auto"/>
                    </w:rPr>
                    <w:t>产品</w:t>
                  </w:r>
                </w:p>
                <w:p w14:paraId="53578720">
                  <w:pPr>
                    <w:jc w:val="center"/>
                    <w:rPr>
                      <w:b/>
                      <w:bCs/>
                      <w:color w:val="auto"/>
                    </w:rPr>
                  </w:pPr>
                  <w:r>
                    <w:rPr>
                      <w:rFonts w:hint="eastAsia"/>
                      <w:b/>
                      <w:bCs/>
                      <w:color w:val="auto"/>
                    </w:rPr>
                    <w:t>名称</w:t>
                  </w:r>
                </w:p>
              </w:tc>
              <w:tc>
                <w:tcPr>
                  <w:tcW w:w="423" w:type="pct"/>
                  <w:vAlign w:val="center"/>
                </w:tcPr>
                <w:p w14:paraId="5FE7AD64">
                  <w:pPr>
                    <w:jc w:val="center"/>
                    <w:rPr>
                      <w:b/>
                      <w:bCs/>
                      <w:color w:val="auto"/>
                    </w:rPr>
                  </w:pPr>
                  <w:r>
                    <w:rPr>
                      <w:rFonts w:hint="eastAsia"/>
                      <w:b/>
                      <w:bCs/>
                      <w:color w:val="auto"/>
                    </w:rPr>
                    <w:t>产量（件）</w:t>
                  </w:r>
                </w:p>
              </w:tc>
              <w:tc>
                <w:tcPr>
                  <w:tcW w:w="568" w:type="pct"/>
                  <w:vAlign w:val="center"/>
                </w:tcPr>
                <w:p w14:paraId="55F3BC34">
                  <w:pPr>
                    <w:jc w:val="center"/>
                    <w:rPr>
                      <w:b/>
                      <w:bCs/>
                      <w:color w:val="auto"/>
                    </w:rPr>
                  </w:pPr>
                  <w:r>
                    <w:rPr>
                      <w:rFonts w:hint="eastAsia"/>
                      <w:b/>
                      <w:bCs/>
                      <w:color w:val="auto"/>
                    </w:rPr>
                    <w:t>涂料名称</w:t>
                  </w:r>
                </w:p>
              </w:tc>
              <w:tc>
                <w:tcPr>
                  <w:tcW w:w="651" w:type="pct"/>
                  <w:vAlign w:val="center"/>
                </w:tcPr>
                <w:p w14:paraId="0287FFCB">
                  <w:pPr>
                    <w:jc w:val="center"/>
                    <w:rPr>
                      <w:b/>
                      <w:bCs/>
                      <w:color w:val="auto"/>
                    </w:rPr>
                  </w:pPr>
                  <w:r>
                    <w:rPr>
                      <w:rFonts w:hint="eastAsia"/>
                      <w:b/>
                      <w:bCs/>
                      <w:color w:val="auto"/>
                    </w:rPr>
                    <w:t>单位喷涂面积（m</w:t>
                  </w:r>
                  <w:r>
                    <w:rPr>
                      <w:rFonts w:hint="eastAsia"/>
                      <w:b/>
                      <w:bCs/>
                      <w:color w:val="auto"/>
                      <w:vertAlign w:val="superscript"/>
                    </w:rPr>
                    <w:t>2</w:t>
                  </w:r>
                  <w:r>
                    <w:rPr>
                      <w:rFonts w:hint="eastAsia"/>
                      <w:b/>
                      <w:bCs/>
                      <w:color w:val="auto"/>
                    </w:rPr>
                    <w:t>）</w:t>
                  </w:r>
                </w:p>
              </w:tc>
              <w:tc>
                <w:tcPr>
                  <w:tcW w:w="454" w:type="pct"/>
                  <w:vAlign w:val="center"/>
                </w:tcPr>
                <w:p w14:paraId="366CCD9D">
                  <w:pPr>
                    <w:jc w:val="center"/>
                    <w:rPr>
                      <w:b/>
                      <w:bCs/>
                      <w:color w:val="auto"/>
                    </w:rPr>
                  </w:pPr>
                  <w:r>
                    <w:rPr>
                      <w:rFonts w:hint="eastAsia"/>
                      <w:b/>
                      <w:bCs/>
                      <w:color w:val="auto"/>
                    </w:rPr>
                    <w:t>上色次数（次）</w:t>
                  </w:r>
                </w:p>
              </w:tc>
              <w:tc>
                <w:tcPr>
                  <w:tcW w:w="697" w:type="pct"/>
                  <w:vAlign w:val="center"/>
                </w:tcPr>
                <w:p w14:paraId="0718C2BA">
                  <w:pPr>
                    <w:jc w:val="center"/>
                    <w:rPr>
                      <w:b/>
                      <w:bCs/>
                      <w:color w:val="auto"/>
                    </w:rPr>
                  </w:pPr>
                  <w:r>
                    <w:rPr>
                      <w:rFonts w:hint="eastAsia"/>
                      <w:b/>
                      <w:bCs/>
                      <w:color w:val="auto"/>
                    </w:rPr>
                    <w:t>湿膜</w:t>
                  </w:r>
                </w:p>
                <w:p w14:paraId="5BF31703">
                  <w:pPr>
                    <w:jc w:val="center"/>
                    <w:rPr>
                      <w:b/>
                      <w:bCs/>
                      <w:color w:val="auto"/>
                    </w:rPr>
                  </w:pPr>
                  <w:r>
                    <w:rPr>
                      <w:rFonts w:hint="eastAsia"/>
                      <w:b/>
                      <w:bCs/>
                      <w:color w:val="auto"/>
                    </w:rPr>
                    <w:t>厚度（mm）</w:t>
                  </w:r>
                </w:p>
              </w:tc>
              <w:tc>
                <w:tcPr>
                  <w:tcW w:w="540" w:type="pct"/>
                  <w:vAlign w:val="center"/>
                </w:tcPr>
                <w:p w14:paraId="17C6A5D5">
                  <w:pPr>
                    <w:jc w:val="center"/>
                    <w:rPr>
                      <w:b/>
                      <w:bCs/>
                      <w:color w:val="auto"/>
                    </w:rPr>
                  </w:pPr>
                  <w:r>
                    <w:rPr>
                      <w:rFonts w:hint="eastAsia"/>
                      <w:b/>
                      <w:bCs/>
                      <w:color w:val="auto"/>
                    </w:rPr>
                    <w:t>湿膜密度（g/cm</w:t>
                  </w:r>
                  <w:r>
                    <w:rPr>
                      <w:rFonts w:hint="eastAsia"/>
                      <w:b/>
                      <w:bCs/>
                      <w:color w:val="auto"/>
                      <w:vertAlign w:val="superscript"/>
                    </w:rPr>
                    <w:t>3</w:t>
                  </w:r>
                  <w:r>
                    <w:rPr>
                      <w:rFonts w:hint="eastAsia"/>
                      <w:b/>
                      <w:bCs/>
                      <w:color w:val="auto"/>
                    </w:rPr>
                    <w:t>）</w:t>
                  </w:r>
                </w:p>
              </w:tc>
              <w:tc>
                <w:tcPr>
                  <w:tcW w:w="605" w:type="pct"/>
                  <w:vAlign w:val="center"/>
                </w:tcPr>
                <w:p w14:paraId="3AD4AAC1">
                  <w:pPr>
                    <w:jc w:val="center"/>
                    <w:rPr>
                      <w:b/>
                      <w:bCs/>
                      <w:color w:val="auto"/>
                    </w:rPr>
                  </w:pPr>
                  <w:r>
                    <w:rPr>
                      <w:rFonts w:hint="eastAsia"/>
                      <w:b/>
                      <w:bCs/>
                      <w:color w:val="auto"/>
                    </w:rPr>
                    <w:t>利用率</w:t>
                  </w:r>
                </w:p>
              </w:tc>
              <w:tc>
                <w:tcPr>
                  <w:tcW w:w="544" w:type="pct"/>
                  <w:vAlign w:val="center"/>
                </w:tcPr>
                <w:p w14:paraId="0BA787CE">
                  <w:pPr>
                    <w:jc w:val="center"/>
                    <w:rPr>
                      <w:b/>
                      <w:bCs/>
                      <w:color w:val="auto"/>
                    </w:rPr>
                  </w:pPr>
                  <w:r>
                    <w:rPr>
                      <w:rFonts w:hint="eastAsia"/>
                      <w:b/>
                      <w:bCs/>
                      <w:color w:val="auto"/>
                    </w:rPr>
                    <w:t>用量（t/a）</w:t>
                  </w:r>
                </w:p>
              </w:tc>
            </w:tr>
            <w:tr w14:paraId="6DE7A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513" w:type="pct"/>
                  <w:vMerge w:val="restart"/>
                  <w:vAlign w:val="center"/>
                </w:tcPr>
                <w:p w14:paraId="023C9BAD">
                  <w:pPr>
                    <w:jc w:val="center"/>
                    <w:rPr>
                      <w:color w:val="auto"/>
                    </w:rPr>
                  </w:pPr>
                  <w:r>
                    <w:rPr>
                      <w:rFonts w:hint="eastAsia"/>
                      <w:color w:val="auto"/>
                    </w:rPr>
                    <w:t>自行车</w:t>
                  </w:r>
                </w:p>
                <w:p w14:paraId="6A2CE2F5">
                  <w:pPr>
                    <w:jc w:val="center"/>
                    <w:rPr>
                      <w:color w:val="auto"/>
                    </w:rPr>
                  </w:pPr>
                  <w:r>
                    <w:rPr>
                      <w:rFonts w:hint="eastAsia"/>
                      <w:color w:val="auto"/>
                    </w:rPr>
                    <w:t>车架</w:t>
                  </w:r>
                </w:p>
              </w:tc>
              <w:tc>
                <w:tcPr>
                  <w:tcW w:w="423" w:type="pct"/>
                  <w:vMerge w:val="restart"/>
                  <w:vAlign w:val="center"/>
                </w:tcPr>
                <w:p w14:paraId="570BCA2A">
                  <w:pPr>
                    <w:jc w:val="center"/>
                    <w:rPr>
                      <w:color w:val="auto"/>
                    </w:rPr>
                  </w:pPr>
                  <w:r>
                    <w:rPr>
                      <w:rFonts w:hint="eastAsia"/>
                      <w:color w:val="auto"/>
                    </w:rPr>
                    <w:t>36000</w:t>
                  </w:r>
                </w:p>
              </w:tc>
              <w:tc>
                <w:tcPr>
                  <w:tcW w:w="568" w:type="pct"/>
                  <w:vAlign w:val="center"/>
                </w:tcPr>
                <w:p w14:paraId="7A579315">
                  <w:pPr>
                    <w:jc w:val="center"/>
                    <w:rPr>
                      <w:color w:val="auto"/>
                    </w:rPr>
                  </w:pPr>
                  <w:r>
                    <w:rPr>
                      <w:rFonts w:hint="eastAsia"/>
                      <w:color w:val="auto"/>
                    </w:rPr>
                    <w:t>水性底漆</w:t>
                  </w:r>
                </w:p>
              </w:tc>
              <w:tc>
                <w:tcPr>
                  <w:tcW w:w="651" w:type="pct"/>
                  <w:vAlign w:val="center"/>
                </w:tcPr>
                <w:p w14:paraId="0CB28711">
                  <w:pPr>
                    <w:jc w:val="center"/>
                    <w:rPr>
                      <w:color w:val="auto"/>
                    </w:rPr>
                  </w:pPr>
                  <w:r>
                    <w:rPr>
                      <w:color w:val="auto"/>
                      <w:kern w:val="0"/>
                      <w:szCs w:val="21"/>
                      <w:lang w:bidi="ar"/>
                    </w:rPr>
                    <w:t>0.242</w:t>
                  </w:r>
                </w:p>
              </w:tc>
              <w:tc>
                <w:tcPr>
                  <w:tcW w:w="454" w:type="pct"/>
                  <w:vAlign w:val="center"/>
                </w:tcPr>
                <w:p w14:paraId="37F44329">
                  <w:pPr>
                    <w:jc w:val="center"/>
                    <w:rPr>
                      <w:color w:val="auto"/>
                    </w:rPr>
                  </w:pPr>
                  <w:r>
                    <w:rPr>
                      <w:rFonts w:hint="eastAsia"/>
                      <w:color w:val="auto"/>
                    </w:rPr>
                    <w:t>1</w:t>
                  </w:r>
                </w:p>
              </w:tc>
              <w:tc>
                <w:tcPr>
                  <w:tcW w:w="697" w:type="pct"/>
                  <w:vAlign w:val="center"/>
                </w:tcPr>
                <w:p w14:paraId="30C14746">
                  <w:pPr>
                    <w:jc w:val="center"/>
                    <w:rPr>
                      <w:color w:val="auto"/>
                    </w:rPr>
                  </w:pPr>
                  <w:r>
                    <w:rPr>
                      <w:rFonts w:hint="eastAsia"/>
                      <w:color w:val="auto"/>
                    </w:rPr>
                    <w:t>0.03</w:t>
                  </w:r>
                </w:p>
              </w:tc>
              <w:tc>
                <w:tcPr>
                  <w:tcW w:w="540" w:type="pct"/>
                  <w:vAlign w:val="center"/>
                </w:tcPr>
                <w:p w14:paraId="01D817EF">
                  <w:pPr>
                    <w:jc w:val="center"/>
                    <w:rPr>
                      <w:color w:val="auto"/>
                    </w:rPr>
                  </w:pPr>
                  <w:r>
                    <w:rPr>
                      <w:rFonts w:hint="eastAsia"/>
                      <w:color w:val="auto"/>
                    </w:rPr>
                    <w:t>1.3</w:t>
                  </w:r>
                </w:p>
              </w:tc>
              <w:tc>
                <w:tcPr>
                  <w:tcW w:w="605" w:type="pct"/>
                  <w:vMerge w:val="restart"/>
                  <w:vAlign w:val="center"/>
                </w:tcPr>
                <w:p w14:paraId="5A1AD495">
                  <w:pPr>
                    <w:jc w:val="center"/>
                    <w:rPr>
                      <w:color w:val="auto"/>
                    </w:rPr>
                  </w:pPr>
                  <w:r>
                    <w:rPr>
                      <w:rFonts w:hint="eastAsia"/>
                      <w:color w:val="auto"/>
                    </w:rPr>
                    <w:t>50%</w:t>
                  </w:r>
                </w:p>
              </w:tc>
              <w:tc>
                <w:tcPr>
                  <w:tcW w:w="1087" w:type="dxa"/>
                  <w:vAlign w:val="center"/>
                </w:tcPr>
                <w:p w14:paraId="525A5124">
                  <w:pPr>
                    <w:widowControl/>
                    <w:jc w:val="center"/>
                    <w:textAlignment w:val="center"/>
                    <w:rPr>
                      <w:color w:val="auto"/>
                    </w:rPr>
                  </w:pPr>
                  <w:r>
                    <w:rPr>
                      <w:color w:val="auto"/>
                      <w:kern w:val="0"/>
                      <w:szCs w:val="21"/>
                      <w:lang w:bidi="ar"/>
                    </w:rPr>
                    <w:t xml:space="preserve">0.680 </w:t>
                  </w:r>
                </w:p>
              </w:tc>
            </w:tr>
            <w:tr w14:paraId="39398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513" w:type="pct"/>
                  <w:vMerge w:val="continue"/>
                  <w:vAlign w:val="center"/>
                </w:tcPr>
                <w:p w14:paraId="6B706B67">
                  <w:pPr>
                    <w:jc w:val="center"/>
                    <w:rPr>
                      <w:color w:val="auto"/>
                    </w:rPr>
                  </w:pPr>
                </w:p>
              </w:tc>
              <w:tc>
                <w:tcPr>
                  <w:tcW w:w="423" w:type="pct"/>
                  <w:vMerge w:val="continue"/>
                  <w:vAlign w:val="center"/>
                </w:tcPr>
                <w:p w14:paraId="52D5463A">
                  <w:pPr>
                    <w:jc w:val="center"/>
                    <w:rPr>
                      <w:color w:val="auto"/>
                    </w:rPr>
                  </w:pPr>
                </w:p>
              </w:tc>
              <w:tc>
                <w:tcPr>
                  <w:tcW w:w="568" w:type="pct"/>
                  <w:vAlign w:val="center"/>
                </w:tcPr>
                <w:p w14:paraId="5AF409FE">
                  <w:pPr>
                    <w:jc w:val="center"/>
                    <w:rPr>
                      <w:color w:val="auto"/>
                    </w:rPr>
                  </w:pPr>
                  <w:r>
                    <w:rPr>
                      <w:rFonts w:hint="eastAsia"/>
                      <w:color w:val="auto"/>
                    </w:rPr>
                    <w:t>水性面漆</w:t>
                  </w:r>
                </w:p>
              </w:tc>
              <w:tc>
                <w:tcPr>
                  <w:tcW w:w="651" w:type="pct"/>
                  <w:vAlign w:val="center"/>
                </w:tcPr>
                <w:p w14:paraId="5F3036D4">
                  <w:pPr>
                    <w:jc w:val="center"/>
                    <w:rPr>
                      <w:color w:val="auto"/>
                    </w:rPr>
                  </w:pPr>
                  <w:r>
                    <w:rPr>
                      <w:color w:val="auto"/>
                      <w:kern w:val="0"/>
                      <w:szCs w:val="21"/>
                      <w:lang w:bidi="ar"/>
                    </w:rPr>
                    <w:t>0.242</w:t>
                  </w:r>
                </w:p>
              </w:tc>
              <w:tc>
                <w:tcPr>
                  <w:tcW w:w="454" w:type="pct"/>
                  <w:vAlign w:val="center"/>
                </w:tcPr>
                <w:p w14:paraId="57B44FE3">
                  <w:pPr>
                    <w:jc w:val="center"/>
                    <w:rPr>
                      <w:color w:val="auto"/>
                    </w:rPr>
                  </w:pPr>
                  <w:r>
                    <w:rPr>
                      <w:rFonts w:hint="eastAsia"/>
                      <w:color w:val="auto"/>
                    </w:rPr>
                    <w:t>1</w:t>
                  </w:r>
                </w:p>
              </w:tc>
              <w:tc>
                <w:tcPr>
                  <w:tcW w:w="697" w:type="pct"/>
                  <w:vAlign w:val="center"/>
                </w:tcPr>
                <w:p w14:paraId="3B698E62">
                  <w:pPr>
                    <w:jc w:val="center"/>
                    <w:rPr>
                      <w:color w:val="auto"/>
                    </w:rPr>
                  </w:pPr>
                  <w:r>
                    <w:rPr>
                      <w:rFonts w:hint="eastAsia"/>
                      <w:color w:val="auto"/>
                    </w:rPr>
                    <w:t>0.03</w:t>
                  </w:r>
                </w:p>
              </w:tc>
              <w:tc>
                <w:tcPr>
                  <w:tcW w:w="540" w:type="pct"/>
                  <w:vAlign w:val="center"/>
                </w:tcPr>
                <w:p w14:paraId="5B88140D">
                  <w:pPr>
                    <w:jc w:val="center"/>
                    <w:rPr>
                      <w:color w:val="auto"/>
                    </w:rPr>
                  </w:pPr>
                  <w:r>
                    <w:rPr>
                      <w:rFonts w:hint="eastAsia"/>
                      <w:color w:val="auto"/>
                    </w:rPr>
                    <w:t>1.3</w:t>
                  </w:r>
                </w:p>
              </w:tc>
              <w:tc>
                <w:tcPr>
                  <w:tcW w:w="605" w:type="pct"/>
                  <w:vMerge w:val="continue"/>
                  <w:vAlign w:val="center"/>
                </w:tcPr>
                <w:p w14:paraId="0E761762">
                  <w:pPr>
                    <w:jc w:val="center"/>
                    <w:rPr>
                      <w:color w:val="auto"/>
                    </w:rPr>
                  </w:pPr>
                </w:p>
              </w:tc>
              <w:tc>
                <w:tcPr>
                  <w:tcW w:w="1087" w:type="dxa"/>
                  <w:vAlign w:val="center"/>
                </w:tcPr>
                <w:p w14:paraId="636BCA37">
                  <w:pPr>
                    <w:widowControl/>
                    <w:jc w:val="center"/>
                    <w:textAlignment w:val="center"/>
                    <w:rPr>
                      <w:color w:val="auto"/>
                    </w:rPr>
                  </w:pPr>
                  <w:r>
                    <w:rPr>
                      <w:color w:val="auto"/>
                      <w:kern w:val="0"/>
                      <w:szCs w:val="21"/>
                      <w:lang w:bidi="ar"/>
                    </w:rPr>
                    <w:t xml:space="preserve">0.680 </w:t>
                  </w:r>
                </w:p>
              </w:tc>
            </w:tr>
            <w:tr w14:paraId="10671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513" w:type="pct"/>
                  <w:vMerge w:val="continue"/>
                  <w:vAlign w:val="center"/>
                </w:tcPr>
                <w:p w14:paraId="6E3C90DD">
                  <w:pPr>
                    <w:jc w:val="center"/>
                    <w:rPr>
                      <w:color w:val="auto"/>
                    </w:rPr>
                  </w:pPr>
                </w:p>
              </w:tc>
              <w:tc>
                <w:tcPr>
                  <w:tcW w:w="423" w:type="pct"/>
                  <w:vMerge w:val="continue"/>
                  <w:vAlign w:val="center"/>
                </w:tcPr>
                <w:p w14:paraId="248E52D7">
                  <w:pPr>
                    <w:jc w:val="center"/>
                    <w:rPr>
                      <w:color w:val="auto"/>
                    </w:rPr>
                  </w:pPr>
                </w:p>
              </w:tc>
              <w:tc>
                <w:tcPr>
                  <w:tcW w:w="568" w:type="pct"/>
                  <w:vAlign w:val="center"/>
                </w:tcPr>
                <w:p w14:paraId="030CD2F5">
                  <w:pPr>
                    <w:jc w:val="center"/>
                    <w:rPr>
                      <w:color w:val="auto"/>
                    </w:rPr>
                  </w:pPr>
                  <w:r>
                    <w:rPr>
                      <w:rFonts w:hint="eastAsia"/>
                      <w:color w:val="auto"/>
                    </w:rPr>
                    <w:t>水性清漆</w:t>
                  </w:r>
                </w:p>
              </w:tc>
              <w:tc>
                <w:tcPr>
                  <w:tcW w:w="651" w:type="pct"/>
                  <w:vAlign w:val="center"/>
                </w:tcPr>
                <w:p w14:paraId="1E05B41B">
                  <w:pPr>
                    <w:jc w:val="center"/>
                    <w:rPr>
                      <w:color w:val="auto"/>
                    </w:rPr>
                  </w:pPr>
                  <w:r>
                    <w:rPr>
                      <w:color w:val="auto"/>
                      <w:kern w:val="0"/>
                      <w:szCs w:val="21"/>
                      <w:lang w:bidi="ar"/>
                    </w:rPr>
                    <w:t>0.242</w:t>
                  </w:r>
                </w:p>
              </w:tc>
              <w:tc>
                <w:tcPr>
                  <w:tcW w:w="454" w:type="pct"/>
                  <w:vAlign w:val="center"/>
                </w:tcPr>
                <w:p w14:paraId="5BDB4501">
                  <w:pPr>
                    <w:jc w:val="center"/>
                    <w:rPr>
                      <w:color w:val="auto"/>
                    </w:rPr>
                  </w:pPr>
                  <w:r>
                    <w:rPr>
                      <w:rFonts w:hint="eastAsia"/>
                      <w:color w:val="auto"/>
                    </w:rPr>
                    <w:t>1</w:t>
                  </w:r>
                </w:p>
              </w:tc>
              <w:tc>
                <w:tcPr>
                  <w:tcW w:w="697" w:type="pct"/>
                  <w:vAlign w:val="center"/>
                </w:tcPr>
                <w:p w14:paraId="05F31600">
                  <w:pPr>
                    <w:jc w:val="center"/>
                    <w:rPr>
                      <w:color w:val="auto"/>
                    </w:rPr>
                  </w:pPr>
                  <w:r>
                    <w:rPr>
                      <w:rFonts w:hint="eastAsia"/>
                      <w:color w:val="auto"/>
                    </w:rPr>
                    <w:t>0.03</w:t>
                  </w:r>
                </w:p>
              </w:tc>
              <w:tc>
                <w:tcPr>
                  <w:tcW w:w="540" w:type="pct"/>
                  <w:vAlign w:val="center"/>
                </w:tcPr>
                <w:p w14:paraId="599FC149">
                  <w:pPr>
                    <w:jc w:val="center"/>
                    <w:rPr>
                      <w:color w:val="auto"/>
                    </w:rPr>
                  </w:pPr>
                  <w:r>
                    <w:rPr>
                      <w:rFonts w:hint="eastAsia"/>
                      <w:color w:val="auto"/>
                    </w:rPr>
                    <w:t>1.06</w:t>
                  </w:r>
                </w:p>
              </w:tc>
              <w:tc>
                <w:tcPr>
                  <w:tcW w:w="605" w:type="pct"/>
                  <w:vMerge w:val="continue"/>
                  <w:vAlign w:val="center"/>
                </w:tcPr>
                <w:p w14:paraId="60C6EBB4">
                  <w:pPr>
                    <w:jc w:val="center"/>
                    <w:rPr>
                      <w:color w:val="auto"/>
                    </w:rPr>
                  </w:pPr>
                </w:p>
              </w:tc>
              <w:tc>
                <w:tcPr>
                  <w:tcW w:w="1087" w:type="dxa"/>
                  <w:vAlign w:val="center"/>
                </w:tcPr>
                <w:p w14:paraId="4A4D3E98">
                  <w:pPr>
                    <w:widowControl/>
                    <w:jc w:val="center"/>
                    <w:textAlignment w:val="center"/>
                    <w:rPr>
                      <w:color w:val="auto"/>
                    </w:rPr>
                  </w:pPr>
                  <w:r>
                    <w:rPr>
                      <w:color w:val="auto"/>
                      <w:kern w:val="0"/>
                      <w:szCs w:val="21"/>
                      <w:lang w:bidi="ar"/>
                    </w:rPr>
                    <w:t xml:space="preserve">0.554 </w:t>
                  </w:r>
                </w:p>
              </w:tc>
            </w:tr>
            <w:tr w14:paraId="6E0E7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restart"/>
                  <w:vAlign w:val="center"/>
                </w:tcPr>
                <w:p w14:paraId="5EEDCC28">
                  <w:pPr>
                    <w:jc w:val="center"/>
                    <w:rPr>
                      <w:color w:val="auto"/>
                    </w:rPr>
                  </w:pPr>
                  <w:r>
                    <w:rPr>
                      <w:rFonts w:hint="eastAsia"/>
                      <w:color w:val="auto"/>
                    </w:rPr>
                    <w:t>电动助力车车架</w:t>
                  </w:r>
                </w:p>
              </w:tc>
              <w:tc>
                <w:tcPr>
                  <w:tcW w:w="423" w:type="pct"/>
                  <w:vMerge w:val="restart"/>
                  <w:vAlign w:val="center"/>
                </w:tcPr>
                <w:p w14:paraId="63BE0035">
                  <w:pPr>
                    <w:jc w:val="center"/>
                    <w:rPr>
                      <w:color w:val="auto"/>
                    </w:rPr>
                  </w:pPr>
                  <w:r>
                    <w:rPr>
                      <w:rFonts w:hint="eastAsia"/>
                      <w:color w:val="auto"/>
                    </w:rPr>
                    <w:t>36000</w:t>
                  </w:r>
                </w:p>
              </w:tc>
              <w:tc>
                <w:tcPr>
                  <w:tcW w:w="568" w:type="pct"/>
                  <w:vAlign w:val="center"/>
                </w:tcPr>
                <w:p w14:paraId="0B1ADDC1">
                  <w:pPr>
                    <w:jc w:val="center"/>
                    <w:rPr>
                      <w:color w:val="auto"/>
                    </w:rPr>
                  </w:pPr>
                  <w:r>
                    <w:rPr>
                      <w:rFonts w:hint="eastAsia"/>
                      <w:color w:val="auto"/>
                    </w:rPr>
                    <w:t>水性底漆</w:t>
                  </w:r>
                </w:p>
              </w:tc>
              <w:tc>
                <w:tcPr>
                  <w:tcW w:w="651" w:type="pct"/>
                  <w:vAlign w:val="center"/>
                </w:tcPr>
                <w:p w14:paraId="20B9E931">
                  <w:pPr>
                    <w:jc w:val="center"/>
                    <w:rPr>
                      <w:color w:val="auto"/>
                    </w:rPr>
                  </w:pPr>
                  <w:r>
                    <w:rPr>
                      <w:color w:val="auto"/>
                      <w:kern w:val="0"/>
                      <w:szCs w:val="21"/>
                      <w:lang w:bidi="ar"/>
                    </w:rPr>
                    <w:t>0.373</w:t>
                  </w:r>
                </w:p>
              </w:tc>
              <w:tc>
                <w:tcPr>
                  <w:tcW w:w="454" w:type="pct"/>
                  <w:vAlign w:val="center"/>
                </w:tcPr>
                <w:p w14:paraId="1733B97F">
                  <w:pPr>
                    <w:jc w:val="center"/>
                    <w:rPr>
                      <w:color w:val="auto"/>
                    </w:rPr>
                  </w:pPr>
                  <w:r>
                    <w:rPr>
                      <w:rFonts w:hint="eastAsia"/>
                      <w:color w:val="auto"/>
                    </w:rPr>
                    <w:t>1</w:t>
                  </w:r>
                </w:p>
              </w:tc>
              <w:tc>
                <w:tcPr>
                  <w:tcW w:w="697" w:type="pct"/>
                  <w:vAlign w:val="center"/>
                </w:tcPr>
                <w:p w14:paraId="365FF58F">
                  <w:pPr>
                    <w:jc w:val="center"/>
                    <w:rPr>
                      <w:color w:val="auto"/>
                    </w:rPr>
                  </w:pPr>
                  <w:r>
                    <w:rPr>
                      <w:rFonts w:hint="eastAsia"/>
                      <w:color w:val="auto"/>
                    </w:rPr>
                    <w:t>0.03</w:t>
                  </w:r>
                </w:p>
              </w:tc>
              <w:tc>
                <w:tcPr>
                  <w:tcW w:w="540" w:type="pct"/>
                  <w:vAlign w:val="center"/>
                </w:tcPr>
                <w:p w14:paraId="1A5C402D">
                  <w:pPr>
                    <w:jc w:val="center"/>
                    <w:rPr>
                      <w:color w:val="auto"/>
                    </w:rPr>
                  </w:pPr>
                  <w:r>
                    <w:rPr>
                      <w:rFonts w:hint="eastAsia"/>
                      <w:color w:val="auto"/>
                    </w:rPr>
                    <w:t>1.3</w:t>
                  </w:r>
                </w:p>
              </w:tc>
              <w:tc>
                <w:tcPr>
                  <w:tcW w:w="605" w:type="pct"/>
                  <w:vMerge w:val="restart"/>
                  <w:vAlign w:val="center"/>
                </w:tcPr>
                <w:p w14:paraId="6016ADED">
                  <w:pPr>
                    <w:jc w:val="center"/>
                    <w:rPr>
                      <w:color w:val="auto"/>
                    </w:rPr>
                  </w:pPr>
                  <w:r>
                    <w:rPr>
                      <w:rFonts w:hint="eastAsia"/>
                      <w:color w:val="auto"/>
                    </w:rPr>
                    <w:t>50%</w:t>
                  </w:r>
                </w:p>
              </w:tc>
              <w:tc>
                <w:tcPr>
                  <w:tcW w:w="1087" w:type="dxa"/>
                  <w:vAlign w:val="center"/>
                </w:tcPr>
                <w:p w14:paraId="611B440C">
                  <w:pPr>
                    <w:widowControl/>
                    <w:jc w:val="center"/>
                    <w:textAlignment w:val="center"/>
                    <w:rPr>
                      <w:color w:val="auto"/>
                    </w:rPr>
                  </w:pPr>
                  <w:r>
                    <w:rPr>
                      <w:color w:val="auto"/>
                      <w:kern w:val="0"/>
                      <w:szCs w:val="21"/>
                      <w:lang w:bidi="ar"/>
                    </w:rPr>
                    <w:t xml:space="preserve">1.05 </w:t>
                  </w:r>
                </w:p>
              </w:tc>
            </w:tr>
            <w:tr w14:paraId="04F1B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3AF4422E">
                  <w:pPr>
                    <w:jc w:val="center"/>
                    <w:rPr>
                      <w:color w:val="auto"/>
                    </w:rPr>
                  </w:pPr>
                </w:p>
              </w:tc>
              <w:tc>
                <w:tcPr>
                  <w:tcW w:w="423" w:type="pct"/>
                  <w:vMerge w:val="continue"/>
                  <w:vAlign w:val="center"/>
                </w:tcPr>
                <w:p w14:paraId="479BA1C6">
                  <w:pPr>
                    <w:jc w:val="center"/>
                    <w:rPr>
                      <w:color w:val="auto"/>
                    </w:rPr>
                  </w:pPr>
                </w:p>
              </w:tc>
              <w:tc>
                <w:tcPr>
                  <w:tcW w:w="568" w:type="pct"/>
                  <w:vAlign w:val="center"/>
                </w:tcPr>
                <w:p w14:paraId="3899F236">
                  <w:pPr>
                    <w:jc w:val="center"/>
                    <w:rPr>
                      <w:color w:val="auto"/>
                    </w:rPr>
                  </w:pPr>
                  <w:r>
                    <w:rPr>
                      <w:rFonts w:hint="eastAsia"/>
                      <w:color w:val="auto"/>
                    </w:rPr>
                    <w:t>水性面漆</w:t>
                  </w:r>
                </w:p>
              </w:tc>
              <w:tc>
                <w:tcPr>
                  <w:tcW w:w="651" w:type="pct"/>
                  <w:vAlign w:val="center"/>
                </w:tcPr>
                <w:p w14:paraId="04EDCDD3">
                  <w:pPr>
                    <w:jc w:val="center"/>
                    <w:rPr>
                      <w:color w:val="auto"/>
                    </w:rPr>
                  </w:pPr>
                  <w:r>
                    <w:rPr>
                      <w:color w:val="auto"/>
                      <w:kern w:val="0"/>
                      <w:szCs w:val="21"/>
                      <w:lang w:bidi="ar"/>
                    </w:rPr>
                    <w:t>0.373</w:t>
                  </w:r>
                </w:p>
              </w:tc>
              <w:tc>
                <w:tcPr>
                  <w:tcW w:w="454" w:type="pct"/>
                  <w:vAlign w:val="center"/>
                </w:tcPr>
                <w:p w14:paraId="31FDC0B7">
                  <w:pPr>
                    <w:jc w:val="center"/>
                    <w:rPr>
                      <w:color w:val="auto"/>
                    </w:rPr>
                  </w:pPr>
                  <w:r>
                    <w:rPr>
                      <w:rFonts w:hint="eastAsia"/>
                      <w:color w:val="auto"/>
                    </w:rPr>
                    <w:t>1</w:t>
                  </w:r>
                </w:p>
              </w:tc>
              <w:tc>
                <w:tcPr>
                  <w:tcW w:w="697" w:type="pct"/>
                  <w:vAlign w:val="center"/>
                </w:tcPr>
                <w:p w14:paraId="6ED6F4A2">
                  <w:pPr>
                    <w:jc w:val="center"/>
                    <w:rPr>
                      <w:color w:val="auto"/>
                    </w:rPr>
                  </w:pPr>
                  <w:r>
                    <w:rPr>
                      <w:rFonts w:hint="eastAsia"/>
                      <w:color w:val="auto"/>
                    </w:rPr>
                    <w:t>0.03</w:t>
                  </w:r>
                </w:p>
              </w:tc>
              <w:tc>
                <w:tcPr>
                  <w:tcW w:w="540" w:type="pct"/>
                  <w:vAlign w:val="center"/>
                </w:tcPr>
                <w:p w14:paraId="4773E7FB">
                  <w:pPr>
                    <w:jc w:val="center"/>
                    <w:rPr>
                      <w:color w:val="auto"/>
                    </w:rPr>
                  </w:pPr>
                  <w:r>
                    <w:rPr>
                      <w:rFonts w:hint="eastAsia"/>
                      <w:color w:val="auto"/>
                    </w:rPr>
                    <w:t>1.3</w:t>
                  </w:r>
                </w:p>
              </w:tc>
              <w:tc>
                <w:tcPr>
                  <w:tcW w:w="605" w:type="pct"/>
                  <w:vMerge w:val="continue"/>
                  <w:vAlign w:val="center"/>
                </w:tcPr>
                <w:p w14:paraId="44976F36">
                  <w:pPr>
                    <w:jc w:val="center"/>
                    <w:rPr>
                      <w:color w:val="auto"/>
                    </w:rPr>
                  </w:pPr>
                </w:p>
              </w:tc>
              <w:tc>
                <w:tcPr>
                  <w:tcW w:w="1087" w:type="dxa"/>
                  <w:vAlign w:val="center"/>
                </w:tcPr>
                <w:p w14:paraId="00923B18">
                  <w:pPr>
                    <w:widowControl/>
                    <w:jc w:val="center"/>
                    <w:textAlignment w:val="center"/>
                    <w:rPr>
                      <w:color w:val="auto"/>
                    </w:rPr>
                  </w:pPr>
                  <w:r>
                    <w:rPr>
                      <w:color w:val="auto"/>
                      <w:kern w:val="0"/>
                      <w:szCs w:val="21"/>
                      <w:lang w:bidi="ar"/>
                    </w:rPr>
                    <w:t xml:space="preserve">1.05 </w:t>
                  </w:r>
                </w:p>
              </w:tc>
            </w:tr>
            <w:tr w14:paraId="6C9F4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491FF968">
                  <w:pPr>
                    <w:jc w:val="center"/>
                    <w:rPr>
                      <w:color w:val="auto"/>
                    </w:rPr>
                  </w:pPr>
                </w:p>
              </w:tc>
              <w:tc>
                <w:tcPr>
                  <w:tcW w:w="423" w:type="pct"/>
                  <w:vMerge w:val="continue"/>
                  <w:vAlign w:val="center"/>
                </w:tcPr>
                <w:p w14:paraId="6AAFDC09">
                  <w:pPr>
                    <w:jc w:val="center"/>
                    <w:rPr>
                      <w:color w:val="auto"/>
                    </w:rPr>
                  </w:pPr>
                </w:p>
              </w:tc>
              <w:tc>
                <w:tcPr>
                  <w:tcW w:w="568" w:type="pct"/>
                  <w:vAlign w:val="center"/>
                </w:tcPr>
                <w:p w14:paraId="77992A45">
                  <w:pPr>
                    <w:jc w:val="center"/>
                    <w:rPr>
                      <w:color w:val="auto"/>
                    </w:rPr>
                  </w:pPr>
                  <w:r>
                    <w:rPr>
                      <w:rFonts w:hint="eastAsia"/>
                      <w:color w:val="auto"/>
                    </w:rPr>
                    <w:t>水性清漆</w:t>
                  </w:r>
                </w:p>
              </w:tc>
              <w:tc>
                <w:tcPr>
                  <w:tcW w:w="651" w:type="pct"/>
                  <w:vAlign w:val="center"/>
                </w:tcPr>
                <w:p w14:paraId="49F79393">
                  <w:pPr>
                    <w:jc w:val="center"/>
                    <w:rPr>
                      <w:color w:val="auto"/>
                    </w:rPr>
                  </w:pPr>
                  <w:r>
                    <w:rPr>
                      <w:color w:val="auto"/>
                      <w:kern w:val="0"/>
                      <w:szCs w:val="21"/>
                      <w:lang w:bidi="ar"/>
                    </w:rPr>
                    <w:t>0.373</w:t>
                  </w:r>
                </w:p>
              </w:tc>
              <w:tc>
                <w:tcPr>
                  <w:tcW w:w="454" w:type="pct"/>
                  <w:vAlign w:val="center"/>
                </w:tcPr>
                <w:p w14:paraId="39E547A5">
                  <w:pPr>
                    <w:jc w:val="center"/>
                    <w:rPr>
                      <w:color w:val="auto"/>
                    </w:rPr>
                  </w:pPr>
                  <w:r>
                    <w:rPr>
                      <w:rFonts w:hint="eastAsia"/>
                      <w:color w:val="auto"/>
                    </w:rPr>
                    <w:t>1</w:t>
                  </w:r>
                </w:p>
              </w:tc>
              <w:tc>
                <w:tcPr>
                  <w:tcW w:w="697" w:type="pct"/>
                  <w:vAlign w:val="center"/>
                </w:tcPr>
                <w:p w14:paraId="2BFA453B">
                  <w:pPr>
                    <w:jc w:val="center"/>
                    <w:rPr>
                      <w:color w:val="auto"/>
                    </w:rPr>
                  </w:pPr>
                  <w:r>
                    <w:rPr>
                      <w:rFonts w:hint="eastAsia"/>
                      <w:color w:val="auto"/>
                    </w:rPr>
                    <w:t>0.03</w:t>
                  </w:r>
                </w:p>
              </w:tc>
              <w:tc>
                <w:tcPr>
                  <w:tcW w:w="540" w:type="pct"/>
                  <w:vAlign w:val="center"/>
                </w:tcPr>
                <w:p w14:paraId="3B3EBC6E">
                  <w:pPr>
                    <w:jc w:val="center"/>
                    <w:rPr>
                      <w:color w:val="auto"/>
                    </w:rPr>
                  </w:pPr>
                  <w:r>
                    <w:rPr>
                      <w:rFonts w:hint="eastAsia"/>
                      <w:color w:val="auto"/>
                    </w:rPr>
                    <w:t>1.06</w:t>
                  </w:r>
                </w:p>
              </w:tc>
              <w:tc>
                <w:tcPr>
                  <w:tcW w:w="605" w:type="pct"/>
                  <w:vMerge w:val="continue"/>
                  <w:vAlign w:val="center"/>
                </w:tcPr>
                <w:p w14:paraId="70CF9330">
                  <w:pPr>
                    <w:jc w:val="center"/>
                    <w:rPr>
                      <w:color w:val="auto"/>
                    </w:rPr>
                  </w:pPr>
                </w:p>
              </w:tc>
              <w:tc>
                <w:tcPr>
                  <w:tcW w:w="1087" w:type="dxa"/>
                  <w:vAlign w:val="center"/>
                </w:tcPr>
                <w:p w14:paraId="664E805C">
                  <w:pPr>
                    <w:widowControl/>
                    <w:jc w:val="center"/>
                    <w:textAlignment w:val="center"/>
                    <w:rPr>
                      <w:color w:val="auto"/>
                    </w:rPr>
                  </w:pPr>
                  <w:r>
                    <w:rPr>
                      <w:color w:val="auto"/>
                      <w:kern w:val="0"/>
                      <w:szCs w:val="21"/>
                      <w:lang w:bidi="ar"/>
                    </w:rPr>
                    <w:t xml:space="preserve">0.85 </w:t>
                  </w:r>
                </w:p>
              </w:tc>
            </w:tr>
            <w:tr w14:paraId="5E220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restart"/>
                  <w:vAlign w:val="center"/>
                </w:tcPr>
                <w:p w14:paraId="357C54F0">
                  <w:pPr>
                    <w:jc w:val="center"/>
                    <w:rPr>
                      <w:color w:val="auto"/>
                    </w:rPr>
                  </w:pPr>
                  <w:r>
                    <w:rPr>
                      <w:rFonts w:hint="eastAsia"/>
                      <w:color w:val="auto"/>
                    </w:rPr>
                    <w:t>家私配件</w:t>
                  </w:r>
                </w:p>
              </w:tc>
              <w:tc>
                <w:tcPr>
                  <w:tcW w:w="423" w:type="pct"/>
                  <w:vMerge w:val="restart"/>
                  <w:vAlign w:val="center"/>
                </w:tcPr>
                <w:p w14:paraId="7DD33F25">
                  <w:pPr>
                    <w:jc w:val="center"/>
                    <w:rPr>
                      <w:color w:val="auto"/>
                    </w:rPr>
                  </w:pPr>
                  <w:r>
                    <w:rPr>
                      <w:rFonts w:hint="eastAsia"/>
                      <w:color w:val="auto"/>
                    </w:rPr>
                    <w:t>30000</w:t>
                  </w:r>
                </w:p>
              </w:tc>
              <w:tc>
                <w:tcPr>
                  <w:tcW w:w="568" w:type="pct"/>
                  <w:vAlign w:val="center"/>
                </w:tcPr>
                <w:p w14:paraId="2C2A64FB">
                  <w:pPr>
                    <w:jc w:val="center"/>
                    <w:rPr>
                      <w:color w:val="auto"/>
                    </w:rPr>
                  </w:pPr>
                  <w:r>
                    <w:rPr>
                      <w:rFonts w:hint="eastAsia"/>
                      <w:color w:val="auto"/>
                    </w:rPr>
                    <w:t>水性底漆</w:t>
                  </w:r>
                </w:p>
              </w:tc>
              <w:tc>
                <w:tcPr>
                  <w:tcW w:w="651" w:type="pct"/>
                  <w:vAlign w:val="center"/>
                </w:tcPr>
                <w:p w14:paraId="7170B272">
                  <w:pPr>
                    <w:jc w:val="center"/>
                    <w:rPr>
                      <w:color w:val="auto"/>
                    </w:rPr>
                  </w:pPr>
                  <w:r>
                    <w:rPr>
                      <w:color w:val="auto"/>
                      <w:kern w:val="0"/>
                      <w:szCs w:val="21"/>
                      <w:lang w:bidi="ar"/>
                    </w:rPr>
                    <w:t>1.2096</w:t>
                  </w:r>
                </w:p>
              </w:tc>
              <w:tc>
                <w:tcPr>
                  <w:tcW w:w="454" w:type="pct"/>
                  <w:vAlign w:val="center"/>
                </w:tcPr>
                <w:p w14:paraId="0B7AA146">
                  <w:pPr>
                    <w:jc w:val="center"/>
                    <w:rPr>
                      <w:color w:val="auto"/>
                    </w:rPr>
                  </w:pPr>
                  <w:r>
                    <w:rPr>
                      <w:rFonts w:hint="eastAsia"/>
                      <w:color w:val="auto"/>
                    </w:rPr>
                    <w:t>1</w:t>
                  </w:r>
                </w:p>
              </w:tc>
              <w:tc>
                <w:tcPr>
                  <w:tcW w:w="697" w:type="pct"/>
                  <w:vAlign w:val="center"/>
                </w:tcPr>
                <w:p w14:paraId="7A89B698">
                  <w:pPr>
                    <w:jc w:val="center"/>
                    <w:rPr>
                      <w:color w:val="auto"/>
                    </w:rPr>
                  </w:pPr>
                  <w:r>
                    <w:rPr>
                      <w:rFonts w:hint="eastAsia"/>
                      <w:color w:val="auto"/>
                    </w:rPr>
                    <w:t>0.03</w:t>
                  </w:r>
                </w:p>
              </w:tc>
              <w:tc>
                <w:tcPr>
                  <w:tcW w:w="540" w:type="pct"/>
                  <w:vAlign w:val="center"/>
                </w:tcPr>
                <w:p w14:paraId="102EDFF4">
                  <w:pPr>
                    <w:jc w:val="center"/>
                    <w:rPr>
                      <w:color w:val="auto"/>
                    </w:rPr>
                  </w:pPr>
                  <w:r>
                    <w:rPr>
                      <w:rFonts w:hint="eastAsia"/>
                      <w:color w:val="auto"/>
                    </w:rPr>
                    <w:t>1.3</w:t>
                  </w:r>
                </w:p>
              </w:tc>
              <w:tc>
                <w:tcPr>
                  <w:tcW w:w="605" w:type="pct"/>
                  <w:vMerge w:val="restart"/>
                  <w:vAlign w:val="center"/>
                </w:tcPr>
                <w:p w14:paraId="71525B7F">
                  <w:pPr>
                    <w:jc w:val="center"/>
                    <w:rPr>
                      <w:color w:val="auto"/>
                    </w:rPr>
                  </w:pPr>
                  <w:r>
                    <w:rPr>
                      <w:rFonts w:hint="eastAsia"/>
                      <w:color w:val="auto"/>
                    </w:rPr>
                    <w:t>50%</w:t>
                  </w:r>
                </w:p>
              </w:tc>
              <w:tc>
                <w:tcPr>
                  <w:tcW w:w="1087" w:type="dxa"/>
                  <w:vAlign w:val="center"/>
                </w:tcPr>
                <w:p w14:paraId="7F8CF864">
                  <w:pPr>
                    <w:widowControl/>
                    <w:jc w:val="center"/>
                    <w:textAlignment w:val="center"/>
                    <w:rPr>
                      <w:color w:val="auto"/>
                    </w:rPr>
                  </w:pPr>
                  <w:r>
                    <w:rPr>
                      <w:color w:val="auto"/>
                      <w:kern w:val="0"/>
                      <w:szCs w:val="21"/>
                      <w:lang w:bidi="ar"/>
                    </w:rPr>
                    <w:t xml:space="preserve">2.83 </w:t>
                  </w:r>
                </w:p>
              </w:tc>
            </w:tr>
            <w:tr w14:paraId="1B724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5B2D0627">
                  <w:pPr>
                    <w:jc w:val="center"/>
                    <w:rPr>
                      <w:color w:val="auto"/>
                    </w:rPr>
                  </w:pPr>
                </w:p>
              </w:tc>
              <w:tc>
                <w:tcPr>
                  <w:tcW w:w="423" w:type="pct"/>
                  <w:vMerge w:val="continue"/>
                  <w:vAlign w:val="center"/>
                </w:tcPr>
                <w:p w14:paraId="6951F835">
                  <w:pPr>
                    <w:jc w:val="center"/>
                    <w:rPr>
                      <w:color w:val="auto"/>
                    </w:rPr>
                  </w:pPr>
                </w:p>
              </w:tc>
              <w:tc>
                <w:tcPr>
                  <w:tcW w:w="568" w:type="pct"/>
                  <w:vAlign w:val="center"/>
                </w:tcPr>
                <w:p w14:paraId="08ABF4A1">
                  <w:pPr>
                    <w:jc w:val="center"/>
                    <w:rPr>
                      <w:color w:val="auto"/>
                    </w:rPr>
                  </w:pPr>
                  <w:r>
                    <w:rPr>
                      <w:rFonts w:hint="eastAsia"/>
                      <w:color w:val="auto"/>
                    </w:rPr>
                    <w:t>水性面漆</w:t>
                  </w:r>
                </w:p>
              </w:tc>
              <w:tc>
                <w:tcPr>
                  <w:tcW w:w="651" w:type="pct"/>
                  <w:vAlign w:val="center"/>
                </w:tcPr>
                <w:p w14:paraId="47D48321">
                  <w:pPr>
                    <w:jc w:val="center"/>
                    <w:rPr>
                      <w:color w:val="auto"/>
                    </w:rPr>
                  </w:pPr>
                  <w:r>
                    <w:rPr>
                      <w:color w:val="auto"/>
                      <w:kern w:val="0"/>
                      <w:szCs w:val="21"/>
                      <w:lang w:bidi="ar"/>
                    </w:rPr>
                    <w:t>1.2096</w:t>
                  </w:r>
                </w:p>
              </w:tc>
              <w:tc>
                <w:tcPr>
                  <w:tcW w:w="454" w:type="pct"/>
                  <w:vAlign w:val="center"/>
                </w:tcPr>
                <w:p w14:paraId="3EB75D22">
                  <w:pPr>
                    <w:jc w:val="center"/>
                    <w:rPr>
                      <w:color w:val="auto"/>
                    </w:rPr>
                  </w:pPr>
                  <w:r>
                    <w:rPr>
                      <w:rFonts w:hint="eastAsia"/>
                      <w:color w:val="auto"/>
                    </w:rPr>
                    <w:t>1</w:t>
                  </w:r>
                </w:p>
              </w:tc>
              <w:tc>
                <w:tcPr>
                  <w:tcW w:w="697" w:type="pct"/>
                  <w:vAlign w:val="center"/>
                </w:tcPr>
                <w:p w14:paraId="1B7CBA85">
                  <w:pPr>
                    <w:jc w:val="center"/>
                    <w:rPr>
                      <w:color w:val="auto"/>
                    </w:rPr>
                  </w:pPr>
                  <w:r>
                    <w:rPr>
                      <w:rFonts w:hint="eastAsia"/>
                      <w:color w:val="auto"/>
                    </w:rPr>
                    <w:t>0.03</w:t>
                  </w:r>
                </w:p>
              </w:tc>
              <w:tc>
                <w:tcPr>
                  <w:tcW w:w="540" w:type="pct"/>
                  <w:vAlign w:val="center"/>
                </w:tcPr>
                <w:p w14:paraId="1B0C39A4">
                  <w:pPr>
                    <w:jc w:val="center"/>
                    <w:rPr>
                      <w:color w:val="auto"/>
                    </w:rPr>
                  </w:pPr>
                  <w:r>
                    <w:rPr>
                      <w:rFonts w:hint="eastAsia"/>
                      <w:color w:val="auto"/>
                    </w:rPr>
                    <w:t>1.3</w:t>
                  </w:r>
                </w:p>
              </w:tc>
              <w:tc>
                <w:tcPr>
                  <w:tcW w:w="605" w:type="pct"/>
                  <w:vMerge w:val="continue"/>
                  <w:vAlign w:val="center"/>
                </w:tcPr>
                <w:p w14:paraId="3F0BFA55">
                  <w:pPr>
                    <w:jc w:val="center"/>
                    <w:rPr>
                      <w:color w:val="auto"/>
                    </w:rPr>
                  </w:pPr>
                </w:p>
              </w:tc>
              <w:tc>
                <w:tcPr>
                  <w:tcW w:w="1087" w:type="dxa"/>
                  <w:vAlign w:val="center"/>
                </w:tcPr>
                <w:p w14:paraId="498F59BB">
                  <w:pPr>
                    <w:widowControl/>
                    <w:jc w:val="center"/>
                    <w:textAlignment w:val="center"/>
                    <w:rPr>
                      <w:color w:val="auto"/>
                    </w:rPr>
                  </w:pPr>
                  <w:r>
                    <w:rPr>
                      <w:color w:val="auto"/>
                      <w:kern w:val="0"/>
                      <w:szCs w:val="21"/>
                      <w:lang w:bidi="ar"/>
                    </w:rPr>
                    <w:t xml:space="preserve">2.83 </w:t>
                  </w:r>
                </w:p>
              </w:tc>
            </w:tr>
            <w:tr w14:paraId="62459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0A02E337">
                  <w:pPr>
                    <w:jc w:val="center"/>
                    <w:rPr>
                      <w:color w:val="auto"/>
                    </w:rPr>
                  </w:pPr>
                </w:p>
              </w:tc>
              <w:tc>
                <w:tcPr>
                  <w:tcW w:w="423" w:type="pct"/>
                  <w:vMerge w:val="continue"/>
                  <w:vAlign w:val="center"/>
                </w:tcPr>
                <w:p w14:paraId="2BD35EA4">
                  <w:pPr>
                    <w:jc w:val="center"/>
                    <w:rPr>
                      <w:color w:val="auto"/>
                    </w:rPr>
                  </w:pPr>
                </w:p>
              </w:tc>
              <w:tc>
                <w:tcPr>
                  <w:tcW w:w="568" w:type="pct"/>
                  <w:vAlign w:val="center"/>
                </w:tcPr>
                <w:p w14:paraId="66E2931E">
                  <w:pPr>
                    <w:jc w:val="center"/>
                    <w:rPr>
                      <w:color w:val="auto"/>
                    </w:rPr>
                  </w:pPr>
                  <w:r>
                    <w:rPr>
                      <w:rFonts w:hint="eastAsia"/>
                      <w:color w:val="auto"/>
                    </w:rPr>
                    <w:t>水性清漆</w:t>
                  </w:r>
                </w:p>
              </w:tc>
              <w:tc>
                <w:tcPr>
                  <w:tcW w:w="651" w:type="pct"/>
                  <w:vAlign w:val="center"/>
                </w:tcPr>
                <w:p w14:paraId="1D32C210">
                  <w:pPr>
                    <w:jc w:val="center"/>
                    <w:rPr>
                      <w:color w:val="auto"/>
                    </w:rPr>
                  </w:pPr>
                  <w:r>
                    <w:rPr>
                      <w:color w:val="auto"/>
                      <w:kern w:val="0"/>
                      <w:szCs w:val="21"/>
                      <w:lang w:bidi="ar"/>
                    </w:rPr>
                    <w:t>1.2096</w:t>
                  </w:r>
                </w:p>
              </w:tc>
              <w:tc>
                <w:tcPr>
                  <w:tcW w:w="454" w:type="pct"/>
                  <w:vAlign w:val="center"/>
                </w:tcPr>
                <w:p w14:paraId="3F4BA353">
                  <w:pPr>
                    <w:jc w:val="center"/>
                    <w:rPr>
                      <w:color w:val="auto"/>
                    </w:rPr>
                  </w:pPr>
                  <w:r>
                    <w:rPr>
                      <w:rFonts w:hint="eastAsia"/>
                      <w:color w:val="auto"/>
                    </w:rPr>
                    <w:t>1</w:t>
                  </w:r>
                </w:p>
              </w:tc>
              <w:tc>
                <w:tcPr>
                  <w:tcW w:w="697" w:type="pct"/>
                  <w:vAlign w:val="center"/>
                </w:tcPr>
                <w:p w14:paraId="53C573E1">
                  <w:pPr>
                    <w:jc w:val="center"/>
                    <w:rPr>
                      <w:color w:val="auto"/>
                    </w:rPr>
                  </w:pPr>
                  <w:r>
                    <w:rPr>
                      <w:rFonts w:hint="eastAsia"/>
                      <w:color w:val="auto"/>
                    </w:rPr>
                    <w:t>0.03</w:t>
                  </w:r>
                </w:p>
              </w:tc>
              <w:tc>
                <w:tcPr>
                  <w:tcW w:w="540" w:type="pct"/>
                  <w:vAlign w:val="center"/>
                </w:tcPr>
                <w:p w14:paraId="58FB5893">
                  <w:pPr>
                    <w:jc w:val="center"/>
                    <w:rPr>
                      <w:color w:val="auto"/>
                    </w:rPr>
                  </w:pPr>
                  <w:r>
                    <w:rPr>
                      <w:rFonts w:hint="eastAsia"/>
                      <w:color w:val="auto"/>
                    </w:rPr>
                    <w:t>1.06</w:t>
                  </w:r>
                </w:p>
              </w:tc>
              <w:tc>
                <w:tcPr>
                  <w:tcW w:w="605" w:type="pct"/>
                  <w:vMerge w:val="continue"/>
                  <w:vAlign w:val="center"/>
                </w:tcPr>
                <w:p w14:paraId="3D81F770">
                  <w:pPr>
                    <w:jc w:val="center"/>
                    <w:rPr>
                      <w:color w:val="auto"/>
                    </w:rPr>
                  </w:pPr>
                </w:p>
              </w:tc>
              <w:tc>
                <w:tcPr>
                  <w:tcW w:w="1087" w:type="dxa"/>
                  <w:vAlign w:val="center"/>
                </w:tcPr>
                <w:p w14:paraId="3DFE5D14">
                  <w:pPr>
                    <w:widowControl/>
                    <w:jc w:val="center"/>
                    <w:textAlignment w:val="center"/>
                    <w:rPr>
                      <w:color w:val="auto"/>
                    </w:rPr>
                  </w:pPr>
                  <w:r>
                    <w:rPr>
                      <w:color w:val="auto"/>
                      <w:kern w:val="0"/>
                      <w:szCs w:val="21"/>
                      <w:lang w:bidi="ar"/>
                    </w:rPr>
                    <w:t xml:space="preserve">2.31 </w:t>
                  </w:r>
                </w:p>
              </w:tc>
            </w:tr>
            <w:tr w14:paraId="0ECC7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restart"/>
                  <w:vAlign w:val="center"/>
                </w:tcPr>
                <w:p w14:paraId="22AB2B87">
                  <w:pPr>
                    <w:jc w:val="center"/>
                    <w:rPr>
                      <w:color w:val="auto"/>
                    </w:rPr>
                  </w:pPr>
                  <w:r>
                    <w:rPr>
                      <w:rFonts w:hint="eastAsia"/>
                      <w:color w:val="auto"/>
                    </w:rPr>
                    <w:t>/</w:t>
                  </w:r>
                </w:p>
              </w:tc>
              <w:tc>
                <w:tcPr>
                  <w:tcW w:w="423" w:type="pct"/>
                  <w:vMerge w:val="restart"/>
                  <w:vAlign w:val="center"/>
                </w:tcPr>
                <w:p w14:paraId="1BB1A606">
                  <w:pPr>
                    <w:jc w:val="center"/>
                    <w:rPr>
                      <w:color w:val="auto"/>
                    </w:rPr>
                  </w:pPr>
                  <w:r>
                    <w:rPr>
                      <w:rFonts w:hint="eastAsia"/>
                      <w:color w:val="auto"/>
                    </w:rPr>
                    <w:t>/</w:t>
                  </w:r>
                </w:p>
              </w:tc>
              <w:tc>
                <w:tcPr>
                  <w:tcW w:w="568" w:type="pct"/>
                  <w:vAlign w:val="center"/>
                </w:tcPr>
                <w:p w14:paraId="093AEEB4">
                  <w:pPr>
                    <w:jc w:val="center"/>
                    <w:rPr>
                      <w:color w:val="auto"/>
                    </w:rPr>
                  </w:pPr>
                  <w:r>
                    <w:rPr>
                      <w:rFonts w:hint="eastAsia"/>
                      <w:color w:val="auto"/>
                    </w:rPr>
                    <w:t>水性底漆</w:t>
                  </w:r>
                </w:p>
              </w:tc>
              <w:tc>
                <w:tcPr>
                  <w:tcW w:w="2949" w:type="pct"/>
                  <w:gridSpan w:val="5"/>
                  <w:vMerge w:val="restart"/>
                  <w:vAlign w:val="center"/>
                </w:tcPr>
                <w:p w14:paraId="34E41D8C">
                  <w:pPr>
                    <w:jc w:val="center"/>
                    <w:rPr>
                      <w:color w:val="auto"/>
                    </w:rPr>
                  </w:pPr>
                  <w:r>
                    <w:rPr>
                      <w:rFonts w:hint="eastAsia"/>
                      <w:color w:val="auto"/>
                    </w:rPr>
                    <w:t>合计</w:t>
                  </w:r>
                </w:p>
              </w:tc>
              <w:tc>
                <w:tcPr>
                  <w:tcW w:w="1087" w:type="dxa"/>
                  <w:vAlign w:val="center"/>
                </w:tcPr>
                <w:p w14:paraId="2E4E5981">
                  <w:pPr>
                    <w:widowControl/>
                    <w:jc w:val="center"/>
                    <w:textAlignment w:val="center"/>
                    <w:rPr>
                      <w:color w:val="auto"/>
                    </w:rPr>
                  </w:pPr>
                  <w:r>
                    <w:rPr>
                      <w:color w:val="auto"/>
                      <w:kern w:val="0"/>
                      <w:szCs w:val="21"/>
                      <w:lang w:bidi="ar"/>
                    </w:rPr>
                    <w:t xml:space="preserve">4.56 </w:t>
                  </w:r>
                </w:p>
              </w:tc>
            </w:tr>
            <w:tr w14:paraId="6E5A4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54AF1B8A">
                  <w:pPr>
                    <w:jc w:val="center"/>
                    <w:rPr>
                      <w:color w:val="auto"/>
                    </w:rPr>
                  </w:pPr>
                </w:p>
              </w:tc>
              <w:tc>
                <w:tcPr>
                  <w:tcW w:w="423" w:type="pct"/>
                  <w:vMerge w:val="continue"/>
                  <w:vAlign w:val="center"/>
                </w:tcPr>
                <w:p w14:paraId="5CC05CBD">
                  <w:pPr>
                    <w:jc w:val="center"/>
                    <w:rPr>
                      <w:color w:val="auto"/>
                    </w:rPr>
                  </w:pPr>
                </w:p>
              </w:tc>
              <w:tc>
                <w:tcPr>
                  <w:tcW w:w="568" w:type="pct"/>
                  <w:vAlign w:val="center"/>
                </w:tcPr>
                <w:p w14:paraId="5AB2B62B">
                  <w:pPr>
                    <w:jc w:val="center"/>
                    <w:rPr>
                      <w:color w:val="auto"/>
                    </w:rPr>
                  </w:pPr>
                  <w:r>
                    <w:rPr>
                      <w:rFonts w:hint="eastAsia"/>
                      <w:color w:val="auto"/>
                    </w:rPr>
                    <w:t>水性面漆</w:t>
                  </w:r>
                </w:p>
              </w:tc>
              <w:tc>
                <w:tcPr>
                  <w:tcW w:w="2949" w:type="pct"/>
                  <w:gridSpan w:val="5"/>
                  <w:vMerge w:val="continue"/>
                  <w:vAlign w:val="center"/>
                </w:tcPr>
                <w:p w14:paraId="150384F6">
                  <w:pPr>
                    <w:jc w:val="center"/>
                    <w:rPr>
                      <w:color w:val="auto"/>
                    </w:rPr>
                  </w:pPr>
                </w:p>
              </w:tc>
              <w:tc>
                <w:tcPr>
                  <w:tcW w:w="1087" w:type="dxa"/>
                  <w:vAlign w:val="center"/>
                </w:tcPr>
                <w:p w14:paraId="43109614">
                  <w:pPr>
                    <w:widowControl/>
                    <w:jc w:val="center"/>
                    <w:textAlignment w:val="center"/>
                    <w:rPr>
                      <w:color w:val="auto"/>
                    </w:rPr>
                  </w:pPr>
                  <w:r>
                    <w:rPr>
                      <w:color w:val="auto"/>
                      <w:kern w:val="0"/>
                      <w:szCs w:val="21"/>
                      <w:lang w:bidi="ar"/>
                    </w:rPr>
                    <w:t xml:space="preserve">4.56 </w:t>
                  </w:r>
                </w:p>
              </w:tc>
            </w:tr>
            <w:tr w14:paraId="6DFFE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184B7553">
                  <w:pPr>
                    <w:jc w:val="center"/>
                    <w:rPr>
                      <w:color w:val="auto"/>
                    </w:rPr>
                  </w:pPr>
                </w:p>
              </w:tc>
              <w:tc>
                <w:tcPr>
                  <w:tcW w:w="423" w:type="pct"/>
                  <w:vMerge w:val="continue"/>
                  <w:vAlign w:val="center"/>
                </w:tcPr>
                <w:p w14:paraId="21E0A288">
                  <w:pPr>
                    <w:jc w:val="center"/>
                    <w:rPr>
                      <w:color w:val="auto"/>
                    </w:rPr>
                  </w:pPr>
                </w:p>
              </w:tc>
              <w:tc>
                <w:tcPr>
                  <w:tcW w:w="568" w:type="pct"/>
                  <w:vAlign w:val="center"/>
                </w:tcPr>
                <w:p w14:paraId="41C809C8">
                  <w:pPr>
                    <w:jc w:val="center"/>
                    <w:rPr>
                      <w:color w:val="auto"/>
                    </w:rPr>
                  </w:pPr>
                  <w:r>
                    <w:rPr>
                      <w:rFonts w:hint="eastAsia"/>
                      <w:color w:val="auto"/>
                    </w:rPr>
                    <w:t>水性清漆</w:t>
                  </w:r>
                </w:p>
              </w:tc>
              <w:tc>
                <w:tcPr>
                  <w:tcW w:w="2949" w:type="pct"/>
                  <w:gridSpan w:val="5"/>
                  <w:vMerge w:val="continue"/>
                  <w:vAlign w:val="center"/>
                </w:tcPr>
                <w:p w14:paraId="322C1759">
                  <w:pPr>
                    <w:jc w:val="center"/>
                    <w:rPr>
                      <w:color w:val="auto"/>
                    </w:rPr>
                  </w:pPr>
                </w:p>
              </w:tc>
              <w:tc>
                <w:tcPr>
                  <w:tcW w:w="1087" w:type="dxa"/>
                  <w:vAlign w:val="center"/>
                </w:tcPr>
                <w:p w14:paraId="60887511">
                  <w:pPr>
                    <w:widowControl/>
                    <w:jc w:val="center"/>
                    <w:textAlignment w:val="center"/>
                    <w:rPr>
                      <w:color w:val="auto"/>
                    </w:rPr>
                  </w:pPr>
                  <w:r>
                    <w:rPr>
                      <w:color w:val="auto"/>
                      <w:kern w:val="0"/>
                      <w:szCs w:val="21"/>
                      <w:lang w:bidi="ar"/>
                    </w:rPr>
                    <w:t xml:space="preserve">3.72 </w:t>
                  </w:r>
                </w:p>
              </w:tc>
            </w:tr>
            <w:tr w14:paraId="57FA3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vAlign w:val="center"/>
                </w:tcPr>
                <w:p w14:paraId="0E7948AE">
                  <w:pPr>
                    <w:jc w:val="left"/>
                    <w:rPr>
                      <w:color w:val="auto"/>
                    </w:rPr>
                  </w:pPr>
                  <w:r>
                    <w:rPr>
                      <w:rFonts w:hint="eastAsia"/>
                      <w:color w:val="auto"/>
                    </w:rPr>
                    <w:t>注：①</w:t>
                  </w:r>
                  <w:r>
                    <w:rPr>
                      <w:rFonts w:hint="eastAsia"/>
                      <w:color w:val="auto"/>
                      <w:szCs w:val="21"/>
                    </w:rPr>
                    <w:t>涂料用量=涂料湿膜密度（g/cm</w:t>
                  </w:r>
                  <w:r>
                    <w:rPr>
                      <w:rFonts w:hint="eastAsia"/>
                      <w:color w:val="auto"/>
                      <w:szCs w:val="21"/>
                      <w:vertAlign w:val="superscript"/>
                    </w:rPr>
                    <w:t>3</w:t>
                  </w:r>
                  <w:r>
                    <w:rPr>
                      <w:rFonts w:hint="eastAsia"/>
                      <w:color w:val="auto"/>
                      <w:szCs w:val="21"/>
                    </w:rPr>
                    <w:t>）*涂层湿膜厚度（mm）*涂装总面积（m</w:t>
                  </w:r>
                  <w:r>
                    <w:rPr>
                      <w:rFonts w:hint="eastAsia"/>
                      <w:color w:val="auto"/>
                      <w:szCs w:val="21"/>
                      <w:vertAlign w:val="superscript"/>
                    </w:rPr>
                    <w:t>2</w:t>
                  </w:r>
                  <w:r>
                    <w:rPr>
                      <w:rFonts w:hint="eastAsia"/>
                      <w:color w:val="auto"/>
                      <w:szCs w:val="21"/>
                    </w:rPr>
                    <w:t>/a）*10</w:t>
                  </w:r>
                  <w:r>
                    <w:rPr>
                      <w:rFonts w:hint="eastAsia"/>
                      <w:color w:val="auto"/>
                      <w:szCs w:val="21"/>
                      <w:vertAlign w:val="superscript"/>
                    </w:rPr>
                    <w:t>-3</w:t>
                  </w:r>
                  <w:r>
                    <w:rPr>
                      <w:rFonts w:hint="eastAsia"/>
                      <w:color w:val="auto"/>
                      <w:szCs w:val="21"/>
                    </w:rPr>
                    <w:t>/利用率%</w:t>
                  </w:r>
                  <w:r>
                    <w:rPr>
                      <w:rFonts w:hint="eastAsia"/>
                      <w:color w:val="auto"/>
                    </w:rPr>
                    <w:t>；</w:t>
                  </w:r>
                </w:p>
                <w:p w14:paraId="5DE5E7CB">
                  <w:pPr>
                    <w:jc w:val="left"/>
                    <w:rPr>
                      <w:color w:val="auto"/>
                    </w:rPr>
                  </w:pPr>
                  <w:r>
                    <w:rPr>
                      <w:rFonts w:hint="eastAsia"/>
                      <w:color w:val="auto"/>
                    </w:rPr>
                    <w:t>②根据表2-3产品方案可知，</w:t>
                  </w:r>
                  <w:r>
                    <w:rPr>
                      <w:rFonts w:hint="eastAsia"/>
                      <w:color w:val="auto"/>
                      <w:szCs w:val="21"/>
                    </w:rPr>
                    <w:t>涂料利用率参考《谈喷涂涂着效率 (Ⅰ) 》（《现代涂料与涂装》，作者王锡春）中涂装方法为静电喷涂的手提式空气静电喷枪的涂着效率50~60%，涂着效率随被涂物尺寸和吊挂方式等条件变化。项目喷涂工件均为框架结构，喷涂过程利用率按最小值，即50%计</w:t>
                  </w:r>
                  <w:r>
                    <w:rPr>
                      <w:rFonts w:hint="eastAsia"/>
                      <w:color w:val="auto"/>
                    </w:rPr>
                    <w:t>。</w:t>
                  </w:r>
                </w:p>
              </w:tc>
            </w:tr>
          </w:tbl>
          <w:p w14:paraId="3496D71F">
            <w:pPr>
              <w:rPr>
                <w:color w:val="auto"/>
              </w:rPr>
            </w:pPr>
          </w:p>
          <w:p w14:paraId="19C79263">
            <w:pPr>
              <w:numPr>
                <w:ilvl w:val="0"/>
                <w:numId w:val="10"/>
              </w:numPr>
              <w:adjustRightInd w:val="0"/>
              <w:snapToGrid w:val="0"/>
              <w:jc w:val="center"/>
              <w:rPr>
                <w:b/>
                <w:color w:val="auto"/>
                <w:szCs w:val="21"/>
              </w:rPr>
            </w:pPr>
            <w:r>
              <w:rPr>
                <w:rFonts w:hint="eastAsia"/>
                <w:b/>
                <w:color w:val="auto"/>
                <w:szCs w:val="21"/>
              </w:rPr>
              <w:t>不合格品返工水性涂料用量产能核算一览表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844"/>
              <w:gridCol w:w="1133"/>
              <w:gridCol w:w="1298"/>
              <w:gridCol w:w="906"/>
              <w:gridCol w:w="1391"/>
              <w:gridCol w:w="1077"/>
              <w:gridCol w:w="1211"/>
              <w:gridCol w:w="1092"/>
            </w:tblGrid>
            <w:tr w14:paraId="54049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Align w:val="center"/>
                </w:tcPr>
                <w:p w14:paraId="18479671">
                  <w:pPr>
                    <w:jc w:val="center"/>
                    <w:rPr>
                      <w:b/>
                      <w:bCs/>
                      <w:color w:val="auto"/>
                    </w:rPr>
                  </w:pPr>
                  <w:r>
                    <w:rPr>
                      <w:rFonts w:hint="eastAsia"/>
                      <w:b/>
                      <w:bCs/>
                      <w:color w:val="auto"/>
                    </w:rPr>
                    <w:t>产品</w:t>
                  </w:r>
                </w:p>
                <w:p w14:paraId="0D63228E">
                  <w:pPr>
                    <w:jc w:val="center"/>
                    <w:rPr>
                      <w:b/>
                      <w:bCs/>
                      <w:color w:val="auto"/>
                    </w:rPr>
                  </w:pPr>
                  <w:r>
                    <w:rPr>
                      <w:rFonts w:hint="eastAsia"/>
                      <w:b/>
                      <w:bCs/>
                      <w:color w:val="auto"/>
                    </w:rPr>
                    <w:t>名称</w:t>
                  </w:r>
                </w:p>
              </w:tc>
              <w:tc>
                <w:tcPr>
                  <w:tcW w:w="423" w:type="pct"/>
                  <w:vAlign w:val="center"/>
                </w:tcPr>
                <w:p w14:paraId="2F314939">
                  <w:pPr>
                    <w:jc w:val="center"/>
                    <w:rPr>
                      <w:b/>
                      <w:bCs/>
                      <w:color w:val="auto"/>
                    </w:rPr>
                  </w:pPr>
                  <w:r>
                    <w:rPr>
                      <w:rFonts w:hint="eastAsia"/>
                      <w:b/>
                      <w:bCs/>
                      <w:color w:val="auto"/>
                    </w:rPr>
                    <w:t>产量（件）</w:t>
                  </w:r>
                </w:p>
              </w:tc>
              <w:tc>
                <w:tcPr>
                  <w:tcW w:w="568" w:type="pct"/>
                  <w:vAlign w:val="center"/>
                </w:tcPr>
                <w:p w14:paraId="10D2ECEC">
                  <w:pPr>
                    <w:jc w:val="center"/>
                    <w:rPr>
                      <w:b/>
                      <w:bCs/>
                      <w:color w:val="auto"/>
                    </w:rPr>
                  </w:pPr>
                  <w:r>
                    <w:rPr>
                      <w:rFonts w:hint="eastAsia"/>
                      <w:b/>
                      <w:bCs/>
                      <w:color w:val="auto"/>
                    </w:rPr>
                    <w:t>涂料名称</w:t>
                  </w:r>
                </w:p>
              </w:tc>
              <w:tc>
                <w:tcPr>
                  <w:tcW w:w="651" w:type="pct"/>
                  <w:vAlign w:val="center"/>
                </w:tcPr>
                <w:p w14:paraId="06D7CBB7">
                  <w:pPr>
                    <w:jc w:val="center"/>
                    <w:rPr>
                      <w:b/>
                      <w:bCs/>
                      <w:color w:val="auto"/>
                    </w:rPr>
                  </w:pPr>
                  <w:r>
                    <w:rPr>
                      <w:rFonts w:hint="eastAsia"/>
                      <w:b/>
                      <w:bCs/>
                      <w:color w:val="auto"/>
                    </w:rPr>
                    <w:t>补喷面积（m</w:t>
                  </w:r>
                  <w:r>
                    <w:rPr>
                      <w:rFonts w:hint="eastAsia"/>
                      <w:b/>
                      <w:bCs/>
                      <w:color w:val="auto"/>
                      <w:vertAlign w:val="superscript"/>
                    </w:rPr>
                    <w:t>2</w:t>
                  </w:r>
                  <w:r>
                    <w:rPr>
                      <w:rFonts w:hint="eastAsia"/>
                      <w:b/>
                      <w:bCs/>
                      <w:color w:val="auto"/>
                    </w:rPr>
                    <w:t>）</w:t>
                  </w:r>
                </w:p>
              </w:tc>
              <w:tc>
                <w:tcPr>
                  <w:tcW w:w="454" w:type="pct"/>
                  <w:vAlign w:val="center"/>
                </w:tcPr>
                <w:p w14:paraId="1FAEE4E1">
                  <w:pPr>
                    <w:jc w:val="center"/>
                    <w:rPr>
                      <w:b/>
                      <w:bCs/>
                      <w:color w:val="auto"/>
                    </w:rPr>
                  </w:pPr>
                  <w:r>
                    <w:rPr>
                      <w:rFonts w:hint="eastAsia"/>
                      <w:b/>
                      <w:bCs/>
                      <w:color w:val="auto"/>
                    </w:rPr>
                    <w:t>上色次数（次）</w:t>
                  </w:r>
                </w:p>
              </w:tc>
              <w:tc>
                <w:tcPr>
                  <w:tcW w:w="697" w:type="pct"/>
                  <w:vAlign w:val="center"/>
                </w:tcPr>
                <w:p w14:paraId="138F4476">
                  <w:pPr>
                    <w:jc w:val="center"/>
                    <w:rPr>
                      <w:b/>
                      <w:bCs/>
                      <w:color w:val="auto"/>
                    </w:rPr>
                  </w:pPr>
                  <w:r>
                    <w:rPr>
                      <w:rFonts w:hint="eastAsia"/>
                      <w:b/>
                      <w:bCs/>
                      <w:color w:val="auto"/>
                    </w:rPr>
                    <w:t>湿膜</w:t>
                  </w:r>
                </w:p>
                <w:p w14:paraId="7A422999">
                  <w:pPr>
                    <w:jc w:val="center"/>
                    <w:rPr>
                      <w:b/>
                      <w:bCs/>
                      <w:color w:val="auto"/>
                    </w:rPr>
                  </w:pPr>
                  <w:r>
                    <w:rPr>
                      <w:rFonts w:hint="eastAsia"/>
                      <w:b/>
                      <w:bCs/>
                      <w:color w:val="auto"/>
                    </w:rPr>
                    <w:t>厚度（mm）</w:t>
                  </w:r>
                </w:p>
              </w:tc>
              <w:tc>
                <w:tcPr>
                  <w:tcW w:w="540" w:type="pct"/>
                  <w:vAlign w:val="center"/>
                </w:tcPr>
                <w:p w14:paraId="5742BE67">
                  <w:pPr>
                    <w:jc w:val="center"/>
                    <w:rPr>
                      <w:b/>
                      <w:bCs/>
                      <w:color w:val="auto"/>
                    </w:rPr>
                  </w:pPr>
                  <w:r>
                    <w:rPr>
                      <w:rFonts w:hint="eastAsia"/>
                      <w:b/>
                      <w:bCs/>
                      <w:color w:val="auto"/>
                    </w:rPr>
                    <w:t>湿膜密度（g/cm</w:t>
                  </w:r>
                  <w:r>
                    <w:rPr>
                      <w:rFonts w:hint="eastAsia"/>
                      <w:b/>
                      <w:bCs/>
                      <w:color w:val="auto"/>
                      <w:vertAlign w:val="superscript"/>
                    </w:rPr>
                    <w:t>3</w:t>
                  </w:r>
                  <w:r>
                    <w:rPr>
                      <w:rFonts w:hint="eastAsia"/>
                      <w:b/>
                      <w:bCs/>
                      <w:color w:val="auto"/>
                    </w:rPr>
                    <w:t>）</w:t>
                  </w:r>
                </w:p>
              </w:tc>
              <w:tc>
                <w:tcPr>
                  <w:tcW w:w="605" w:type="pct"/>
                  <w:vAlign w:val="center"/>
                </w:tcPr>
                <w:p w14:paraId="368F5DF2">
                  <w:pPr>
                    <w:jc w:val="center"/>
                    <w:rPr>
                      <w:b/>
                      <w:bCs/>
                      <w:color w:val="auto"/>
                    </w:rPr>
                  </w:pPr>
                  <w:r>
                    <w:rPr>
                      <w:rFonts w:hint="eastAsia"/>
                      <w:b/>
                      <w:bCs/>
                      <w:color w:val="auto"/>
                    </w:rPr>
                    <w:t>利用率</w:t>
                  </w:r>
                </w:p>
              </w:tc>
              <w:tc>
                <w:tcPr>
                  <w:tcW w:w="544" w:type="pct"/>
                  <w:vAlign w:val="center"/>
                </w:tcPr>
                <w:p w14:paraId="3513CF4D">
                  <w:pPr>
                    <w:jc w:val="center"/>
                    <w:rPr>
                      <w:b/>
                      <w:bCs/>
                      <w:color w:val="auto"/>
                    </w:rPr>
                  </w:pPr>
                  <w:r>
                    <w:rPr>
                      <w:rFonts w:hint="eastAsia"/>
                      <w:b/>
                      <w:bCs/>
                      <w:color w:val="auto"/>
                    </w:rPr>
                    <w:t>用量（t/a）</w:t>
                  </w:r>
                </w:p>
              </w:tc>
            </w:tr>
            <w:tr w14:paraId="191BC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513" w:type="pct"/>
                  <w:vMerge w:val="restart"/>
                  <w:vAlign w:val="center"/>
                </w:tcPr>
                <w:p w14:paraId="4EB8BFA1">
                  <w:pPr>
                    <w:jc w:val="center"/>
                    <w:rPr>
                      <w:color w:val="auto"/>
                    </w:rPr>
                  </w:pPr>
                  <w:r>
                    <w:rPr>
                      <w:rFonts w:hint="eastAsia"/>
                      <w:color w:val="auto"/>
                    </w:rPr>
                    <w:t>自行车</w:t>
                  </w:r>
                </w:p>
                <w:p w14:paraId="209C75E8">
                  <w:pPr>
                    <w:jc w:val="center"/>
                    <w:rPr>
                      <w:color w:val="auto"/>
                    </w:rPr>
                  </w:pPr>
                  <w:r>
                    <w:rPr>
                      <w:rFonts w:hint="eastAsia"/>
                      <w:color w:val="auto"/>
                    </w:rPr>
                    <w:t>车架</w:t>
                  </w:r>
                </w:p>
              </w:tc>
              <w:tc>
                <w:tcPr>
                  <w:tcW w:w="423" w:type="pct"/>
                  <w:vMerge w:val="restart"/>
                  <w:vAlign w:val="center"/>
                </w:tcPr>
                <w:p w14:paraId="2D6406C5">
                  <w:pPr>
                    <w:jc w:val="center"/>
                    <w:rPr>
                      <w:color w:val="auto"/>
                    </w:rPr>
                  </w:pPr>
                  <w:r>
                    <w:rPr>
                      <w:rFonts w:hint="eastAsia"/>
                      <w:color w:val="auto"/>
                    </w:rPr>
                    <w:t>1800</w:t>
                  </w:r>
                </w:p>
              </w:tc>
              <w:tc>
                <w:tcPr>
                  <w:tcW w:w="568" w:type="pct"/>
                  <w:vAlign w:val="center"/>
                </w:tcPr>
                <w:p w14:paraId="716483F6">
                  <w:pPr>
                    <w:jc w:val="center"/>
                    <w:rPr>
                      <w:color w:val="auto"/>
                    </w:rPr>
                  </w:pPr>
                  <w:r>
                    <w:rPr>
                      <w:rFonts w:hint="eastAsia"/>
                      <w:color w:val="auto"/>
                    </w:rPr>
                    <w:t>水性底漆</w:t>
                  </w:r>
                </w:p>
              </w:tc>
              <w:tc>
                <w:tcPr>
                  <w:tcW w:w="1299" w:type="dxa"/>
                  <w:vAlign w:val="center"/>
                </w:tcPr>
                <w:p w14:paraId="382770C0">
                  <w:pPr>
                    <w:widowControl/>
                    <w:jc w:val="center"/>
                    <w:textAlignment w:val="center"/>
                    <w:rPr>
                      <w:color w:val="auto"/>
                    </w:rPr>
                  </w:pPr>
                  <w:r>
                    <w:rPr>
                      <w:color w:val="auto"/>
                      <w:kern w:val="0"/>
                      <w:szCs w:val="21"/>
                      <w:lang w:bidi="ar"/>
                    </w:rPr>
                    <w:t>0.0242</w:t>
                  </w:r>
                </w:p>
              </w:tc>
              <w:tc>
                <w:tcPr>
                  <w:tcW w:w="454" w:type="pct"/>
                  <w:vAlign w:val="center"/>
                </w:tcPr>
                <w:p w14:paraId="5C1D3D4E">
                  <w:pPr>
                    <w:jc w:val="center"/>
                    <w:rPr>
                      <w:color w:val="auto"/>
                    </w:rPr>
                  </w:pPr>
                  <w:r>
                    <w:rPr>
                      <w:rFonts w:hint="eastAsia"/>
                      <w:color w:val="auto"/>
                    </w:rPr>
                    <w:t>1</w:t>
                  </w:r>
                </w:p>
              </w:tc>
              <w:tc>
                <w:tcPr>
                  <w:tcW w:w="697" w:type="pct"/>
                  <w:vAlign w:val="center"/>
                </w:tcPr>
                <w:p w14:paraId="68C5C515">
                  <w:pPr>
                    <w:jc w:val="center"/>
                    <w:rPr>
                      <w:color w:val="auto"/>
                    </w:rPr>
                  </w:pPr>
                  <w:r>
                    <w:rPr>
                      <w:rFonts w:hint="eastAsia"/>
                      <w:color w:val="auto"/>
                    </w:rPr>
                    <w:t>0.03</w:t>
                  </w:r>
                </w:p>
              </w:tc>
              <w:tc>
                <w:tcPr>
                  <w:tcW w:w="540" w:type="pct"/>
                  <w:vAlign w:val="center"/>
                </w:tcPr>
                <w:p w14:paraId="0626981D">
                  <w:pPr>
                    <w:jc w:val="center"/>
                    <w:rPr>
                      <w:color w:val="auto"/>
                    </w:rPr>
                  </w:pPr>
                  <w:r>
                    <w:rPr>
                      <w:rFonts w:hint="eastAsia"/>
                      <w:color w:val="auto"/>
                    </w:rPr>
                    <w:t>1.3</w:t>
                  </w:r>
                </w:p>
              </w:tc>
              <w:tc>
                <w:tcPr>
                  <w:tcW w:w="1211" w:type="dxa"/>
                  <w:vMerge w:val="restart"/>
                  <w:vAlign w:val="center"/>
                </w:tcPr>
                <w:p w14:paraId="11A65014">
                  <w:pPr>
                    <w:jc w:val="center"/>
                    <w:rPr>
                      <w:color w:val="auto"/>
                    </w:rPr>
                  </w:pPr>
                  <w:r>
                    <w:rPr>
                      <w:rFonts w:hint="eastAsia"/>
                      <w:color w:val="auto"/>
                    </w:rPr>
                    <w:t>25%</w:t>
                  </w:r>
                </w:p>
              </w:tc>
              <w:tc>
                <w:tcPr>
                  <w:tcW w:w="1087" w:type="dxa"/>
                  <w:vAlign w:val="center"/>
                </w:tcPr>
                <w:p w14:paraId="345AC3F1">
                  <w:pPr>
                    <w:widowControl/>
                    <w:jc w:val="center"/>
                    <w:textAlignment w:val="center"/>
                    <w:rPr>
                      <w:color w:val="auto"/>
                    </w:rPr>
                  </w:pPr>
                  <w:r>
                    <w:rPr>
                      <w:color w:val="auto"/>
                      <w:kern w:val="0"/>
                      <w:szCs w:val="21"/>
                      <w:lang w:bidi="ar"/>
                    </w:rPr>
                    <w:t xml:space="preserve">0.0068 </w:t>
                  </w:r>
                </w:p>
              </w:tc>
            </w:tr>
            <w:tr w14:paraId="0AD64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513" w:type="pct"/>
                  <w:vMerge w:val="continue"/>
                  <w:vAlign w:val="center"/>
                </w:tcPr>
                <w:p w14:paraId="5906584E">
                  <w:pPr>
                    <w:jc w:val="center"/>
                    <w:rPr>
                      <w:color w:val="auto"/>
                    </w:rPr>
                  </w:pPr>
                </w:p>
              </w:tc>
              <w:tc>
                <w:tcPr>
                  <w:tcW w:w="423" w:type="pct"/>
                  <w:vMerge w:val="continue"/>
                  <w:vAlign w:val="center"/>
                </w:tcPr>
                <w:p w14:paraId="63767C8E">
                  <w:pPr>
                    <w:jc w:val="center"/>
                    <w:rPr>
                      <w:color w:val="auto"/>
                    </w:rPr>
                  </w:pPr>
                </w:p>
              </w:tc>
              <w:tc>
                <w:tcPr>
                  <w:tcW w:w="568" w:type="pct"/>
                  <w:vAlign w:val="center"/>
                </w:tcPr>
                <w:p w14:paraId="539533B8">
                  <w:pPr>
                    <w:jc w:val="center"/>
                    <w:rPr>
                      <w:color w:val="auto"/>
                    </w:rPr>
                  </w:pPr>
                  <w:r>
                    <w:rPr>
                      <w:rFonts w:hint="eastAsia"/>
                      <w:color w:val="auto"/>
                    </w:rPr>
                    <w:t>水性面漆</w:t>
                  </w:r>
                </w:p>
              </w:tc>
              <w:tc>
                <w:tcPr>
                  <w:tcW w:w="1299" w:type="dxa"/>
                  <w:vAlign w:val="center"/>
                </w:tcPr>
                <w:p w14:paraId="1DEDF569">
                  <w:pPr>
                    <w:widowControl/>
                    <w:jc w:val="center"/>
                    <w:textAlignment w:val="center"/>
                    <w:rPr>
                      <w:color w:val="auto"/>
                    </w:rPr>
                  </w:pPr>
                  <w:r>
                    <w:rPr>
                      <w:color w:val="auto"/>
                      <w:kern w:val="0"/>
                      <w:szCs w:val="21"/>
                      <w:lang w:bidi="ar"/>
                    </w:rPr>
                    <w:t>0.0242</w:t>
                  </w:r>
                </w:p>
              </w:tc>
              <w:tc>
                <w:tcPr>
                  <w:tcW w:w="454" w:type="pct"/>
                  <w:vAlign w:val="center"/>
                </w:tcPr>
                <w:p w14:paraId="4CEC6F45">
                  <w:pPr>
                    <w:jc w:val="center"/>
                    <w:rPr>
                      <w:color w:val="auto"/>
                    </w:rPr>
                  </w:pPr>
                  <w:r>
                    <w:rPr>
                      <w:rFonts w:hint="eastAsia"/>
                      <w:color w:val="auto"/>
                    </w:rPr>
                    <w:t>1</w:t>
                  </w:r>
                </w:p>
              </w:tc>
              <w:tc>
                <w:tcPr>
                  <w:tcW w:w="697" w:type="pct"/>
                  <w:vAlign w:val="center"/>
                </w:tcPr>
                <w:p w14:paraId="257597C3">
                  <w:pPr>
                    <w:jc w:val="center"/>
                    <w:rPr>
                      <w:color w:val="auto"/>
                    </w:rPr>
                  </w:pPr>
                  <w:r>
                    <w:rPr>
                      <w:rFonts w:hint="eastAsia"/>
                      <w:color w:val="auto"/>
                    </w:rPr>
                    <w:t>0.03</w:t>
                  </w:r>
                </w:p>
              </w:tc>
              <w:tc>
                <w:tcPr>
                  <w:tcW w:w="540" w:type="pct"/>
                  <w:vAlign w:val="center"/>
                </w:tcPr>
                <w:p w14:paraId="2B4BEAAF">
                  <w:pPr>
                    <w:jc w:val="center"/>
                    <w:rPr>
                      <w:color w:val="auto"/>
                    </w:rPr>
                  </w:pPr>
                  <w:r>
                    <w:rPr>
                      <w:rFonts w:hint="eastAsia"/>
                      <w:color w:val="auto"/>
                    </w:rPr>
                    <w:t>1.3</w:t>
                  </w:r>
                </w:p>
              </w:tc>
              <w:tc>
                <w:tcPr>
                  <w:tcW w:w="605" w:type="pct"/>
                  <w:vMerge w:val="continue"/>
                  <w:vAlign w:val="center"/>
                </w:tcPr>
                <w:p w14:paraId="1A77030F">
                  <w:pPr>
                    <w:jc w:val="center"/>
                    <w:rPr>
                      <w:color w:val="auto"/>
                    </w:rPr>
                  </w:pPr>
                </w:p>
              </w:tc>
              <w:tc>
                <w:tcPr>
                  <w:tcW w:w="1087" w:type="dxa"/>
                  <w:vAlign w:val="center"/>
                </w:tcPr>
                <w:p w14:paraId="62BD14DD">
                  <w:pPr>
                    <w:widowControl/>
                    <w:jc w:val="center"/>
                    <w:textAlignment w:val="center"/>
                    <w:rPr>
                      <w:color w:val="auto"/>
                    </w:rPr>
                  </w:pPr>
                  <w:r>
                    <w:rPr>
                      <w:color w:val="auto"/>
                      <w:kern w:val="0"/>
                      <w:szCs w:val="21"/>
                      <w:lang w:bidi="ar"/>
                    </w:rPr>
                    <w:t xml:space="preserve">0.0068 </w:t>
                  </w:r>
                </w:p>
              </w:tc>
            </w:tr>
            <w:tr w14:paraId="4711E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513" w:type="pct"/>
                  <w:vMerge w:val="continue"/>
                  <w:vAlign w:val="center"/>
                </w:tcPr>
                <w:p w14:paraId="5990B4FE">
                  <w:pPr>
                    <w:jc w:val="center"/>
                    <w:rPr>
                      <w:color w:val="auto"/>
                    </w:rPr>
                  </w:pPr>
                </w:p>
              </w:tc>
              <w:tc>
                <w:tcPr>
                  <w:tcW w:w="423" w:type="pct"/>
                  <w:vMerge w:val="continue"/>
                  <w:vAlign w:val="center"/>
                </w:tcPr>
                <w:p w14:paraId="1F7C52D6">
                  <w:pPr>
                    <w:jc w:val="center"/>
                    <w:rPr>
                      <w:color w:val="auto"/>
                    </w:rPr>
                  </w:pPr>
                </w:p>
              </w:tc>
              <w:tc>
                <w:tcPr>
                  <w:tcW w:w="568" w:type="pct"/>
                  <w:vAlign w:val="center"/>
                </w:tcPr>
                <w:p w14:paraId="7F82980E">
                  <w:pPr>
                    <w:jc w:val="center"/>
                    <w:rPr>
                      <w:color w:val="auto"/>
                    </w:rPr>
                  </w:pPr>
                  <w:r>
                    <w:rPr>
                      <w:rFonts w:hint="eastAsia"/>
                      <w:color w:val="auto"/>
                    </w:rPr>
                    <w:t>水性清漆</w:t>
                  </w:r>
                </w:p>
              </w:tc>
              <w:tc>
                <w:tcPr>
                  <w:tcW w:w="1299" w:type="dxa"/>
                  <w:vAlign w:val="center"/>
                </w:tcPr>
                <w:p w14:paraId="501059C1">
                  <w:pPr>
                    <w:widowControl/>
                    <w:jc w:val="center"/>
                    <w:textAlignment w:val="center"/>
                    <w:rPr>
                      <w:color w:val="auto"/>
                    </w:rPr>
                  </w:pPr>
                  <w:r>
                    <w:rPr>
                      <w:color w:val="auto"/>
                      <w:kern w:val="0"/>
                      <w:szCs w:val="21"/>
                      <w:lang w:bidi="ar"/>
                    </w:rPr>
                    <w:t>0.0242</w:t>
                  </w:r>
                </w:p>
              </w:tc>
              <w:tc>
                <w:tcPr>
                  <w:tcW w:w="454" w:type="pct"/>
                  <w:vAlign w:val="center"/>
                </w:tcPr>
                <w:p w14:paraId="1E5026F1">
                  <w:pPr>
                    <w:jc w:val="center"/>
                    <w:rPr>
                      <w:color w:val="auto"/>
                    </w:rPr>
                  </w:pPr>
                  <w:r>
                    <w:rPr>
                      <w:rFonts w:hint="eastAsia"/>
                      <w:color w:val="auto"/>
                    </w:rPr>
                    <w:t>1</w:t>
                  </w:r>
                </w:p>
              </w:tc>
              <w:tc>
                <w:tcPr>
                  <w:tcW w:w="697" w:type="pct"/>
                  <w:vAlign w:val="center"/>
                </w:tcPr>
                <w:p w14:paraId="03F2BFA0">
                  <w:pPr>
                    <w:jc w:val="center"/>
                    <w:rPr>
                      <w:color w:val="auto"/>
                    </w:rPr>
                  </w:pPr>
                  <w:r>
                    <w:rPr>
                      <w:rFonts w:hint="eastAsia"/>
                      <w:color w:val="auto"/>
                    </w:rPr>
                    <w:t>0.03</w:t>
                  </w:r>
                </w:p>
              </w:tc>
              <w:tc>
                <w:tcPr>
                  <w:tcW w:w="540" w:type="pct"/>
                  <w:vAlign w:val="center"/>
                </w:tcPr>
                <w:p w14:paraId="12AE08F6">
                  <w:pPr>
                    <w:jc w:val="center"/>
                    <w:rPr>
                      <w:color w:val="auto"/>
                    </w:rPr>
                  </w:pPr>
                  <w:r>
                    <w:rPr>
                      <w:rFonts w:hint="eastAsia"/>
                      <w:color w:val="auto"/>
                    </w:rPr>
                    <w:t>1.06</w:t>
                  </w:r>
                </w:p>
              </w:tc>
              <w:tc>
                <w:tcPr>
                  <w:tcW w:w="605" w:type="pct"/>
                  <w:vMerge w:val="continue"/>
                  <w:vAlign w:val="center"/>
                </w:tcPr>
                <w:p w14:paraId="399A82CF">
                  <w:pPr>
                    <w:jc w:val="center"/>
                    <w:rPr>
                      <w:color w:val="auto"/>
                    </w:rPr>
                  </w:pPr>
                </w:p>
              </w:tc>
              <w:tc>
                <w:tcPr>
                  <w:tcW w:w="1087" w:type="dxa"/>
                  <w:vAlign w:val="center"/>
                </w:tcPr>
                <w:p w14:paraId="779916F0">
                  <w:pPr>
                    <w:widowControl/>
                    <w:jc w:val="center"/>
                    <w:textAlignment w:val="center"/>
                    <w:rPr>
                      <w:color w:val="auto"/>
                    </w:rPr>
                  </w:pPr>
                  <w:r>
                    <w:rPr>
                      <w:color w:val="auto"/>
                      <w:kern w:val="0"/>
                      <w:szCs w:val="21"/>
                      <w:lang w:bidi="ar"/>
                    </w:rPr>
                    <w:t xml:space="preserve">0.0055 </w:t>
                  </w:r>
                </w:p>
              </w:tc>
            </w:tr>
            <w:tr w14:paraId="1856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restart"/>
                  <w:vAlign w:val="center"/>
                </w:tcPr>
                <w:p w14:paraId="154802F1">
                  <w:pPr>
                    <w:jc w:val="center"/>
                    <w:rPr>
                      <w:color w:val="auto"/>
                    </w:rPr>
                  </w:pPr>
                  <w:r>
                    <w:rPr>
                      <w:rFonts w:hint="eastAsia"/>
                      <w:color w:val="auto"/>
                    </w:rPr>
                    <w:t>电动助力车车架</w:t>
                  </w:r>
                </w:p>
              </w:tc>
              <w:tc>
                <w:tcPr>
                  <w:tcW w:w="423" w:type="pct"/>
                  <w:vMerge w:val="restart"/>
                  <w:vAlign w:val="center"/>
                </w:tcPr>
                <w:p w14:paraId="06A582DD">
                  <w:pPr>
                    <w:jc w:val="center"/>
                    <w:rPr>
                      <w:color w:val="auto"/>
                    </w:rPr>
                  </w:pPr>
                  <w:r>
                    <w:rPr>
                      <w:rFonts w:hint="eastAsia"/>
                      <w:color w:val="auto"/>
                    </w:rPr>
                    <w:t>1800</w:t>
                  </w:r>
                </w:p>
              </w:tc>
              <w:tc>
                <w:tcPr>
                  <w:tcW w:w="568" w:type="pct"/>
                  <w:vAlign w:val="center"/>
                </w:tcPr>
                <w:p w14:paraId="169A0B50">
                  <w:pPr>
                    <w:jc w:val="center"/>
                    <w:rPr>
                      <w:color w:val="auto"/>
                    </w:rPr>
                  </w:pPr>
                  <w:r>
                    <w:rPr>
                      <w:rFonts w:hint="eastAsia"/>
                      <w:color w:val="auto"/>
                    </w:rPr>
                    <w:t>水性底漆</w:t>
                  </w:r>
                </w:p>
              </w:tc>
              <w:tc>
                <w:tcPr>
                  <w:tcW w:w="1299" w:type="dxa"/>
                  <w:vAlign w:val="center"/>
                </w:tcPr>
                <w:p w14:paraId="2EB0CA4A">
                  <w:pPr>
                    <w:widowControl/>
                    <w:jc w:val="center"/>
                    <w:textAlignment w:val="center"/>
                    <w:rPr>
                      <w:color w:val="auto"/>
                    </w:rPr>
                  </w:pPr>
                  <w:r>
                    <w:rPr>
                      <w:color w:val="auto"/>
                      <w:kern w:val="0"/>
                      <w:szCs w:val="21"/>
                      <w:lang w:bidi="ar"/>
                    </w:rPr>
                    <w:t>0.0373</w:t>
                  </w:r>
                </w:p>
              </w:tc>
              <w:tc>
                <w:tcPr>
                  <w:tcW w:w="454" w:type="pct"/>
                  <w:vAlign w:val="center"/>
                </w:tcPr>
                <w:p w14:paraId="4F4D44A2">
                  <w:pPr>
                    <w:jc w:val="center"/>
                    <w:rPr>
                      <w:color w:val="auto"/>
                    </w:rPr>
                  </w:pPr>
                  <w:r>
                    <w:rPr>
                      <w:rFonts w:hint="eastAsia"/>
                      <w:color w:val="auto"/>
                    </w:rPr>
                    <w:t>1</w:t>
                  </w:r>
                </w:p>
              </w:tc>
              <w:tc>
                <w:tcPr>
                  <w:tcW w:w="697" w:type="pct"/>
                  <w:vAlign w:val="center"/>
                </w:tcPr>
                <w:p w14:paraId="624EED31">
                  <w:pPr>
                    <w:jc w:val="center"/>
                    <w:rPr>
                      <w:color w:val="auto"/>
                    </w:rPr>
                  </w:pPr>
                  <w:r>
                    <w:rPr>
                      <w:rFonts w:hint="eastAsia"/>
                      <w:color w:val="auto"/>
                    </w:rPr>
                    <w:t>0.03</w:t>
                  </w:r>
                </w:p>
              </w:tc>
              <w:tc>
                <w:tcPr>
                  <w:tcW w:w="540" w:type="pct"/>
                  <w:vAlign w:val="center"/>
                </w:tcPr>
                <w:p w14:paraId="08EE51B0">
                  <w:pPr>
                    <w:jc w:val="center"/>
                    <w:rPr>
                      <w:color w:val="auto"/>
                    </w:rPr>
                  </w:pPr>
                  <w:r>
                    <w:rPr>
                      <w:rFonts w:hint="eastAsia"/>
                      <w:color w:val="auto"/>
                    </w:rPr>
                    <w:t>1.3</w:t>
                  </w:r>
                </w:p>
              </w:tc>
              <w:tc>
                <w:tcPr>
                  <w:tcW w:w="1211" w:type="dxa"/>
                  <w:vMerge w:val="restart"/>
                  <w:vAlign w:val="center"/>
                </w:tcPr>
                <w:p w14:paraId="39C07B18">
                  <w:pPr>
                    <w:jc w:val="center"/>
                    <w:rPr>
                      <w:color w:val="auto"/>
                    </w:rPr>
                  </w:pPr>
                  <w:r>
                    <w:rPr>
                      <w:rFonts w:hint="eastAsia"/>
                      <w:color w:val="auto"/>
                    </w:rPr>
                    <w:t>25%</w:t>
                  </w:r>
                </w:p>
              </w:tc>
              <w:tc>
                <w:tcPr>
                  <w:tcW w:w="1087" w:type="dxa"/>
                  <w:vAlign w:val="center"/>
                </w:tcPr>
                <w:p w14:paraId="283F1D5D">
                  <w:pPr>
                    <w:widowControl/>
                    <w:jc w:val="center"/>
                    <w:textAlignment w:val="center"/>
                    <w:rPr>
                      <w:color w:val="auto"/>
                    </w:rPr>
                  </w:pPr>
                  <w:r>
                    <w:rPr>
                      <w:color w:val="auto"/>
                      <w:kern w:val="0"/>
                      <w:szCs w:val="21"/>
                      <w:lang w:bidi="ar"/>
                    </w:rPr>
                    <w:t xml:space="preserve">0.0105 </w:t>
                  </w:r>
                </w:p>
              </w:tc>
            </w:tr>
            <w:tr w14:paraId="0CF59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40764F46">
                  <w:pPr>
                    <w:jc w:val="center"/>
                    <w:rPr>
                      <w:color w:val="auto"/>
                    </w:rPr>
                  </w:pPr>
                </w:p>
              </w:tc>
              <w:tc>
                <w:tcPr>
                  <w:tcW w:w="423" w:type="pct"/>
                  <w:vMerge w:val="continue"/>
                  <w:vAlign w:val="center"/>
                </w:tcPr>
                <w:p w14:paraId="15CC100B">
                  <w:pPr>
                    <w:jc w:val="center"/>
                    <w:rPr>
                      <w:color w:val="auto"/>
                    </w:rPr>
                  </w:pPr>
                </w:p>
              </w:tc>
              <w:tc>
                <w:tcPr>
                  <w:tcW w:w="568" w:type="pct"/>
                  <w:vAlign w:val="center"/>
                </w:tcPr>
                <w:p w14:paraId="509020C8">
                  <w:pPr>
                    <w:jc w:val="center"/>
                    <w:rPr>
                      <w:color w:val="auto"/>
                    </w:rPr>
                  </w:pPr>
                  <w:r>
                    <w:rPr>
                      <w:rFonts w:hint="eastAsia"/>
                      <w:color w:val="auto"/>
                    </w:rPr>
                    <w:t>水性面漆</w:t>
                  </w:r>
                </w:p>
              </w:tc>
              <w:tc>
                <w:tcPr>
                  <w:tcW w:w="1299" w:type="dxa"/>
                  <w:vAlign w:val="center"/>
                </w:tcPr>
                <w:p w14:paraId="444667A1">
                  <w:pPr>
                    <w:widowControl/>
                    <w:jc w:val="center"/>
                    <w:textAlignment w:val="center"/>
                    <w:rPr>
                      <w:color w:val="auto"/>
                    </w:rPr>
                  </w:pPr>
                  <w:r>
                    <w:rPr>
                      <w:color w:val="auto"/>
                      <w:kern w:val="0"/>
                      <w:szCs w:val="21"/>
                      <w:lang w:bidi="ar"/>
                    </w:rPr>
                    <w:t>0.0373</w:t>
                  </w:r>
                </w:p>
              </w:tc>
              <w:tc>
                <w:tcPr>
                  <w:tcW w:w="454" w:type="pct"/>
                  <w:vAlign w:val="center"/>
                </w:tcPr>
                <w:p w14:paraId="5C02768F">
                  <w:pPr>
                    <w:jc w:val="center"/>
                    <w:rPr>
                      <w:color w:val="auto"/>
                    </w:rPr>
                  </w:pPr>
                  <w:r>
                    <w:rPr>
                      <w:rFonts w:hint="eastAsia"/>
                      <w:color w:val="auto"/>
                    </w:rPr>
                    <w:t>1</w:t>
                  </w:r>
                </w:p>
              </w:tc>
              <w:tc>
                <w:tcPr>
                  <w:tcW w:w="697" w:type="pct"/>
                  <w:vAlign w:val="center"/>
                </w:tcPr>
                <w:p w14:paraId="658B3B71">
                  <w:pPr>
                    <w:jc w:val="center"/>
                    <w:rPr>
                      <w:color w:val="auto"/>
                    </w:rPr>
                  </w:pPr>
                  <w:r>
                    <w:rPr>
                      <w:rFonts w:hint="eastAsia"/>
                      <w:color w:val="auto"/>
                    </w:rPr>
                    <w:t>0.03</w:t>
                  </w:r>
                </w:p>
              </w:tc>
              <w:tc>
                <w:tcPr>
                  <w:tcW w:w="540" w:type="pct"/>
                  <w:vAlign w:val="center"/>
                </w:tcPr>
                <w:p w14:paraId="297442AE">
                  <w:pPr>
                    <w:jc w:val="center"/>
                    <w:rPr>
                      <w:color w:val="auto"/>
                    </w:rPr>
                  </w:pPr>
                  <w:r>
                    <w:rPr>
                      <w:rFonts w:hint="eastAsia"/>
                      <w:color w:val="auto"/>
                    </w:rPr>
                    <w:t>1.3</w:t>
                  </w:r>
                </w:p>
              </w:tc>
              <w:tc>
                <w:tcPr>
                  <w:tcW w:w="605" w:type="pct"/>
                  <w:vMerge w:val="continue"/>
                  <w:vAlign w:val="center"/>
                </w:tcPr>
                <w:p w14:paraId="6C2EE4E0">
                  <w:pPr>
                    <w:jc w:val="center"/>
                    <w:rPr>
                      <w:color w:val="auto"/>
                    </w:rPr>
                  </w:pPr>
                </w:p>
              </w:tc>
              <w:tc>
                <w:tcPr>
                  <w:tcW w:w="1087" w:type="dxa"/>
                  <w:vAlign w:val="center"/>
                </w:tcPr>
                <w:p w14:paraId="5E0F5325">
                  <w:pPr>
                    <w:widowControl/>
                    <w:jc w:val="center"/>
                    <w:textAlignment w:val="center"/>
                    <w:rPr>
                      <w:color w:val="auto"/>
                    </w:rPr>
                  </w:pPr>
                  <w:r>
                    <w:rPr>
                      <w:color w:val="auto"/>
                      <w:kern w:val="0"/>
                      <w:szCs w:val="21"/>
                      <w:lang w:bidi="ar"/>
                    </w:rPr>
                    <w:t xml:space="preserve">0.0105 </w:t>
                  </w:r>
                </w:p>
              </w:tc>
            </w:tr>
            <w:tr w14:paraId="4916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43AEB0D8">
                  <w:pPr>
                    <w:jc w:val="center"/>
                    <w:rPr>
                      <w:color w:val="auto"/>
                    </w:rPr>
                  </w:pPr>
                </w:p>
              </w:tc>
              <w:tc>
                <w:tcPr>
                  <w:tcW w:w="423" w:type="pct"/>
                  <w:vMerge w:val="continue"/>
                  <w:vAlign w:val="center"/>
                </w:tcPr>
                <w:p w14:paraId="1FC32F81">
                  <w:pPr>
                    <w:jc w:val="center"/>
                    <w:rPr>
                      <w:color w:val="auto"/>
                    </w:rPr>
                  </w:pPr>
                </w:p>
              </w:tc>
              <w:tc>
                <w:tcPr>
                  <w:tcW w:w="568" w:type="pct"/>
                  <w:vAlign w:val="center"/>
                </w:tcPr>
                <w:p w14:paraId="1E0223F5">
                  <w:pPr>
                    <w:jc w:val="center"/>
                    <w:rPr>
                      <w:color w:val="auto"/>
                    </w:rPr>
                  </w:pPr>
                  <w:r>
                    <w:rPr>
                      <w:rFonts w:hint="eastAsia"/>
                      <w:color w:val="auto"/>
                    </w:rPr>
                    <w:t>水性清漆</w:t>
                  </w:r>
                </w:p>
              </w:tc>
              <w:tc>
                <w:tcPr>
                  <w:tcW w:w="1299" w:type="dxa"/>
                  <w:vAlign w:val="center"/>
                </w:tcPr>
                <w:p w14:paraId="532A3B67">
                  <w:pPr>
                    <w:widowControl/>
                    <w:jc w:val="center"/>
                    <w:textAlignment w:val="center"/>
                    <w:rPr>
                      <w:color w:val="auto"/>
                    </w:rPr>
                  </w:pPr>
                  <w:r>
                    <w:rPr>
                      <w:color w:val="auto"/>
                      <w:kern w:val="0"/>
                      <w:szCs w:val="21"/>
                      <w:lang w:bidi="ar"/>
                    </w:rPr>
                    <w:t>0.0373</w:t>
                  </w:r>
                </w:p>
              </w:tc>
              <w:tc>
                <w:tcPr>
                  <w:tcW w:w="454" w:type="pct"/>
                  <w:vAlign w:val="center"/>
                </w:tcPr>
                <w:p w14:paraId="1635D09D">
                  <w:pPr>
                    <w:jc w:val="center"/>
                    <w:rPr>
                      <w:color w:val="auto"/>
                    </w:rPr>
                  </w:pPr>
                  <w:r>
                    <w:rPr>
                      <w:rFonts w:hint="eastAsia"/>
                      <w:color w:val="auto"/>
                    </w:rPr>
                    <w:t>1</w:t>
                  </w:r>
                </w:p>
              </w:tc>
              <w:tc>
                <w:tcPr>
                  <w:tcW w:w="697" w:type="pct"/>
                  <w:vAlign w:val="center"/>
                </w:tcPr>
                <w:p w14:paraId="2990C39F">
                  <w:pPr>
                    <w:jc w:val="center"/>
                    <w:rPr>
                      <w:color w:val="auto"/>
                    </w:rPr>
                  </w:pPr>
                  <w:r>
                    <w:rPr>
                      <w:rFonts w:hint="eastAsia"/>
                      <w:color w:val="auto"/>
                    </w:rPr>
                    <w:t>0.03</w:t>
                  </w:r>
                </w:p>
              </w:tc>
              <w:tc>
                <w:tcPr>
                  <w:tcW w:w="540" w:type="pct"/>
                  <w:vAlign w:val="center"/>
                </w:tcPr>
                <w:p w14:paraId="31AD6129">
                  <w:pPr>
                    <w:jc w:val="center"/>
                    <w:rPr>
                      <w:color w:val="auto"/>
                    </w:rPr>
                  </w:pPr>
                  <w:r>
                    <w:rPr>
                      <w:rFonts w:hint="eastAsia"/>
                      <w:color w:val="auto"/>
                    </w:rPr>
                    <w:t>1.06</w:t>
                  </w:r>
                </w:p>
              </w:tc>
              <w:tc>
                <w:tcPr>
                  <w:tcW w:w="605" w:type="pct"/>
                  <w:vMerge w:val="continue"/>
                  <w:vAlign w:val="center"/>
                </w:tcPr>
                <w:p w14:paraId="637536C9">
                  <w:pPr>
                    <w:jc w:val="center"/>
                    <w:rPr>
                      <w:color w:val="auto"/>
                    </w:rPr>
                  </w:pPr>
                </w:p>
              </w:tc>
              <w:tc>
                <w:tcPr>
                  <w:tcW w:w="1087" w:type="dxa"/>
                  <w:vAlign w:val="center"/>
                </w:tcPr>
                <w:p w14:paraId="22C3B582">
                  <w:pPr>
                    <w:widowControl/>
                    <w:jc w:val="center"/>
                    <w:textAlignment w:val="center"/>
                    <w:rPr>
                      <w:color w:val="auto"/>
                    </w:rPr>
                  </w:pPr>
                  <w:r>
                    <w:rPr>
                      <w:color w:val="auto"/>
                      <w:kern w:val="0"/>
                      <w:szCs w:val="21"/>
                      <w:lang w:bidi="ar"/>
                    </w:rPr>
                    <w:t xml:space="preserve">0.0085 </w:t>
                  </w:r>
                </w:p>
              </w:tc>
            </w:tr>
            <w:tr w14:paraId="3B795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restart"/>
                  <w:vAlign w:val="center"/>
                </w:tcPr>
                <w:p w14:paraId="106998E5">
                  <w:pPr>
                    <w:jc w:val="center"/>
                    <w:rPr>
                      <w:color w:val="auto"/>
                    </w:rPr>
                  </w:pPr>
                  <w:r>
                    <w:rPr>
                      <w:rFonts w:hint="eastAsia"/>
                      <w:color w:val="auto"/>
                    </w:rPr>
                    <w:t>家私配件</w:t>
                  </w:r>
                </w:p>
              </w:tc>
              <w:tc>
                <w:tcPr>
                  <w:tcW w:w="423" w:type="pct"/>
                  <w:vMerge w:val="restart"/>
                  <w:vAlign w:val="center"/>
                </w:tcPr>
                <w:p w14:paraId="3E1B30D4">
                  <w:pPr>
                    <w:jc w:val="center"/>
                    <w:rPr>
                      <w:color w:val="auto"/>
                    </w:rPr>
                  </w:pPr>
                  <w:r>
                    <w:rPr>
                      <w:rFonts w:hint="eastAsia"/>
                      <w:color w:val="auto"/>
                    </w:rPr>
                    <w:t>1500</w:t>
                  </w:r>
                </w:p>
              </w:tc>
              <w:tc>
                <w:tcPr>
                  <w:tcW w:w="568" w:type="pct"/>
                  <w:vAlign w:val="center"/>
                </w:tcPr>
                <w:p w14:paraId="342D123A">
                  <w:pPr>
                    <w:jc w:val="center"/>
                    <w:rPr>
                      <w:color w:val="auto"/>
                    </w:rPr>
                  </w:pPr>
                  <w:r>
                    <w:rPr>
                      <w:rFonts w:hint="eastAsia"/>
                      <w:color w:val="auto"/>
                    </w:rPr>
                    <w:t>水性底漆</w:t>
                  </w:r>
                </w:p>
              </w:tc>
              <w:tc>
                <w:tcPr>
                  <w:tcW w:w="1299" w:type="dxa"/>
                  <w:vAlign w:val="center"/>
                </w:tcPr>
                <w:p w14:paraId="40211369">
                  <w:pPr>
                    <w:widowControl/>
                    <w:jc w:val="center"/>
                    <w:textAlignment w:val="center"/>
                    <w:rPr>
                      <w:color w:val="auto"/>
                    </w:rPr>
                  </w:pPr>
                  <w:r>
                    <w:rPr>
                      <w:color w:val="auto"/>
                      <w:kern w:val="0"/>
                      <w:szCs w:val="21"/>
                      <w:lang w:bidi="ar"/>
                    </w:rPr>
                    <w:t xml:space="preserve">0.121 </w:t>
                  </w:r>
                </w:p>
              </w:tc>
              <w:tc>
                <w:tcPr>
                  <w:tcW w:w="454" w:type="pct"/>
                  <w:vAlign w:val="center"/>
                </w:tcPr>
                <w:p w14:paraId="4FF282E7">
                  <w:pPr>
                    <w:jc w:val="center"/>
                    <w:rPr>
                      <w:color w:val="auto"/>
                    </w:rPr>
                  </w:pPr>
                  <w:r>
                    <w:rPr>
                      <w:rFonts w:hint="eastAsia"/>
                      <w:color w:val="auto"/>
                    </w:rPr>
                    <w:t>1</w:t>
                  </w:r>
                </w:p>
              </w:tc>
              <w:tc>
                <w:tcPr>
                  <w:tcW w:w="697" w:type="pct"/>
                  <w:vAlign w:val="center"/>
                </w:tcPr>
                <w:p w14:paraId="2594B701">
                  <w:pPr>
                    <w:jc w:val="center"/>
                    <w:rPr>
                      <w:color w:val="auto"/>
                    </w:rPr>
                  </w:pPr>
                  <w:r>
                    <w:rPr>
                      <w:rFonts w:hint="eastAsia"/>
                      <w:color w:val="auto"/>
                    </w:rPr>
                    <w:t>0.03</w:t>
                  </w:r>
                </w:p>
              </w:tc>
              <w:tc>
                <w:tcPr>
                  <w:tcW w:w="540" w:type="pct"/>
                  <w:vAlign w:val="center"/>
                </w:tcPr>
                <w:p w14:paraId="553D6818">
                  <w:pPr>
                    <w:jc w:val="center"/>
                    <w:rPr>
                      <w:color w:val="auto"/>
                    </w:rPr>
                  </w:pPr>
                  <w:r>
                    <w:rPr>
                      <w:rFonts w:hint="eastAsia"/>
                      <w:color w:val="auto"/>
                    </w:rPr>
                    <w:t>1.3</w:t>
                  </w:r>
                </w:p>
              </w:tc>
              <w:tc>
                <w:tcPr>
                  <w:tcW w:w="1211" w:type="dxa"/>
                  <w:vMerge w:val="restart"/>
                  <w:vAlign w:val="center"/>
                </w:tcPr>
                <w:p w14:paraId="2FCF4C8B">
                  <w:pPr>
                    <w:jc w:val="center"/>
                    <w:rPr>
                      <w:color w:val="auto"/>
                    </w:rPr>
                  </w:pPr>
                  <w:r>
                    <w:rPr>
                      <w:rFonts w:hint="eastAsia"/>
                      <w:color w:val="auto"/>
                    </w:rPr>
                    <w:t>25%</w:t>
                  </w:r>
                </w:p>
              </w:tc>
              <w:tc>
                <w:tcPr>
                  <w:tcW w:w="1087" w:type="dxa"/>
                  <w:vAlign w:val="center"/>
                </w:tcPr>
                <w:p w14:paraId="3EB83295">
                  <w:pPr>
                    <w:widowControl/>
                    <w:jc w:val="center"/>
                    <w:textAlignment w:val="center"/>
                    <w:rPr>
                      <w:color w:val="auto"/>
                    </w:rPr>
                  </w:pPr>
                  <w:r>
                    <w:rPr>
                      <w:color w:val="auto"/>
                      <w:kern w:val="0"/>
                      <w:szCs w:val="21"/>
                      <w:lang w:bidi="ar"/>
                    </w:rPr>
                    <w:t xml:space="preserve">0.0283 </w:t>
                  </w:r>
                </w:p>
              </w:tc>
            </w:tr>
            <w:tr w14:paraId="2E6E8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3A61490F">
                  <w:pPr>
                    <w:jc w:val="center"/>
                    <w:rPr>
                      <w:color w:val="auto"/>
                    </w:rPr>
                  </w:pPr>
                </w:p>
              </w:tc>
              <w:tc>
                <w:tcPr>
                  <w:tcW w:w="423" w:type="pct"/>
                  <w:vMerge w:val="continue"/>
                  <w:vAlign w:val="center"/>
                </w:tcPr>
                <w:p w14:paraId="413C8F01">
                  <w:pPr>
                    <w:jc w:val="center"/>
                    <w:rPr>
                      <w:color w:val="auto"/>
                    </w:rPr>
                  </w:pPr>
                </w:p>
              </w:tc>
              <w:tc>
                <w:tcPr>
                  <w:tcW w:w="568" w:type="pct"/>
                  <w:vAlign w:val="center"/>
                </w:tcPr>
                <w:p w14:paraId="4B46E8F0">
                  <w:pPr>
                    <w:jc w:val="center"/>
                    <w:rPr>
                      <w:color w:val="auto"/>
                    </w:rPr>
                  </w:pPr>
                  <w:r>
                    <w:rPr>
                      <w:rFonts w:hint="eastAsia"/>
                      <w:color w:val="auto"/>
                    </w:rPr>
                    <w:t>水性面漆</w:t>
                  </w:r>
                </w:p>
              </w:tc>
              <w:tc>
                <w:tcPr>
                  <w:tcW w:w="1299" w:type="dxa"/>
                  <w:vAlign w:val="center"/>
                </w:tcPr>
                <w:p w14:paraId="7A631547">
                  <w:pPr>
                    <w:widowControl/>
                    <w:jc w:val="center"/>
                    <w:textAlignment w:val="center"/>
                    <w:rPr>
                      <w:color w:val="auto"/>
                    </w:rPr>
                  </w:pPr>
                  <w:r>
                    <w:rPr>
                      <w:color w:val="auto"/>
                      <w:kern w:val="0"/>
                      <w:szCs w:val="21"/>
                      <w:lang w:bidi="ar"/>
                    </w:rPr>
                    <w:t xml:space="preserve">0.121 </w:t>
                  </w:r>
                </w:p>
              </w:tc>
              <w:tc>
                <w:tcPr>
                  <w:tcW w:w="454" w:type="pct"/>
                  <w:vAlign w:val="center"/>
                </w:tcPr>
                <w:p w14:paraId="463439AE">
                  <w:pPr>
                    <w:jc w:val="center"/>
                    <w:rPr>
                      <w:color w:val="auto"/>
                    </w:rPr>
                  </w:pPr>
                  <w:r>
                    <w:rPr>
                      <w:rFonts w:hint="eastAsia"/>
                      <w:color w:val="auto"/>
                    </w:rPr>
                    <w:t>1</w:t>
                  </w:r>
                </w:p>
              </w:tc>
              <w:tc>
                <w:tcPr>
                  <w:tcW w:w="697" w:type="pct"/>
                  <w:vAlign w:val="center"/>
                </w:tcPr>
                <w:p w14:paraId="5C95AFD6">
                  <w:pPr>
                    <w:jc w:val="center"/>
                    <w:rPr>
                      <w:color w:val="auto"/>
                    </w:rPr>
                  </w:pPr>
                  <w:r>
                    <w:rPr>
                      <w:rFonts w:hint="eastAsia"/>
                      <w:color w:val="auto"/>
                    </w:rPr>
                    <w:t>0.03</w:t>
                  </w:r>
                </w:p>
              </w:tc>
              <w:tc>
                <w:tcPr>
                  <w:tcW w:w="540" w:type="pct"/>
                  <w:vAlign w:val="center"/>
                </w:tcPr>
                <w:p w14:paraId="75878698">
                  <w:pPr>
                    <w:jc w:val="center"/>
                    <w:rPr>
                      <w:color w:val="auto"/>
                    </w:rPr>
                  </w:pPr>
                  <w:r>
                    <w:rPr>
                      <w:rFonts w:hint="eastAsia"/>
                      <w:color w:val="auto"/>
                    </w:rPr>
                    <w:t>1.3</w:t>
                  </w:r>
                </w:p>
              </w:tc>
              <w:tc>
                <w:tcPr>
                  <w:tcW w:w="605" w:type="pct"/>
                  <w:vMerge w:val="continue"/>
                  <w:vAlign w:val="center"/>
                </w:tcPr>
                <w:p w14:paraId="6B437DF6">
                  <w:pPr>
                    <w:jc w:val="center"/>
                    <w:rPr>
                      <w:color w:val="auto"/>
                    </w:rPr>
                  </w:pPr>
                </w:p>
              </w:tc>
              <w:tc>
                <w:tcPr>
                  <w:tcW w:w="1087" w:type="dxa"/>
                  <w:vAlign w:val="center"/>
                </w:tcPr>
                <w:p w14:paraId="1744333E">
                  <w:pPr>
                    <w:widowControl/>
                    <w:jc w:val="center"/>
                    <w:textAlignment w:val="center"/>
                    <w:rPr>
                      <w:color w:val="auto"/>
                    </w:rPr>
                  </w:pPr>
                  <w:r>
                    <w:rPr>
                      <w:color w:val="auto"/>
                      <w:kern w:val="0"/>
                      <w:szCs w:val="21"/>
                      <w:lang w:bidi="ar"/>
                    </w:rPr>
                    <w:t xml:space="preserve">0.0283 </w:t>
                  </w:r>
                </w:p>
              </w:tc>
            </w:tr>
            <w:tr w14:paraId="7697A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6083E796">
                  <w:pPr>
                    <w:jc w:val="center"/>
                    <w:rPr>
                      <w:color w:val="auto"/>
                    </w:rPr>
                  </w:pPr>
                </w:p>
              </w:tc>
              <w:tc>
                <w:tcPr>
                  <w:tcW w:w="423" w:type="pct"/>
                  <w:vMerge w:val="continue"/>
                  <w:vAlign w:val="center"/>
                </w:tcPr>
                <w:p w14:paraId="3F584207">
                  <w:pPr>
                    <w:jc w:val="center"/>
                    <w:rPr>
                      <w:color w:val="auto"/>
                    </w:rPr>
                  </w:pPr>
                </w:p>
              </w:tc>
              <w:tc>
                <w:tcPr>
                  <w:tcW w:w="568" w:type="pct"/>
                  <w:vAlign w:val="center"/>
                </w:tcPr>
                <w:p w14:paraId="37E9ECE5">
                  <w:pPr>
                    <w:jc w:val="center"/>
                    <w:rPr>
                      <w:color w:val="auto"/>
                    </w:rPr>
                  </w:pPr>
                  <w:r>
                    <w:rPr>
                      <w:rFonts w:hint="eastAsia"/>
                      <w:color w:val="auto"/>
                    </w:rPr>
                    <w:t>水性清漆</w:t>
                  </w:r>
                </w:p>
              </w:tc>
              <w:tc>
                <w:tcPr>
                  <w:tcW w:w="1299" w:type="dxa"/>
                  <w:vAlign w:val="center"/>
                </w:tcPr>
                <w:p w14:paraId="2431EBAE">
                  <w:pPr>
                    <w:widowControl/>
                    <w:jc w:val="center"/>
                    <w:textAlignment w:val="center"/>
                    <w:rPr>
                      <w:color w:val="auto"/>
                    </w:rPr>
                  </w:pPr>
                  <w:r>
                    <w:rPr>
                      <w:color w:val="auto"/>
                      <w:kern w:val="0"/>
                      <w:szCs w:val="21"/>
                      <w:lang w:bidi="ar"/>
                    </w:rPr>
                    <w:t xml:space="preserve">0.121 </w:t>
                  </w:r>
                </w:p>
              </w:tc>
              <w:tc>
                <w:tcPr>
                  <w:tcW w:w="454" w:type="pct"/>
                  <w:vAlign w:val="center"/>
                </w:tcPr>
                <w:p w14:paraId="2A2B2790">
                  <w:pPr>
                    <w:jc w:val="center"/>
                    <w:rPr>
                      <w:color w:val="auto"/>
                    </w:rPr>
                  </w:pPr>
                  <w:r>
                    <w:rPr>
                      <w:rFonts w:hint="eastAsia"/>
                      <w:color w:val="auto"/>
                    </w:rPr>
                    <w:t>1</w:t>
                  </w:r>
                </w:p>
              </w:tc>
              <w:tc>
                <w:tcPr>
                  <w:tcW w:w="697" w:type="pct"/>
                  <w:vAlign w:val="center"/>
                </w:tcPr>
                <w:p w14:paraId="54997F60">
                  <w:pPr>
                    <w:jc w:val="center"/>
                    <w:rPr>
                      <w:color w:val="auto"/>
                    </w:rPr>
                  </w:pPr>
                  <w:r>
                    <w:rPr>
                      <w:rFonts w:hint="eastAsia"/>
                      <w:color w:val="auto"/>
                    </w:rPr>
                    <w:t>0.03</w:t>
                  </w:r>
                </w:p>
              </w:tc>
              <w:tc>
                <w:tcPr>
                  <w:tcW w:w="540" w:type="pct"/>
                  <w:vAlign w:val="center"/>
                </w:tcPr>
                <w:p w14:paraId="1FB86B55">
                  <w:pPr>
                    <w:jc w:val="center"/>
                    <w:rPr>
                      <w:color w:val="auto"/>
                    </w:rPr>
                  </w:pPr>
                  <w:r>
                    <w:rPr>
                      <w:rFonts w:hint="eastAsia"/>
                      <w:color w:val="auto"/>
                    </w:rPr>
                    <w:t>1.06</w:t>
                  </w:r>
                </w:p>
              </w:tc>
              <w:tc>
                <w:tcPr>
                  <w:tcW w:w="605" w:type="pct"/>
                  <w:vMerge w:val="continue"/>
                  <w:vAlign w:val="center"/>
                </w:tcPr>
                <w:p w14:paraId="00FA4D1C">
                  <w:pPr>
                    <w:jc w:val="center"/>
                    <w:rPr>
                      <w:color w:val="auto"/>
                    </w:rPr>
                  </w:pPr>
                </w:p>
              </w:tc>
              <w:tc>
                <w:tcPr>
                  <w:tcW w:w="1087" w:type="dxa"/>
                  <w:vAlign w:val="center"/>
                </w:tcPr>
                <w:p w14:paraId="1D6CEB9D">
                  <w:pPr>
                    <w:widowControl/>
                    <w:jc w:val="center"/>
                    <w:textAlignment w:val="center"/>
                    <w:rPr>
                      <w:color w:val="auto"/>
                    </w:rPr>
                  </w:pPr>
                  <w:r>
                    <w:rPr>
                      <w:color w:val="auto"/>
                      <w:kern w:val="0"/>
                      <w:szCs w:val="21"/>
                      <w:lang w:bidi="ar"/>
                    </w:rPr>
                    <w:t xml:space="preserve">0.0231 </w:t>
                  </w:r>
                </w:p>
              </w:tc>
            </w:tr>
            <w:tr w14:paraId="6BCD1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restart"/>
                  <w:vAlign w:val="center"/>
                </w:tcPr>
                <w:p w14:paraId="321F85CC">
                  <w:pPr>
                    <w:jc w:val="center"/>
                    <w:rPr>
                      <w:color w:val="auto"/>
                    </w:rPr>
                  </w:pPr>
                  <w:r>
                    <w:rPr>
                      <w:rFonts w:hint="eastAsia"/>
                      <w:color w:val="auto"/>
                    </w:rPr>
                    <w:t>/</w:t>
                  </w:r>
                </w:p>
              </w:tc>
              <w:tc>
                <w:tcPr>
                  <w:tcW w:w="423" w:type="pct"/>
                  <w:vMerge w:val="restart"/>
                  <w:vAlign w:val="center"/>
                </w:tcPr>
                <w:p w14:paraId="7E5CB41A">
                  <w:pPr>
                    <w:jc w:val="center"/>
                    <w:rPr>
                      <w:color w:val="auto"/>
                    </w:rPr>
                  </w:pPr>
                  <w:r>
                    <w:rPr>
                      <w:rFonts w:hint="eastAsia"/>
                      <w:color w:val="auto"/>
                    </w:rPr>
                    <w:t>/</w:t>
                  </w:r>
                </w:p>
              </w:tc>
              <w:tc>
                <w:tcPr>
                  <w:tcW w:w="568" w:type="pct"/>
                  <w:vAlign w:val="center"/>
                </w:tcPr>
                <w:p w14:paraId="45765736">
                  <w:pPr>
                    <w:jc w:val="center"/>
                    <w:rPr>
                      <w:color w:val="auto"/>
                    </w:rPr>
                  </w:pPr>
                  <w:r>
                    <w:rPr>
                      <w:rFonts w:hint="eastAsia"/>
                      <w:color w:val="auto"/>
                    </w:rPr>
                    <w:t>水性底漆</w:t>
                  </w:r>
                </w:p>
              </w:tc>
              <w:tc>
                <w:tcPr>
                  <w:tcW w:w="2949" w:type="pct"/>
                  <w:gridSpan w:val="5"/>
                  <w:vMerge w:val="restart"/>
                  <w:vAlign w:val="center"/>
                </w:tcPr>
                <w:p w14:paraId="67FC7F91">
                  <w:pPr>
                    <w:jc w:val="center"/>
                    <w:rPr>
                      <w:color w:val="auto"/>
                    </w:rPr>
                  </w:pPr>
                  <w:r>
                    <w:rPr>
                      <w:rFonts w:hint="eastAsia"/>
                      <w:color w:val="auto"/>
                    </w:rPr>
                    <w:t>合计</w:t>
                  </w:r>
                </w:p>
              </w:tc>
              <w:tc>
                <w:tcPr>
                  <w:tcW w:w="1087" w:type="dxa"/>
                  <w:vAlign w:val="center"/>
                </w:tcPr>
                <w:p w14:paraId="5CB6CC6B">
                  <w:pPr>
                    <w:widowControl/>
                    <w:jc w:val="center"/>
                    <w:textAlignment w:val="center"/>
                    <w:rPr>
                      <w:color w:val="auto"/>
                    </w:rPr>
                  </w:pPr>
                  <w:r>
                    <w:rPr>
                      <w:color w:val="auto"/>
                      <w:kern w:val="0"/>
                      <w:szCs w:val="21"/>
                      <w:lang w:bidi="ar"/>
                    </w:rPr>
                    <w:t xml:space="preserve">0.0456 </w:t>
                  </w:r>
                </w:p>
              </w:tc>
            </w:tr>
            <w:tr w14:paraId="6831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35007F03">
                  <w:pPr>
                    <w:jc w:val="center"/>
                    <w:rPr>
                      <w:color w:val="auto"/>
                    </w:rPr>
                  </w:pPr>
                </w:p>
              </w:tc>
              <w:tc>
                <w:tcPr>
                  <w:tcW w:w="423" w:type="pct"/>
                  <w:vMerge w:val="continue"/>
                  <w:vAlign w:val="center"/>
                </w:tcPr>
                <w:p w14:paraId="6F1559BF">
                  <w:pPr>
                    <w:jc w:val="center"/>
                    <w:rPr>
                      <w:color w:val="auto"/>
                    </w:rPr>
                  </w:pPr>
                </w:p>
              </w:tc>
              <w:tc>
                <w:tcPr>
                  <w:tcW w:w="568" w:type="pct"/>
                  <w:vAlign w:val="center"/>
                </w:tcPr>
                <w:p w14:paraId="2120F56A">
                  <w:pPr>
                    <w:jc w:val="center"/>
                    <w:rPr>
                      <w:color w:val="auto"/>
                    </w:rPr>
                  </w:pPr>
                  <w:r>
                    <w:rPr>
                      <w:rFonts w:hint="eastAsia"/>
                      <w:color w:val="auto"/>
                    </w:rPr>
                    <w:t>水性面漆</w:t>
                  </w:r>
                </w:p>
              </w:tc>
              <w:tc>
                <w:tcPr>
                  <w:tcW w:w="2949" w:type="pct"/>
                  <w:gridSpan w:val="5"/>
                  <w:vMerge w:val="continue"/>
                  <w:vAlign w:val="center"/>
                </w:tcPr>
                <w:p w14:paraId="0873B542">
                  <w:pPr>
                    <w:jc w:val="center"/>
                    <w:rPr>
                      <w:color w:val="auto"/>
                    </w:rPr>
                  </w:pPr>
                </w:p>
              </w:tc>
              <w:tc>
                <w:tcPr>
                  <w:tcW w:w="1087" w:type="dxa"/>
                  <w:vAlign w:val="center"/>
                </w:tcPr>
                <w:p w14:paraId="59FD5EF8">
                  <w:pPr>
                    <w:widowControl/>
                    <w:jc w:val="center"/>
                    <w:textAlignment w:val="center"/>
                    <w:rPr>
                      <w:color w:val="auto"/>
                    </w:rPr>
                  </w:pPr>
                  <w:r>
                    <w:rPr>
                      <w:color w:val="auto"/>
                      <w:kern w:val="0"/>
                      <w:szCs w:val="21"/>
                      <w:lang w:bidi="ar"/>
                    </w:rPr>
                    <w:t xml:space="preserve">0.0456 </w:t>
                  </w:r>
                </w:p>
              </w:tc>
            </w:tr>
            <w:tr w14:paraId="16E7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pct"/>
                  <w:vMerge w:val="continue"/>
                  <w:vAlign w:val="center"/>
                </w:tcPr>
                <w:p w14:paraId="4486A071">
                  <w:pPr>
                    <w:jc w:val="center"/>
                    <w:rPr>
                      <w:color w:val="auto"/>
                    </w:rPr>
                  </w:pPr>
                </w:p>
              </w:tc>
              <w:tc>
                <w:tcPr>
                  <w:tcW w:w="423" w:type="pct"/>
                  <w:vMerge w:val="continue"/>
                  <w:vAlign w:val="center"/>
                </w:tcPr>
                <w:p w14:paraId="7BC5D781">
                  <w:pPr>
                    <w:jc w:val="center"/>
                    <w:rPr>
                      <w:color w:val="auto"/>
                    </w:rPr>
                  </w:pPr>
                </w:p>
              </w:tc>
              <w:tc>
                <w:tcPr>
                  <w:tcW w:w="568" w:type="pct"/>
                  <w:vAlign w:val="center"/>
                </w:tcPr>
                <w:p w14:paraId="6FE96280">
                  <w:pPr>
                    <w:jc w:val="center"/>
                    <w:rPr>
                      <w:color w:val="auto"/>
                    </w:rPr>
                  </w:pPr>
                  <w:r>
                    <w:rPr>
                      <w:rFonts w:hint="eastAsia"/>
                      <w:color w:val="auto"/>
                    </w:rPr>
                    <w:t>水性清漆</w:t>
                  </w:r>
                </w:p>
              </w:tc>
              <w:tc>
                <w:tcPr>
                  <w:tcW w:w="2949" w:type="pct"/>
                  <w:gridSpan w:val="5"/>
                  <w:vMerge w:val="continue"/>
                  <w:vAlign w:val="center"/>
                </w:tcPr>
                <w:p w14:paraId="6774C567">
                  <w:pPr>
                    <w:jc w:val="center"/>
                    <w:rPr>
                      <w:color w:val="auto"/>
                    </w:rPr>
                  </w:pPr>
                </w:p>
              </w:tc>
              <w:tc>
                <w:tcPr>
                  <w:tcW w:w="1087" w:type="dxa"/>
                  <w:vAlign w:val="center"/>
                </w:tcPr>
                <w:p w14:paraId="05C5F8D5">
                  <w:pPr>
                    <w:widowControl/>
                    <w:jc w:val="center"/>
                    <w:textAlignment w:val="center"/>
                    <w:rPr>
                      <w:color w:val="auto"/>
                    </w:rPr>
                  </w:pPr>
                  <w:r>
                    <w:rPr>
                      <w:color w:val="auto"/>
                      <w:kern w:val="0"/>
                      <w:szCs w:val="21"/>
                      <w:lang w:bidi="ar"/>
                    </w:rPr>
                    <w:t xml:space="preserve">0.0372 </w:t>
                  </w:r>
                </w:p>
              </w:tc>
            </w:tr>
            <w:tr w14:paraId="7FA61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vAlign w:val="center"/>
                </w:tcPr>
                <w:p w14:paraId="51C66815">
                  <w:pPr>
                    <w:jc w:val="left"/>
                    <w:rPr>
                      <w:color w:val="auto"/>
                    </w:rPr>
                  </w:pPr>
                  <w:r>
                    <w:rPr>
                      <w:rFonts w:hint="eastAsia"/>
                      <w:color w:val="auto"/>
                    </w:rPr>
                    <w:t>注：①不合格品返工时无需对工件表面进行整体喷涂，一般为小区域补喷，本报告按工件表面积的10%计；</w:t>
                  </w:r>
                </w:p>
                <w:p w14:paraId="4393E19E">
                  <w:pPr>
                    <w:jc w:val="left"/>
                    <w:rPr>
                      <w:color w:val="auto"/>
                    </w:rPr>
                  </w:pPr>
                  <w:r>
                    <w:rPr>
                      <w:rFonts w:hint="eastAsia"/>
                      <w:color w:val="auto"/>
                    </w:rPr>
                    <w:t>②</w:t>
                  </w:r>
                  <w:r>
                    <w:rPr>
                      <w:rFonts w:hint="eastAsia"/>
                      <w:color w:val="auto"/>
                      <w:szCs w:val="21"/>
                    </w:rPr>
                    <w:t>涂料用量=涂料湿膜密度（g/cm</w:t>
                  </w:r>
                  <w:r>
                    <w:rPr>
                      <w:rFonts w:hint="eastAsia"/>
                      <w:color w:val="auto"/>
                      <w:szCs w:val="21"/>
                      <w:vertAlign w:val="superscript"/>
                    </w:rPr>
                    <w:t>3</w:t>
                  </w:r>
                  <w:r>
                    <w:rPr>
                      <w:rFonts w:hint="eastAsia"/>
                      <w:color w:val="auto"/>
                      <w:szCs w:val="21"/>
                    </w:rPr>
                    <w:t>）*涂层湿膜厚度（mm）*涂装总面积（m</w:t>
                  </w:r>
                  <w:r>
                    <w:rPr>
                      <w:rFonts w:hint="eastAsia"/>
                      <w:color w:val="auto"/>
                      <w:szCs w:val="21"/>
                      <w:vertAlign w:val="superscript"/>
                    </w:rPr>
                    <w:t>2</w:t>
                  </w:r>
                  <w:r>
                    <w:rPr>
                      <w:rFonts w:hint="eastAsia"/>
                      <w:color w:val="auto"/>
                      <w:szCs w:val="21"/>
                    </w:rPr>
                    <w:t>/a）*10</w:t>
                  </w:r>
                  <w:r>
                    <w:rPr>
                      <w:rFonts w:hint="eastAsia"/>
                      <w:color w:val="auto"/>
                      <w:szCs w:val="21"/>
                      <w:vertAlign w:val="superscript"/>
                    </w:rPr>
                    <w:t>-3</w:t>
                  </w:r>
                  <w:r>
                    <w:rPr>
                      <w:rFonts w:hint="eastAsia"/>
                      <w:color w:val="auto"/>
                      <w:szCs w:val="21"/>
                    </w:rPr>
                    <w:t>/利用率%</w:t>
                  </w:r>
                  <w:r>
                    <w:rPr>
                      <w:rFonts w:hint="eastAsia"/>
                      <w:color w:val="auto"/>
                    </w:rPr>
                    <w:t>；</w:t>
                  </w:r>
                </w:p>
                <w:p w14:paraId="1B434B22">
                  <w:pPr>
                    <w:jc w:val="left"/>
                    <w:rPr>
                      <w:color w:val="auto"/>
                    </w:rPr>
                  </w:pPr>
                  <w:r>
                    <w:rPr>
                      <w:rFonts w:eastAsia="微软雅黑"/>
                      <w:color w:val="auto"/>
                    </w:rPr>
                    <w:t>③</w:t>
                  </w:r>
                  <w:r>
                    <w:rPr>
                      <w:rFonts w:hint="eastAsia"/>
                      <w:color w:val="auto"/>
                    </w:rPr>
                    <w:t>根据表2-3产品方案可知，</w:t>
                  </w:r>
                  <w:r>
                    <w:rPr>
                      <w:rFonts w:hint="eastAsia"/>
                      <w:color w:val="auto"/>
                      <w:szCs w:val="21"/>
                    </w:rPr>
                    <w:t>涂料利用率参考《谈喷涂涂着效率 (Ⅰ) 》（《现代涂料与涂装》，作者王锡春）中涂装方法为静电喷涂的手提式空气静电喷枪的涂着效率50~60%，涂着效率随被涂物尺寸和吊挂方式等条件变化。项目喷涂工件均为框架结构，补喷过程为小区域补喷，利用率按最小值一半计，即25%</w:t>
                  </w:r>
                  <w:r>
                    <w:rPr>
                      <w:rFonts w:hint="eastAsia"/>
                      <w:color w:val="auto"/>
                    </w:rPr>
                    <w:t>。</w:t>
                  </w:r>
                </w:p>
              </w:tc>
            </w:tr>
          </w:tbl>
          <w:p w14:paraId="22D737B6">
            <w:pPr>
              <w:widowControl/>
              <w:adjustRightInd w:val="0"/>
              <w:snapToGrid w:val="0"/>
              <w:spacing w:line="360" w:lineRule="auto"/>
              <w:ind w:firstLine="480" w:firstLineChars="200"/>
              <w:rPr>
                <w:b/>
                <w:bCs/>
                <w:color w:val="auto"/>
                <w:kern w:val="0"/>
                <w:sz w:val="24"/>
              </w:rPr>
            </w:pPr>
            <w:r>
              <w:rPr>
                <w:rFonts w:hint="eastAsia"/>
                <w:color w:val="auto"/>
                <w:kern w:val="0"/>
                <w:sz w:val="24"/>
              </w:rPr>
              <w:t>综上，经核算后水性底漆的理论使用量合计为4.61t/a，水性面漆的理论使用量合计为4.61t/a，水性清漆的理论使用量合计为3.76t/a。</w:t>
            </w:r>
          </w:p>
          <w:p w14:paraId="35810B86">
            <w:pPr>
              <w:widowControl/>
              <w:adjustRightInd w:val="0"/>
              <w:snapToGrid w:val="0"/>
              <w:spacing w:line="360" w:lineRule="auto"/>
              <w:ind w:firstLine="482" w:firstLineChars="200"/>
              <w:rPr>
                <w:b/>
                <w:bCs/>
                <w:color w:val="auto"/>
                <w:kern w:val="0"/>
                <w:sz w:val="24"/>
              </w:rPr>
            </w:pPr>
            <w:r>
              <w:rPr>
                <w:b/>
                <w:bCs/>
                <w:color w:val="auto"/>
                <w:kern w:val="0"/>
                <w:sz w:val="24"/>
              </w:rPr>
              <w:t>3）天然气</w:t>
            </w:r>
          </w:p>
          <w:p w14:paraId="32A3D551">
            <w:pPr>
              <w:adjustRightInd w:val="0"/>
              <w:snapToGrid w:val="0"/>
              <w:spacing w:line="360" w:lineRule="auto"/>
              <w:ind w:firstLine="480" w:firstLineChars="200"/>
              <w:rPr>
                <w:b/>
                <w:bCs/>
                <w:color w:val="auto"/>
                <w:szCs w:val="21"/>
              </w:rPr>
            </w:pPr>
            <w:r>
              <w:rPr>
                <w:color w:val="auto"/>
                <w:kern w:val="0"/>
                <w:sz w:val="24"/>
              </w:rPr>
              <w:t>本项目前处理线的</w:t>
            </w:r>
            <w:r>
              <w:rPr>
                <w:rFonts w:hint="eastAsia"/>
                <w:color w:val="auto"/>
                <w:kern w:val="0"/>
                <w:sz w:val="24"/>
              </w:rPr>
              <w:t>烘烤柜炉、</w:t>
            </w:r>
            <w:r>
              <w:rPr>
                <w:color w:val="auto"/>
                <w:kern w:val="0"/>
                <w:sz w:val="24"/>
              </w:rPr>
              <w:t>喷粉线的固化</w:t>
            </w:r>
            <w:r>
              <w:rPr>
                <w:rFonts w:hint="eastAsia"/>
                <w:color w:val="auto"/>
                <w:kern w:val="0"/>
                <w:sz w:val="24"/>
              </w:rPr>
              <w:t>隧道炉、喷涂线的烘烤隧道炉和补漆的烘烤柜炉</w:t>
            </w:r>
            <w:r>
              <w:rPr>
                <w:color w:val="auto"/>
                <w:kern w:val="0"/>
                <w:sz w:val="24"/>
              </w:rPr>
              <w:t>，均需使用管道天然气作为燃料进行供热</w:t>
            </w:r>
            <w:r>
              <w:rPr>
                <w:color w:val="auto"/>
                <w:sz w:val="24"/>
              </w:rPr>
              <w:t>。本项目天然气用量核算见下表。</w:t>
            </w:r>
          </w:p>
          <w:p w14:paraId="523B62C2">
            <w:pPr>
              <w:numPr>
                <w:ilvl w:val="0"/>
                <w:numId w:val="10"/>
              </w:numPr>
              <w:adjustRightInd w:val="0"/>
              <w:snapToGrid w:val="0"/>
              <w:jc w:val="center"/>
              <w:rPr>
                <w:b/>
                <w:color w:val="auto"/>
                <w:szCs w:val="21"/>
              </w:rPr>
            </w:pPr>
            <w:r>
              <w:rPr>
                <w:b/>
                <w:bCs/>
                <w:color w:val="auto"/>
                <w:szCs w:val="21"/>
              </w:rPr>
              <w:t>本项目天然气</w:t>
            </w:r>
            <w:r>
              <w:rPr>
                <w:b/>
                <w:color w:val="auto"/>
                <w:szCs w:val="21"/>
              </w:rPr>
              <w:t>用量</w:t>
            </w:r>
            <w:r>
              <w:rPr>
                <w:b/>
                <w:bCs/>
                <w:color w:val="auto"/>
                <w:szCs w:val="21"/>
              </w:rPr>
              <w:t>核算一览表</w:t>
            </w:r>
          </w:p>
          <w:tbl>
            <w:tblPr>
              <w:tblStyle w:val="3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1993"/>
              <w:gridCol w:w="1092"/>
              <w:gridCol w:w="1176"/>
              <w:gridCol w:w="1342"/>
              <w:gridCol w:w="2199"/>
            </w:tblGrid>
            <w:tr w14:paraId="76DBB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0" w:type="pct"/>
                  <w:vAlign w:val="center"/>
                </w:tcPr>
                <w:p w14:paraId="4B48A09D">
                  <w:pPr>
                    <w:adjustRightInd w:val="0"/>
                    <w:snapToGrid w:val="0"/>
                    <w:jc w:val="center"/>
                    <w:rPr>
                      <w:b/>
                      <w:bCs/>
                      <w:color w:val="auto"/>
                      <w:szCs w:val="21"/>
                    </w:rPr>
                  </w:pPr>
                  <w:r>
                    <w:rPr>
                      <w:b/>
                      <w:bCs/>
                      <w:color w:val="auto"/>
                      <w:szCs w:val="21"/>
                    </w:rPr>
                    <w:t>用气设备</w:t>
                  </w:r>
                </w:p>
              </w:tc>
              <w:tc>
                <w:tcPr>
                  <w:tcW w:w="999" w:type="pct"/>
                  <w:vAlign w:val="center"/>
                </w:tcPr>
                <w:p w14:paraId="3C4695B4">
                  <w:pPr>
                    <w:adjustRightInd w:val="0"/>
                    <w:snapToGrid w:val="0"/>
                    <w:jc w:val="center"/>
                    <w:rPr>
                      <w:b/>
                      <w:bCs/>
                      <w:color w:val="auto"/>
                      <w:szCs w:val="21"/>
                    </w:rPr>
                  </w:pPr>
                  <w:r>
                    <w:rPr>
                      <w:b/>
                      <w:bCs/>
                      <w:color w:val="auto"/>
                      <w:szCs w:val="21"/>
                    </w:rPr>
                    <w:t>配套燃烧机功率总额（万大卡/h）</w:t>
                  </w:r>
                </w:p>
              </w:tc>
              <w:tc>
                <w:tcPr>
                  <w:tcW w:w="547" w:type="pct"/>
                  <w:vAlign w:val="center"/>
                </w:tcPr>
                <w:p w14:paraId="7AE9FF17">
                  <w:pPr>
                    <w:adjustRightInd w:val="0"/>
                    <w:snapToGrid w:val="0"/>
                    <w:jc w:val="center"/>
                    <w:rPr>
                      <w:b/>
                      <w:bCs/>
                      <w:color w:val="auto"/>
                      <w:szCs w:val="21"/>
                    </w:rPr>
                  </w:pPr>
                  <w:r>
                    <w:rPr>
                      <w:b/>
                      <w:bCs/>
                      <w:color w:val="auto"/>
                      <w:szCs w:val="21"/>
                    </w:rPr>
                    <w:t>燃烧机数量（台）</w:t>
                  </w:r>
                </w:p>
              </w:tc>
              <w:tc>
                <w:tcPr>
                  <w:tcW w:w="589" w:type="pct"/>
                  <w:vAlign w:val="center"/>
                </w:tcPr>
                <w:p w14:paraId="7DEC1A5A">
                  <w:pPr>
                    <w:adjustRightInd w:val="0"/>
                    <w:snapToGrid w:val="0"/>
                    <w:jc w:val="center"/>
                    <w:rPr>
                      <w:b/>
                      <w:bCs/>
                      <w:color w:val="auto"/>
                      <w:szCs w:val="21"/>
                    </w:rPr>
                  </w:pPr>
                  <w:r>
                    <w:rPr>
                      <w:b/>
                      <w:bCs/>
                      <w:color w:val="auto"/>
                      <w:szCs w:val="21"/>
                    </w:rPr>
                    <w:t>年运行时间（h）</w:t>
                  </w:r>
                </w:p>
              </w:tc>
              <w:tc>
                <w:tcPr>
                  <w:tcW w:w="672" w:type="pct"/>
                  <w:vAlign w:val="center"/>
                </w:tcPr>
                <w:p w14:paraId="65BBD86B">
                  <w:pPr>
                    <w:adjustRightInd w:val="0"/>
                    <w:snapToGrid w:val="0"/>
                    <w:jc w:val="center"/>
                    <w:rPr>
                      <w:b/>
                      <w:bCs/>
                      <w:color w:val="auto"/>
                      <w:szCs w:val="21"/>
                    </w:rPr>
                  </w:pPr>
                  <w:r>
                    <w:rPr>
                      <w:b/>
                      <w:bCs/>
                      <w:color w:val="auto"/>
                      <w:szCs w:val="21"/>
                    </w:rPr>
                    <w:t>天然气热值（大卡/m</w:t>
                  </w:r>
                  <w:r>
                    <w:rPr>
                      <w:b/>
                      <w:bCs/>
                      <w:color w:val="auto"/>
                      <w:szCs w:val="21"/>
                      <w:vertAlign w:val="superscript"/>
                    </w:rPr>
                    <w:t>3</w:t>
                  </w:r>
                  <w:r>
                    <w:rPr>
                      <w:b/>
                      <w:bCs/>
                      <w:color w:val="auto"/>
                      <w:szCs w:val="21"/>
                    </w:rPr>
                    <w:t>）</w:t>
                  </w:r>
                </w:p>
              </w:tc>
              <w:tc>
                <w:tcPr>
                  <w:tcW w:w="1101" w:type="pct"/>
                  <w:vAlign w:val="center"/>
                </w:tcPr>
                <w:p w14:paraId="726A6619">
                  <w:pPr>
                    <w:adjustRightInd w:val="0"/>
                    <w:snapToGrid w:val="0"/>
                    <w:jc w:val="center"/>
                    <w:rPr>
                      <w:b/>
                      <w:bCs/>
                      <w:color w:val="auto"/>
                      <w:szCs w:val="21"/>
                    </w:rPr>
                  </w:pPr>
                  <w:r>
                    <w:rPr>
                      <w:b/>
                      <w:bCs/>
                      <w:color w:val="auto"/>
                      <w:szCs w:val="21"/>
                    </w:rPr>
                    <w:t>年用量（万m</w:t>
                  </w:r>
                  <w:r>
                    <w:rPr>
                      <w:b/>
                      <w:bCs/>
                      <w:color w:val="auto"/>
                      <w:szCs w:val="21"/>
                      <w:vertAlign w:val="superscript"/>
                    </w:rPr>
                    <w:t>3</w:t>
                  </w:r>
                  <w:r>
                    <w:rPr>
                      <w:b/>
                      <w:bCs/>
                      <w:color w:val="auto"/>
                      <w:szCs w:val="21"/>
                    </w:rPr>
                    <w:t>）</w:t>
                  </w:r>
                </w:p>
              </w:tc>
            </w:tr>
            <w:tr w14:paraId="68759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90" w:type="pct"/>
                  <w:vAlign w:val="center"/>
                </w:tcPr>
                <w:p w14:paraId="65E7034D">
                  <w:pPr>
                    <w:adjustRightInd w:val="0"/>
                    <w:snapToGrid w:val="0"/>
                    <w:jc w:val="center"/>
                    <w:rPr>
                      <w:color w:val="auto"/>
                      <w:szCs w:val="21"/>
                    </w:rPr>
                  </w:pPr>
                  <w:r>
                    <w:rPr>
                      <w:rFonts w:hint="eastAsia"/>
                      <w:color w:val="auto"/>
                      <w:szCs w:val="21"/>
                    </w:rPr>
                    <w:t>烘烤柜炉</w:t>
                  </w:r>
                </w:p>
              </w:tc>
              <w:tc>
                <w:tcPr>
                  <w:tcW w:w="999" w:type="pct"/>
                  <w:vAlign w:val="center"/>
                </w:tcPr>
                <w:p w14:paraId="6A768FCA">
                  <w:pPr>
                    <w:adjustRightInd w:val="0"/>
                    <w:snapToGrid w:val="0"/>
                    <w:jc w:val="center"/>
                    <w:rPr>
                      <w:color w:val="auto"/>
                      <w:szCs w:val="21"/>
                    </w:rPr>
                  </w:pPr>
                  <w:r>
                    <w:rPr>
                      <w:rFonts w:hint="eastAsia"/>
                      <w:color w:val="auto"/>
                      <w:szCs w:val="21"/>
                    </w:rPr>
                    <w:t>2.16</w:t>
                  </w:r>
                </w:p>
              </w:tc>
              <w:tc>
                <w:tcPr>
                  <w:tcW w:w="547" w:type="pct"/>
                  <w:vAlign w:val="center"/>
                </w:tcPr>
                <w:p w14:paraId="61772B05">
                  <w:pPr>
                    <w:adjustRightInd w:val="0"/>
                    <w:snapToGrid w:val="0"/>
                    <w:jc w:val="center"/>
                    <w:rPr>
                      <w:color w:val="auto"/>
                      <w:szCs w:val="21"/>
                    </w:rPr>
                  </w:pPr>
                  <w:r>
                    <w:rPr>
                      <w:rFonts w:hint="eastAsia"/>
                      <w:color w:val="auto"/>
                      <w:szCs w:val="21"/>
                    </w:rPr>
                    <w:t>2</w:t>
                  </w:r>
                </w:p>
              </w:tc>
              <w:tc>
                <w:tcPr>
                  <w:tcW w:w="589" w:type="pct"/>
                  <w:vAlign w:val="center"/>
                </w:tcPr>
                <w:p w14:paraId="33BA5B93">
                  <w:pPr>
                    <w:adjustRightInd w:val="0"/>
                    <w:snapToGrid w:val="0"/>
                    <w:jc w:val="center"/>
                    <w:rPr>
                      <w:color w:val="auto"/>
                      <w:szCs w:val="21"/>
                    </w:rPr>
                  </w:pPr>
                  <w:r>
                    <w:rPr>
                      <w:rFonts w:hint="eastAsia"/>
                      <w:color w:val="auto"/>
                      <w:szCs w:val="21"/>
                    </w:rPr>
                    <w:t>3000</w:t>
                  </w:r>
                </w:p>
              </w:tc>
              <w:tc>
                <w:tcPr>
                  <w:tcW w:w="672" w:type="pct"/>
                  <w:vAlign w:val="center"/>
                </w:tcPr>
                <w:p w14:paraId="0F57DA71">
                  <w:pPr>
                    <w:adjustRightInd w:val="0"/>
                    <w:snapToGrid w:val="0"/>
                    <w:jc w:val="center"/>
                    <w:rPr>
                      <w:color w:val="auto"/>
                      <w:szCs w:val="21"/>
                    </w:rPr>
                  </w:pPr>
                  <w:r>
                    <w:rPr>
                      <w:color w:val="auto"/>
                      <w:szCs w:val="21"/>
                    </w:rPr>
                    <w:t>8500</w:t>
                  </w:r>
                </w:p>
              </w:tc>
              <w:tc>
                <w:tcPr>
                  <w:tcW w:w="1101" w:type="pct"/>
                  <w:vAlign w:val="center"/>
                </w:tcPr>
                <w:p w14:paraId="3863D1D4">
                  <w:pPr>
                    <w:widowControl/>
                    <w:jc w:val="center"/>
                    <w:textAlignment w:val="center"/>
                    <w:rPr>
                      <w:color w:val="auto"/>
                      <w:szCs w:val="21"/>
                    </w:rPr>
                  </w:pPr>
                  <w:r>
                    <w:rPr>
                      <w:color w:val="auto"/>
                      <w:kern w:val="0"/>
                      <w:szCs w:val="21"/>
                      <w:lang w:bidi="ar"/>
                    </w:rPr>
                    <w:t xml:space="preserve">1.69 </w:t>
                  </w:r>
                </w:p>
              </w:tc>
            </w:tr>
            <w:tr w14:paraId="63883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90" w:type="pct"/>
                  <w:vAlign w:val="center"/>
                </w:tcPr>
                <w:p w14:paraId="01F031CF">
                  <w:pPr>
                    <w:adjustRightInd w:val="0"/>
                    <w:snapToGrid w:val="0"/>
                    <w:jc w:val="center"/>
                    <w:rPr>
                      <w:color w:val="auto"/>
                      <w:szCs w:val="21"/>
                    </w:rPr>
                  </w:pPr>
                  <w:r>
                    <w:rPr>
                      <w:rFonts w:hint="eastAsia"/>
                      <w:color w:val="auto"/>
                      <w:szCs w:val="21"/>
                    </w:rPr>
                    <w:t>烘烤柜炉</w:t>
                  </w:r>
                </w:p>
              </w:tc>
              <w:tc>
                <w:tcPr>
                  <w:tcW w:w="999" w:type="pct"/>
                  <w:vAlign w:val="center"/>
                </w:tcPr>
                <w:p w14:paraId="76B392EF">
                  <w:pPr>
                    <w:adjustRightInd w:val="0"/>
                    <w:snapToGrid w:val="0"/>
                    <w:jc w:val="center"/>
                    <w:rPr>
                      <w:color w:val="auto"/>
                      <w:szCs w:val="21"/>
                    </w:rPr>
                  </w:pPr>
                  <w:r>
                    <w:rPr>
                      <w:rFonts w:hint="eastAsia"/>
                      <w:color w:val="auto"/>
                      <w:szCs w:val="21"/>
                    </w:rPr>
                    <w:t>2.16</w:t>
                  </w:r>
                </w:p>
              </w:tc>
              <w:tc>
                <w:tcPr>
                  <w:tcW w:w="547" w:type="pct"/>
                  <w:vAlign w:val="center"/>
                </w:tcPr>
                <w:p w14:paraId="6218D8A1">
                  <w:pPr>
                    <w:adjustRightInd w:val="0"/>
                    <w:snapToGrid w:val="0"/>
                    <w:jc w:val="center"/>
                    <w:rPr>
                      <w:color w:val="auto"/>
                      <w:szCs w:val="21"/>
                    </w:rPr>
                  </w:pPr>
                  <w:r>
                    <w:rPr>
                      <w:rFonts w:hint="eastAsia"/>
                      <w:color w:val="auto"/>
                      <w:szCs w:val="21"/>
                    </w:rPr>
                    <w:t>1</w:t>
                  </w:r>
                </w:p>
              </w:tc>
              <w:tc>
                <w:tcPr>
                  <w:tcW w:w="589" w:type="pct"/>
                  <w:vAlign w:val="center"/>
                </w:tcPr>
                <w:p w14:paraId="6E3B885B">
                  <w:pPr>
                    <w:adjustRightInd w:val="0"/>
                    <w:snapToGrid w:val="0"/>
                    <w:jc w:val="center"/>
                    <w:rPr>
                      <w:color w:val="auto"/>
                      <w:szCs w:val="21"/>
                    </w:rPr>
                  </w:pPr>
                  <w:r>
                    <w:rPr>
                      <w:rFonts w:hint="eastAsia"/>
                      <w:color w:val="auto"/>
                      <w:szCs w:val="21"/>
                    </w:rPr>
                    <w:t>600</w:t>
                  </w:r>
                </w:p>
              </w:tc>
              <w:tc>
                <w:tcPr>
                  <w:tcW w:w="672" w:type="pct"/>
                  <w:vAlign w:val="center"/>
                </w:tcPr>
                <w:p w14:paraId="7CEAEC2A">
                  <w:pPr>
                    <w:adjustRightInd w:val="0"/>
                    <w:snapToGrid w:val="0"/>
                    <w:jc w:val="center"/>
                    <w:rPr>
                      <w:color w:val="auto"/>
                      <w:szCs w:val="21"/>
                    </w:rPr>
                  </w:pPr>
                  <w:r>
                    <w:rPr>
                      <w:color w:val="auto"/>
                      <w:szCs w:val="21"/>
                    </w:rPr>
                    <w:t>8500</w:t>
                  </w:r>
                </w:p>
              </w:tc>
              <w:tc>
                <w:tcPr>
                  <w:tcW w:w="1101" w:type="pct"/>
                  <w:vAlign w:val="center"/>
                </w:tcPr>
                <w:p w14:paraId="5B72F0AE">
                  <w:pPr>
                    <w:widowControl/>
                    <w:jc w:val="center"/>
                    <w:textAlignment w:val="center"/>
                    <w:rPr>
                      <w:color w:val="auto"/>
                      <w:szCs w:val="21"/>
                    </w:rPr>
                  </w:pPr>
                  <w:r>
                    <w:rPr>
                      <w:color w:val="auto"/>
                      <w:kern w:val="0"/>
                      <w:szCs w:val="21"/>
                      <w:lang w:bidi="ar"/>
                    </w:rPr>
                    <w:t xml:space="preserve">0.17 </w:t>
                  </w:r>
                </w:p>
              </w:tc>
            </w:tr>
            <w:tr w14:paraId="4513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90" w:type="pct"/>
                  <w:vAlign w:val="center"/>
                </w:tcPr>
                <w:p w14:paraId="7B16A7A1">
                  <w:pPr>
                    <w:adjustRightInd w:val="0"/>
                    <w:snapToGrid w:val="0"/>
                    <w:jc w:val="center"/>
                    <w:rPr>
                      <w:color w:val="auto"/>
                      <w:szCs w:val="21"/>
                    </w:rPr>
                  </w:pPr>
                  <w:r>
                    <w:rPr>
                      <w:rFonts w:hint="eastAsia"/>
                      <w:color w:val="auto"/>
                      <w:szCs w:val="21"/>
                    </w:rPr>
                    <w:t>固化隧道炉</w:t>
                  </w:r>
                </w:p>
              </w:tc>
              <w:tc>
                <w:tcPr>
                  <w:tcW w:w="999" w:type="pct"/>
                  <w:vAlign w:val="center"/>
                </w:tcPr>
                <w:p w14:paraId="2F29BD28">
                  <w:pPr>
                    <w:adjustRightInd w:val="0"/>
                    <w:snapToGrid w:val="0"/>
                    <w:jc w:val="center"/>
                    <w:rPr>
                      <w:color w:val="auto"/>
                      <w:szCs w:val="21"/>
                    </w:rPr>
                  </w:pPr>
                  <w:r>
                    <w:rPr>
                      <w:rFonts w:hint="eastAsia"/>
                      <w:color w:val="auto"/>
                      <w:szCs w:val="21"/>
                    </w:rPr>
                    <w:t>21.6</w:t>
                  </w:r>
                </w:p>
              </w:tc>
              <w:tc>
                <w:tcPr>
                  <w:tcW w:w="547" w:type="pct"/>
                  <w:vAlign w:val="center"/>
                </w:tcPr>
                <w:p w14:paraId="6F4A7022">
                  <w:pPr>
                    <w:adjustRightInd w:val="0"/>
                    <w:snapToGrid w:val="0"/>
                    <w:jc w:val="center"/>
                    <w:rPr>
                      <w:color w:val="auto"/>
                      <w:szCs w:val="21"/>
                    </w:rPr>
                  </w:pPr>
                  <w:r>
                    <w:rPr>
                      <w:rFonts w:hint="eastAsia"/>
                      <w:color w:val="auto"/>
                      <w:szCs w:val="21"/>
                    </w:rPr>
                    <w:t>1</w:t>
                  </w:r>
                </w:p>
              </w:tc>
              <w:tc>
                <w:tcPr>
                  <w:tcW w:w="589" w:type="pct"/>
                  <w:vAlign w:val="center"/>
                </w:tcPr>
                <w:p w14:paraId="15BCC8EE">
                  <w:pPr>
                    <w:adjustRightInd w:val="0"/>
                    <w:snapToGrid w:val="0"/>
                    <w:jc w:val="center"/>
                    <w:rPr>
                      <w:color w:val="auto"/>
                      <w:szCs w:val="21"/>
                    </w:rPr>
                  </w:pPr>
                  <w:r>
                    <w:rPr>
                      <w:rFonts w:hint="eastAsia"/>
                      <w:color w:val="auto"/>
                      <w:szCs w:val="21"/>
                    </w:rPr>
                    <w:t>3000</w:t>
                  </w:r>
                </w:p>
              </w:tc>
              <w:tc>
                <w:tcPr>
                  <w:tcW w:w="672" w:type="pct"/>
                  <w:vAlign w:val="center"/>
                </w:tcPr>
                <w:p w14:paraId="0675209D">
                  <w:pPr>
                    <w:adjustRightInd w:val="0"/>
                    <w:snapToGrid w:val="0"/>
                    <w:jc w:val="center"/>
                    <w:rPr>
                      <w:color w:val="auto"/>
                      <w:szCs w:val="21"/>
                    </w:rPr>
                  </w:pPr>
                  <w:r>
                    <w:rPr>
                      <w:color w:val="auto"/>
                      <w:szCs w:val="21"/>
                    </w:rPr>
                    <w:t>8500</w:t>
                  </w:r>
                </w:p>
              </w:tc>
              <w:tc>
                <w:tcPr>
                  <w:tcW w:w="1101" w:type="pct"/>
                  <w:vAlign w:val="center"/>
                </w:tcPr>
                <w:p w14:paraId="5670EBD1">
                  <w:pPr>
                    <w:widowControl/>
                    <w:jc w:val="center"/>
                    <w:textAlignment w:val="center"/>
                    <w:rPr>
                      <w:color w:val="auto"/>
                      <w:szCs w:val="21"/>
                    </w:rPr>
                  </w:pPr>
                  <w:r>
                    <w:rPr>
                      <w:color w:val="auto"/>
                      <w:kern w:val="0"/>
                      <w:szCs w:val="21"/>
                      <w:lang w:bidi="ar"/>
                    </w:rPr>
                    <w:t xml:space="preserve">8.47 </w:t>
                  </w:r>
                </w:p>
              </w:tc>
            </w:tr>
            <w:tr w14:paraId="42077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90" w:type="pct"/>
                  <w:vAlign w:val="center"/>
                </w:tcPr>
                <w:p w14:paraId="1E09617A">
                  <w:pPr>
                    <w:adjustRightInd w:val="0"/>
                    <w:snapToGrid w:val="0"/>
                    <w:jc w:val="center"/>
                    <w:rPr>
                      <w:color w:val="auto"/>
                      <w:szCs w:val="21"/>
                    </w:rPr>
                  </w:pPr>
                  <w:r>
                    <w:rPr>
                      <w:rFonts w:hint="eastAsia"/>
                      <w:color w:val="auto"/>
                      <w:szCs w:val="21"/>
                    </w:rPr>
                    <w:t>烘烤隧道炉</w:t>
                  </w:r>
                </w:p>
              </w:tc>
              <w:tc>
                <w:tcPr>
                  <w:tcW w:w="999" w:type="pct"/>
                  <w:vAlign w:val="center"/>
                </w:tcPr>
                <w:p w14:paraId="68ED36FF">
                  <w:pPr>
                    <w:adjustRightInd w:val="0"/>
                    <w:snapToGrid w:val="0"/>
                    <w:jc w:val="center"/>
                    <w:rPr>
                      <w:color w:val="auto"/>
                      <w:szCs w:val="21"/>
                    </w:rPr>
                  </w:pPr>
                  <w:r>
                    <w:rPr>
                      <w:rFonts w:hint="eastAsia"/>
                      <w:color w:val="auto"/>
                      <w:szCs w:val="21"/>
                    </w:rPr>
                    <w:t>21.6</w:t>
                  </w:r>
                </w:p>
              </w:tc>
              <w:tc>
                <w:tcPr>
                  <w:tcW w:w="547" w:type="pct"/>
                  <w:vAlign w:val="center"/>
                </w:tcPr>
                <w:p w14:paraId="6F63BEE2">
                  <w:pPr>
                    <w:adjustRightInd w:val="0"/>
                    <w:snapToGrid w:val="0"/>
                    <w:jc w:val="center"/>
                    <w:rPr>
                      <w:color w:val="auto"/>
                      <w:szCs w:val="21"/>
                    </w:rPr>
                  </w:pPr>
                  <w:r>
                    <w:rPr>
                      <w:rFonts w:hint="eastAsia"/>
                      <w:color w:val="auto"/>
                      <w:szCs w:val="21"/>
                    </w:rPr>
                    <w:t>2</w:t>
                  </w:r>
                </w:p>
              </w:tc>
              <w:tc>
                <w:tcPr>
                  <w:tcW w:w="589" w:type="pct"/>
                  <w:vAlign w:val="center"/>
                </w:tcPr>
                <w:p w14:paraId="609ED3AB">
                  <w:pPr>
                    <w:adjustRightInd w:val="0"/>
                    <w:snapToGrid w:val="0"/>
                    <w:jc w:val="center"/>
                    <w:rPr>
                      <w:color w:val="auto"/>
                      <w:szCs w:val="21"/>
                    </w:rPr>
                  </w:pPr>
                  <w:r>
                    <w:rPr>
                      <w:rFonts w:hint="eastAsia"/>
                      <w:color w:val="auto"/>
                      <w:szCs w:val="21"/>
                    </w:rPr>
                    <w:t>3000</w:t>
                  </w:r>
                </w:p>
              </w:tc>
              <w:tc>
                <w:tcPr>
                  <w:tcW w:w="672" w:type="pct"/>
                  <w:vAlign w:val="center"/>
                </w:tcPr>
                <w:p w14:paraId="482B32CB">
                  <w:pPr>
                    <w:adjustRightInd w:val="0"/>
                    <w:snapToGrid w:val="0"/>
                    <w:jc w:val="center"/>
                    <w:rPr>
                      <w:color w:val="auto"/>
                      <w:szCs w:val="21"/>
                    </w:rPr>
                  </w:pPr>
                  <w:r>
                    <w:rPr>
                      <w:color w:val="auto"/>
                      <w:szCs w:val="21"/>
                    </w:rPr>
                    <w:t>8500</w:t>
                  </w:r>
                </w:p>
              </w:tc>
              <w:tc>
                <w:tcPr>
                  <w:tcW w:w="1101" w:type="pct"/>
                  <w:vAlign w:val="center"/>
                </w:tcPr>
                <w:p w14:paraId="3C487043">
                  <w:pPr>
                    <w:widowControl/>
                    <w:jc w:val="center"/>
                    <w:textAlignment w:val="center"/>
                    <w:rPr>
                      <w:color w:val="auto"/>
                      <w:szCs w:val="21"/>
                    </w:rPr>
                  </w:pPr>
                  <w:r>
                    <w:rPr>
                      <w:color w:val="auto"/>
                      <w:kern w:val="0"/>
                      <w:szCs w:val="21"/>
                      <w:lang w:bidi="ar"/>
                    </w:rPr>
                    <w:t xml:space="preserve">16.94 </w:t>
                  </w:r>
                </w:p>
              </w:tc>
            </w:tr>
            <w:tr w14:paraId="05C45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8" w:type="pct"/>
                  <w:gridSpan w:val="5"/>
                  <w:vAlign w:val="center"/>
                </w:tcPr>
                <w:p w14:paraId="3479A0AA">
                  <w:pPr>
                    <w:adjustRightInd w:val="0"/>
                    <w:snapToGrid w:val="0"/>
                    <w:jc w:val="center"/>
                    <w:rPr>
                      <w:color w:val="auto"/>
                      <w:szCs w:val="21"/>
                    </w:rPr>
                  </w:pPr>
                  <w:r>
                    <w:rPr>
                      <w:color w:val="auto"/>
                      <w:szCs w:val="21"/>
                    </w:rPr>
                    <w:t>合计</w:t>
                  </w:r>
                </w:p>
              </w:tc>
              <w:tc>
                <w:tcPr>
                  <w:tcW w:w="1101" w:type="pct"/>
                  <w:vAlign w:val="center"/>
                </w:tcPr>
                <w:p w14:paraId="39156B5B">
                  <w:pPr>
                    <w:widowControl/>
                    <w:jc w:val="center"/>
                    <w:textAlignment w:val="center"/>
                    <w:rPr>
                      <w:color w:val="auto"/>
                      <w:szCs w:val="21"/>
                    </w:rPr>
                  </w:pPr>
                  <w:r>
                    <w:rPr>
                      <w:color w:val="auto"/>
                      <w:kern w:val="0"/>
                      <w:szCs w:val="21"/>
                      <w:lang w:bidi="ar"/>
                    </w:rPr>
                    <w:t xml:space="preserve">27.28 </w:t>
                  </w:r>
                </w:p>
              </w:tc>
            </w:tr>
            <w:tr w14:paraId="3E388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vAlign w:val="center"/>
                </w:tcPr>
                <w:p w14:paraId="57E9C507">
                  <w:pPr>
                    <w:adjustRightInd w:val="0"/>
                    <w:snapToGrid w:val="0"/>
                    <w:jc w:val="left"/>
                    <w:rPr>
                      <w:color w:val="auto"/>
                      <w:szCs w:val="21"/>
                    </w:rPr>
                  </w:pPr>
                  <w:r>
                    <w:rPr>
                      <w:color w:val="auto"/>
                      <w:kern w:val="0"/>
                      <w:szCs w:val="21"/>
                    </w:rPr>
                    <w:t>注：小时用气量=燃烧机的大卡值÷（天然气热值×90%），天然气热值按8500大卡进行计算，热效率按90%计算。</w:t>
                  </w:r>
                  <w:r>
                    <w:rPr>
                      <w:rFonts w:hint="eastAsia"/>
                      <w:color w:val="auto"/>
                      <w:kern w:val="0"/>
                      <w:szCs w:val="21"/>
                    </w:rPr>
                    <w:t>除尾数房烘烤柜炉燃烧机的工作时间为2h/d，300d/a，其他</w:t>
                  </w:r>
                  <w:r>
                    <w:rPr>
                      <w:color w:val="auto"/>
                      <w:kern w:val="0"/>
                      <w:szCs w:val="21"/>
                    </w:rPr>
                    <w:t>燃烧机</w:t>
                  </w:r>
                  <w:r>
                    <w:rPr>
                      <w:rFonts w:hint="eastAsia"/>
                      <w:color w:val="auto"/>
                      <w:kern w:val="0"/>
                      <w:szCs w:val="21"/>
                    </w:rPr>
                    <w:t>的工作时间为10h/d，300d/a</w:t>
                  </w:r>
                  <w:r>
                    <w:rPr>
                      <w:color w:val="auto"/>
                      <w:kern w:val="0"/>
                      <w:szCs w:val="21"/>
                    </w:rPr>
                    <w:t>。</w:t>
                  </w:r>
                </w:p>
              </w:tc>
            </w:tr>
          </w:tbl>
          <w:p w14:paraId="1ADDB305">
            <w:pPr>
              <w:adjustRightInd w:val="0"/>
              <w:snapToGrid w:val="0"/>
              <w:spacing w:line="360" w:lineRule="auto"/>
              <w:ind w:left="-62" w:firstLine="482"/>
              <w:rPr>
                <w:b/>
                <w:color w:val="auto"/>
                <w:sz w:val="24"/>
              </w:rPr>
            </w:pPr>
            <w:r>
              <w:rPr>
                <w:b/>
                <w:color w:val="auto"/>
                <w:sz w:val="24"/>
              </w:rPr>
              <w:t>4、平面布置及四至关系</w:t>
            </w:r>
          </w:p>
          <w:p w14:paraId="462995F1">
            <w:pPr>
              <w:pStyle w:val="6"/>
              <w:numPr>
                <w:ilvl w:val="0"/>
                <w:numId w:val="15"/>
              </w:numPr>
              <w:ind w:left="0" w:leftChars="0" w:firstLine="482" w:firstLineChars="200"/>
              <w:rPr>
                <w:b/>
                <w:color w:val="auto"/>
                <w:sz w:val="24"/>
              </w:rPr>
            </w:pPr>
            <w:r>
              <w:rPr>
                <w:b/>
                <w:color w:val="auto"/>
                <w:sz w:val="24"/>
              </w:rPr>
              <w:t>四至关系</w:t>
            </w:r>
          </w:p>
          <w:p w14:paraId="446A1132">
            <w:pPr>
              <w:pStyle w:val="6"/>
              <w:ind w:left="0" w:leftChars="0" w:firstLine="480" w:firstLineChars="200"/>
              <w:rPr>
                <w:color w:val="auto"/>
                <w:sz w:val="24"/>
                <w:highlight w:val="yellow"/>
              </w:rPr>
            </w:pPr>
            <w:r>
              <w:rPr>
                <w:color w:val="auto"/>
                <w:sz w:val="24"/>
              </w:rPr>
              <w:t>项目位于</w:t>
            </w:r>
            <w:r>
              <w:rPr>
                <w:rFonts w:hint="eastAsia"/>
                <w:color w:val="auto"/>
                <w:sz w:val="24"/>
              </w:rPr>
              <w:t>广东省惠州市博罗县石湾镇黄西村宝居乐工业园A1栋4-7楼</w:t>
            </w:r>
            <w:r>
              <w:rPr>
                <w:color w:val="auto"/>
                <w:sz w:val="24"/>
              </w:rPr>
              <w:t>，</w:t>
            </w:r>
            <w:r>
              <w:rPr>
                <w:rFonts w:hint="eastAsia"/>
                <w:color w:val="auto"/>
                <w:sz w:val="24"/>
              </w:rPr>
              <w:t>所在厂房1-3楼为惠州市聚焦电线有限公司，主要从事网线生产。</w:t>
            </w:r>
            <w:r>
              <w:rPr>
                <w:color w:val="auto"/>
                <w:sz w:val="24"/>
              </w:rPr>
              <w:t>项目四至详见附图2</w:t>
            </w:r>
            <w:r>
              <w:rPr>
                <w:rFonts w:hint="eastAsia"/>
                <w:color w:val="auto"/>
                <w:sz w:val="24"/>
              </w:rPr>
              <w:t>、附图3</w:t>
            </w:r>
            <w:r>
              <w:rPr>
                <w:color w:val="auto"/>
                <w:sz w:val="24"/>
              </w:rPr>
              <w:t>。</w:t>
            </w:r>
          </w:p>
          <w:p w14:paraId="3422926B">
            <w:pPr>
              <w:numPr>
                <w:ilvl w:val="0"/>
                <w:numId w:val="10"/>
              </w:numPr>
              <w:adjustRightInd w:val="0"/>
              <w:snapToGrid w:val="0"/>
              <w:jc w:val="center"/>
              <w:rPr>
                <w:b/>
                <w:color w:val="auto"/>
                <w:szCs w:val="21"/>
              </w:rPr>
            </w:pPr>
            <w:r>
              <w:rPr>
                <w:b/>
                <w:color w:val="auto"/>
                <w:szCs w:val="21"/>
              </w:rPr>
              <w:t>项目四邻关系一览表</w:t>
            </w:r>
          </w:p>
          <w:tbl>
            <w:tblPr>
              <w:tblStyle w:val="3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6"/>
              <w:gridCol w:w="3632"/>
              <w:gridCol w:w="3902"/>
            </w:tblGrid>
            <w:tr w14:paraId="6F1CE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5" w:type="pct"/>
                  <w:vAlign w:val="center"/>
                </w:tcPr>
                <w:p w14:paraId="2D57D1E3">
                  <w:pPr>
                    <w:pStyle w:val="6"/>
                    <w:spacing w:line="240" w:lineRule="auto"/>
                    <w:ind w:left="0" w:leftChars="0" w:firstLine="0" w:firstLineChars="0"/>
                    <w:jc w:val="center"/>
                    <w:rPr>
                      <w:b/>
                      <w:color w:val="auto"/>
                      <w:szCs w:val="21"/>
                    </w:rPr>
                  </w:pPr>
                  <w:r>
                    <w:rPr>
                      <w:b/>
                      <w:color w:val="auto"/>
                      <w:szCs w:val="21"/>
                    </w:rPr>
                    <w:t>方位</w:t>
                  </w:r>
                </w:p>
              </w:tc>
              <w:tc>
                <w:tcPr>
                  <w:tcW w:w="1819" w:type="pct"/>
                  <w:vAlign w:val="center"/>
                </w:tcPr>
                <w:p w14:paraId="1D1BC217">
                  <w:pPr>
                    <w:pStyle w:val="6"/>
                    <w:spacing w:line="240" w:lineRule="auto"/>
                    <w:ind w:left="0" w:leftChars="0" w:firstLine="0" w:firstLineChars="0"/>
                    <w:jc w:val="center"/>
                    <w:rPr>
                      <w:b/>
                      <w:color w:val="auto"/>
                      <w:szCs w:val="21"/>
                    </w:rPr>
                  </w:pPr>
                  <w:r>
                    <w:rPr>
                      <w:b/>
                      <w:color w:val="auto"/>
                      <w:szCs w:val="21"/>
                    </w:rPr>
                    <w:t>距离（m）</w:t>
                  </w:r>
                </w:p>
              </w:tc>
              <w:tc>
                <w:tcPr>
                  <w:tcW w:w="1955" w:type="pct"/>
                  <w:vAlign w:val="center"/>
                </w:tcPr>
                <w:p w14:paraId="4CF1B0EA">
                  <w:pPr>
                    <w:pStyle w:val="6"/>
                    <w:spacing w:line="240" w:lineRule="auto"/>
                    <w:ind w:left="0" w:leftChars="0" w:firstLine="0" w:firstLineChars="0"/>
                    <w:jc w:val="center"/>
                    <w:rPr>
                      <w:b/>
                      <w:color w:val="auto"/>
                      <w:szCs w:val="21"/>
                    </w:rPr>
                  </w:pPr>
                  <w:r>
                    <w:rPr>
                      <w:b/>
                      <w:color w:val="auto"/>
                      <w:szCs w:val="21"/>
                    </w:rPr>
                    <w:t>名称</w:t>
                  </w:r>
                </w:p>
              </w:tc>
            </w:tr>
            <w:tr w14:paraId="2B8D5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5" w:type="pct"/>
                  <w:vAlign w:val="center"/>
                </w:tcPr>
                <w:p w14:paraId="422C9B2F">
                  <w:pPr>
                    <w:pStyle w:val="6"/>
                    <w:spacing w:line="240" w:lineRule="auto"/>
                    <w:ind w:left="0" w:leftChars="0" w:firstLine="0" w:firstLineChars="0"/>
                    <w:jc w:val="center"/>
                    <w:rPr>
                      <w:bCs/>
                      <w:color w:val="auto"/>
                      <w:szCs w:val="21"/>
                    </w:rPr>
                  </w:pPr>
                  <w:r>
                    <w:rPr>
                      <w:bCs/>
                      <w:color w:val="auto"/>
                      <w:szCs w:val="21"/>
                    </w:rPr>
                    <w:t>东</w:t>
                  </w:r>
                  <w:r>
                    <w:rPr>
                      <w:rFonts w:hint="eastAsia"/>
                      <w:bCs/>
                      <w:color w:val="auto"/>
                      <w:szCs w:val="21"/>
                    </w:rPr>
                    <w:t>北</w:t>
                  </w:r>
                  <w:r>
                    <w:rPr>
                      <w:bCs/>
                      <w:color w:val="auto"/>
                      <w:szCs w:val="21"/>
                    </w:rPr>
                    <w:t>面</w:t>
                  </w:r>
                </w:p>
              </w:tc>
              <w:tc>
                <w:tcPr>
                  <w:tcW w:w="1819" w:type="pct"/>
                  <w:vAlign w:val="center"/>
                </w:tcPr>
                <w:p w14:paraId="444A3111">
                  <w:pPr>
                    <w:pStyle w:val="6"/>
                    <w:spacing w:line="240" w:lineRule="auto"/>
                    <w:ind w:left="0" w:leftChars="0" w:firstLine="0" w:firstLineChars="0"/>
                    <w:jc w:val="center"/>
                    <w:rPr>
                      <w:bCs/>
                      <w:color w:val="auto"/>
                      <w:szCs w:val="21"/>
                    </w:rPr>
                  </w:pPr>
                  <w:r>
                    <w:rPr>
                      <w:bCs/>
                      <w:color w:val="auto"/>
                      <w:szCs w:val="21"/>
                    </w:rPr>
                    <w:t>紧邻</w:t>
                  </w:r>
                </w:p>
              </w:tc>
              <w:tc>
                <w:tcPr>
                  <w:tcW w:w="1955" w:type="pct"/>
                  <w:vAlign w:val="center"/>
                </w:tcPr>
                <w:p w14:paraId="6D492E97">
                  <w:pPr>
                    <w:pStyle w:val="6"/>
                    <w:spacing w:line="240" w:lineRule="auto"/>
                    <w:ind w:left="0" w:leftChars="0" w:firstLine="0" w:firstLineChars="0"/>
                    <w:jc w:val="center"/>
                    <w:rPr>
                      <w:bCs/>
                      <w:color w:val="auto"/>
                      <w:szCs w:val="21"/>
                    </w:rPr>
                  </w:pPr>
                  <w:r>
                    <w:rPr>
                      <w:rFonts w:hint="eastAsia"/>
                      <w:bCs/>
                      <w:color w:val="auto"/>
                      <w:szCs w:val="21"/>
                    </w:rPr>
                    <w:t>乡道、空地（规划为农林用地）</w:t>
                  </w:r>
                </w:p>
              </w:tc>
            </w:tr>
            <w:tr w14:paraId="500A0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5" w:type="pct"/>
                  <w:vAlign w:val="center"/>
                </w:tcPr>
                <w:p w14:paraId="68B9278A">
                  <w:pPr>
                    <w:pStyle w:val="6"/>
                    <w:spacing w:line="240" w:lineRule="auto"/>
                    <w:ind w:left="0" w:leftChars="0" w:firstLine="0" w:firstLineChars="0"/>
                    <w:jc w:val="center"/>
                    <w:rPr>
                      <w:bCs/>
                      <w:color w:val="auto"/>
                      <w:szCs w:val="21"/>
                    </w:rPr>
                  </w:pPr>
                  <w:r>
                    <w:rPr>
                      <w:rFonts w:hint="eastAsia"/>
                      <w:bCs/>
                      <w:color w:val="auto"/>
                      <w:szCs w:val="21"/>
                    </w:rPr>
                    <w:t>西北面</w:t>
                  </w:r>
                </w:p>
              </w:tc>
              <w:tc>
                <w:tcPr>
                  <w:tcW w:w="1819" w:type="pct"/>
                  <w:vAlign w:val="center"/>
                </w:tcPr>
                <w:p w14:paraId="222EBE96">
                  <w:pPr>
                    <w:pStyle w:val="6"/>
                    <w:spacing w:line="240" w:lineRule="auto"/>
                    <w:ind w:left="0" w:leftChars="0" w:firstLine="0" w:firstLineChars="0"/>
                    <w:jc w:val="center"/>
                    <w:rPr>
                      <w:bCs/>
                      <w:color w:val="auto"/>
                      <w:szCs w:val="21"/>
                    </w:rPr>
                  </w:pPr>
                  <w:r>
                    <w:rPr>
                      <w:bCs/>
                      <w:color w:val="auto"/>
                      <w:szCs w:val="21"/>
                    </w:rPr>
                    <w:t>紧邻</w:t>
                  </w:r>
                </w:p>
              </w:tc>
              <w:tc>
                <w:tcPr>
                  <w:tcW w:w="1955" w:type="pct"/>
                  <w:vAlign w:val="center"/>
                </w:tcPr>
                <w:p w14:paraId="76525815">
                  <w:pPr>
                    <w:pStyle w:val="6"/>
                    <w:spacing w:line="240" w:lineRule="auto"/>
                    <w:ind w:left="0" w:leftChars="0" w:firstLine="0" w:firstLineChars="0"/>
                    <w:jc w:val="center"/>
                    <w:rPr>
                      <w:bCs/>
                      <w:color w:val="auto"/>
                      <w:szCs w:val="21"/>
                    </w:rPr>
                  </w:pPr>
                  <w:r>
                    <w:rPr>
                      <w:rFonts w:hint="eastAsia"/>
                      <w:bCs/>
                      <w:color w:val="auto"/>
                      <w:szCs w:val="21"/>
                    </w:rPr>
                    <w:t>B6栋厂房</w:t>
                  </w:r>
                </w:p>
              </w:tc>
            </w:tr>
            <w:tr w14:paraId="60BA2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5" w:type="pct"/>
                  <w:vAlign w:val="center"/>
                </w:tcPr>
                <w:p w14:paraId="2B58D1E5">
                  <w:pPr>
                    <w:pStyle w:val="6"/>
                    <w:spacing w:line="240" w:lineRule="auto"/>
                    <w:ind w:left="0" w:leftChars="0" w:firstLine="0" w:firstLineChars="0"/>
                    <w:jc w:val="center"/>
                    <w:rPr>
                      <w:bCs/>
                      <w:color w:val="auto"/>
                      <w:szCs w:val="21"/>
                    </w:rPr>
                  </w:pPr>
                  <w:r>
                    <w:rPr>
                      <w:bCs/>
                      <w:color w:val="auto"/>
                      <w:szCs w:val="21"/>
                    </w:rPr>
                    <w:t>西</w:t>
                  </w:r>
                  <w:r>
                    <w:rPr>
                      <w:rFonts w:hint="eastAsia"/>
                      <w:bCs/>
                      <w:color w:val="auto"/>
                      <w:szCs w:val="21"/>
                    </w:rPr>
                    <w:t>南</w:t>
                  </w:r>
                  <w:r>
                    <w:rPr>
                      <w:bCs/>
                      <w:color w:val="auto"/>
                      <w:szCs w:val="21"/>
                    </w:rPr>
                    <w:t>面</w:t>
                  </w:r>
                </w:p>
              </w:tc>
              <w:tc>
                <w:tcPr>
                  <w:tcW w:w="1819" w:type="pct"/>
                  <w:vAlign w:val="center"/>
                </w:tcPr>
                <w:p w14:paraId="0979012E">
                  <w:pPr>
                    <w:pStyle w:val="6"/>
                    <w:spacing w:line="240" w:lineRule="auto"/>
                    <w:ind w:left="0" w:leftChars="0" w:firstLine="0" w:firstLineChars="0"/>
                    <w:jc w:val="center"/>
                    <w:rPr>
                      <w:bCs/>
                      <w:color w:val="auto"/>
                      <w:szCs w:val="21"/>
                    </w:rPr>
                  </w:pPr>
                  <w:r>
                    <w:rPr>
                      <w:bCs/>
                      <w:color w:val="auto"/>
                      <w:szCs w:val="21"/>
                    </w:rPr>
                    <w:t>紧邻</w:t>
                  </w:r>
                </w:p>
              </w:tc>
              <w:tc>
                <w:tcPr>
                  <w:tcW w:w="1955" w:type="pct"/>
                  <w:vAlign w:val="center"/>
                </w:tcPr>
                <w:p w14:paraId="022F0407">
                  <w:pPr>
                    <w:jc w:val="center"/>
                    <w:rPr>
                      <w:bCs/>
                      <w:color w:val="auto"/>
                      <w:szCs w:val="21"/>
                    </w:rPr>
                  </w:pPr>
                  <w:r>
                    <w:rPr>
                      <w:rFonts w:hint="eastAsia"/>
                      <w:bCs/>
                      <w:color w:val="auto"/>
                      <w:szCs w:val="21"/>
                    </w:rPr>
                    <w:t>B3栋厂房</w:t>
                  </w:r>
                </w:p>
              </w:tc>
            </w:tr>
            <w:tr w14:paraId="730C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5" w:type="pct"/>
                  <w:vAlign w:val="center"/>
                </w:tcPr>
                <w:p w14:paraId="60FD65EA">
                  <w:pPr>
                    <w:pStyle w:val="6"/>
                    <w:spacing w:line="240" w:lineRule="auto"/>
                    <w:ind w:left="0" w:leftChars="0" w:firstLine="0" w:firstLineChars="0"/>
                    <w:jc w:val="center"/>
                    <w:rPr>
                      <w:bCs/>
                      <w:color w:val="auto"/>
                      <w:szCs w:val="21"/>
                    </w:rPr>
                  </w:pPr>
                  <w:r>
                    <w:rPr>
                      <w:rFonts w:hint="eastAsia"/>
                      <w:bCs/>
                      <w:color w:val="auto"/>
                      <w:szCs w:val="21"/>
                    </w:rPr>
                    <w:t>东南</w:t>
                  </w:r>
                  <w:r>
                    <w:rPr>
                      <w:bCs/>
                      <w:color w:val="auto"/>
                      <w:szCs w:val="21"/>
                    </w:rPr>
                    <w:t>面</w:t>
                  </w:r>
                </w:p>
              </w:tc>
              <w:tc>
                <w:tcPr>
                  <w:tcW w:w="1819" w:type="pct"/>
                  <w:vAlign w:val="center"/>
                </w:tcPr>
                <w:p w14:paraId="743BA4AF">
                  <w:pPr>
                    <w:pStyle w:val="6"/>
                    <w:spacing w:line="240" w:lineRule="auto"/>
                    <w:ind w:left="0" w:leftChars="0" w:firstLine="0" w:firstLineChars="0"/>
                    <w:jc w:val="center"/>
                    <w:rPr>
                      <w:bCs/>
                      <w:color w:val="auto"/>
                      <w:szCs w:val="21"/>
                    </w:rPr>
                  </w:pPr>
                  <w:r>
                    <w:rPr>
                      <w:bCs/>
                      <w:color w:val="auto"/>
                      <w:szCs w:val="21"/>
                    </w:rPr>
                    <w:t>紧邻</w:t>
                  </w:r>
                </w:p>
              </w:tc>
              <w:tc>
                <w:tcPr>
                  <w:tcW w:w="1955" w:type="pct"/>
                  <w:vAlign w:val="center"/>
                </w:tcPr>
                <w:p w14:paraId="2F29D63F">
                  <w:pPr>
                    <w:pStyle w:val="6"/>
                    <w:spacing w:line="240" w:lineRule="auto"/>
                    <w:ind w:left="0" w:leftChars="0" w:firstLine="0" w:firstLineChars="0"/>
                    <w:jc w:val="center"/>
                    <w:rPr>
                      <w:bCs/>
                      <w:color w:val="auto"/>
                      <w:szCs w:val="21"/>
                    </w:rPr>
                  </w:pPr>
                  <w:r>
                    <w:rPr>
                      <w:rFonts w:hint="eastAsia"/>
                      <w:bCs/>
                      <w:color w:val="auto"/>
                      <w:szCs w:val="21"/>
                    </w:rPr>
                    <w:t>A2栋厂房</w:t>
                  </w:r>
                </w:p>
              </w:tc>
            </w:tr>
          </w:tbl>
          <w:p w14:paraId="5220C6C4">
            <w:pPr>
              <w:pStyle w:val="6"/>
              <w:ind w:left="0" w:leftChars="0" w:firstLine="482" w:firstLineChars="200"/>
              <w:rPr>
                <w:b/>
                <w:bCs/>
                <w:color w:val="auto"/>
                <w:sz w:val="24"/>
              </w:rPr>
            </w:pPr>
            <w:r>
              <w:rPr>
                <w:b/>
                <w:bCs/>
                <w:color w:val="auto"/>
                <w:sz w:val="24"/>
              </w:rPr>
              <w:t>（2）平面布置</w:t>
            </w:r>
          </w:p>
          <w:p w14:paraId="4E761F8C">
            <w:pPr>
              <w:pStyle w:val="6"/>
              <w:ind w:left="0" w:leftChars="0" w:firstLine="480" w:firstLineChars="200"/>
              <w:rPr>
                <w:color w:val="auto"/>
                <w:sz w:val="24"/>
              </w:rPr>
            </w:pPr>
            <w:r>
              <w:rPr>
                <w:color w:val="auto"/>
                <w:kern w:val="0"/>
                <w:sz w:val="24"/>
              </w:rPr>
              <w:t>本项目</w:t>
            </w:r>
            <w:r>
              <w:rPr>
                <w:rFonts w:hint="eastAsia"/>
                <w:color w:val="auto"/>
                <w:kern w:val="0"/>
                <w:sz w:val="24"/>
              </w:rPr>
              <w:t>设于A1栋厂房的4-7楼，其中4楼主要进行工件的喷粉、喷涂加工，共设有1个粉线房和2个喷漆房；5楼主要进行喷粉、喷漆工件的固化和烘烤，共设有1个固化隧道炉和2个烘烤隧道炉；6楼主要进行工件的前处理加工，共设有打砂区、前处理区、毛坯存储区和废水处理区</w:t>
            </w:r>
            <w:r>
              <w:rPr>
                <w:color w:val="auto"/>
                <w:sz w:val="24"/>
              </w:rPr>
              <w:t>，具体平面布置情况见附图</w:t>
            </w:r>
            <w:r>
              <w:rPr>
                <w:rFonts w:hint="eastAsia"/>
                <w:color w:val="auto"/>
                <w:sz w:val="24"/>
              </w:rPr>
              <w:t>6</w:t>
            </w:r>
            <w:r>
              <w:rPr>
                <w:color w:val="auto"/>
                <w:sz w:val="24"/>
              </w:rPr>
              <w:t>。</w:t>
            </w:r>
          </w:p>
          <w:p w14:paraId="24A52F9A">
            <w:pPr>
              <w:spacing w:line="360" w:lineRule="auto"/>
              <w:ind w:left="420"/>
              <w:rPr>
                <w:b/>
                <w:bCs/>
                <w:color w:val="auto"/>
                <w:sz w:val="24"/>
              </w:rPr>
            </w:pPr>
            <w:r>
              <w:rPr>
                <w:b/>
                <w:bCs/>
                <w:color w:val="auto"/>
                <w:sz w:val="24"/>
              </w:rPr>
              <w:t>5、劳动定员及工作制度</w:t>
            </w:r>
          </w:p>
          <w:p w14:paraId="701FF671">
            <w:pPr>
              <w:spacing w:line="360" w:lineRule="auto"/>
              <w:ind w:firstLine="487" w:firstLineChars="203"/>
              <w:rPr>
                <w:color w:val="auto"/>
                <w:sz w:val="24"/>
              </w:rPr>
            </w:pPr>
            <w:r>
              <w:rPr>
                <w:color w:val="auto"/>
                <w:sz w:val="24"/>
              </w:rPr>
              <w:t>劳动定员：项目运营期拟聘请员工</w:t>
            </w:r>
            <w:r>
              <w:rPr>
                <w:rFonts w:hint="eastAsia"/>
                <w:color w:val="auto"/>
                <w:sz w:val="24"/>
              </w:rPr>
              <w:t>50</w:t>
            </w:r>
            <w:r>
              <w:rPr>
                <w:color w:val="auto"/>
                <w:sz w:val="24"/>
              </w:rPr>
              <w:t>人，均不在厂区食宿。</w:t>
            </w:r>
          </w:p>
          <w:p w14:paraId="153E428B">
            <w:pPr>
              <w:spacing w:line="360" w:lineRule="auto"/>
              <w:ind w:firstLine="487" w:firstLineChars="203"/>
              <w:rPr>
                <w:b/>
                <w:color w:val="auto"/>
                <w:sz w:val="24"/>
              </w:rPr>
            </w:pPr>
            <w:r>
              <w:rPr>
                <w:color w:val="auto"/>
                <w:sz w:val="24"/>
              </w:rPr>
              <w:t>工作制度：项目运营期年工作日为300天，每天工作1</w:t>
            </w:r>
            <w:r>
              <w:rPr>
                <w:rFonts w:hint="eastAsia"/>
                <w:color w:val="auto"/>
                <w:sz w:val="24"/>
              </w:rPr>
              <w:t>0</w:t>
            </w:r>
            <w:r>
              <w:rPr>
                <w:color w:val="auto"/>
                <w:sz w:val="24"/>
              </w:rPr>
              <w:t>小时，一班制。</w:t>
            </w:r>
          </w:p>
          <w:p w14:paraId="108B7AC8">
            <w:pPr>
              <w:adjustRightInd w:val="0"/>
              <w:snapToGrid w:val="0"/>
              <w:spacing w:line="360" w:lineRule="auto"/>
              <w:ind w:left="-62" w:firstLine="482"/>
              <w:rPr>
                <w:b/>
                <w:color w:val="auto"/>
                <w:sz w:val="24"/>
              </w:rPr>
            </w:pPr>
            <w:r>
              <w:rPr>
                <w:b/>
                <w:color w:val="auto"/>
                <w:sz w:val="24"/>
              </w:rPr>
              <w:t>6、</w:t>
            </w:r>
            <w:r>
              <w:rPr>
                <w:b/>
                <w:bCs/>
                <w:color w:val="auto"/>
                <w:kern w:val="0"/>
                <w:sz w:val="24"/>
              </w:rPr>
              <w:t>项目能源消耗情况</w:t>
            </w:r>
          </w:p>
          <w:p w14:paraId="51F20B8B">
            <w:pPr>
              <w:pStyle w:val="6"/>
              <w:ind w:left="0" w:leftChars="0" w:firstLine="482" w:firstLineChars="200"/>
              <w:rPr>
                <w:b/>
                <w:bCs/>
                <w:color w:val="auto"/>
                <w:sz w:val="24"/>
              </w:rPr>
            </w:pPr>
            <w:r>
              <w:rPr>
                <w:b/>
                <w:bCs/>
                <w:color w:val="auto"/>
                <w:sz w:val="24"/>
              </w:rPr>
              <w:t>（1）供电</w:t>
            </w:r>
          </w:p>
          <w:p w14:paraId="4DB1B8E0">
            <w:pPr>
              <w:pStyle w:val="6"/>
              <w:ind w:left="0" w:leftChars="0" w:firstLine="480" w:firstLineChars="200"/>
              <w:rPr>
                <w:color w:val="auto"/>
                <w:sz w:val="24"/>
              </w:rPr>
            </w:pPr>
            <w:r>
              <w:rPr>
                <w:color w:val="auto"/>
                <w:sz w:val="24"/>
              </w:rPr>
              <w:t>项目</w:t>
            </w:r>
            <w:r>
              <w:rPr>
                <w:rFonts w:hint="eastAsia"/>
                <w:color w:val="auto"/>
                <w:sz w:val="24"/>
              </w:rPr>
              <w:t>用电有市政电网供给，</w:t>
            </w:r>
            <w:r>
              <w:rPr>
                <w:color w:val="auto"/>
                <w:sz w:val="24"/>
              </w:rPr>
              <w:t>年耗电量约</w:t>
            </w:r>
            <w:r>
              <w:rPr>
                <w:rFonts w:hint="eastAsia"/>
                <w:color w:val="auto"/>
                <w:sz w:val="24"/>
              </w:rPr>
              <w:t>12</w:t>
            </w:r>
            <w:r>
              <w:rPr>
                <w:color w:val="auto"/>
                <w:sz w:val="24"/>
              </w:rPr>
              <w:t>0万</w:t>
            </w:r>
            <w:r>
              <w:rPr>
                <w:rFonts w:hint="eastAsia"/>
                <w:color w:val="auto"/>
                <w:sz w:val="24"/>
              </w:rPr>
              <w:t>kWh</w:t>
            </w:r>
            <w:r>
              <w:rPr>
                <w:color w:val="auto"/>
                <w:sz w:val="24"/>
              </w:rPr>
              <w:t>。</w:t>
            </w:r>
          </w:p>
          <w:p w14:paraId="360E3A00">
            <w:pPr>
              <w:pStyle w:val="6"/>
              <w:ind w:left="0" w:leftChars="0" w:firstLine="482" w:firstLineChars="200"/>
              <w:rPr>
                <w:b/>
                <w:bCs/>
                <w:color w:val="auto"/>
                <w:sz w:val="24"/>
              </w:rPr>
            </w:pPr>
            <w:r>
              <w:rPr>
                <w:b/>
                <w:bCs/>
                <w:color w:val="auto"/>
                <w:sz w:val="24"/>
              </w:rPr>
              <w:t>（2）天然气用量</w:t>
            </w:r>
          </w:p>
          <w:p w14:paraId="5AD3D68F">
            <w:pPr>
              <w:pStyle w:val="6"/>
              <w:ind w:left="0" w:leftChars="0" w:firstLine="480" w:firstLineChars="200"/>
              <w:rPr>
                <w:color w:val="auto"/>
              </w:rPr>
            </w:pPr>
            <w:r>
              <w:rPr>
                <w:color w:val="auto"/>
                <w:sz w:val="24"/>
                <w:szCs w:val="32"/>
              </w:rPr>
              <w:t>项目所在地市政天然气管道已接通，项目燃烧机均以管道天然气作为能源，年用量约为</w:t>
            </w:r>
            <w:r>
              <w:rPr>
                <w:rFonts w:hint="eastAsia"/>
                <w:color w:val="auto"/>
                <w:sz w:val="24"/>
                <w:szCs w:val="32"/>
              </w:rPr>
              <w:t>27.28</w:t>
            </w:r>
            <w:r>
              <w:rPr>
                <w:color w:val="auto"/>
                <w:kern w:val="0"/>
                <w:sz w:val="24"/>
              </w:rPr>
              <w:t>万m</w:t>
            </w:r>
            <w:r>
              <w:rPr>
                <w:color w:val="auto"/>
                <w:kern w:val="0"/>
                <w:sz w:val="24"/>
                <w:vertAlign w:val="superscript"/>
              </w:rPr>
              <w:t>3</w:t>
            </w:r>
            <w:r>
              <w:rPr>
                <w:color w:val="auto"/>
                <w:sz w:val="24"/>
              </w:rPr>
              <w:t>。</w:t>
            </w:r>
          </w:p>
          <w:p w14:paraId="0BDB0D82">
            <w:pPr>
              <w:adjustRightInd w:val="0"/>
              <w:snapToGrid w:val="0"/>
              <w:spacing w:line="360" w:lineRule="auto"/>
              <w:ind w:left="-62" w:firstLine="482"/>
              <w:rPr>
                <w:b/>
                <w:color w:val="auto"/>
                <w:sz w:val="24"/>
              </w:rPr>
            </w:pPr>
            <w:r>
              <w:rPr>
                <w:b/>
                <w:color w:val="auto"/>
                <w:sz w:val="24"/>
              </w:rPr>
              <w:t>7、</w:t>
            </w:r>
            <w:r>
              <w:rPr>
                <w:b/>
                <w:bCs/>
                <w:color w:val="auto"/>
                <w:kern w:val="0"/>
                <w:sz w:val="24"/>
              </w:rPr>
              <w:t>项目给、排水情况</w:t>
            </w:r>
          </w:p>
          <w:p w14:paraId="6DA1FABB">
            <w:pPr>
              <w:adjustRightInd w:val="0"/>
              <w:snapToGrid w:val="0"/>
              <w:spacing w:line="360" w:lineRule="auto"/>
              <w:ind w:firstLine="482" w:firstLineChars="200"/>
              <w:rPr>
                <w:bCs/>
                <w:color w:val="auto"/>
                <w:sz w:val="24"/>
              </w:rPr>
            </w:pPr>
            <w:r>
              <w:rPr>
                <w:b/>
                <w:color w:val="auto"/>
                <w:sz w:val="24"/>
              </w:rPr>
              <w:t>（1）给水情况</w:t>
            </w:r>
          </w:p>
          <w:p w14:paraId="7A1CD536">
            <w:pPr>
              <w:adjustRightInd w:val="0"/>
              <w:snapToGrid w:val="0"/>
              <w:spacing w:line="360" w:lineRule="auto"/>
              <w:ind w:firstLine="480" w:firstLineChars="200"/>
              <w:rPr>
                <w:bCs/>
                <w:color w:val="auto"/>
                <w:sz w:val="24"/>
              </w:rPr>
            </w:pPr>
            <w:r>
              <w:rPr>
                <w:color w:val="auto"/>
                <w:kern w:val="0"/>
                <w:sz w:val="24"/>
              </w:rPr>
              <w:t>本项目用水由市政自来水厂供给，运营期用水主要为生产用水及生活用水，生产用水包括功能槽用水、</w:t>
            </w:r>
            <w:r>
              <w:rPr>
                <w:rFonts w:hint="eastAsia"/>
                <w:color w:val="auto"/>
                <w:kern w:val="0"/>
                <w:sz w:val="24"/>
              </w:rPr>
              <w:t>清洗</w:t>
            </w:r>
            <w:r>
              <w:rPr>
                <w:color w:val="auto"/>
                <w:kern w:val="0"/>
                <w:sz w:val="24"/>
              </w:rPr>
              <w:t>槽用水</w:t>
            </w:r>
            <w:r>
              <w:rPr>
                <w:rFonts w:hint="eastAsia"/>
                <w:color w:val="auto"/>
                <w:kern w:val="0"/>
                <w:sz w:val="24"/>
              </w:rPr>
              <w:t>、水帘柜用水、喷淋柜用水、喷枪清洗用水、喷淋塔用水和废水处理设施</w:t>
            </w:r>
            <w:r>
              <w:rPr>
                <w:color w:val="auto"/>
                <w:kern w:val="0"/>
                <w:sz w:val="24"/>
              </w:rPr>
              <w:t>反冲洗用水。</w:t>
            </w:r>
          </w:p>
          <w:p w14:paraId="3F2C6D6E">
            <w:pPr>
              <w:adjustRightInd w:val="0"/>
              <w:snapToGrid w:val="0"/>
              <w:spacing w:line="360" w:lineRule="auto"/>
              <w:ind w:firstLine="482" w:firstLineChars="200"/>
              <w:rPr>
                <w:bCs/>
                <w:color w:val="auto"/>
                <w:sz w:val="24"/>
              </w:rPr>
            </w:pPr>
            <w:r>
              <w:rPr>
                <w:b/>
                <w:color w:val="auto"/>
                <w:sz w:val="24"/>
              </w:rPr>
              <w:t>1）功能槽用水</w:t>
            </w:r>
          </w:p>
          <w:p w14:paraId="266EF5B2">
            <w:pPr>
              <w:widowControl/>
              <w:adjustRightInd w:val="0"/>
              <w:snapToGrid w:val="0"/>
              <w:spacing w:line="360" w:lineRule="auto"/>
              <w:ind w:firstLine="480" w:firstLineChars="200"/>
              <w:rPr>
                <w:bCs/>
                <w:color w:val="auto"/>
                <w:sz w:val="24"/>
              </w:rPr>
            </w:pPr>
            <w:r>
              <w:rPr>
                <w:color w:val="auto"/>
                <w:sz w:val="24"/>
              </w:rPr>
              <w:t>本项目</w:t>
            </w:r>
            <w:r>
              <w:rPr>
                <w:rFonts w:hint="eastAsia"/>
                <w:color w:val="auto"/>
                <w:sz w:val="24"/>
              </w:rPr>
              <w:t>设有1</w:t>
            </w:r>
            <w:r>
              <w:rPr>
                <w:color w:val="auto"/>
                <w:sz w:val="24"/>
              </w:rPr>
              <w:t>条前处理线，共设</w:t>
            </w:r>
            <w:r>
              <w:rPr>
                <w:rFonts w:hint="eastAsia"/>
                <w:color w:val="auto"/>
                <w:sz w:val="24"/>
              </w:rPr>
              <w:t>6</w:t>
            </w:r>
            <w:r>
              <w:rPr>
                <w:color w:val="auto"/>
                <w:sz w:val="24"/>
              </w:rPr>
              <w:t>个功能槽。各功能槽的槽液均使用新鲜水和相应的药剂按比例进行调配，由于工件带走、捞渣和槽液更换等原因，</w:t>
            </w:r>
            <w:r>
              <w:rPr>
                <w:color w:val="auto"/>
                <w:kern w:val="0"/>
                <w:sz w:val="24"/>
                <w:lang w:bidi="ar"/>
              </w:rPr>
              <w:t>需要定期补充药剂和新鲜水</w:t>
            </w:r>
            <w:r>
              <w:rPr>
                <w:color w:val="auto"/>
                <w:sz w:val="24"/>
              </w:rPr>
              <w:t>。根据前文的功</w:t>
            </w:r>
            <w:r>
              <w:rPr>
                <w:bCs/>
                <w:color w:val="auto"/>
                <w:sz w:val="24"/>
              </w:rPr>
              <w:t>能槽药剂及用水情况一览表（表2-1</w:t>
            </w:r>
            <w:r>
              <w:rPr>
                <w:rFonts w:hint="eastAsia"/>
                <w:bCs/>
                <w:color w:val="auto"/>
                <w:sz w:val="24"/>
              </w:rPr>
              <w:t>5</w:t>
            </w:r>
            <w:r>
              <w:rPr>
                <w:bCs/>
                <w:color w:val="auto"/>
                <w:sz w:val="24"/>
              </w:rPr>
              <w:t>）可知，本项目前处理功能槽的总用水量为</w:t>
            </w:r>
            <w:r>
              <w:rPr>
                <w:rFonts w:hint="eastAsia"/>
                <w:bCs/>
                <w:color w:val="auto"/>
                <w:sz w:val="24"/>
              </w:rPr>
              <w:t>241.91</w:t>
            </w:r>
            <w:r>
              <w:rPr>
                <w:bCs/>
                <w:color w:val="auto"/>
                <w:sz w:val="24"/>
              </w:rPr>
              <w:t>t/a，其中补充水量为</w:t>
            </w:r>
            <w:r>
              <w:rPr>
                <w:rFonts w:hint="eastAsia"/>
                <w:bCs/>
                <w:color w:val="auto"/>
                <w:sz w:val="24"/>
              </w:rPr>
              <w:t>195.48</w:t>
            </w:r>
            <w:r>
              <w:rPr>
                <w:bCs/>
                <w:color w:val="auto"/>
                <w:sz w:val="24"/>
              </w:rPr>
              <w:t>t/a，捞渣补充损耗量为</w:t>
            </w:r>
            <w:r>
              <w:rPr>
                <w:rFonts w:hint="eastAsia"/>
                <w:bCs/>
                <w:color w:val="auto"/>
                <w:sz w:val="24"/>
              </w:rPr>
              <w:t>4.5</w:t>
            </w:r>
            <w:r>
              <w:rPr>
                <w:bCs/>
                <w:color w:val="auto"/>
                <w:sz w:val="24"/>
              </w:rPr>
              <w:t>t/a，功能槽更换用水量为</w:t>
            </w:r>
            <w:r>
              <w:rPr>
                <w:rFonts w:hint="eastAsia"/>
                <w:bCs/>
                <w:color w:val="auto"/>
                <w:sz w:val="24"/>
              </w:rPr>
              <w:t>41.93</w:t>
            </w:r>
            <w:r>
              <w:rPr>
                <w:bCs/>
                <w:color w:val="auto"/>
                <w:sz w:val="24"/>
              </w:rPr>
              <w:t>t/a。</w:t>
            </w:r>
          </w:p>
          <w:p w14:paraId="09D47440">
            <w:pPr>
              <w:adjustRightInd w:val="0"/>
              <w:snapToGrid w:val="0"/>
              <w:spacing w:line="360" w:lineRule="auto"/>
              <w:ind w:firstLine="482" w:firstLineChars="200"/>
              <w:rPr>
                <w:bCs/>
                <w:color w:val="auto"/>
                <w:sz w:val="24"/>
              </w:rPr>
            </w:pPr>
            <w:r>
              <w:rPr>
                <w:b/>
                <w:color w:val="auto"/>
                <w:sz w:val="24"/>
              </w:rPr>
              <w:t>2）</w:t>
            </w:r>
            <w:r>
              <w:rPr>
                <w:rFonts w:hint="eastAsia"/>
                <w:b/>
                <w:color w:val="auto"/>
                <w:sz w:val="24"/>
              </w:rPr>
              <w:t>清洗</w:t>
            </w:r>
            <w:r>
              <w:rPr>
                <w:b/>
                <w:color w:val="auto"/>
                <w:sz w:val="24"/>
              </w:rPr>
              <w:t>槽用水</w:t>
            </w:r>
          </w:p>
          <w:p w14:paraId="367C72C6">
            <w:pPr>
              <w:pStyle w:val="34"/>
              <w:adjustRightInd w:val="0"/>
              <w:snapToGrid w:val="0"/>
              <w:spacing w:after="0" w:line="360" w:lineRule="auto"/>
              <w:ind w:left="0" w:leftChars="0" w:firstLine="480"/>
              <w:rPr>
                <w:color w:val="auto"/>
                <w:szCs w:val="24"/>
              </w:rPr>
            </w:pPr>
            <w:r>
              <w:rPr>
                <w:color w:val="auto"/>
                <w:szCs w:val="24"/>
              </w:rPr>
              <w:t>本项目</w:t>
            </w:r>
            <w:r>
              <w:rPr>
                <w:rFonts w:hint="eastAsia"/>
                <w:color w:val="auto"/>
                <w:szCs w:val="24"/>
              </w:rPr>
              <w:t>前处理线共设6个清洗槽，清洗工序随着挂篮的下放和提起完成作业，清洗过程清洗水会因为工件的附着和蒸发损耗，损耗率按5%计，每日作业均需补水。加工产品类别分碳钢、铝材两种，工件的清洗时间见表2-</w:t>
            </w:r>
            <w:r>
              <w:rPr>
                <w:rFonts w:hint="eastAsia"/>
                <w:color w:val="auto"/>
                <w:szCs w:val="24"/>
                <w:lang w:val="en-US" w:eastAsia="zh-CN"/>
              </w:rPr>
              <w:t>10</w:t>
            </w:r>
            <w:r>
              <w:rPr>
                <w:rFonts w:hint="eastAsia"/>
                <w:color w:val="auto"/>
                <w:szCs w:val="24"/>
              </w:rPr>
              <w:t>，根据各水槽的作业时间</w:t>
            </w:r>
            <w:r>
              <w:rPr>
                <w:color w:val="auto"/>
                <w:szCs w:val="24"/>
              </w:rPr>
              <w:t>定期更换</w:t>
            </w:r>
            <w:r>
              <w:rPr>
                <w:rFonts w:hint="eastAsia"/>
                <w:color w:val="auto"/>
                <w:szCs w:val="24"/>
              </w:rPr>
              <w:t>清洗水，每3天更换一次。</w:t>
            </w:r>
          </w:p>
          <w:p w14:paraId="5F4BE042">
            <w:pPr>
              <w:numPr>
                <w:ilvl w:val="0"/>
                <w:numId w:val="10"/>
              </w:numPr>
              <w:adjustRightInd w:val="0"/>
              <w:snapToGrid w:val="0"/>
              <w:jc w:val="center"/>
              <w:rPr>
                <w:b/>
                <w:color w:val="auto"/>
                <w:szCs w:val="21"/>
              </w:rPr>
            </w:pPr>
            <w:r>
              <w:rPr>
                <w:b/>
                <w:color w:val="auto"/>
                <w:szCs w:val="21"/>
              </w:rPr>
              <w:t>本项目</w:t>
            </w:r>
            <w:r>
              <w:rPr>
                <w:rFonts w:hint="eastAsia"/>
                <w:b/>
                <w:color w:val="auto"/>
                <w:szCs w:val="21"/>
              </w:rPr>
              <w:t>清洗</w:t>
            </w:r>
            <w:r>
              <w:rPr>
                <w:b/>
                <w:color w:val="auto"/>
                <w:szCs w:val="21"/>
              </w:rPr>
              <w:t>槽用水情况一览表</w:t>
            </w:r>
          </w:p>
          <w:tbl>
            <w:tblPr>
              <w:tblStyle w:val="36"/>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673"/>
              <w:gridCol w:w="1088"/>
              <w:gridCol w:w="856"/>
              <w:gridCol w:w="1048"/>
              <w:gridCol w:w="962"/>
              <w:gridCol w:w="756"/>
              <w:gridCol w:w="1065"/>
              <w:gridCol w:w="988"/>
              <w:gridCol w:w="1076"/>
              <w:gridCol w:w="976"/>
            </w:tblGrid>
            <w:tr w14:paraId="4FAFB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7" w:type="dxa"/>
                  <w:vAlign w:val="center"/>
                </w:tcPr>
                <w:p w14:paraId="7CE72501">
                  <w:pPr>
                    <w:pStyle w:val="34"/>
                    <w:adjustRightInd w:val="0"/>
                    <w:snapToGrid w:val="0"/>
                    <w:spacing w:after="0"/>
                    <w:ind w:left="0" w:leftChars="0" w:firstLine="0" w:firstLineChars="0"/>
                    <w:jc w:val="center"/>
                    <w:rPr>
                      <w:b/>
                      <w:bCs/>
                      <w:color w:val="auto"/>
                      <w:sz w:val="21"/>
                      <w:szCs w:val="21"/>
                    </w:rPr>
                  </w:pPr>
                  <w:r>
                    <w:rPr>
                      <w:b/>
                      <w:bCs/>
                      <w:color w:val="auto"/>
                      <w:sz w:val="21"/>
                      <w:szCs w:val="21"/>
                    </w:rPr>
                    <w:t>序号</w:t>
                  </w:r>
                </w:p>
              </w:tc>
              <w:tc>
                <w:tcPr>
                  <w:tcW w:w="672" w:type="dxa"/>
                  <w:vAlign w:val="center"/>
                </w:tcPr>
                <w:p w14:paraId="4A83A02F">
                  <w:pPr>
                    <w:pStyle w:val="34"/>
                    <w:adjustRightInd w:val="0"/>
                    <w:snapToGrid w:val="0"/>
                    <w:spacing w:after="0"/>
                    <w:ind w:left="0" w:leftChars="0" w:firstLine="0" w:firstLineChars="0"/>
                    <w:jc w:val="center"/>
                    <w:rPr>
                      <w:b/>
                      <w:bCs/>
                      <w:color w:val="auto"/>
                      <w:sz w:val="21"/>
                      <w:szCs w:val="21"/>
                    </w:rPr>
                  </w:pPr>
                  <w:r>
                    <w:rPr>
                      <w:b/>
                      <w:bCs/>
                      <w:color w:val="auto"/>
                      <w:sz w:val="21"/>
                      <w:szCs w:val="21"/>
                    </w:rPr>
                    <w:t>生产线</w:t>
                  </w:r>
                </w:p>
              </w:tc>
              <w:tc>
                <w:tcPr>
                  <w:tcW w:w="1089" w:type="dxa"/>
                  <w:vAlign w:val="center"/>
                </w:tcPr>
                <w:p w14:paraId="36A4F8A0">
                  <w:pPr>
                    <w:pStyle w:val="34"/>
                    <w:adjustRightInd w:val="0"/>
                    <w:snapToGrid w:val="0"/>
                    <w:spacing w:after="0"/>
                    <w:ind w:left="0" w:leftChars="0" w:firstLine="0" w:firstLineChars="0"/>
                    <w:jc w:val="center"/>
                    <w:rPr>
                      <w:b/>
                      <w:bCs/>
                      <w:color w:val="auto"/>
                      <w:sz w:val="21"/>
                      <w:szCs w:val="21"/>
                    </w:rPr>
                  </w:pPr>
                  <w:r>
                    <w:rPr>
                      <w:b/>
                      <w:bCs/>
                      <w:color w:val="auto"/>
                      <w:sz w:val="21"/>
                      <w:szCs w:val="21"/>
                    </w:rPr>
                    <w:t>槽体名称</w:t>
                  </w:r>
                </w:p>
              </w:tc>
              <w:tc>
                <w:tcPr>
                  <w:tcW w:w="856" w:type="dxa"/>
                  <w:vAlign w:val="center"/>
                </w:tcPr>
                <w:p w14:paraId="71E2EBE3">
                  <w:pPr>
                    <w:pStyle w:val="34"/>
                    <w:adjustRightInd w:val="0"/>
                    <w:snapToGrid w:val="0"/>
                    <w:spacing w:after="0"/>
                    <w:ind w:left="0" w:leftChars="0" w:firstLine="0" w:firstLineChars="0"/>
                    <w:jc w:val="center"/>
                    <w:rPr>
                      <w:b/>
                      <w:bCs/>
                      <w:color w:val="auto"/>
                      <w:sz w:val="21"/>
                      <w:szCs w:val="21"/>
                    </w:rPr>
                  </w:pPr>
                  <w:r>
                    <w:rPr>
                      <w:b/>
                      <w:bCs/>
                      <w:color w:val="auto"/>
                      <w:sz w:val="21"/>
                      <w:szCs w:val="21"/>
                    </w:rPr>
                    <w:t>有效容积</w:t>
                  </w:r>
                  <w:r>
                    <w:rPr>
                      <w:b/>
                      <w:color w:val="auto"/>
                      <w:sz w:val="21"/>
                      <w:szCs w:val="21"/>
                    </w:rPr>
                    <w:t>(m</w:t>
                  </w:r>
                  <w:r>
                    <w:rPr>
                      <w:b/>
                      <w:color w:val="auto"/>
                      <w:sz w:val="21"/>
                      <w:szCs w:val="21"/>
                      <w:vertAlign w:val="superscript"/>
                    </w:rPr>
                    <w:t>3</w:t>
                  </w:r>
                  <w:r>
                    <w:rPr>
                      <w:b/>
                      <w:color w:val="auto"/>
                      <w:sz w:val="21"/>
                      <w:szCs w:val="21"/>
                    </w:rPr>
                    <w:t>)</w:t>
                  </w:r>
                </w:p>
              </w:tc>
              <w:tc>
                <w:tcPr>
                  <w:tcW w:w="1049" w:type="dxa"/>
                  <w:vAlign w:val="center"/>
                </w:tcPr>
                <w:p w14:paraId="29805489">
                  <w:pPr>
                    <w:pStyle w:val="34"/>
                    <w:adjustRightInd w:val="0"/>
                    <w:snapToGrid w:val="0"/>
                    <w:spacing w:after="0"/>
                    <w:ind w:left="0" w:leftChars="0" w:firstLine="0" w:firstLineChars="0"/>
                    <w:jc w:val="center"/>
                    <w:rPr>
                      <w:b/>
                      <w:bCs/>
                      <w:color w:val="auto"/>
                      <w:sz w:val="21"/>
                      <w:szCs w:val="21"/>
                    </w:rPr>
                  </w:pPr>
                  <w:r>
                    <w:rPr>
                      <w:b/>
                      <w:bCs/>
                      <w:color w:val="auto"/>
                      <w:sz w:val="21"/>
                      <w:szCs w:val="21"/>
                    </w:rPr>
                    <w:t>用水</w:t>
                  </w:r>
                </w:p>
                <w:p w14:paraId="3B37C2FE">
                  <w:pPr>
                    <w:pStyle w:val="34"/>
                    <w:adjustRightInd w:val="0"/>
                    <w:snapToGrid w:val="0"/>
                    <w:spacing w:after="0"/>
                    <w:ind w:left="0" w:leftChars="0" w:firstLine="0" w:firstLineChars="0"/>
                    <w:jc w:val="center"/>
                    <w:rPr>
                      <w:b/>
                      <w:bCs/>
                      <w:color w:val="auto"/>
                      <w:sz w:val="21"/>
                      <w:szCs w:val="21"/>
                    </w:rPr>
                  </w:pPr>
                  <w:r>
                    <w:rPr>
                      <w:b/>
                      <w:bCs/>
                      <w:color w:val="auto"/>
                      <w:sz w:val="21"/>
                      <w:szCs w:val="21"/>
                    </w:rPr>
                    <w:t>类型</w:t>
                  </w:r>
                </w:p>
              </w:tc>
              <w:tc>
                <w:tcPr>
                  <w:tcW w:w="962" w:type="dxa"/>
                  <w:vAlign w:val="center"/>
                </w:tcPr>
                <w:p w14:paraId="7A86CE46">
                  <w:pPr>
                    <w:pStyle w:val="34"/>
                    <w:adjustRightInd w:val="0"/>
                    <w:snapToGrid w:val="0"/>
                    <w:spacing w:after="0"/>
                    <w:ind w:left="0" w:leftChars="0" w:firstLine="0" w:firstLineChars="0"/>
                    <w:jc w:val="center"/>
                    <w:rPr>
                      <w:rFonts w:hint="eastAsia"/>
                      <w:b/>
                      <w:bCs/>
                      <w:color w:val="auto"/>
                      <w:sz w:val="21"/>
                      <w:szCs w:val="21"/>
                    </w:rPr>
                  </w:pPr>
                  <w:r>
                    <w:rPr>
                      <w:rFonts w:hint="eastAsia"/>
                      <w:b/>
                      <w:bCs/>
                      <w:color w:val="auto"/>
                      <w:sz w:val="21"/>
                      <w:szCs w:val="21"/>
                    </w:rPr>
                    <w:t>作业</w:t>
                  </w:r>
                </w:p>
                <w:p w14:paraId="65405F17">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时间</w:t>
                  </w:r>
                </w:p>
              </w:tc>
              <w:tc>
                <w:tcPr>
                  <w:tcW w:w="755" w:type="dxa"/>
                  <w:vAlign w:val="center"/>
                </w:tcPr>
                <w:p w14:paraId="718CE6DE">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蒸发损耗</w:t>
                  </w:r>
                </w:p>
              </w:tc>
              <w:tc>
                <w:tcPr>
                  <w:tcW w:w="1067" w:type="dxa"/>
                  <w:vAlign w:val="center"/>
                </w:tcPr>
                <w:p w14:paraId="4581D9F8">
                  <w:pPr>
                    <w:pStyle w:val="34"/>
                    <w:adjustRightInd w:val="0"/>
                    <w:snapToGrid w:val="0"/>
                    <w:spacing w:after="0"/>
                    <w:ind w:left="0" w:leftChars="0" w:firstLine="0" w:firstLineChars="0"/>
                    <w:jc w:val="center"/>
                    <w:rPr>
                      <w:color w:val="auto"/>
                      <w:sz w:val="21"/>
                      <w:szCs w:val="21"/>
                    </w:rPr>
                  </w:pPr>
                  <w:r>
                    <w:rPr>
                      <w:b/>
                      <w:bCs/>
                      <w:color w:val="auto"/>
                      <w:sz w:val="21"/>
                      <w:szCs w:val="21"/>
                    </w:rPr>
                    <w:t>更换次数(次/a)</w:t>
                  </w:r>
                </w:p>
              </w:tc>
              <w:tc>
                <w:tcPr>
                  <w:tcW w:w="989" w:type="dxa"/>
                  <w:vAlign w:val="center"/>
                </w:tcPr>
                <w:p w14:paraId="2193DABC">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补充</w:t>
                  </w:r>
                  <w:r>
                    <w:rPr>
                      <w:b/>
                      <w:bCs/>
                      <w:color w:val="auto"/>
                      <w:sz w:val="21"/>
                      <w:szCs w:val="21"/>
                    </w:rPr>
                    <w:t>水量(t/a)</w:t>
                  </w:r>
                </w:p>
              </w:tc>
              <w:tc>
                <w:tcPr>
                  <w:tcW w:w="1078" w:type="dxa"/>
                  <w:vAlign w:val="center"/>
                </w:tcPr>
                <w:p w14:paraId="403B1764">
                  <w:pPr>
                    <w:pStyle w:val="34"/>
                    <w:adjustRightInd w:val="0"/>
                    <w:snapToGrid w:val="0"/>
                    <w:spacing w:after="0"/>
                    <w:ind w:left="0" w:leftChars="0" w:firstLine="0" w:firstLineChars="0"/>
                    <w:jc w:val="center"/>
                    <w:rPr>
                      <w:b/>
                      <w:bCs/>
                      <w:color w:val="auto"/>
                      <w:sz w:val="21"/>
                      <w:szCs w:val="21"/>
                    </w:rPr>
                  </w:pPr>
                  <w:r>
                    <w:rPr>
                      <w:b/>
                      <w:bCs/>
                      <w:color w:val="auto"/>
                      <w:sz w:val="21"/>
                      <w:szCs w:val="21"/>
                    </w:rPr>
                    <w:t>更换用水量(t/a)</w:t>
                  </w:r>
                </w:p>
              </w:tc>
              <w:tc>
                <w:tcPr>
                  <w:tcW w:w="977" w:type="dxa"/>
                  <w:vAlign w:val="center"/>
                </w:tcPr>
                <w:p w14:paraId="35FD40E7">
                  <w:pPr>
                    <w:pStyle w:val="34"/>
                    <w:adjustRightInd w:val="0"/>
                    <w:snapToGrid w:val="0"/>
                    <w:spacing w:after="0"/>
                    <w:ind w:left="0" w:leftChars="0" w:firstLine="0" w:firstLineChars="0"/>
                    <w:jc w:val="center"/>
                    <w:rPr>
                      <w:b/>
                      <w:bCs/>
                      <w:color w:val="auto"/>
                      <w:sz w:val="21"/>
                      <w:szCs w:val="21"/>
                    </w:rPr>
                  </w:pPr>
                  <w:r>
                    <w:rPr>
                      <w:b/>
                      <w:bCs/>
                      <w:color w:val="auto"/>
                      <w:sz w:val="21"/>
                      <w:szCs w:val="21"/>
                    </w:rPr>
                    <w:t>总用水量(t/a)</w:t>
                  </w:r>
                </w:p>
              </w:tc>
            </w:tr>
            <w:tr w14:paraId="2B821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477" w:type="dxa"/>
                  <w:vAlign w:val="center"/>
                </w:tcPr>
                <w:p w14:paraId="22C4C3AD">
                  <w:pPr>
                    <w:pStyle w:val="34"/>
                    <w:adjustRightInd w:val="0"/>
                    <w:snapToGrid w:val="0"/>
                    <w:spacing w:after="0"/>
                    <w:ind w:left="0" w:leftChars="0" w:firstLine="0" w:firstLineChars="0"/>
                    <w:jc w:val="center"/>
                    <w:rPr>
                      <w:color w:val="auto"/>
                      <w:sz w:val="21"/>
                      <w:szCs w:val="21"/>
                    </w:rPr>
                  </w:pPr>
                  <w:r>
                    <w:rPr>
                      <w:color w:val="auto"/>
                      <w:sz w:val="21"/>
                      <w:szCs w:val="21"/>
                    </w:rPr>
                    <w:t>1</w:t>
                  </w:r>
                </w:p>
              </w:tc>
              <w:tc>
                <w:tcPr>
                  <w:tcW w:w="672" w:type="dxa"/>
                  <w:vMerge w:val="restart"/>
                  <w:vAlign w:val="center"/>
                </w:tcPr>
                <w:p w14:paraId="71939405">
                  <w:pPr>
                    <w:pStyle w:val="34"/>
                    <w:adjustRightInd w:val="0"/>
                    <w:snapToGrid w:val="0"/>
                    <w:spacing w:after="0"/>
                    <w:ind w:left="0" w:leftChars="0" w:firstLine="0" w:firstLineChars="0"/>
                    <w:jc w:val="center"/>
                    <w:rPr>
                      <w:color w:val="auto"/>
                      <w:sz w:val="21"/>
                      <w:szCs w:val="21"/>
                    </w:rPr>
                  </w:pPr>
                  <w:r>
                    <w:rPr>
                      <w:rFonts w:hint="eastAsia"/>
                      <w:color w:val="auto"/>
                      <w:sz w:val="21"/>
                      <w:szCs w:val="21"/>
                    </w:rPr>
                    <w:t>前处理线</w:t>
                  </w:r>
                </w:p>
              </w:tc>
              <w:tc>
                <w:tcPr>
                  <w:tcW w:w="1089" w:type="dxa"/>
                  <w:vAlign w:val="center"/>
                </w:tcPr>
                <w:p w14:paraId="45A26B4B">
                  <w:pPr>
                    <w:pStyle w:val="34"/>
                    <w:adjustRightInd w:val="0"/>
                    <w:snapToGrid w:val="0"/>
                    <w:spacing w:after="0"/>
                    <w:ind w:left="0" w:leftChars="0" w:firstLine="0" w:firstLineChars="0"/>
                    <w:jc w:val="center"/>
                    <w:rPr>
                      <w:color w:val="auto"/>
                      <w:sz w:val="21"/>
                      <w:szCs w:val="21"/>
                    </w:rPr>
                  </w:pPr>
                  <w:r>
                    <w:rPr>
                      <w:rFonts w:hint="eastAsia"/>
                      <w:color w:val="auto"/>
                      <w:sz w:val="21"/>
                      <w:szCs w:val="21"/>
                    </w:rPr>
                    <w:t>清洗</w:t>
                  </w:r>
                  <w:r>
                    <w:rPr>
                      <w:color w:val="auto"/>
                      <w:sz w:val="21"/>
                      <w:szCs w:val="21"/>
                    </w:rPr>
                    <w:t>槽1</w:t>
                  </w:r>
                </w:p>
              </w:tc>
              <w:tc>
                <w:tcPr>
                  <w:tcW w:w="856" w:type="dxa"/>
                  <w:vAlign w:val="center"/>
                </w:tcPr>
                <w:p w14:paraId="02FAF03F">
                  <w:pPr>
                    <w:widowControl/>
                    <w:jc w:val="center"/>
                    <w:textAlignment w:val="center"/>
                    <w:rPr>
                      <w:color w:val="auto"/>
                      <w:kern w:val="0"/>
                      <w:szCs w:val="21"/>
                    </w:rPr>
                  </w:pPr>
                  <w:r>
                    <w:rPr>
                      <w:rFonts w:hint="eastAsia"/>
                      <w:color w:val="auto"/>
                      <w:kern w:val="0"/>
                      <w:szCs w:val="21"/>
                    </w:rPr>
                    <w:t>4</w:t>
                  </w:r>
                </w:p>
              </w:tc>
              <w:tc>
                <w:tcPr>
                  <w:tcW w:w="1049" w:type="dxa"/>
                  <w:vAlign w:val="center"/>
                </w:tcPr>
                <w:p w14:paraId="6FDF45C0">
                  <w:pPr>
                    <w:widowControl/>
                    <w:jc w:val="center"/>
                    <w:textAlignment w:val="center"/>
                    <w:rPr>
                      <w:color w:val="auto"/>
                      <w:kern w:val="0"/>
                      <w:szCs w:val="21"/>
                      <w:lang w:bidi="ar"/>
                    </w:rPr>
                  </w:pPr>
                  <w:r>
                    <w:rPr>
                      <w:color w:val="auto"/>
                      <w:kern w:val="0"/>
                      <w:szCs w:val="21"/>
                      <w:lang w:bidi="ar"/>
                    </w:rPr>
                    <w:t>回用水</w:t>
                  </w:r>
                </w:p>
              </w:tc>
              <w:tc>
                <w:tcPr>
                  <w:tcW w:w="962" w:type="dxa"/>
                  <w:vAlign w:val="center"/>
                </w:tcPr>
                <w:p w14:paraId="6383BEAD">
                  <w:pPr>
                    <w:widowControl/>
                    <w:jc w:val="center"/>
                    <w:textAlignment w:val="center"/>
                    <w:rPr>
                      <w:color w:val="auto"/>
                      <w:kern w:val="0"/>
                      <w:szCs w:val="21"/>
                      <w:lang w:bidi="ar"/>
                    </w:rPr>
                  </w:pPr>
                  <w:r>
                    <w:rPr>
                      <w:rFonts w:hint="eastAsia"/>
                      <w:color w:val="auto"/>
                      <w:kern w:val="0"/>
                      <w:szCs w:val="21"/>
                      <w:lang w:bidi="ar"/>
                    </w:rPr>
                    <w:t>10h/d，235d/a</w:t>
                  </w:r>
                </w:p>
              </w:tc>
              <w:tc>
                <w:tcPr>
                  <w:tcW w:w="755" w:type="dxa"/>
                  <w:vAlign w:val="center"/>
                </w:tcPr>
                <w:p w14:paraId="5036E137">
                  <w:pPr>
                    <w:widowControl/>
                    <w:jc w:val="center"/>
                    <w:textAlignment w:val="center"/>
                    <w:rPr>
                      <w:color w:val="auto"/>
                      <w:kern w:val="0"/>
                      <w:szCs w:val="21"/>
                      <w:lang w:bidi="ar"/>
                    </w:rPr>
                  </w:pPr>
                  <w:r>
                    <w:rPr>
                      <w:rFonts w:hint="eastAsia"/>
                      <w:color w:val="auto"/>
                      <w:kern w:val="0"/>
                      <w:szCs w:val="21"/>
                      <w:lang w:bidi="ar"/>
                    </w:rPr>
                    <w:t>5%</w:t>
                  </w:r>
                </w:p>
              </w:tc>
              <w:tc>
                <w:tcPr>
                  <w:tcW w:w="1067" w:type="dxa"/>
                  <w:vAlign w:val="center"/>
                </w:tcPr>
                <w:p w14:paraId="646AEA2C">
                  <w:pPr>
                    <w:widowControl/>
                    <w:jc w:val="center"/>
                    <w:textAlignment w:val="center"/>
                    <w:rPr>
                      <w:color w:val="auto"/>
                      <w:szCs w:val="21"/>
                    </w:rPr>
                  </w:pPr>
                  <w:r>
                    <w:rPr>
                      <w:rFonts w:hint="eastAsia"/>
                      <w:color w:val="auto"/>
                      <w:kern w:val="0"/>
                      <w:szCs w:val="21"/>
                      <w:lang w:bidi="ar"/>
                    </w:rPr>
                    <w:t>79</w:t>
                  </w:r>
                </w:p>
              </w:tc>
              <w:tc>
                <w:tcPr>
                  <w:tcW w:w="989" w:type="dxa"/>
                  <w:vAlign w:val="center"/>
                </w:tcPr>
                <w:p w14:paraId="74A6891A">
                  <w:pPr>
                    <w:widowControl/>
                    <w:jc w:val="center"/>
                    <w:textAlignment w:val="center"/>
                    <w:rPr>
                      <w:color w:val="auto"/>
                      <w:kern w:val="0"/>
                      <w:szCs w:val="21"/>
                      <w:lang w:bidi="ar"/>
                    </w:rPr>
                  </w:pPr>
                  <w:r>
                    <w:rPr>
                      <w:color w:val="auto"/>
                      <w:kern w:val="0"/>
                      <w:szCs w:val="21"/>
                      <w:lang w:bidi="ar"/>
                    </w:rPr>
                    <w:t xml:space="preserve">42 </w:t>
                  </w:r>
                </w:p>
              </w:tc>
              <w:tc>
                <w:tcPr>
                  <w:tcW w:w="1078" w:type="dxa"/>
                  <w:vAlign w:val="center"/>
                </w:tcPr>
                <w:p w14:paraId="33E69299">
                  <w:pPr>
                    <w:widowControl/>
                    <w:jc w:val="center"/>
                    <w:textAlignment w:val="center"/>
                    <w:rPr>
                      <w:color w:val="auto"/>
                      <w:kern w:val="0"/>
                      <w:szCs w:val="21"/>
                      <w:lang w:bidi="ar"/>
                    </w:rPr>
                  </w:pPr>
                  <w:r>
                    <w:rPr>
                      <w:color w:val="auto"/>
                      <w:kern w:val="0"/>
                      <w:szCs w:val="21"/>
                      <w:lang w:bidi="ar"/>
                    </w:rPr>
                    <w:t>316</w:t>
                  </w:r>
                </w:p>
              </w:tc>
              <w:tc>
                <w:tcPr>
                  <w:tcW w:w="977" w:type="dxa"/>
                  <w:vAlign w:val="center"/>
                </w:tcPr>
                <w:p w14:paraId="2F92BDA4">
                  <w:pPr>
                    <w:widowControl/>
                    <w:jc w:val="center"/>
                    <w:textAlignment w:val="center"/>
                    <w:rPr>
                      <w:color w:val="auto"/>
                      <w:szCs w:val="21"/>
                    </w:rPr>
                  </w:pPr>
                  <w:r>
                    <w:rPr>
                      <w:color w:val="auto"/>
                      <w:kern w:val="0"/>
                      <w:szCs w:val="21"/>
                      <w:lang w:bidi="ar"/>
                    </w:rPr>
                    <w:t>358</w:t>
                  </w:r>
                </w:p>
              </w:tc>
            </w:tr>
            <w:tr w14:paraId="31322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7" w:type="dxa"/>
                  <w:vAlign w:val="center"/>
                </w:tcPr>
                <w:p w14:paraId="37AE8389">
                  <w:pPr>
                    <w:pStyle w:val="34"/>
                    <w:adjustRightInd w:val="0"/>
                    <w:snapToGrid w:val="0"/>
                    <w:spacing w:after="0"/>
                    <w:ind w:left="0" w:leftChars="0" w:firstLine="0" w:firstLineChars="0"/>
                    <w:jc w:val="center"/>
                    <w:rPr>
                      <w:color w:val="auto"/>
                      <w:sz w:val="21"/>
                      <w:szCs w:val="21"/>
                    </w:rPr>
                  </w:pPr>
                  <w:r>
                    <w:rPr>
                      <w:color w:val="auto"/>
                      <w:sz w:val="21"/>
                      <w:szCs w:val="21"/>
                    </w:rPr>
                    <w:t>2</w:t>
                  </w:r>
                </w:p>
              </w:tc>
              <w:tc>
                <w:tcPr>
                  <w:tcW w:w="672" w:type="dxa"/>
                  <w:vMerge w:val="continue"/>
                  <w:vAlign w:val="center"/>
                </w:tcPr>
                <w:p w14:paraId="3CF8FD2E">
                  <w:pPr>
                    <w:pStyle w:val="34"/>
                    <w:adjustRightInd w:val="0"/>
                    <w:snapToGrid w:val="0"/>
                    <w:spacing w:after="0"/>
                    <w:ind w:left="0" w:leftChars="0" w:firstLine="0" w:firstLineChars="0"/>
                    <w:jc w:val="center"/>
                    <w:rPr>
                      <w:color w:val="auto"/>
                      <w:sz w:val="21"/>
                      <w:szCs w:val="21"/>
                    </w:rPr>
                  </w:pPr>
                </w:p>
              </w:tc>
              <w:tc>
                <w:tcPr>
                  <w:tcW w:w="1089" w:type="dxa"/>
                  <w:vAlign w:val="center"/>
                </w:tcPr>
                <w:p w14:paraId="3715A275">
                  <w:pPr>
                    <w:adjustRightInd w:val="0"/>
                    <w:snapToGrid w:val="0"/>
                    <w:jc w:val="center"/>
                    <w:rPr>
                      <w:color w:val="auto"/>
                      <w:szCs w:val="21"/>
                    </w:rPr>
                  </w:pPr>
                  <w:r>
                    <w:rPr>
                      <w:rFonts w:hint="eastAsia"/>
                      <w:color w:val="auto"/>
                      <w:szCs w:val="21"/>
                    </w:rPr>
                    <w:t>清洗</w:t>
                  </w:r>
                  <w:r>
                    <w:rPr>
                      <w:color w:val="auto"/>
                      <w:szCs w:val="21"/>
                    </w:rPr>
                    <w:t>槽2</w:t>
                  </w:r>
                </w:p>
              </w:tc>
              <w:tc>
                <w:tcPr>
                  <w:tcW w:w="856" w:type="dxa"/>
                  <w:vAlign w:val="center"/>
                </w:tcPr>
                <w:p w14:paraId="540626B0">
                  <w:pPr>
                    <w:widowControl/>
                    <w:jc w:val="center"/>
                    <w:textAlignment w:val="center"/>
                    <w:rPr>
                      <w:color w:val="auto"/>
                      <w:kern w:val="0"/>
                      <w:szCs w:val="21"/>
                    </w:rPr>
                  </w:pPr>
                  <w:r>
                    <w:rPr>
                      <w:rFonts w:hint="eastAsia"/>
                      <w:color w:val="auto"/>
                      <w:kern w:val="0"/>
                      <w:szCs w:val="21"/>
                    </w:rPr>
                    <w:t>4</w:t>
                  </w:r>
                </w:p>
              </w:tc>
              <w:tc>
                <w:tcPr>
                  <w:tcW w:w="1049" w:type="dxa"/>
                  <w:vAlign w:val="center"/>
                </w:tcPr>
                <w:p w14:paraId="0B071305">
                  <w:pPr>
                    <w:widowControl/>
                    <w:jc w:val="center"/>
                    <w:textAlignment w:val="center"/>
                    <w:rPr>
                      <w:color w:val="auto"/>
                      <w:kern w:val="0"/>
                      <w:szCs w:val="21"/>
                      <w:lang w:bidi="ar"/>
                    </w:rPr>
                  </w:pPr>
                  <w:r>
                    <w:rPr>
                      <w:color w:val="auto"/>
                      <w:kern w:val="0"/>
                      <w:szCs w:val="21"/>
                      <w:lang w:bidi="ar"/>
                    </w:rPr>
                    <w:t>回用水</w:t>
                  </w:r>
                </w:p>
              </w:tc>
              <w:tc>
                <w:tcPr>
                  <w:tcW w:w="962" w:type="dxa"/>
                  <w:vAlign w:val="center"/>
                </w:tcPr>
                <w:p w14:paraId="29715B91">
                  <w:pPr>
                    <w:widowControl/>
                    <w:jc w:val="center"/>
                    <w:textAlignment w:val="center"/>
                    <w:rPr>
                      <w:color w:val="auto"/>
                      <w:kern w:val="0"/>
                      <w:szCs w:val="21"/>
                      <w:lang w:bidi="ar"/>
                    </w:rPr>
                  </w:pPr>
                  <w:r>
                    <w:rPr>
                      <w:rFonts w:hint="eastAsia"/>
                      <w:color w:val="auto"/>
                      <w:kern w:val="0"/>
                      <w:szCs w:val="21"/>
                      <w:lang w:bidi="ar"/>
                    </w:rPr>
                    <w:t>10h/d，235d/a</w:t>
                  </w:r>
                </w:p>
              </w:tc>
              <w:tc>
                <w:tcPr>
                  <w:tcW w:w="755" w:type="dxa"/>
                  <w:vAlign w:val="center"/>
                </w:tcPr>
                <w:p w14:paraId="7CD29EB7">
                  <w:pPr>
                    <w:widowControl/>
                    <w:jc w:val="center"/>
                    <w:textAlignment w:val="center"/>
                    <w:rPr>
                      <w:color w:val="auto"/>
                      <w:kern w:val="0"/>
                      <w:szCs w:val="21"/>
                      <w:lang w:bidi="ar"/>
                    </w:rPr>
                  </w:pPr>
                  <w:r>
                    <w:rPr>
                      <w:rFonts w:hint="eastAsia"/>
                      <w:color w:val="auto"/>
                      <w:kern w:val="0"/>
                      <w:szCs w:val="21"/>
                      <w:lang w:bidi="ar"/>
                    </w:rPr>
                    <w:t>5%</w:t>
                  </w:r>
                </w:p>
              </w:tc>
              <w:tc>
                <w:tcPr>
                  <w:tcW w:w="1067" w:type="dxa"/>
                  <w:vAlign w:val="center"/>
                </w:tcPr>
                <w:p w14:paraId="371FD8E7">
                  <w:pPr>
                    <w:widowControl/>
                    <w:jc w:val="center"/>
                    <w:textAlignment w:val="center"/>
                    <w:rPr>
                      <w:color w:val="auto"/>
                      <w:kern w:val="0"/>
                      <w:szCs w:val="21"/>
                      <w:lang w:bidi="ar"/>
                    </w:rPr>
                  </w:pPr>
                  <w:r>
                    <w:rPr>
                      <w:rFonts w:hint="eastAsia"/>
                      <w:color w:val="auto"/>
                      <w:kern w:val="0"/>
                      <w:szCs w:val="21"/>
                      <w:lang w:bidi="ar"/>
                    </w:rPr>
                    <w:t>79</w:t>
                  </w:r>
                </w:p>
              </w:tc>
              <w:tc>
                <w:tcPr>
                  <w:tcW w:w="989" w:type="dxa"/>
                  <w:vAlign w:val="center"/>
                </w:tcPr>
                <w:p w14:paraId="5BD0EAA9">
                  <w:pPr>
                    <w:widowControl/>
                    <w:jc w:val="center"/>
                    <w:textAlignment w:val="center"/>
                    <w:rPr>
                      <w:color w:val="auto"/>
                      <w:kern w:val="0"/>
                      <w:szCs w:val="21"/>
                      <w:lang w:bidi="ar"/>
                    </w:rPr>
                  </w:pPr>
                  <w:r>
                    <w:rPr>
                      <w:color w:val="auto"/>
                      <w:kern w:val="0"/>
                      <w:szCs w:val="21"/>
                      <w:lang w:bidi="ar"/>
                    </w:rPr>
                    <w:t>42</w:t>
                  </w:r>
                </w:p>
              </w:tc>
              <w:tc>
                <w:tcPr>
                  <w:tcW w:w="1078" w:type="dxa"/>
                  <w:vAlign w:val="center"/>
                </w:tcPr>
                <w:p w14:paraId="78C73FF0">
                  <w:pPr>
                    <w:widowControl/>
                    <w:jc w:val="center"/>
                    <w:textAlignment w:val="center"/>
                    <w:rPr>
                      <w:color w:val="auto"/>
                      <w:kern w:val="0"/>
                      <w:szCs w:val="21"/>
                      <w:lang w:bidi="ar"/>
                    </w:rPr>
                  </w:pPr>
                  <w:r>
                    <w:rPr>
                      <w:color w:val="auto"/>
                      <w:kern w:val="0"/>
                      <w:szCs w:val="21"/>
                      <w:lang w:bidi="ar"/>
                    </w:rPr>
                    <w:t>316</w:t>
                  </w:r>
                </w:p>
              </w:tc>
              <w:tc>
                <w:tcPr>
                  <w:tcW w:w="977" w:type="dxa"/>
                  <w:vAlign w:val="center"/>
                </w:tcPr>
                <w:p w14:paraId="0EECE5A2">
                  <w:pPr>
                    <w:widowControl/>
                    <w:jc w:val="center"/>
                    <w:textAlignment w:val="center"/>
                    <w:rPr>
                      <w:color w:val="auto"/>
                      <w:szCs w:val="21"/>
                    </w:rPr>
                  </w:pPr>
                  <w:r>
                    <w:rPr>
                      <w:color w:val="auto"/>
                      <w:kern w:val="0"/>
                      <w:szCs w:val="21"/>
                      <w:lang w:bidi="ar"/>
                    </w:rPr>
                    <w:t>358</w:t>
                  </w:r>
                </w:p>
              </w:tc>
            </w:tr>
            <w:tr w14:paraId="0D02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77" w:type="dxa"/>
                  <w:vAlign w:val="center"/>
                </w:tcPr>
                <w:p w14:paraId="6CE8C4DB">
                  <w:pPr>
                    <w:pStyle w:val="34"/>
                    <w:adjustRightInd w:val="0"/>
                    <w:snapToGrid w:val="0"/>
                    <w:spacing w:after="0"/>
                    <w:ind w:left="0" w:leftChars="0" w:firstLine="0" w:firstLineChars="0"/>
                    <w:jc w:val="center"/>
                    <w:rPr>
                      <w:color w:val="auto"/>
                      <w:sz w:val="21"/>
                      <w:szCs w:val="21"/>
                    </w:rPr>
                  </w:pPr>
                  <w:r>
                    <w:rPr>
                      <w:color w:val="auto"/>
                      <w:sz w:val="21"/>
                      <w:szCs w:val="21"/>
                    </w:rPr>
                    <w:t>3</w:t>
                  </w:r>
                </w:p>
              </w:tc>
              <w:tc>
                <w:tcPr>
                  <w:tcW w:w="672" w:type="dxa"/>
                  <w:vMerge w:val="continue"/>
                  <w:vAlign w:val="center"/>
                </w:tcPr>
                <w:p w14:paraId="38D507DC">
                  <w:pPr>
                    <w:pStyle w:val="34"/>
                    <w:adjustRightInd w:val="0"/>
                    <w:snapToGrid w:val="0"/>
                    <w:spacing w:after="0"/>
                    <w:ind w:left="0" w:leftChars="0" w:firstLine="0" w:firstLineChars="0"/>
                    <w:jc w:val="center"/>
                    <w:rPr>
                      <w:color w:val="auto"/>
                      <w:sz w:val="21"/>
                      <w:szCs w:val="21"/>
                    </w:rPr>
                  </w:pPr>
                </w:p>
              </w:tc>
              <w:tc>
                <w:tcPr>
                  <w:tcW w:w="1089" w:type="dxa"/>
                  <w:vAlign w:val="center"/>
                </w:tcPr>
                <w:p w14:paraId="5F9B57F7">
                  <w:pPr>
                    <w:adjustRightInd w:val="0"/>
                    <w:snapToGrid w:val="0"/>
                    <w:jc w:val="center"/>
                    <w:rPr>
                      <w:color w:val="auto"/>
                      <w:szCs w:val="21"/>
                    </w:rPr>
                  </w:pPr>
                  <w:r>
                    <w:rPr>
                      <w:rFonts w:hint="eastAsia"/>
                      <w:color w:val="auto"/>
                      <w:szCs w:val="21"/>
                    </w:rPr>
                    <w:t>清洗</w:t>
                  </w:r>
                  <w:r>
                    <w:rPr>
                      <w:color w:val="auto"/>
                      <w:szCs w:val="21"/>
                    </w:rPr>
                    <w:t>槽3</w:t>
                  </w:r>
                </w:p>
              </w:tc>
              <w:tc>
                <w:tcPr>
                  <w:tcW w:w="856" w:type="dxa"/>
                  <w:vAlign w:val="center"/>
                </w:tcPr>
                <w:p w14:paraId="658A7EC9">
                  <w:pPr>
                    <w:widowControl/>
                    <w:jc w:val="center"/>
                    <w:textAlignment w:val="center"/>
                    <w:rPr>
                      <w:color w:val="auto"/>
                      <w:kern w:val="0"/>
                      <w:szCs w:val="21"/>
                    </w:rPr>
                  </w:pPr>
                  <w:r>
                    <w:rPr>
                      <w:rFonts w:hint="eastAsia"/>
                      <w:color w:val="auto"/>
                      <w:kern w:val="0"/>
                      <w:szCs w:val="21"/>
                    </w:rPr>
                    <w:t>4</w:t>
                  </w:r>
                </w:p>
              </w:tc>
              <w:tc>
                <w:tcPr>
                  <w:tcW w:w="1049" w:type="dxa"/>
                  <w:vAlign w:val="center"/>
                </w:tcPr>
                <w:p w14:paraId="0D2EDFFB">
                  <w:pPr>
                    <w:widowControl/>
                    <w:jc w:val="center"/>
                    <w:textAlignment w:val="center"/>
                    <w:rPr>
                      <w:color w:val="auto"/>
                      <w:kern w:val="0"/>
                      <w:szCs w:val="21"/>
                      <w:lang w:bidi="ar"/>
                    </w:rPr>
                  </w:pPr>
                  <w:r>
                    <w:rPr>
                      <w:color w:val="auto"/>
                      <w:kern w:val="0"/>
                      <w:szCs w:val="21"/>
                      <w:lang w:bidi="ar"/>
                    </w:rPr>
                    <w:t>回用水</w:t>
                  </w:r>
                </w:p>
              </w:tc>
              <w:tc>
                <w:tcPr>
                  <w:tcW w:w="962" w:type="dxa"/>
                  <w:vAlign w:val="center"/>
                </w:tcPr>
                <w:p w14:paraId="5A53566E">
                  <w:pPr>
                    <w:widowControl/>
                    <w:jc w:val="center"/>
                    <w:textAlignment w:val="center"/>
                    <w:rPr>
                      <w:color w:val="auto"/>
                      <w:kern w:val="0"/>
                      <w:szCs w:val="21"/>
                      <w:lang w:bidi="ar"/>
                    </w:rPr>
                  </w:pPr>
                  <w:r>
                    <w:rPr>
                      <w:rFonts w:hint="eastAsia"/>
                      <w:color w:val="auto"/>
                      <w:kern w:val="0"/>
                      <w:szCs w:val="21"/>
                      <w:lang w:bidi="ar"/>
                    </w:rPr>
                    <w:t>10h/d，235d/a</w:t>
                  </w:r>
                </w:p>
              </w:tc>
              <w:tc>
                <w:tcPr>
                  <w:tcW w:w="755" w:type="dxa"/>
                  <w:vAlign w:val="center"/>
                </w:tcPr>
                <w:p w14:paraId="4A27A748">
                  <w:pPr>
                    <w:widowControl/>
                    <w:jc w:val="center"/>
                    <w:textAlignment w:val="center"/>
                    <w:rPr>
                      <w:color w:val="auto"/>
                      <w:kern w:val="0"/>
                      <w:szCs w:val="21"/>
                      <w:lang w:bidi="ar"/>
                    </w:rPr>
                  </w:pPr>
                  <w:r>
                    <w:rPr>
                      <w:rFonts w:hint="eastAsia"/>
                      <w:color w:val="auto"/>
                      <w:kern w:val="0"/>
                      <w:szCs w:val="21"/>
                      <w:lang w:bidi="ar"/>
                    </w:rPr>
                    <w:t>5%</w:t>
                  </w:r>
                </w:p>
              </w:tc>
              <w:tc>
                <w:tcPr>
                  <w:tcW w:w="1067" w:type="dxa"/>
                  <w:vAlign w:val="center"/>
                </w:tcPr>
                <w:p w14:paraId="6E494F84">
                  <w:pPr>
                    <w:widowControl/>
                    <w:jc w:val="center"/>
                    <w:textAlignment w:val="center"/>
                    <w:rPr>
                      <w:color w:val="auto"/>
                      <w:kern w:val="0"/>
                      <w:szCs w:val="21"/>
                      <w:lang w:bidi="ar"/>
                    </w:rPr>
                  </w:pPr>
                  <w:r>
                    <w:rPr>
                      <w:rFonts w:hint="eastAsia"/>
                      <w:color w:val="auto"/>
                      <w:kern w:val="0"/>
                      <w:szCs w:val="21"/>
                      <w:lang w:bidi="ar"/>
                    </w:rPr>
                    <w:t>79</w:t>
                  </w:r>
                </w:p>
              </w:tc>
              <w:tc>
                <w:tcPr>
                  <w:tcW w:w="989" w:type="dxa"/>
                  <w:vAlign w:val="center"/>
                </w:tcPr>
                <w:p w14:paraId="0D7C7D68">
                  <w:pPr>
                    <w:widowControl/>
                    <w:jc w:val="center"/>
                    <w:textAlignment w:val="center"/>
                    <w:rPr>
                      <w:color w:val="auto"/>
                      <w:kern w:val="0"/>
                      <w:szCs w:val="21"/>
                      <w:lang w:bidi="ar"/>
                    </w:rPr>
                  </w:pPr>
                  <w:r>
                    <w:rPr>
                      <w:color w:val="auto"/>
                      <w:kern w:val="0"/>
                      <w:szCs w:val="21"/>
                      <w:lang w:bidi="ar"/>
                    </w:rPr>
                    <w:t>42</w:t>
                  </w:r>
                </w:p>
              </w:tc>
              <w:tc>
                <w:tcPr>
                  <w:tcW w:w="1078" w:type="dxa"/>
                  <w:vAlign w:val="center"/>
                </w:tcPr>
                <w:p w14:paraId="7BE3BB65">
                  <w:pPr>
                    <w:widowControl/>
                    <w:jc w:val="center"/>
                    <w:textAlignment w:val="center"/>
                    <w:rPr>
                      <w:color w:val="auto"/>
                      <w:kern w:val="0"/>
                      <w:szCs w:val="21"/>
                      <w:lang w:bidi="ar"/>
                    </w:rPr>
                  </w:pPr>
                  <w:r>
                    <w:rPr>
                      <w:color w:val="auto"/>
                      <w:kern w:val="0"/>
                      <w:szCs w:val="21"/>
                      <w:lang w:bidi="ar"/>
                    </w:rPr>
                    <w:t>316</w:t>
                  </w:r>
                </w:p>
              </w:tc>
              <w:tc>
                <w:tcPr>
                  <w:tcW w:w="977" w:type="dxa"/>
                  <w:vAlign w:val="center"/>
                </w:tcPr>
                <w:p w14:paraId="6A990FDE">
                  <w:pPr>
                    <w:widowControl/>
                    <w:jc w:val="center"/>
                    <w:textAlignment w:val="center"/>
                    <w:rPr>
                      <w:color w:val="auto"/>
                      <w:szCs w:val="21"/>
                    </w:rPr>
                  </w:pPr>
                  <w:r>
                    <w:rPr>
                      <w:color w:val="auto"/>
                      <w:kern w:val="0"/>
                      <w:szCs w:val="21"/>
                      <w:lang w:bidi="ar"/>
                    </w:rPr>
                    <w:t>358</w:t>
                  </w:r>
                </w:p>
              </w:tc>
            </w:tr>
            <w:tr w14:paraId="5D994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7" w:type="dxa"/>
                  <w:vAlign w:val="center"/>
                </w:tcPr>
                <w:p w14:paraId="3BA77FA1">
                  <w:pPr>
                    <w:pStyle w:val="34"/>
                    <w:adjustRightInd w:val="0"/>
                    <w:snapToGrid w:val="0"/>
                    <w:spacing w:after="0"/>
                    <w:ind w:left="0" w:leftChars="0" w:firstLine="0" w:firstLineChars="0"/>
                    <w:jc w:val="center"/>
                    <w:rPr>
                      <w:color w:val="auto"/>
                      <w:sz w:val="21"/>
                      <w:szCs w:val="21"/>
                    </w:rPr>
                  </w:pPr>
                  <w:r>
                    <w:rPr>
                      <w:color w:val="auto"/>
                      <w:sz w:val="21"/>
                      <w:szCs w:val="21"/>
                    </w:rPr>
                    <w:t>4</w:t>
                  </w:r>
                </w:p>
              </w:tc>
              <w:tc>
                <w:tcPr>
                  <w:tcW w:w="672" w:type="dxa"/>
                  <w:vMerge w:val="continue"/>
                  <w:vAlign w:val="center"/>
                </w:tcPr>
                <w:p w14:paraId="23D8079A">
                  <w:pPr>
                    <w:pStyle w:val="34"/>
                    <w:adjustRightInd w:val="0"/>
                    <w:snapToGrid w:val="0"/>
                    <w:spacing w:after="0"/>
                    <w:ind w:left="0" w:leftChars="0" w:firstLine="0" w:firstLineChars="0"/>
                    <w:jc w:val="center"/>
                    <w:rPr>
                      <w:color w:val="auto"/>
                      <w:sz w:val="21"/>
                      <w:szCs w:val="21"/>
                    </w:rPr>
                  </w:pPr>
                </w:p>
              </w:tc>
              <w:tc>
                <w:tcPr>
                  <w:tcW w:w="1089" w:type="dxa"/>
                  <w:vAlign w:val="center"/>
                </w:tcPr>
                <w:p w14:paraId="31A856B1">
                  <w:pPr>
                    <w:adjustRightInd w:val="0"/>
                    <w:snapToGrid w:val="0"/>
                    <w:jc w:val="center"/>
                    <w:rPr>
                      <w:color w:val="auto"/>
                      <w:szCs w:val="21"/>
                    </w:rPr>
                  </w:pPr>
                  <w:r>
                    <w:rPr>
                      <w:rFonts w:hint="eastAsia"/>
                      <w:color w:val="auto"/>
                      <w:szCs w:val="21"/>
                    </w:rPr>
                    <w:t>清洗</w:t>
                  </w:r>
                  <w:r>
                    <w:rPr>
                      <w:color w:val="auto"/>
                      <w:szCs w:val="21"/>
                    </w:rPr>
                    <w:t>槽4</w:t>
                  </w:r>
                </w:p>
              </w:tc>
              <w:tc>
                <w:tcPr>
                  <w:tcW w:w="856" w:type="dxa"/>
                  <w:vAlign w:val="center"/>
                </w:tcPr>
                <w:p w14:paraId="2212A389">
                  <w:pPr>
                    <w:widowControl/>
                    <w:jc w:val="center"/>
                    <w:textAlignment w:val="center"/>
                    <w:rPr>
                      <w:color w:val="auto"/>
                      <w:kern w:val="0"/>
                      <w:szCs w:val="21"/>
                    </w:rPr>
                  </w:pPr>
                  <w:r>
                    <w:rPr>
                      <w:rFonts w:hint="eastAsia"/>
                      <w:color w:val="auto"/>
                      <w:kern w:val="0"/>
                      <w:szCs w:val="21"/>
                    </w:rPr>
                    <w:t>4</w:t>
                  </w:r>
                </w:p>
              </w:tc>
              <w:tc>
                <w:tcPr>
                  <w:tcW w:w="1049" w:type="dxa"/>
                  <w:vAlign w:val="center"/>
                </w:tcPr>
                <w:p w14:paraId="40189370">
                  <w:pPr>
                    <w:widowControl/>
                    <w:jc w:val="center"/>
                    <w:textAlignment w:val="center"/>
                    <w:rPr>
                      <w:color w:val="auto"/>
                      <w:kern w:val="0"/>
                      <w:szCs w:val="21"/>
                      <w:lang w:bidi="ar"/>
                    </w:rPr>
                  </w:pPr>
                  <w:r>
                    <w:rPr>
                      <w:color w:val="auto"/>
                      <w:kern w:val="0"/>
                      <w:szCs w:val="21"/>
                      <w:lang w:bidi="ar"/>
                    </w:rPr>
                    <w:t>回用水</w:t>
                  </w:r>
                </w:p>
              </w:tc>
              <w:tc>
                <w:tcPr>
                  <w:tcW w:w="962" w:type="dxa"/>
                  <w:vAlign w:val="center"/>
                </w:tcPr>
                <w:p w14:paraId="09DD1345">
                  <w:pPr>
                    <w:widowControl/>
                    <w:jc w:val="center"/>
                    <w:textAlignment w:val="center"/>
                    <w:rPr>
                      <w:color w:val="auto"/>
                      <w:kern w:val="0"/>
                      <w:szCs w:val="21"/>
                      <w:lang w:bidi="ar"/>
                    </w:rPr>
                  </w:pPr>
                  <w:r>
                    <w:rPr>
                      <w:rFonts w:hint="eastAsia"/>
                      <w:color w:val="auto"/>
                      <w:kern w:val="0"/>
                      <w:szCs w:val="21"/>
                      <w:lang w:bidi="ar"/>
                    </w:rPr>
                    <w:t>10h/d，65d/a</w:t>
                  </w:r>
                </w:p>
              </w:tc>
              <w:tc>
                <w:tcPr>
                  <w:tcW w:w="755" w:type="dxa"/>
                  <w:vAlign w:val="center"/>
                </w:tcPr>
                <w:p w14:paraId="013900E8">
                  <w:pPr>
                    <w:widowControl/>
                    <w:jc w:val="center"/>
                    <w:textAlignment w:val="center"/>
                    <w:rPr>
                      <w:color w:val="auto"/>
                      <w:kern w:val="0"/>
                      <w:szCs w:val="21"/>
                      <w:lang w:bidi="ar"/>
                    </w:rPr>
                  </w:pPr>
                  <w:r>
                    <w:rPr>
                      <w:rFonts w:hint="eastAsia"/>
                      <w:color w:val="auto"/>
                      <w:kern w:val="0"/>
                      <w:szCs w:val="21"/>
                      <w:lang w:bidi="ar"/>
                    </w:rPr>
                    <w:t>5%</w:t>
                  </w:r>
                </w:p>
              </w:tc>
              <w:tc>
                <w:tcPr>
                  <w:tcW w:w="1067" w:type="dxa"/>
                  <w:vAlign w:val="center"/>
                </w:tcPr>
                <w:p w14:paraId="02E478A9">
                  <w:pPr>
                    <w:widowControl/>
                    <w:jc w:val="center"/>
                    <w:textAlignment w:val="center"/>
                    <w:rPr>
                      <w:color w:val="auto"/>
                      <w:kern w:val="0"/>
                      <w:szCs w:val="21"/>
                      <w:lang w:bidi="ar"/>
                    </w:rPr>
                  </w:pPr>
                  <w:r>
                    <w:rPr>
                      <w:rFonts w:hint="eastAsia"/>
                      <w:color w:val="auto"/>
                      <w:kern w:val="0"/>
                      <w:szCs w:val="21"/>
                      <w:lang w:bidi="ar"/>
                    </w:rPr>
                    <w:t>22</w:t>
                  </w:r>
                </w:p>
              </w:tc>
              <w:tc>
                <w:tcPr>
                  <w:tcW w:w="989" w:type="dxa"/>
                  <w:vAlign w:val="center"/>
                </w:tcPr>
                <w:p w14:paraId="11F59D9A">
                  <w:pPr>
                    <w:widowControl/>
                    <w:jc w:val="center"/>
                    <w:textAlignment w:val="center"/>
                    <w:rPr>
                      <w:color w:val="auto"/>
                      <w:szCs w:val="21"/>
                    </w:rPr>
                  </w:pPr>
                  <w:r>
                    <w:rPr>
                      <w:color w:val="auto"/>
                      <w:kern w:val="0"/>
                      <w:szCs w:val="21"/>
                      <w:lang w:bidi="ar"/>
                    </w:rPr>
                    <w:t>18</w:t>
                  </w:r>
                </w:p>
              </w:tc>
              <w:tc>
                <w:tcPr>
                  <w:tcW w:w="1078" w:type="dxa"/>
                  <w:vAlign w:val="center"/>
                </w:tcPr>
                <w:p w14:paraId="16ABD062">
                  <w:pPr>
                    <w:widowControl/>
                    <w:jc w:val="center"/>
                    <w:textAlignment w:val="center"/>
                    <w:rPr>
                      <w:color w:val="auto"/>
                      <w:kern w:val="0"/>
                      <w:szCs w:val="21"/>
                      <w:lang w:bidi="ar"/>
                    </w:rPr>
                  </w:pPr>
                  <w:r>
                    <w:rPr>
                      <w:color w:val="auto"/>
                      <w:kern w:val="0"/>
                      <w:szCs w:val="21"/>
                      <w:lang w:bidi="ar"/>
                    </w:rPr>
                    <w:t>88</w:t>
                  </w:r>
                </w:p>
              </w:tc>
              <w:tc>
                <w:tcPr>
                  <w:tcW w:w="977" w:type="dxa"/>
                  <w:vAlign w:val="center"/>
                </w:tcPr>
                <w:p w14:paraId="586609F7">
                  <w:pPr>
                    <w:widowControl/>
                    <w:jc w:val="center"/>
                    <w:textAlignment w:val="center"/>
                    <w:rPr>
                      <w:color w:val="auto"/>
                      <w:szCs w:val="21"/>
                    </w:rPr>
                  </w:pPr>
                  <w:r>
                    <w:rPr>
                      <w:color w:val="auto"/>
                      <w:kern w:val="0"/>
                      <w:szCs w:val="21"/>
                      <w:lang w:bidi="ar"/>
                    </w:rPr>
                    <w:t>106</w:t>
                  </w:r>
                </w:p>
              </w:tc>
            </w:tr>
            <w:tr w14:paraId="6F69E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7" w:type="dxa"/>
                  <w:vAlign w:val="center"/>
                </w:tcPr>
                <w:p w14:paraId="5B498923">
                  <w:pPr>
                    <w:pStyle w:val="34"/>
                    <w:adjustRightInd w:val="0"/>
                    <w:snapToGrid w:val="0"/>
                    <w:spacing w:after="0"/>
                    <w:ind w:left="0" w:leftChars="0" w:firstLine="0" w:firstLineChars="0"/>
                    <w:jc w:val="center"/>
                    <w:rPr>
                      <w:color w:val="auto"/>
                      <w:sz w:val="21"/>
                      <w:szCs w:val="21"/>
                    </w:rPr>
                  </w:pPr>
                  <w:r>
                    <w:rPr>
                      <w:color w:val="auto"/>
                      <w:sz w:val="21"/>
                      <w:szCs w:val="21"/>
                    </w:rPr>
                    <w:t>5</w:t>
                  </w:r>
                </w:p>
              </w:tc>
              <w:tc>
                <w:tcPr>
                  <w:tcW w:w="672" w:type="dxa"/>
                  <w:vMerge w:val="continue"/>
                  <w:vAlign w:val="center"/>
                </w:tcPr>
                <w:p w14:paraId="2F1EE100">
                  <w:pPr>
                    <w:pStyle w:val="34"/>
                    <w:adjustRightInd w:val="0"/>
                    <w:snapToGrid w:val="0"/>
                    <w:spacing w:after="0"/>
                    <w:ind w:left="0" w:leftChars="0" w:firstLine="0" w:firstLineChars="0"/>
                    <w:jc w:val="center"/>
                    <w:rPr>
                      <w:color w:val="auto"/>
                      <w:sz w:val="21"/>
                      <w:szCs w:val="21"/>
                    </w:rPr>
                  </w:pPr>
                </w:p>
              </w:tc>
              <w:tc>
                <w:tcPr>
                  <w:tcW w:w="1089" w:type="dxa"/>
                  <w:vAlign w:val="center"/>
                </w:tcPr>
                <w:p w14:paraId="4EAA9C4F">
                  <w:pPr>
                    <w:adjustRightInd w:val="0"/>
                    <w:snapToGrid w:val="0"/>
                    <w:jc w:val="center"/>
                    <w:rPr>
                      <w:color w:val="auto"/>
                      <w:szCs w:val="21"/>
                    </w:rPr>
                  </w:pPr>
                  <w:r>
                    <w:rPr>
                      <w:rFonts w:hint="eastAsia"/>
                      <w:color w:val="auto"/>
                      <w:szCs w:val="21"/>
                    </w:rPr>
                    <w:t>清洗</w:t>
                  </w:r>
                  <w:r>
                    <w:rPr>
                      <w:color w:val="auto"/>
                      <w:szCs w:val="21"/>
                    </w:rPr>
                    <w:t>槽5</w:t>
                  </w:r>
                </w:p>
              </w:tc>
              <w:tc>
                <w:tcPr>
                  <w:tcW w:w="856" w:type="dxa"/>
                  <w:vAlign w:val="center"/>
                </w:tcPr>
                <w:p w14:paraId="023B5E57">
                  <w:pPr>
                    <w:widowControl/>
                    <w:jc w:val="center"/>
                    <w:textAlignment w:val="center"/>
                    <w:rPr>
                      <w:color w:val="auto"/>
                      <w:kern w:val="0"/>
                      <w:szCs w:val="21"/>
                    </w:rPr>
                  </w:pPr>
                  <w:r>
                    <w:rPr>
                      <w:rFonts w:hint="eastAsia"/>
                      <w:color w:val="auto"/>
                      <w:kern w:val="0"/>
                      <w:szCs w:val="21"/>
                    </w:rPr>
                    <w:t>4</w:t>
                  </w:r>
                </w:p>
              </w:tc>
              <w:tc>
                <w:tcPr>
                  <w:tcW w:w="1049" w:type="dxa"/>
                  <w:vAlign w:val="center"/>
                </w:tcPr>
                <w:p w14:paraId="3A9EE8B4">
                  <w:pPr>
                    <w:widowControl/>
                    <w:jc w:val="center"/>
                    <w:textAlignment w:val="center"/>
                    <w:rPr>
                      <w:color w:val="auto"/>
                      <w:kern w:val="0"/>
                      <w:szCs w:val="21"/>
                      <w:lang w:bidi="ar"/>
                    </w:rPr>
                  </w:pPr>
                  <w:r>
                    <w:rPr>
                      <w:color w:val="auto"/>
                      <w:kern w:val="0"/>
                      <w:szCs w:val="21"/>
                      <w:lang w:bidi="ar"/>
                    </w:rPr>
                    <w:t>新鲜水</w:t>
                  </w:r>
                </w:p>
              </w:tc>
              <w:tc>
                <w:tcPr>
                  <w:tcW w:w="962" w:type="dxa"/>
                  <w:vAlign w:val="center"/>
                </w:tcPr>
                <w:p w14:paraId="7D52049A">
                  <w:pPr>
                    <w:widowControl/>
                    <w:jc w:val="center"/>
                    <w:textAlignment w:val="center"/>
                    <w:rPr>
                      <w:color w:val="auto"/>
                      <w:kern w:val="0"/>
                      <w:szCs w:val="21"/>
                      <w:lang w:bidi="ar"/>
                    </w:rPr>
                  </w:pPr>
                  <w:r>
                    <w:rPr>
                      <w:rFonts w:hint="eastAsia"/>
                      <w:color w:val="auto"/>
                      <w:kern w:val="0"/>
                      <w:szCs w:val="21"/>
                      <w:lang w:bidi="ar"/>
                    </w:rPr>
                    <w:t>10h/d，235d/a</w:t>
                  </w:r>
                </w:p>
              </w:tc>
              <w:tc>
                <w:tcPr>
                  <w:tcW w:w="755" w:type="dxa"/>
                  <w:vAlign w:val="center"/>
                </w:tcPr>
                <w:p w14:paraId="4E87762A">
                  <w:pPr>
                    <w:widowControl/>
                    <w:jc w:val="center"/>
                    <w:textAlignment w:val="center"/>
                    <w:rPr>
                      <w:color w:val="auto"/>
                      <w:kern w:val="0"/>
                      <w:szCs w:val="21"/>
                      <w:lang w:bidi="ar"/>
                    </w:rPr>
                  </w:pPr>
                  <w:r>
                    <w:rPr>
                      <w:rFonts w:hint="eastAsia"/>
                      <w:color w:val="auto"/>
                      <w:kern w:val="0"/>
                      <w:szCs w:val="21"/>
                      <w:lang w:bidi="ar"/>
                    </w:rPr>
                    <w:t>5%</w:t>
                  </w:r>
                </w:p>
              </w:tc>
              <w:tc>
                <w:tcPr>
                  <w:tcW w:w="1067" w:type="dxa"/>
                  <w:vAlign w:val="center"/>
                </w:tcPr>
                <w:p w14:paraId="3DCD0A97">
                  <w:pPr>
                    <w:widowControl/>
                    <w:jc w:val="center"/>
                    <w:textAlignment w:val="center"/>
                    <w:rPr>
                      <w:color w:val="auto"/>
                      <w:kern w:val="0"/>
                      <w:szCs w:val="21"/>
                      <w:lang w:bidi="ar"/>
                    </w:rPr>
                  </w:pPr>
                  <w:r>
                    <w:rPr>
                      <w:rFonts w:hint="eastAsia"/>
                      <w:color w:val="auto"/>
                      <w:kern w:val="0"/>
                      <w:szCs w:val="21"/>
                      <w:lang w:bidi="ar"/>
                    </w:rPr>
                    <w:t>79</w:t>
                  </w:r>
                </w:p>
              </w:tc>
              <w:tc>
                <w:tcPr>
                  <w:tcW w:w="989" w:type="dxa"/>
                  <w:vAlign w:val="center"/>
                </w:tcPr>
                <w:p w14:paraId="7E1C1AD1">
                  <w:pPr>
                    <w:widowControl/>
                    <w:jc w:val="center"/>
                    <w:textAlignment w:val="center"/>
                    <w:rPr>
                      <w:color w:val="auto"/>
                      <w:szCs w:val="21"/>
                    </w:rPr>
                  </w:pPr>
                  <w:r>
                    <w:rPr>
                      <w:color w:val="auto"/>
                      <w:kern w:val="0"/>
                      <w:szCs w:val="21"/>
                      <w:lang w:bidi="ar"/>
                    </w:rPr>
                    <w:t>42</w:t>
                  </w:r>
                </w:p>
              </w:tc>
              <w:tc>
                <w:tcPr>
                  <w:tcW w:w="1078" w:type="dxa"/>
                  <w:vAlign w:val="center"/>
                </w:tcPr>
                <w:p w14:paraId="173DCD92">
                  <w:pPr>
                    <w:widowControl/>
                    <w:jc w:val="center"/>
                    <w:textAlignment w:val="center"/>
                    <w:rPr>
                      <w:color w:val="auto"/>
                      <w:kern w:val="0"/>
                      <w:szCs w:val="21"/>
                      <w:lang w:bidi="ar"/>
                    </w:rPr>
                  </w:pPr>
                  <w:r>
                    <w:rPr>
                      <w:color w:val="auto"/>
                      <w:kern w:val="0"/>
                      <w:szCs w:val="21"/>
                      <w:lang w:bidi="ar"/>
                    </w:rPr>
                    <w:t>316</w:t>
                  </w:r>
                </w:p>
              </w:tc>
              <w:tc>
                <w:tcPr>
                  <w:tcW w:w="977" w:type="dxa"/>
                  <w:vAlign w:val="center"/>
                </w:tcPr>
                <w:p w14:paraId="39042771">
                  <w:pPr>
                    <w:widowControl/>
                    <w:jc w:val="center"/>
                    <w:textAlignment w:val="center"/>
                    <w:rPr>
                      <w:color w:val="auto"/>
                      <w:szCs w:val="21"/>
                    </w:rPr>
                  </w:pPr>
                  <w:r>
                    <w:rPr>
                      <w:color w:val="auto"/>
                      <w:kern w:val="0"/>
                      <w:szCs w:val="21"/>
                      <w:lang w:bidi="ar"/>
                    </w:rPr>
                    <w:t>358</w:t>
                  </w:r>
                </w:p>
              </w:tc>
            </w:tr>
            <w:tr w14:paraId="0C0DC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7" w:type="dxa"/>
                  <w:vAlign w:val="center"/>
                </w:tcPr>
                <w:p w14:paraId="4CA4BBAF">
                  <w:pPr>
                    <w:pStyle w:val="34"/>
                    <w:adjustRightInd w:val="0"/>
                    <w:snapToGrid w:val="0"/>
                    <w:spacing w:after="0"/>
                    <w:ind w:left="0" w:leftChars="0" w:firstLine="0" w:firstLineChars="0"/>
                    <w:jc w:val="center"/>
                    <w:rPr>
                      <w:color w:val="auto"/>
                      <w:sz w:val="21"/>
                      <w:szCs w:val="21"/>
                    </w:rPr>
                  </w:pPr>
                  <w:r>
                    <w:rPr>
                      <w:color w:val="auto"/>
                      <w:sz w:val="21"/>
                      <w:szCs w:val="21"/>
                    </w:rPr>
                    <w:t>6</w:t>
                  </w:r>
                </w:p>
              </w:tc>
              <w:tc>
                <w:tcPr>
                  <w:tcW w:w="672" w:type="dxa"/>
                  <w:vMerge w:val="continue"/>
                  <w:vAlign w:val="center"/>
                </w:tcPr>
                <w:p w14:paraId="66C10569">
                  <w:pPr>
                    <w:pStyle w:val="34"/>
                    <w:adjustRightInd w:val="0"/>
                    <w:snapToGrid w:val="0"/>
                    <w:spacing w:after="0"/>
                    <w:ind w:left="0" w:leftChars="0" w:firstLine="0" w:firstLineChars="0"/>
                    <w:jc w:val="center"/>
                    <w:rPr>
                      <w:color w:val="auto"/>
                      <w:sz w:val="21"/>
                      <w:szCs w:val="21"/>
                    </w:rPr>
                  </w:pPr>
                </w:p>
              </w:tc>
              <w:tc>
                <w:tcPr>
                  <w:tcW w:w="1089" w:type="dxa"/>
                  <w:vAlign w:val="center"/>
                </w:tcPr>
                <w:p w14:paraId="15F96902">
                  <w:pPr>
                    <w:adjustRightInd w:val="0"/>
                    <w:snapToGrid w:val="0"/>
                    <w:jc w:val="center"/>
                    <w:rPr>
                      <w:color w:val="auto"/>
                      <w:szCs w:val="21"/>
                    </w:rPr>
                  </w:pPr>
                  <w:r>
                    <w:rPr>
                      <w:rFonts w:hint="eastAsia"/>
                      <w:color w:val="auto"/>
                      <w:szCs w:val="21"/>
                    </w:rPr>
                    <w:t>清洗</w:t>
                  </w:r>
                  <w:r>
                    <w:rPr>
                      <w:color w:val="auto"/>
                      <w:szCs w:val="21"/>
                    </w:rPr>
                    <w:t>槽6</w:t>
                  </w:r>
                </w:p>
              </w:tc>
              <w:tc>
                <w:tcPr>
                  <w:tcW w:w="856" w:type="dxa"/>
                  <w:vAlign w:val="center"/>
                </w:tcPr>
                <w:p w14:paraId="1C3E3FBB">
                  <w:pPr>
                    <w:widowControl/>
                    <w:jc w:val="center"/>
                    <w:textAlignment w:val="center"/>
                    <w:rPr>
                      <w:color w:val="auto"/>
                      <w:kern w:val="0"/>
                      <w:szCs w:val="21"/>
                    </w:rPr>
                  </w:pPr>
                  <w:r>
                    <w:rPr>
                      <w:rFonts w:hint="eastAsia"/>
                      <w:color w:val="auto"/>
                      <w:kern w:val="0"/>
                      <w:szCs w:val="21"/>
                    </w:rPr>
                    <w:t>4</w:t>
                  </w:r>
                </w:p>
              </w:tc>
              <w:tc>
                <w:tcPr>
                  <w:tcW w:w="1049" w:type="dxa"/>
                  <w:vAlign w:val="center"/>
                </w:tcPr>
                <w:p w14:paraId="1B1F9FC9">
                  <w:pPr>
                    <w:widowControl/>
                    <w:jc w:val="center"/>
                    <w:textAlignment w:val="center"/>
                    <w:rPr>
                      <w:color w:val="auto"/>
                      <w:kern w:val="0"/>
                      <w:szCs w:val="21"/>
                      <w:lang w:bidi="ar"/>
                    </w:rPr>
                  </w:pPr>
                  <w:r>
                    <w:rPr>
                      <w:color w:val="auto"/>
                      <w:kern w:val="0"/>
                      <w:szCs w:val="21"/>
                      <w:lang w:bidi="ar"/>
                    </w:rPr>
                    <w:t>新鲜水</w:t>
                  </w:r>
                </w:p>
              </w:tc>
              <w:tc>
                <w:tcPr>
                  <w:tcW w:w="962" w:type="dxa"/>
                  <w:vAlign w:val="center"/>
                </w:tcPr>
                <w:p w14:paraId="27419400">
                  <w:pPr>
                    <w:widowControl/>
                    <w:jc w:val="center"/>
                    <w:textAlignment w:val="center"/>
                    <w:rPr>
                      <w:color w:val="auto"/>
                      <w:kern w:val="0"/>
                      <w:szCs w:val="21"/>
                      <w:lang w:bidi="ar"/>
                    </w:rPr>
                  </w:pPr>
                  <w:r>
                    <w:rPr>
                      <w:rFonts w:hint="eastAsia"/>
                      <w:color w:val="auto"/>
                      <w:kern w:val="0"/>
                      <w:szCs w:val="21"/>
                      <w:lang w:bidi="ar"/>
                    </w:rPr>
                    <w:t>10h/d，65d/a</w:t>
                  </w:r>
                </w:p>
              </w:tc>
              <w:tc>
                <w:tcPr>
                  <w:tcW w:w="755" w:type="dxa"/>
                  <w:vAlign w:val="center"/>
                </w:tcPr>
                <w:p w14:paraId="19D77D66">
                  <w:pPr>
                    <w:widowControl/>
                    <w:jc w:val="center"/>
                    <w:textAlignment w:val="center"/>
                    <w:rPr>
                      <w:color w:val="auto"/>
                      <w:kern w:val="0"/>
                      <w:szCs w:val="21"/>
                      <w:lang w:bidi="ar"/>
                    </w:rPr>
                  </w:pPr>
                  <w:r>
                    <w:rPr>
                      <w:rFonts w:hint="eastAsia"/>
                      <w:color w:val="auto"/>
                      <w:kern w:val="0"/>
                      <w:szCs w:val="21"/>
                      <w:lang w:bidi="ar"/>
                    </w:rPr>
                    <w:t>5%</w:t>
                  </w:r>
                </w:p>
              </w:tc>
              <w:tc>
                <w:tcPr>
                  <w:tcW w:w="1067" w:type="dxa"/>
                  <w:vAlign w:val="center"/>
                </w:tcPr>
                <w:p w14:paraId="7AF26AC6">
                  <w:pPr>
                    <w:widowControl/>
                    <w:jc w:val="center"/>
                    <w:textAlignment w:val="center"/>
                    <w:rPr>
                      <w:color w:val="auto"/>
                      <w:kern w:val="0"/>
                      <w:szCs w:val="21"/>
                      <w:lang w:bidi="ar"/>
                    </w:rPr>
                  </w:pPr>
                  <w:r>
                    <w:rPr>
                      <w:rFonts w:hint="eastAsia"/>
                      <w:color w:val="auto"/>
                      <w:kern w:val="0"/>
                      <w:szCs w:val="21"/>
                      <w:lang w:bidi="ar"/>
                    </w:rPr>
                    <w:t>22</w:t>
                  </w:r>
                </w:p>
              </w:tc>
              <w:tc>
                <w:tcPr>
                  <w:tcW w:w="989" w:type="dxa"/>
                  <w:vAlign w:val="center"/>
                </w:tcPr>
                <w:p w14:paraId="40F71B07">
                  <w:pPr>
                    <w:widowControl/>
                    <w:jc w:val="center"/>
                    <w:textAlignment w:val="center"/>
                    <w:rPr>
                      <w:color w:val="auto"/>
                      <w:szCs w:val="21"/>
                    </w:rPr>
                  </w:pPr>
                  <w:r>
                    <w:rPr>
                      <w:color w:val="auto"/>
                      <w:kern w:val="0"/>
                      <w:szCs w:val="21"/>
                      <w:lang w:bidi="ar"/>
                    </w:rPr>
                    <w:t>18</w:t>
                  </w:r>
                </w:p>
              </w:tc>
              <w:tc>
                <w:tcPr>
                  <w:tcW w:w="1078" w:type="dxa"/>
                  <w:vAlign w:val="center"/>
                </w:tcPr>
                <w:p w14:paraId="62D4A100">
                  <w:pPr>
                    <w:widowControl/>
                    <w:jc w:val="center"/>
                    <w:textAlignment w:val="center"/>
                    <w:rPr>
                      <w:color w:val="auto"/>
                      <w:kern w:val="0"/>
                      <w:szCs w:val="21"/>
                      <w:lang w:bidi="ar"/>
                    </w:rPr>
                  </w:pPr>
                  <w:r>
                    <w:rPr>
                      <w:color w:val="auto"/>
                      <w:kern w:val="0"/>
                      <w:szCs w:val="21"/>
                      <w:lang w:bidi="ar"/>
                    </w:rPr>
                    <w:t>88</w:t>
                  </w:r>
                </w:p>
              </w:tc>
              <w:tc>
                <w:tcPr>
                  <w:tcW w:w="977" w:type="dxa"/>
                  <w:vAlign w:val="center"/>
                </w:tcPr>
                <w:p w14:paraId="12316574">
                  <w:pPr>
                    <w:widowControl/>
                    <w:jc w:val="center"/>
                    <w:textAlignment w:val="center"/>
                    <w:rPr>
                      <w:color w:val="auto"/>
                      <w:szCs w:val="21"/>
                    </w:rPr>
                  </w:pPr>
                  <w:r>
                    <w:rPr>
                      <w:color w:val="auto"/>
                      <w:kern w:val="0"/>
                      <w:szCs w:val="21"/>
                      <w:lang w:bidi="ar"/>
                    </w:rPr>
                    <w:t>106</w:t>
                  </w:r>
                </w:p>
              </w:tc>
            </w:tr>
            <w:tr w14:paraId="3BB49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7" w:type="dxa"/>
                  <w:gridSpan w:val="8"/>
                  <w:vAlign w:val="center"/>
                </w:tcPr>
                <w:p w14:paraId="08BA1F5E">
                  <w:pPr>
                    <w:widowControl/>
                    <w:jc w:val="center"/>
                    <w:textAlignment w:val="center"/>
                    <w:rPr>
                      <w:color w:val="auto"/>
                      <w:kern w:val="0"/>
                      <w:szCs w:val="21"/>
                      <w:lang w:bidi="ar"/>
                    </w:rPr>
                  </w:pPr>
                  <w:r>
                    <w:rPr>
                      <w:color w:val="auto"/>
                      <w:kern w:val="0"/>
                      <w:szCs w:val="21"/>
                      <w:lang w:bidi="ar"/>
                    </w:rPr>
                    <w:t>合计</w:t>
                  </w:r>
                </w:p>
              </w:tc>
              <w:tc>
                <w:tcPr>
                  <w:tcW w:w="989" w:type="dxa"/>
                  <w:vAlign w:val="center"/>
                </w:tcPr>
                <w:p w14:paraId="6751FD56">
                  <w:pPr>
                    <w:widowControl/>
                    <w:jc w:val="center"/>
                    <w:textAlignment w:val="center"/>
                    <w:rPr>
                      <w:color w:val="auto"/>
                      <w:kern w:val="0"/>
                      <w:szCs w:val="21"/>
                      <w:lang w:bidi="ar"/>
                    </w:rPr>
                  </w:pPr>
                  <w:r>
                    <w:rPr>
                      <w:color w:val="auto"/>
                      <w:kern w:val="0"/>
                      <w:szCs w:val="21"/>
                      <w:lang w:bidi="ar"/>
                    </w:rPr>
                    <w:t>204</w:t>
                  </w:r>
                </w:p>
              </w:tc>
              <w:tc>
                <w:tcPr>
                  <w:tcW w:w="1078" w:type="dxa"/>
                  <w:vAlign w:val="center"/>
                </w:tcPr>
                <w:p w14:paraId="4F70C22E">
                  <w:pPr>
                    <w:widowControl/>
                    <w:jc w:val="center"/>
                    <w:textAlignment w:val="center"/>
                    <w:rPr>
                      <w:color w:val="auto"/>
                      <w:kern w:val="0"/>
                      <w:szCs w:val="21"/>
                      <w:lang w:bidi="ar"/>
                    </w:rPr>
                  </w:pPr>
                  <w:r>
                    <w:rPr>
                      <w:color w:val="auto"/>
                      <w:kern w:val="0"/>
                      <w:szCs w:val="21"/>
                      <w:lang w:bidi="ar"/>
                    </w:rPr>
                    <w:t>1440</w:t>
                  </w:r>
                </w:p>
              </w:tc>
              <w:tc>
                <w:tcPr>
                  <w:tcW w:w="977" w:type="dxa"/>
                  <w:vAlign w:val="center"/>
                </w:tcPr>
                <w:p w14:paraId="33D634CE">
                  <w:pPr>
                    <w:widowControl/>
                    <w:jc w:val="center"/>
                    <w:textAlignment w:val="center"/>
                    <w:rPr>
                      <w:color w:val="auto"/>
                      <w:szCs w:val="21"/>
                    </w:rPr>
                  </w:pPr>
                  <w:r>
                    <w:rPr>
                      <w:color w:val="auto"/>
                      <w:kern w:val="0"/>
                      <w:szCs w:val="21"/>
                      <w:lang w:bidi="ar"/>
                    </w:rPr>
                    <w:t>1644</w:t>
                  </w:r>
                </w:p>
              </w:tc>
            </w:tr>
            <w:tr w14:paraId="4512C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71" w:type="dxa"/>
                  <w:gridSpan w:val="11"/>
                  <w:vAlign w:val="center"/>
                </w:tcPr>
                <w:p w14:paraId="19395E0D">
                  <w:pPr>
                    <w:widowControl/>
                    <w:jc w:val="left"/>
                    <w:textAlignment w:val="center"/>
                    <w:rPr>
                      <w:color w:val="auto"/>
                      <w:szCs w:val="21"/>
                    </w:rPr>
                  </w:pPr>
                  <w:r>
                    <w:rPr>
                      <w:color w:val="auto"/>
                      <w:szCs w:val="21"/>
                    </w:rPr>
                    <w:t>注：</w:t>
                  </w:r>
                  <w:r>
                    <w:rPr>
                      <w:rFonts w:eastAsia="微软雅黑"/>
                      <w:color w:val="auto"/>
                      <w:szCs w:val="21"/>
                    </w:rPr>
                    <w:t>①</w:t>
                  </w:r>
                  <w:r>
                    <w:rPr>
                      <w:color w:val="auto"/>
                      <w:szCs w:val="21"/>
                    </w:rPr>
                    <w:t>前处理线工作时间按设计年加工时间3000h计算；</w:t>
                  </w:r>
                </w:p>
                <w:p w14:paraId="48D9D437">
                  <w:pPr>
                    <w:widowControl/>
                    <w:jc w:val="left"/>
                    <w:textAlignment w:val="center"/>
                    <w:rPr>
                      <w:color w:val="auto"/>
                      <w:szCs w:val="21"/>
                    </w:rPr>
                  </w:pPr>
                  <w:r>
                    <w:rPr>
                      <w:rFonts w:eastAsia="微软雅黑"/>
                      <w:color w:val="auto"/>
                      <w:szCs w:val="21"/>
                    </w:rPr>
                    <w:t>②</w:t>
                  </w:r>
                  <w:r>
                    <w:rPr>
                      <w:rFonts w:hint="eastAsia" w:ascii="宋体" w:hAnsi="宋体" w:cs="宋体"/>
                      <w:color w:val="auto"/>
                      <w:szCs w:val="21"/>
                    </w:rPr>
                    <w:t>根据各类产品的前处理工艺以及表</w:t>
                  </w:r>
                  <w:r>
                    <w:rPr>
                      <w:color w:val="auto"/>
                      <w:szCs w:val="21"/>
                    </w:rPr>
                    <w:t>2-</w:t>
                  </w:r>
                  <w:r>
                    <w:rPr>
                      <w:rFonts w:hint="eastAsia"/>
                      <w:color w:val="auto"/>
                      <w:szCs w:val="21"/>
                    </w:rPr>
                    <w:t>10</w:t>
                  </w:r>
                  <w:r>
                    <w:rPr>
                      <w:rFonts w:hint="eastAsia" w:ascii="宋体" w:hAnsi="宋体" w:cs="宋体"/>
                      <w:color w:val="auto"/>
                      <w:szCs w:val="21"/>
                    </w:rPr>
                    <w:t>各类产品的加工时间，</w:t>
                  </w:r>
                  <w:r>
                    <w:rPr>
                      <w:color w:val="auto"/>
                      <w:szCs w:val="21"/>
                    </w:rPr>
                    <w:t>清洗槽1、清洗槽2、清洗槽3和清洗槽</w:t>
                  </w:r>
                  <w:r>
                    <w:rPr>
                      <w:rFonts w:hint="eastAsia"/>
                      <w:color w:val="auto"/>
                      <w:szCs w:val="21"/>
                    </w:rPr>
                    <w:t>5主要清洗碳钢材质产品，作业时间为10h/d，235d/a；</w:t>
                  </w:r>
                  <w:r>
                    <w:rPr>
                      <w:color w:val="auto"/>
                      <w:szCs w:val="21"/>
                    </w:rPr>
                    <w:t>清洗槽</w:t>
                  </w:r>
                  <w:r>
                    <w:rPr>
                      <w:rFonts w:hint="eastAsia"/>
                      <w:color w:val="auto"/>
                      <w:szCs w:val="21"/>
                    </w:rPr>
                    <w:t>4和</w:t>
                  </w:r>
                  <w:r>
                    <w:rPr>
                      <w:color w:val="auto"/>
                      <w:szCs w:val="21"/>
                    </w:rPr>
                    <w:t>清洗槽</w:t>
                  </w:r>
                  <w:r>
                    <w:rPr>
                      <w:rFonts w:hint="eastAsia"/>
                      <w:color w:val="auto"/>
                      <w:szCs w:val="21"/>
                    </w:rPr>
                    <w:t>6主要清洗铝制产品，作业时间为10h/d，65d/a；</w:t>
                  </w:r>
                </w:p>
                <w:p w14:paraId="67AF245C">
                  <w:pPr>
                    <w:widowControl/>
                    <w:jc w:val="left"/>
                    <w:textAlignment w:val="center"/>
                    <w:rPr>
                      <w:color w:val="auto"/>
                      <w:szCs w:val="21"/>
                    </w:rPr>
                  </w:pPr>
                  <w:r>
                    <w:rPr>
                      <w:color w:val="auto"/>
                      <w:szCs w:val="21"/>
                    </w:rPr>
                    <w:t>③</w:t>
                  </w:r>
                  <w:r>
                    <w:rPr>
                      <w:rFonts w:hint="eastAsia"/>
                      <w:color w:val="auto"/>
                      <w:szCs w:val="21"/>
                    </w:rPr>
                    <w:t>各水槽每5天更换一次水，则</w:t>
                  </w:r>
                  <w:r>
                    <w:rPr>
                      <w:color w:val="auto"/>
                      <w:szCs w:val="21"/>
                    </w:rPr>
                    <w:t>清洗槽1、清洗槽2、清洗槽3和清洗槽</w:t>
                  </w:r>
                  <w:r>
                    <w:rPr>
                      <w:rFonts w:hint="eastAsia"/>
                      <w:color w:val="auto"/>
                      <w:szCs w:val="21"/>
                    </w:rPr>
                    <w:t>5更换次数=235</w:t>
                  </w:r>
                  <w:r>
                    <w:rPr>
                      <w:color w:val="auto"/>
                    </w:rPr>
                    <w:t>÷</w:t>
                  </w:r>
                  <w:r>
                    <w:rPr>
                      <w:rFonts w:hint="eastAsia"/>
                      <w:color w:val="auto"/>
                      <w:szCs w:val="21"/>
                    </w:rPr>
                    <w:t>3=79次/a；</w:t>
                  </w:r>
                  <w:r>
                    <w:rPr>
                      <w:color w:val="auto"/>
                      <w:szCs w:val="21"/>
                    </w:rPr>
                    <w:t>清洗槽</w:t>
                  </w:r>
                  <w:r>
                    <w:rPr>
                      <w:rFonts w:hint="eastAsia"/>
                      <w:color w:val="auto"/>
                      <w:szCs w:val="21"/>
                    </w:rPr>
                    <w:t>4和</w:t>
                  </w:r>
                  <w:r>
                    <w:rPr>
                      <w:color w:val="auto"/>
                      <w:szCs w:val="21"/>
                    </w:rPr>
                    <w:t>清洗槽</w:t>
                  </w:r>
                  <w:r>
                    <w:rPr>
                      <w:rFonts w:hint="eastAsia"/>
                      <w:color w:val="auto"/>
                      <w:szCs w:val="21"/>
                    </w:rPr>
                    <w:t>6更换次数=65</w:t>
                  </w:r>
                  <w:r>
                    <w:rPr>
                      <w:color w:val="auto"/>
                    </w:rPr>
                    <w:t>÷</w:t>
                  </w:r>
                  <w:r>
                    <w:rPr>
                      <w:rFonts w:hint="eastAsia"/>
                      <w:color w:val="auto"/>
                      <w:szCs w:val="21"/>
                    </w:rPr>
                    <w:t>3=22次/a。</w:t>
                  </w:r>
                </w:p>
              </w:tc>
            </w:tr>
          </w:tbl>
          <w:p w14:paraId="7CE4964A">
            <w:pPr>
              <w:pStyle w:val="34"/>
              <w:adjustRightInd w:val="0"/>
              <w:snapToGrid w:val="0"/>
              <w:spacing w:before="120" w:beforeLines="50" w:after="0" w:line="360" w:lineRule="auto"/>
              <w:ind w:left="0" w:leftChars="0" w:firstLine="480"/>
              <w:jc w:val="left"/>
              <w:rPr>
                <w:color w:val="auto"/>
              </w:rPr>
            </w:pPr>
            <w:r>
              <w:rPr>
                <w:bCs/>
                <w:color w:val="auto"/>
                <w:kern w:val="2"/>
                <w:szCs w:val="24"/>
              </w:rPr>
              <w:t>由上表可知，本项目</w:t>
            </w:r>
            <w:r>
              <w:rPr>
                <w:rFonts w:hint="eastAsia"/>
                <w:bCs/>
                <w:color w:val="auto"/>
                <w:kern w:val="2"/>
                <w:szCs w:val="24"/>
              </w:rPr>
              <w:t>清洗</w:t>
            </w:r>
            <w:r>
              <w:rPr>
                <w:bCs/>
                <w:color w:val="auto"/>
                <w:kern w:val="2"/>
                <w:szCs w:val="24"/>
              </w:rPr>
              <w:t>槽总用水量为</w:t>
            </w:r>
            <w:r>
              <w:rPr>
                <w:rFonts w:hint="eastAsia"/>
                <w:bCs/>
                <w:color w:val="auto"/>
                <w:kern w:val="2"/>
                <w:szCs w:val="24"/>
              </w:rPr>
              <w:t>1644</w:t>
            </w:r>
            <w:r>
              <w:rPr>
                <w:bCs/>
                <w:color w:val="auto"/>
                <w:kern w:val="2"/>
                <w:szCs w:val="24"/>
              </w:rPr>
              <w:t>t/a，其中</w:t>
            </w:r>
            <w:r>
              <w:rPr>
                <w:rFonts w:hint="eastAsia"/>
                <w:bCs/>
                <w:color w:val="auto"/>
                <w:kern w:val="2"/>
                <w:szCs w:val="24"/>
              </w:rPr>
              <w:t>补充</w:t>
            </w:r>
            <w:r>
              <w:rPr>
                <w:bCs/>
                <w:color w:val="auto"/>
                <w:kern w:val="2"/>
                <w:szCs w:val="24"/>
              </w:rPr>
              <w:t>水量为</w:t>
            </w:r>
            <w:r>
              <w:rPr>
                <w:rFonts w:hint="eastAsia"/>
                <w:bCs/>
                <w:color w:val="auto"/>
                <w:kern w:val="2"/>
                <w:szCs w:val="24"/>
              </w:rPr>
              <w:t>204</w:t>
            </w:r>
            <w:r>
              <w:rPr>
                <w:bCs/>
                <w:color w:val="auto"/>
                <w:kern w:val="2"/>
                <w:szCs w:val="24"/>
              </w:rPr>
              <w:t>t/a，更换用水量为</w:t>
            </w:r>
            <w:r>
              <w:rPr>
                <w:rFonts w:hint="eastAsia"/>
                <w:bCs/>
                <w:color w:val="auto"/>
                <w:kern w:val="2"/>
                <w:szCs w:val="24"/>
              </w:rPr>
              <w:t>1440</w:t>
            </w:r>
            <w:r>
              <w:rPr>
                <w:bCs/>
                <w:color w:val="auto"/>
                <w:kern w:val="2"/>
                <w:szCs w:val="24"/>
              </w:rPr>
              <w:t>t/a。</w:t>
            </w:r>
          </w:p>
          <w:p w14:paraId="68668DD1">
            <w:pPr>
              <w:adjustRightInd w:val="0"/>
              <w:snapToGrid w:val="0"/>
              <w:spacing w:line="360" w:lineRule="auto"/>
              <w:ind w:firstLine="482" w:firstLineChars="200"/>
              <w:rPr>
                <w:b/>
                <w:bCs/>
                <w:color w:val="auto"/>
                <w:kern w:val="0"/>
                <w:sz w:val="24"/>
              </w:rPr>
            </w:pPr>
            <w:r>
              <w:rPr>
                <w:rFonts w:hint="eastAsia"/>
                <w:b/>
                <w:bCs/>
                <w:color w:val="auto"/>
                <w:kern w:val="0"/>
                <w:sz w:val="24"/>
              </w:rPr>
              <w:t>3）水帘柜用水</w:t>
            </w:r>
          </w:p>
          <w:p w14:paraId="415B6B5C">
            <w:pPr>
              <w:adjustRightInd w:val="0"/>
              <w:snapToGrid w:val="0"/>
              <w:spacing w:line="360" w:lineRule="auto"/>
              <w:ind w:firstLine="480" w:firstLineChars="200"/>
              <w:rPr>
                <w:color w:val="auto"/>
                <w:sz w:val="24"/>
              </w:rPr>
            </w:pPr>
            <w:r>
              <w:rPr>
                <w:color w:val="auto"/>
                <w:sz w:val="24"/>
              </w:rPr>
              <w:t>项目拟建</w:t>
            </w:r>
            <w:r>
              <w:rPr>
                <w:rFonts w:hint="eastAsia"/>
                <w:color w:val="auto"/>
                <w:sz w:val="24"/>
              </w:rPr>
              <w:t>7</w:t>
            </w:r>
            <w:r>
              <w:rPr>
                <w:color w:val="auto"/>
                <w:sz w:val="24"/>
              </w:rPr>
              <w:t>个水帘柜</w:t>
            </w:r>
            <w:r>
              <w:rPr>
                <w:rFonts w:hint="eastAsia"/>
                <w:color w:val="auto"/>
                <w:sz w:val="24"/>
              </w:rPr>
              <w:t>和2个自动涂装机</w:t>
            </w:r>
            <w:r>
              <w:rPr>
                <w:color w:val="auto"/>
                <w:sz w:val="24"/>
              </w:rPr>
              <w:t>，</w:t>
            </w:r>
            <w:r>
              <w:rPr>
                <w:rFonts w:hint="eastAsia"/>
                <w:color w:val="auto"/>
                <w:sz w:val="24"/>
              </w:rPr>
              <w:t>水帘柜和自动涂装机均通过水泵形成循环水帘拦截喷漆产生的漆雾颗粒，水泵的循环次数按每小时循环3次水箱蓄水容积计，循环过程中存在蒸发损耗，需定期捞渣补水，各类设备水箱规格如表2-23</w:t>
            </w:r>
            <w:r>
              <w:rPr>
                <w:color w:val="auto"/>
                <w:sz w:val="24"/>
              </w:rPr>
              <w:t>，每</w:t>
            </w:r>
            <w:r>
              <w:rPr>
                <w:rFonts w:hint="eastAsia"/>
                <w:color w:val="auto"/>
                <w:sz w:val="24"/>
              </w:rPr>
              <w:t>日开机前</w:t>
            </w:r>
            <w:r>
              <w:rPr>
                <w:color w:val="auto"/>
                <w:sz w:val="24"/>
              </w:rPr>
              <w:t>对水帘柜</w:t>
            </w:r>
            <w:r>
              <w:rPr>
                <w:rFonts w:hint="eastAsia"/>
                <w:color w:val="auto"/>
                <w:sz w:val="24"/>
              </w:rPr>
              <w:t>和自动涂装机</w:t>
            </w:r>
            <w:r>
              <w:rPr>
                <w:color w:val="auto"/>
                <w:sz w:val="24"/>
              </w:rPr>
              <w:t>进行补充用水，</w:t>
            </w:r>
            <w:r>
              <w:rPr>
                <w:rFonts w:hint="eastAsia"/>
                <w:color w:val="auto"/>
                <w:sz w:val="24"/>
              </w:rPr>
              <w:t>补水量参考《涂装车间设计手册》（王锡春主编，化学工业出22版社）P87 中</w:t>
            </w:r>
            <w:r>
              <w:rPr>
                <w:rFonts w:hint="eastAsia"/>
                <w:color w:val="auto"/>
                <w:sz w:val="24"/>
                <w:lang w:eastAsia="zh-CN"/>
              </w:rPr>
              <w:t>，</w:t>
            </w:r>
            <w:r>
              <w:rPr>
                <w:rFonts w:hint="eastAsia"/>
                <w:color w:val="auto"/>
                <w:sz w:val="24"/>
              </w:rPr>
              <w:t>“喷淋式每小时补充循环水量的1.5%~3%”，则</w:t>
            </w:r>
            <w:r>
              <w:rPr>
                <w:rFonts w:hint="eastAsia"/>
                <w:color w:val="auto"/>
                <w:sz w:val="24"/>
                <w:lang w:val="en-US" w:eastAsia="zh-CN"/>
              </w:rPr>
              <w:t>水帘柜</w:t>
            </w:r>
            <w:r>
              <w:rPr>
                <w:color w:val="auto"/>
                <w:sz w:val="24"/>
              </w:rPr>
              <w:t>补水量</w:t>
            </w:r>
            <w:r>
              <w:rPr>
                <w:rFonts w:hint="eastAsia"/>
                <w:color w:val="auto"/>
                <w:sz w:val="24"/>
                <w:lang w:val="en-US" w:eastAsia="zh-CN"/>
              </w:rPr>
              <w:t>按</w:t>
            </w:r>
            <w:r>
              <w:rPr>
                <w:rFonts w:hint="eastAsia"/>
                <w:color w:val="auto"/>
                <w:sz w:val="24"/>
              </w:rPr>
              <w:t>循环水量</w:t>
            </w:r>
            <w:r>
              <w:rPr>
                <w:color w:val="auto"/>
                <w:sz w:val="24"/>
              </w:rPr>
              <w:t>的</w:t>
            </w:r>
            <w:r>
              <w:rPr>
                <w:rFonts w:hint="eastAsia"/>
                <w:color w:val="auto"/>
                <w:sz w:val="24"/>
                <w:lang w:val="en-US" w:eastAsia="zh-CN"/>
              </w:rPr>
              <w:t>2</w:t>
            </w:r>
            <w:r>
              <w:rPr>
                <w:color w:val="auto"/>
                <w:sz w:val="24"/>
              </w:rPr>
              <w:t>%</w:t>
            </w:r>
            <w:r>
              <w:rPr>
                <w:rFonts w:hint="eastAsia"/>
                <w:color w:val="auto"/>
                <w:sz w:val="24"/>
                <w:lang w:val="en-US" w:eastAsia="zh-CN"/>
              </w:rPr>
              <w:t>计</w:t>
            </w:r>
            <w:r>
              <w:rPr>
                <w:color w:val="auto"/>
                <w:sz w:val="24"/>
              </w:rPr>
              <w:t>，每</w:t>
            </w:r>
            <w:r>
              <w:rPr>
                <w:rFonts w:hint="eastAsia"/>
                <w:color w:val="auto"/>
                <w:sz w:val="24"/>
              </w:rPr>
              <w:t>半年</w:t>
            </w:r>
            <w:r>
              <w:rPr>
                <w:color w:val="auto"/>
                <w:sz w:val="24"/>
              </w:rPr>
              <w:t>更换一次水，</w:t>
            </w:r>
            <w:r>
              <w:rPr>
                <w:rFonts w:hint="eastAsia"/>
                <w:color w:val="auto"/>
                <w:sz w:val="24"/>
              </w:rPr>
              <w:t>年工作时间按300天，10h/d计，</w:t>
            </w:r>
            <w:r>
              <w:rPr>
                <w:color w:val="auto"/>
                <w:sz w:val="24"/>
              </w:rPr>
              <w:t>则</w:t>
            </w:r>
            <w:r>
              <w:rPr>
                <w:rFonts w:hint="eastAsia"/>
                <w:color w:val="auto"/>
                <w:sz w:val="24"/>
              </w:rPr>
              <w:t>水帘柜和自动涂装机的用水情况如下表：</w:t>
            </w:r>
          </w:p>
          <w:p w14:paraId="6B32797E">
            <w:pPr>
              <w:numPr>
                <w:ilvl w:val="0"/>
                <w:numId w:val="10"/>
              </w:numPr>
              <w:adjustRightInd w:val="0"/>
              <w:snapToGrid w:val="0"/>
              <w:jc w:val="center"/>
              <w:rPr>
                <w:b/>
                <w:color w:val="auto"/>
                <w:szCs w:val="21"/>
              </w:rPr>
            </w:pPr>
            <w:r>
              <w:rPr>
                <w:b/>
                <w:color w:val="auto"/>
                <w:szCs w:val="21"/>
              </w:rPr>
              <w:t>本项目</w:t>
            </w:r>
            <w:r>
              <w:rPr>
                <w:rFonts w:hint="eastAsia"/>
                <w:b/>
                <w:color w:val="auto"/>
                <w:szCs w:val="21"/>
              </w:rPr>
              <w:t>水帘柜、自动涂装机</w:t>
            </w:r>
            <w:r>
              <w:rPr>
                <w:b/>
                <w:color w:val="auto"/>
                <w:szCs w:val="21"/>
              </w:rPr>
              <w:t>用水情况一览表</w:t>
            </w:r>
          </w:p>
          <w:tbl>
            <w:tblPr>
              <w:tblStyle w:val="36"/>
              <w:tblW w:w="10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880"/>
              <w:gridCol w:w="767"/>
              <w:gridCol w:w="1132"/>
              <w:gridCol w:w="911"/>
              <w:gridCol w:w="983"/>
              <w:gridCol w:w="1072"/>
              <w:gridCol w:w="696"/>
              <w:gridCol w:w="732"/>
              <w:gridCol w:w="726"/>
              <w:gridCol w:w="800"/>
              <w:gridCol w:w="929"/>
            </w:tblGrid>
            <w:tr w14:paraId="3704F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 w:type="pct"/>
                  <w:vAlign w:val="center"/>
                </w:tcPr>
                <w:p w14:paraId="0A6BC525">
                  <w:pPr>
                    <w:pStyle w:val="34"/>
                    <w:adjustRightInd w:val="0"/>
                    <w:snapToGrid w:val="0"/>
                    <w:spacing w:after="0"/>
                    <w:ind w:left="0" w:leftChars="0" w:firstLine="0" w:firstLineChars="0"/>
                    <w:jc w:val="center"/>
                    <w:rPr>
                      <w:b/>
                      <w:bCs/>
                      <w:color w:val="auto"/>
                      <w:sz w:val="21"/>
                      <w:szCs w:val="21"/>
                    </w:rPr>
                  </w:pPr>
                  <w:r>
                    <w:rPr>
                      <w:b/>
                      <w:bCs/>
                      <w:color w:val="auto"/>
                      <w:sz w:val="21"/>
                      <w:szCs w:val="21"/>
                    </w:rPr>
                    <w:t>序号</w:t>
                  </w:r>
                </w:p>
              </w:tc>
              <w:tc>
                <w:tcPr>
                  <w:tcW w:w="437" w:type="pct"/>
                  <w:vAlign w:val="center"/>
                </w:tcPr>
                <w:p w14:paraId="6376E558">
                  <w:pPr>
                    <w:pStyle w:val="34"/>
                    <w:adjustRightInd w:val="0"/>
                    <w:snapToGrid w:val="0"/>
                    <w:spacing w:after="0"/>
                    <w:ind w:left="0" w:leftChars="0" w:firstLine="0" w:firstLineChars="0"/>
                    <w:jc w:val="center"/>
                    <w:rPr>
                      <w:b/>
                      <w:bCs/>
                      <w:color w:val="auto"/>
                      <w:sz w:val="21"/>
                      <w:szCs w:val="21"/>
                    </w:rPr>
                  </w:pPr>
                  <w:r>
                    <w:rPr>
                      <w:b/>
                      <w:bCs/>
                      <w:color w:val="auto"/>
                      <w:sz w:val="21"/>
                      <w:szCs w:val="21"/>
                    </w:rPr>
                    <w:t>名称</w:t>
                  </w:r>
                </w:p>
              </w:tc>
              <w:tc>
                <w:tcPr>
                  <w:tcW w:w="381" w:type="pct"/>
                  <w:vAlign w:val="center"/>
                </w:tcPr>
                <w:p w14:paraId="6349570E">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数量（个）</w:t>
                  </w:r>
                </w:p>
              </w:tc>
              <w:tc>
                <w:tcPr>
                  <w:tcW w:w="563" w:type="pct"/>
                  <w:vAlign w:val="center"/>
                </w:tcPr>
                <w:p w14:paraId="0F9D981E">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水箱规格（m）</w:t>
                  </w:r>
                </w:p>
              </w:tc>
              <w:tc>
                <w:tcPr>
                  <w:tcW w:w="453" w:type="pct"/>
                  <w:vAlign w:val="center"/>
                </w:tcPr>
                <w:p w14:paraId="2BE17D2F">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蓄水高度（m）</w:t>
                  </w:r>
                </w:p>
              </w:tc>
              <w:tc>
                <w:tcPr>
                  <w:tcW w:w="488" w:type="pct"/>
                  <w:vAlign w:val="center"/>
                </w:tcPr>
                <w:p w14:paraId="048C3617">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水箱容积（m</w:t>
                  </w:r>
                  <w:r>
                    <w:rPr>
                      <w:rFonts w:hint="eastAsia"/>
                      <w:b/>
                      <w:bCs/>
                      <w:color w:val="auto"/>
                      <w:sz w:val="21"/>
                      <w:szCs w:val="21"/>
                      <w:vertAlign w:val="superscript"/>
                    </w:rPr>
                    <w:t>3</w:t>
                  </w:r>
                  <w:r>
                    <w:rPr>
                      <w:rFonts w:hint="eastAsia"/>
                      <w:b/>
                      <w:bCs/>
                      <w:color w:val="auto"/>
                      <w:sz w:val="21"/>
                      <w:szCs w:val="21"/>
                    </w:rPr>
                    <w:t>）</w:t>
                  </w:r>
                </w:p>
              </w:tc>
              <w:tc>
                <w:tcPr>
                  <w:tcW w:w="533" w:type="pct"/>
                  <w:vAlign w:val="center"/>
                </w:tcPr>
                <w:p w14:paraId="1203C4CF">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循环水量（m</w:t>
                  </w:r>
                  <w:r>
                    <w:rPr>
                      <w:rFonts w:hint="eastAsia"/>
                      <w:b/>
                      <w:bCs/>
                      <w:color w:val="auto"/>
                      <w:sz w:val="21"/>
                      <w:szCs w:val="21"/>
                      <w:vertAlign w:val="superscript"/>
                    </w:rPr>
                    <w:t>3</w:t>
                  </w:r>
                  <w:r>
                    <w:rPr>
                      <w:rFonts w:hint="eastAsia"/>
                      <w:b/>
                      <w:bCs/>
                      <w:color w:val="auto"/>
                      <w:sz w:val="21"/>
                      <w:szCs w:val="21"/>
                    </w:rPr>
                    <w:t>/h）</w:t>
                  </w:r>
                </w:p>
              </w:tc>
              <w:tc>
                <w:tcPr>
                  <w:tcW w:w="346" w:type="pct"/>
                  <w:vAlign w:val="center"/>
                </w:tcPr>
                <w:p w14:paraId="35A1F25F">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补水系数</w:t>
                  </w:r>
                </w:p>
              </w:tc>
              <w:tc>
                <w:tcPr>
                  <w:tcW w:w="364" w:type="pct"/>
                  <w:vAlign w:val="center"/>
                </w:tcPr>
                <w:p w14:paraId="20DBF0B1">
                  <w:pPr>
                    <w:pStyle w:val="34"/>
                    <w:adjustRightInd w:val="0"/>
                    <w:snapToGrid w:val="0"/>
                    <w:spacing w:after="0"/>
                    <w:ind w:left="0" w:leftChars="0" w:firstLine="0" w:firstLineChars="0"/>
                    <w:jc w:val="center"/>
                    <w:rPr>
                      <w:color w:val="auto"/>
                      <w:sz w:val="21"/>
                      <w:szCs w:val="21"/>
                    </w:rPr>
                  </w:pPr>
                  <w:r>
                    <w:rPr>
                      <w:b/>
                      <w:bCs/>
                      <w:color w:val="auto"/>
                      <w:sz w:val="21"/>
                      <w:szCs w:val="21"/>
                    </w:rPr>
                    <w:t>更换次数(次/a)</w:t>
                  </w:r>
                </w:p>
              </w:tc>
              <w:tc>
                <w:tcPr>
                  <w:tcW w:w="361" w:type="pct"/>
                  <w:vAlign w:val="center"/>
                </w:tcPr>
                <w:p w14:paraId="30AD8966">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补充</w:t>
                  </w:r>
                  <w:r>
                    <w:rPr>
                      <w:b/>
                      <w:bCs/>
                      <w:color w:val="auto"/>
                      <w:sz w:val="21"/>
                      <w:szCs w:val="21"/>
                    </w:rPr>
                    <w:t>水量(t/a)</w:t>
                  </w:r>
                </w:p>
              </w:tc>
              <w:tc>
                <w:tcPr>
                  <w:tcW w:w="397" w:type="pct"/>
                  <w:vAlign w:val="center"/>
                </w:tcPr>
                <w:p w14:paraId="0C7CD265">
                  <w:pPr>
                    <w:pStyle w:val="34"/>
                    <w:adjustRightInd w:val="0"/>
                    <w:snapToGrid w:val="0"/>
                    <w:spacing w:after="0"/>
                    <w:ind w:left="0" w:leftChars="0" w:firstLine="0" w:firstLineChars="0"/>
                    <w:jc w:val="center"/>
                    <w:rPr>
                      <w:b/>
                      <w:bCs/>
                      <w:color w:val="auto"/>
                      <w:sz w:val="21"/>
                      <w:szCs w:val="21"/>
                    </w:rPr>
                  </w:pPr>
                  <w:r>
                    <w:rPr>
                      <w:b/>
                      <w:bCs/>
                      <w:color w:val="auto"/>
                      <w:sz w:val="21"/>
                      <w:szCs w:val="21"/>
                    </w:rPr>
                    <w:t>更换用水量(t/a)</w:t>
                  </w:r>
                </w:p>
              </w:tc>
              <w:tc>
                <w:tcPr>
                  <w:tcW w:w="462" w:type="pct"/>
                  <w:vAlign w:val="center"/>
                </w:tcPr>
                <w:p w14:paraId="2BA012FB">
                  <w:pPr>
                    <w:pStyle w:val="34"/>
                    <w:adjustRightInd w:val="0"/>
                    <w:snapToGrid w:val="0"/>
                    <w:spacing w:after="0"/>
                    <w:ind w:left="0" w:leftChars="0" w:firstLine="0" w:firstLineChars="0"/>
                    <w:jc w:val="center"/>
                    <w:rPr>
                      <w:b/>
                      <w:bCs/>
                      <w:color w:val="auto"/>
                      <w:sz w:val="21"/>
                      <w:szCs w:val="21"/>
                    </w:rPr>
                  </w:pPr>
                  <w:r>
                    <w:rPr>
                      <w:b/>
                      <w:bCs/>
                      <w:color w:val="auto"/>
                      <w:sz w:val="21"/>
                      <w:szCs w:val="21"/>
                    </w:rPr>
                    <w:t>总用水量(t/a)</w:t>
                  </w:r>
                </w:p>
              </w:tc>
            </w:tr>
            <w:tr w14:paraId="3D576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211" w:type="pct"/>
                  <w:vAlign w:val="center"/>
                </w:tcPr>
                <w:p w14:paraId="54F9C0E1">
                  <w:pPr>
                    <w:pStyle w:val="34"/>
                    <w:adjustRightInd w:val="0"/>
                    <w:snapToGrid w:val="0"/>
                    <w:spacing w:after="0"/>
                    <w:ind w:left="0" w:leftChars="0" w:firstLine="0" w:firstLineChars="0"/>
                    <w:jc w:val="center"/>
                    <w:rPr>
                      <w:color w:val="auto"/>
                      <w:sz w:val="21"/>
                      <w:szCs w:val="21"/>
                    </w:rPr>
                  </w:pPr>
                  <w:r>
                    <w:rPr>
                      <w:color w:val="auto"/>
                      <w:sz w:val="21"/>
                      <w:szCs w:val="21"/>
                    </w:rPr>
                    <w:t>1</w:t>
                  </w:r>
                </w:p>
              </w:tc>
              <w:tc>
                <w:tcPr>
                  <w:tcW w:w="437" w:type="pct"/>
                  <w:vAlign w:val="center"/>
                </w:tcPr>
                <w:p w14:paraId="0C6950C2">
                  <w:pPr>
                    <w:pStyle w:val="34"/>
                    <w:adjustRightInd w:val="0"/>
                    <w:snapToGrid w:val="0"/>
                    <w:spacing w:after="0"/>
                    <w:ind w:left="0" w:leftChars="0" w:firstLine="0" w:firstLineChars="0"/>
                    <w:jc w:val="center"/>
                    <w:rPr>
                      <w:color w:val="auto"/>
                      <w:sz w:val="21"/>
                      <w:szCs w:val="21"/>
                    </w:rPr>
                  </w:pPr>
                  <w:r>
                    <w:rPr>
                      <w:rFonts w:hint="eastAsia"/>
                      <w:color w:val="auto"/>
                      <w:sz w:val="21"/>
                      <w:szCs w:val="21"/>
                    </w:rPr>
                    <w:t>前修水帘柜</w:t>
                  </w:r>
                </w:p>
              </w:tc>
              <w:tc>
                <w:tcPr>
                  <w:tcW w:w="381" w:type="pct"/>
                  <w:vAlign w:val="center"/>
                </w:tcPr>
                <w:p w14:paraId="3F4BCDDC">
                  <w:pPr>
                    <w:widowControl/>
                    <w:jc w:val="center"/>
                    <w:textAlignment w:val="center"/>
                    <w:rPr>
                      <w:color w:val="auto"/>
                      <w:kern w:val="0"/>
                      <w:szCs w:val="21"/>
                    </w:rPr>
                  </w:pPr>
                  <w:r>
                    <w:rPr>
                      <w:rFonts w:hint="eastAsia"/>
                      <w:color w:val="auto"/>
                      <w:kern w:val="0"/>
                      <w:szCs w:val="21"/>
                    </w:rPr>
                    <w:t>2</w:t>
                  </w:r>
                </w:p>
              </w:tc>
              <w:tc>
                <w:tcPr>
                  <w:tcW w:w="563" w:type="pct"/>
                  <w:vAlign w:val="center"/>
                </w:tcPr>
                <w:p w14:paraId="5A255147">
                  <w:pPr>
                    <w:widowControl/>
                    <w:jc w:val="center"/>
                    <w:textAlignment w:val="center"/>
                    <w:rPr>
                      <w:color w:val="auto"/>
                      <w:kern w:val="0"/>
                      <w:szCs w:val="21"/>
                      <w:lang w:bidi="ar"/>
                    </w:rPr>
                  </w:pPr>
                  <w:r>
                    <w:rPr>
                      <w:rFonts w:hint="eastAsia"/>
                      <w:color w:val="auto"/>
                    </w:rPr>
                    <w:t>3</w:t>
                  </w:r>
                  <w:r>
                    <w:rPr>
                      <w:color w:val="auto"/>
                      <w:kern w:val="0"/>
                      <w:szCs w:val="21"/>
                      <w:lang w:bidi="ar"/>
                    </w:rPr>
                    <w:t>×</w:t>
                  </w:r>
                  <w:r>
                    <w:rPr>
                      <w:rFonts w:hint="eastAsia"/>
                      <w:color w:val="auto"/>
                      <w:kern w:val="0"/>
                      <w:szCs w:val="21"/>
                      <w:lang w:bidi="ar"/>
                    </w:rPr>
                    <w:t>2</w:t>
                  </w:r>
                  <w:r>
                    <w:rPr>
                      <w:color w:val="auto"/>
                      <w:kern w:val="0"/>
                      <w:szCs w:val="21"/>
                      <w:lang w:bidi="ar"/>
                    </w:rPr>
                    <w:t>×</w:t>
                  </w:r>
                  <w:r>
                    <w:rPr>
                      <w:rFonts w:hint="eastAsia"/>
                      <w:color w:val="auto"/>
                      <w:kern w:val="0"/>
                      <w:szCs w:val="21"/>
                      <w:lang w:bidi="ar"/>
                    </w:rPr>
                    <w:t>0.2</w:t>
                  </w:r>
                </w:p>
              </w:tc>
              <w:tc>
                <w:tcPr>
                  <w:tcW w:w="453" w:type="pct"/>
                  <w:vAlign w:val="center"/>
                </w:tcPr>
                <w:p w14:paraId="64AC0142">
                  <w:pPr>
                    <w:widowControl/>
                    <w:jc w:val="center"/>
                    <w:textAlignment w:val="center"/>
                    <w:rPr>
                      <w:color w:val="auto"/>
                      <w:kern w:val="0"/>
                      <w:szCs w:val="21"/>
                      <w:lang w:bidi="ar"/>
                    </w:rPr>
                  </w:pPr>
                  <w:r>
                    <w:rPr>
                      <w:rFonts w:hint="eastAsia"/>
                      <w:color w:val="auto"/>
                      <w:kern w:val="0"/>
                      <w:szCs w:val="21"/>
                      <w:lang w:bidi="ar"/>
                    </w:rPr>
                    <w:t>0.2</w:t>
                  </w:r>
                </w:p>
              </w:tc>
              <w:tc>
                <w:tcPr>
                  <w:tcW w:w="488" w:type="pct"/>
                  <w:vAlign w:val="center"/>
                </w:tcPr>
                <w:p w14:paraId="35B93378">
                  <w:pPr>
                    <w:widowControl/>
                    <w:jc w:val="center"/>
                    <w:textAlignment w:val="center"/>
                    <w:rPr>
                      <w:color w:val="auto"/>
                      <w:kern w:val="0"/>
                      <w:szCs w:val="21"/>
                      <w:lang w:bidi="ar"/>
                    </w:rPr>
                  </w:pPr>
                  <w:r>
                    <w:rPr>
                      <w:rFonts w:hint="eastAsia"/>
                      <w:color w:val="auto"/>
                      <w:kern w:val="0"/>
                      <w:szCs w:val="21"/>
                      <w:lang w:bidi="ar"/>
                    </w:rPr>
                    <w:t>1.2</w:t>
                  </w:r>
                </w:p>
              </w:tc>
              <w:tc>
                <w:tcPr>
                  <w:tcW w:w="533" w:type="pct"/>
                  <w:vAlign w:val="center"/>
                </w:tcPr>
                <w:p w14:paraId="1CF84B0D">
                  <w:pPr>
                    <w:widowControl/>
                    <w:jc w:val="center"/>
                    <w:textAlignment w:val="center"/>
                    <w:rPr>
                      <w:color w:val="auto"/>
                      <w:kern w:val="0"/>
                      <w:szCs w:val="21"/>
                      <w:lang w:bidi="ar"/>
                    </w:rPr>
                  </w:pPr>
                  <w:r>
                    <w:rPr>
                      <w:rFonts w:hint="eastAsia"/>
                      <w:color w:val="auto"/>
                      <w:kern w:val="0"/>
                      <w:szCs w:val="21"/>
                      <w:lang w:bidi="ar"/>
                    </w:rPr>
                    <w:t>3.6</w:t>
                  </w:r>
                </w:p>
              </w:tc>
              <w:tc>
                <w:tcPr>
                  <w:tcW w:w="346" w:type="pct"/>
                  <w:vAlign w:val="center"/>
                </w:tcPr>
                <w:p w14:paraId="7C63FDFF">
                  <w:pPr>
                    <w:widowControl/>
                    <w:jc w:val="center"/>
                    <w:textAlignment w:val="center"/>
                    <w:rPr>
                      <w:color w:val="auto"/>
                      <w:kern w:val="0"/>
                      <w:szCs w:val="21"/>
                      <w:lang w:bidi="ar"/>
                    </w:rPr>
                  </w:pPr>
                  <w:r>
                    <w:rPr>
                      <w:rFonts w:hint="eastAsia"/>
                      <w:color w:val="auto"/>
                      <w:kern w:val="0"/>
                      <w:szCs w:val="21"/>
                      <w:lang w:val="en-US" w:eastAsia="zh-CN" w:bidi="ar"/>
                    </w:rPr>
                    <w:t>2</w:t>
                  </w:r>
                  <w:r>
                    <w:rPr>
                      <w:rFonts w:hint="eastAsia"/>
                      <w:color w:val="auto"/>
                      <w:kern w:val="0"/>
                      <w:szCs w:val="21"/>
                      <w:lang w:bidi="ar"/>
                    </w:rPr>
                    <w:t>%</w:t>
                  </w:r>
                </w:p>
              </w:tc>
              <w:tc>
                <w:tcPr>
                  <w:tcW w:w="364" w:type="pct"/>
                  <w:vAlign w:val="center"/>
                </w:tcPr>
                <w:p w14:paraId="23141C65">
                  <w:pPr>
                    <w:widowControl/>
                    <w:jc w:val="center"/>
                    <w:textAlignment w:val="center"/>
                    <w:rPr>
                      <w:color w:val="auto"/>
                      <w:szCs w:val="21"/>
                    </w:rPr>
                  </w:pPr>
                  <w:r>
                    <w:rPr>
                      <w:rFonts w:hint="eastAsia"/>
                      <w:color w:val="auto"/>
                      <w:szCs w:val="21"/>
                    </w:rPr>
                    <w:t>2</w:t>
                  </w:r>
                </w:p>
              </w:tc>
              <w:tc>
                <w:tcPr>
                  <w:tcW w:w="361" w:type="pct"/>
                  <w:vAlign w:val="center"/>
                </w:tcPr>
                <w:p w14:paraId="559212CD">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432</w:t>
                  </w:r>
                </w:p>
              </w:tc>
              <w:tc>
                <w:tcPr>
                  <w:tcW w:w="397" w:type="pct"/>
                  <w:vAlign w:val="center"/>
                </w:tcPr>
                <w:p w14:paraId="5FE82095">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4.8</w:t>
                  </w:r>
                </w:p>
              </w:tc>
              <w:tc>
                <w:tcPr>
                  <w:tcW w:w="462" w:type="pct"/>
                  <w:vAlign w:val="center"/>
                </w:tcPr>
                <w:p w14:paraId="6736D35C">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436.8</w:t>
                  </w:r>
                </w:p>
              </w:tc>
            </w:tr>
            <w:tr w14:paraId="5EF58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1" w:type="pct"/>
                  <w:vAlign w:val="center"/>
                </w:tcPr>
                <w:p w14:paraId="5DC224B8">
                  <w:pPr>
                    <w:pStyle w:val="34"/>
                    <w:adjustRightInd w:val="0"/>
                    <w:snapToGrid w:val="0"/>
                    <w:spacing w:after="0"/>
                    <w:ind w:left="0" w:leftChars="0" w:firstLine="0" w:firstLineChars="0"/>
                    <w:jc w:val="center"/>
                    <w:rPr>
                      <w:color w:val="auto"/>
                      <w:sz w:val="21"/>
                      <w:szCs w:val="21"/>
                    </w:rPr>
                  </w:pPr>
                  <w:r>
                    <w:rPr>
                      <w:color w:val="auto"/>
                      <w:sz w:val="21"/>
                      <w:szCs w:val="21"/>
                    </w:rPr>
                    <w:t>2</w:t>
                  </w:r>
                </w:p>
              </w:tc>
              <w:tc>
                <w:tcPr>
                  <w:tcW w:w="437" w:type="pct"/>
                  <w:vAlign w:val="center"/>
                </w:tcPr>
                <w:p w14:paraId="7C07900A">
                  <w:pPr>
                    <w:adjustRightInd w:val="0"/>
                    <w:snapToGrid w:val="0"/>
                    <w:jc w:val="center"/>
                    <w:rPr>
                      <w:color w:val="auto"/>
                      <w:szCs w:val="21"/>
                    </w:rPr>
                  </w:pPr>
                  <w:r>
                    <w:rPr>
                      <w:rFonts w:hint="eastAsia"/>
                      <w:color w:val="auto"/>
                      <w:szCs w:val="21"/>
                    </w:rPr>
                    <w:t>后补水帘柜</w:t>
                  </w:r>
                </w:p>
              </w:tc>
              <w:tc>
                <w:tcPr>
                  <w:tcW w:w="381" w:type="pct"/>
                  <w:vAlign w:val="center"/>
                </w:tcPr>
                <w:p w14:paraId="492DD0BC">
                  <w:pPr>
                    <w:widowControl/>
                    <w:jc w:val="center"/>
                    <w:textAlignment w:val="center"/>
                    <w:rPr>
                      <w:color w:val="auto"/>
                      <w:kern w:val="0"/>
                      <w:szCs w:val="21"/>
                    </w:rPr>
                  </w:pPr>
                  <w:r>
                    <w:rPr>
                      <w:rFonts w:hint="eastAsia"/>
                      <w:color w:val="auto"/>
                      <w:kern w:val="0"/>
                      <w:szCs w:val="21"/>
                    </w:rPr>
                    <w:t>4</w:t>
                  </w:r>
                </w:p>
              </w:tc>
              <w:tc>
                <w:tcPr>
                  <w:tcW w:w="563" w:type="pct"/>
                  <w:vAlign w:val="center"/>
                </w:tcPr>
                <w:p w14:paraId="7DAD94EF">
                  <w:pPr>
                    <w:widowControl/>
                    <w:jc w:val="center"/>
                    <w:textAlignment w:val="center"/>
                    <w:rPr>
                      <w:color w:val="auto"/>
                      <w:kern w:val="0"/>
                      <w:szCs w:val="21"/>
                      <w:lang w:bidi="ar"/>
                    </w:rPr>
                  </w:pPr>
                  <w:r>
                    <w:rPr>
                      <w:rFonts w:hint="eastAsia"/>
                      <w:color w:val="auto"/>
                    </w:rPr>
                    <w:t>3</w:t>
                  </w:r>
                  <w:r>
                    <w:rPr>
                      <w:color w:val="auto"/>
                      <w:kern w:val="0"/>
                      <w:szCs w:val="21"/>
                      <w:lang w:bidi="ar"/>
                    </w:rPr>
                    <w:t>×</w:t>
                  </w:r>
                  <w:r>
                    <w:rPr>
                      <w:rFonts w:hint="eastAsia"/>
                      <w:color w:val="auto"/>
                      <w:kern w:val="0"/>
                      <w:szCs w:val="21"/>
                      <w:lang w:bidi="ar"/>
                    </w:rPr>
                    <w:t>2</w:t>
                  </w:r>
                  <w:r>
                    <w:rPr>
                      <w:color w:val="auto"/>
                      <w:kern w:val="0"/>
                      <w:szCs w:val="21"/>
                      <w:lang w:bidi="ar"/>
                    </w:rPr>
                    <w:t>×</w:t>
                  </w:r>
                  <w:r>
                    <w:rPr>
                      <w:rFonts w:hint="eastAsia"/>
                      <w:color w:val="auto"/>
                      <w:kern w:val="0"/>
                      <w:szCs w:val="21"/>
                      <w:lang w:bidi="ar"/>
                    </w:rPr>
                    <w:t>0.2</w:t>
                  </w:r>
                </w:p>
              </w:tc>
              <w:tc>
                <w:tcPr>
                  <w:tcW w:w="453" w:type="pct"/>
                  <w:vAlign w:val="center"/>
                </w:tcPr>
                <w:p w14:paraId="07379076">
                  <w:pPr>
                    <w:widowControl/>
                    <w:jc w:val="center"/>
                    <w:textAlignment w:val="center"/>
                    <w:rPr>
                      <w:color w:val="auto"/>
                      <w:kern w:val="0"/>
                      <w:szCs w:val="21"/>
                      <w:lang w:bidi="ar"/>
                    </w:rPr>
                  </w:pPr>
                  <w:r>
                    <w:rPr>
                      <w:rFonts w:hint="eastAsia"/>
                      <w:color w:val="auto"/>
                      <w:kern w:val="0"/>
                      <w:szCs w:val="21"/>
                      <w:lang w:bidi="ar"/>
                    </w:rPr>
                    <w:t>0.2</w:t>
                  </w:r>
                </w:p>
              </w:tc>
              <w:tc>
                <w:tcPr>
                  <w:tcW w:w="488" w:type="pct"/>
                  <w:vAlign w:val="center"/>
                </w:tcPr>
                <w:p w14:paraId="79ADA740">
                  <w:pPr>
                    <w:widowControl/>
                    <w:jc w:val="center"/>
                    <w:textAlignment w:val="center"/>
                    <w:rPr>
                      <w:color w:val="auto"/>
                      <w:kern w:val="0"/>
                      <w:szCs w:val="21"/>
                      <w:lang w:bidi="ar"/>
                    </w:rPr>
                  </w:pPr>
                  <w:r>
                    <w:rPr>
                      <w:rFonts w:hint="eastAsia"/>
                      <w:color w:val="auto"/>
                      <w:kern w:val="0"/>
                      <w:szCs w:val="21"/>
                      <w:lang w:bidi="ar"/>
                    </w:rPr>
                    <w:t>1.2</w:t>
                  </w:r>
                </w:p>
              </w:tc>
              <w:tc>
                <w:tcPr>
                  <w:tcW w:w="533" w:type="pct"/>
                  <w:vAlign w:val="center"/>
                </w:tcPr>
                <w:p w14:paraId="15F63EC9">
                  <w:pPr>
                    <w:widowControl/>
                    <w:jc w:val="center"/>
                    <w:textAlignment w:val="center"/>
                    <w:rPr>
                      <w:color w:val="auto"/>
                      <w:kern w:val="0"/>
                      <w:szCs w:val="21"/>
                      <w:lang w:bidi="ar"/>
                    </w:rPr>
                  </w:pPr>
                  <w:r>
                    <w:rPr>
                      <w:rFonts w:hint="eastAsia"/>
                      <w:color w:val="auto"/>
                      <w:kern w:val="0"/>
                      <w:szCs w:val="21"/>
                      <w:lang w:bidi="ar"/>
                    </w:rPr>
                    <w:t>3.6</w:t>
                  </w:r>
                </w:p>
              </w:tc>
              <w:tc>
                <w:tcPr>
                  <w:tcW w:w="346" w:type="pct"/>
                  <w:vAlign w:val="center"/>
                </w:tcPr>
                <w:p w14:paraId="22D3544D">
                  <w:pPr>
                    <w:widowControl/>
                    <w:jc w:val="center"/>
                    <w:textAlignment w:val="center"/>
                    <w:rPr>
                      <w:color w:val="auto"/>
                      <w:kern w:val="0"/>
                      <w:szCs w:val="21"/>
                      <w:lang w:bidi="ar"/>
                    </w:rPr>
                  </w:pPr>
                  <w:r>
                    <w:rPr>
                      <w:rFonts w:hint="eastAsia"/>
                      <w:color w:val="auto"/>
                      <w:kern w:val="0"/>
                      <w:szCs w:val="21"/>
                      <w:lang w:val="en-US" w:eastAsia="zh-CN" w:bidi="ar"/>
                    </w:rPr>
                    <w:t>2</w:t>
                  </w:r>
                  <w:r>
                    <w:rPr>
                      <w:rFonts w:hint="eastAsia"/>
                      <w:color w:val="auto"/>
                      <w:kern w:val="0"/>
                      <w:szCs w:val="21"/>
                      <w:lang w:bidi="ar"/>
                    </w:rPr>
                    <w:t>%</w:t>
                  </w:r>
                </w:p>
              </w:tc>
              <w:tc>
                <w:tcPr>
                  <w:tcW w:w="364" w:type="pct"/>
                  <w:vAlign w:val="center"/>
                </w:tcPr>
                <w:p w14:paraId="2055D90E">
                  <w:pPr>
                    <w:widowControl/>
                    <w:jc w:val="center"/>
                    <w:textAlignment w:val="center"/>
                    <w:rPr>
                      <w:color w:val="auto"/>
                      <w:kern w:val="0"/>
                      <w:szCs w:val="21"/>
                      <w:lang w:bidi="ar"/>
                    </w:rPr>
                  </w:pPr>
                  <w:r>
                    <w:rPr>
                      <w:rFonts w:hint="eastAsia"/>
                      <w:color w:val="auto"/>
                      <w:kern w:val="0"/>
                      <w:szCs w:val="21"/>
                      <w:lang w:bidi="ar"/>
                    </w:rPr>
                    <w:t>2</w:t>
                  </w:r>
                </w:p>
              </w:tc>
              <w:tc>
                <w:tcPr>
                  <w:tcW w:w="361" w:type="pct"/>
                  <w:vAlign w:val="center"/>
                </w:tcPr>
                <w:p w14:paraId="1874A1B7">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864</w:t>
                  </w:r>
                </w:p>
              </w:tc>
              <w:tc>
                <w:tcPr>
                  <w:tcW w:w="397" w:type="pct"/>
                  <w:vAlign w:val="center"/>
                </w:tcPr>
                <w:p w14:paraId="4D6CA2BA">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9.6</w:t>
                  </w:r>
                </w:p>
              </w:tc>
              <w:tc>
                <w:tcPr>
                  <w:tcW w:w="462" w:type="pct"/>
                  <w:vAlign w:val="center"/>
                </w:tcPr>
                <w:p w14:paraId="5BAB8AB7">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873.6</w:t>
                  </w:r>
                </w:p>
              </w:tc>
            </w:tr>
            <w:tr w14:paraId="3C8D9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211" w:type="pct"/>
                  <w:vAlign w:val="center"/>
                </w:tcPr>
                <w:p w14:paraId="0BCED400">
                  <w:pPr>
                    <w:pStyle w:val="34"/>
                    <w:adjustRightInd w:val="0"/>
                    <w:snapToGrid w:val="0"/>
                    <w:spacing w:after="0"/>
                    <w:ind w:left="0" w:leftChars="0" w:firstLine="0" w:firstLineChars="0"/>
                    <w:jc w:val="center"/>
                    <w:rPr>
                      <w:color w:val="auto"/>
                      <w:sz w:val="21"/>
                      <w:szCs w:val="21"/>
                    </w:rPr>
                  </w:pPr>
                  <w:r>
                    <w:rPr>
                      <w:color w:val="auto"/>
                      <w:sz w:val="21"/>
                      <w:szCs w:val="21"/>
                    </w:rPr>
                    <w:t>3</w:t>
                  </w:r>
                </w:p>
              </w:tc>
              <w:tc>
                <w:tcPr>
                  <w:tcW w:w="437" w:type="pct"/>
                  <w:vAlign w:val="center"/>
                </w:tcPr>
                <w:p w14:paraId="18A7CD22">
                  <w:pPr>
                    <w:adjustRightInd w:val="0"/>
                    <w:snapToGrid w:val="0"/>
                    <w:jc w:val="center"/>
                    <w:rPr>
                      <w:color w:val="auto"/>
                      <w:szCs w:val="21"/>
                    </w:rPr>
                  </w:pPr>
                  <w:r>
                    <w:rPr>
                      <w:rFonts w:hint="eastAsia"/>
                      <w:color w:val="auto"/>
                      <w:szCs w:val="21"/>
                    </w:rPr>
                    <w:t>自动涂装机</w:t>
                  </w:r>
                </w:p>
              </w:tc>
              <w:tc>
                <w:tcPr>
                  <w:tcW w:w="381" w:type="pct"/>
                  <w:vAlign w:val="center"/>
                </w:tcPr>
                <w:p w14:paraId="78754F9D">
                  <w:pPr>
                    <w:widowControl/>
                    <w:jc w:val="center"/>
                    <w:textAlignment w:val="center"/>
                    <w:rPr>
                      <w:color w:val="auto"/>
                      <w:kern w:val="0"/>
                      <w:szCs w:val="21"/>
                    </w:rPr>
                  </w:pPr>
                  <w:r>
                    <w:rPr>
                      <w:rFonts w:hint="eastAsia"/>
                      <w:color w:val="auto"/>
                      <w:kern w:val="0"/>
                      <w:szCs w:val="21"/>
                    </w:rPr>
                    <w:t>2</w:t>
                  </w:r>
                </w:p>
              </w:tc>
              <w:tc>
                <w:tcPr>
                  <w:tcW w:w="563" w:type="pct"/>
                  <w:vAlign w:val="center"/>
                </w:tcPr>
                <w:p w14:paraId="477C3810">
                  <w:pPr>
                    <w:widowControl/>
                    <w:jc w:val="center"/>
                    <w:textAlignment w:val="center"/>
                    <w:rPr>
                      <w:color w:val="auto"/>
                      <w:kern w:val="0"/>
                      <w:szCs w:val="21"/>
                      <w:lang w:bidi="ar"/>
                    </w:rPr>
                  </w:pPr>
                  <w:r>
                    <w:rPr>
                      <w:rFonts w:hint="eastAsia"/>
                      <w:color w:val="auto"/>
                      <w:kern w:val="0"/>
                      <w:szCs w:val="21"/>
                      <w:lang w:bidi="ar"/>
                    </w:rPr>
                    <w:t>水箱直径=3</w:t>
                  </w:r>
                </w:p>
              </w:tc>
              <w:tc>
                <w:tcPr>
                  <w:tcW w:w="453" w:type="pct"/>
                  <w:vAlign w:val="center"/>
                </w:tcPr>
                <w:p w14:paraId="037FABBC">
                  <w:pPr>
                    <w:widowControl/>
                    <w:jc w:val="center"/>
                    <w:textAlignment w:val="center"/>
                    <w:rPr>
                      <w:color w:val="auto"/>
                      <w:kern w:val="0"/>
                      <w:szCs w:val="21"/>
                      <w:lang w:bidi="ar"/>
                    </w:rPr>
                  </w:pPr>
                  <w:r>
                    <w:rPr>
                      <w:rFonts w:hint="eastAsia"/>
                      <w:color w:val="auto"/>
                      <w:kern w:val="0"/>
                      <w:szCs w:val="21"/>
                      <w:lang w:bidi="ar"/>
                    </w:rPr>
                    <w:t>0.2</w:t>
                  </w:r>
                </w:p>
              </w:tc>
              <w:tc>
                <w:tcPr>
                  <w:tcW w:w="488" w:type="pct"/>
                  <w:vAlign w:val="center"/>
                </w:tcPr>
                <w:p w14:paraId="53EC10AE">
                  <w:pPr>
                    <w:widowControl/>
                    <w:jc w:val="center"/>
                    <w:textAlignment w:val="center"/>
                    <w:rPr>
                      <w:color w:val="auto"/>
                      <w:kern w:val="0"/>
                      <w:szCs w:val="21"/>
                      <w:lang w:bidi="ar"/>
                    </w:rPr>
                  </w:pPr>
                  <w:r>
                    <w:rPr>
                      <w:rFonts w:hint="eastAsia"/>
                      <w:color w:val="auto"/>
                      <w:kern w:val="0"/>
                      <w:szCs w:val="21"/>
                      <w:lang w:bidi="ar"/>
                    </w:rPr>
                    <w:t>1.41</w:t>
                  </w:r>
                </w:p>
              </w:tc>
              <w:tc>
                <w:tcPr>
                  <w:tcW w:w="533" w:type="pct"/>
                  <w:vAlign w:val="center"/>
                </w:tcPr>
                <w:p w14:paraId="2248C4B2">
                  <w:pPr>
                    <w:widowControl/>
                    <w:jc w:val="center"/>
                    <w:textAlignment w:val="center"/>
                    <w:rPr>
                      <w:color w:val="auto"/>
                      <w:kern w:val="0"/>
                      <w:szCs w:val="21"/>
                      <w:lang w:bidi="ar"/>
                    </w:rPr>
                  </w:pPr>
                  <w:r>
                    <w:rPr>
                      <w:rFonts w:hint="eastAsia"/>
                      <w:color w:val="auto"/>
                      <w:kern w:val="0"/>
                      <w:szCs w:val="21"/>
                      <w:lang w:bidi="ar"/>
                    </w:rPr>
                    <w:t>4.23</w:t>
                  </w:r>
                </w:p>
              </w:tc>
              <w:tc>
                <w:tcPr>
                  <w:tcW w:w="346" w:type="pct"/>
                  <w:vAlign w:val="center"/>
                </w:tcPr>
                <w:p w14:paraId="5CAEA034">
                  <w:pPr>
                    <w:widowControl/>
                    <w:jc w:val="center"/>
                    <w:textAlignment w:val="center"/>
                    <w:rPr>
                      <w:color w:val="auto"/>
                      <w:kern w:val="0"/>
                      <w:szCs w:val="21"/>
                      <w:lang w:bidi="ar"/>
                    </w:rPr>
                  </w:pPr>
                  <w:r>
                    <w:rPr>
                      <w:rFonts w:hint="eastAsia"/>
                      <w:color w:val="auto"/>
                      <w:kern w:val="0"/>
                      <w:szCs w:val="21"/>
                      <w:lang w:val="en-US" w:eastAsia="zh-CN" w:bidi="ar"/>
                    </w:rPr>
                    <w:t>2</w:t>
                  </w:r>
                  <w:r>
                    <w:rPr>
                      <w:rFonts w:hint="eastAsia"/>
                      <w:color w:val="auto"/>
                      <w:kern w:val="0"/>
                      <w:szCs w:val="21"/>
                      <w:lang w:bidi="ar"/>
                    </w:rPr>
                    <w:t>%</w:t>
                  </w:r>
                </w:p>
              </w:tc>
              <w:tc>
                <w:tcPr>
                  <w:tcW w:w="364" w:type="pct"/>
                  <w:vAlign w:val="center"/>
                </w:tcPr>
                <w:p w14:paraId="3244C5EE">
                  <w:pPr>
                    <w:widowControl/>
                    <w:jc w:val="center"/>
                    <w:textAlignment w:val="center"/>
                    <w:rPr>
                      <w:color w:val="auto"/>
                      <w:kern w:val="0"/>
                      <w:szCs w:val="21"/>
                      <w:lang w:bidi="ar"/>
                    </w:rPr>
                  </w:pPr>
                  <w:r>
                    <w:rPr>
                      <w:rFonts w:hint="eastAsia"/>
                      <w:color w:val="auto"/>
                      <w:kern w:val="0"/>
                      <w:szCs w:val="21"/>
                      <w:lang w:bidi="ar"/>
                    </w:rPr>
                    <w:t>2</w:t>
                  </w:r>
                </w:p>
              </w:tc>
              <w:tc>
                <w:tcPr>
                  <w:tcW w:w="361" w:type="pct"/>
                  <w:vAlign w:val="center"/>
                </w:tcPr>
                <w:p w14:paraId="136A098A">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507.6</w:t>
                  </w:r>
                </w:p>
              </w:tc>
              <w:tc>
                <w:tcPr>
                  <w:tcW w:w="397" w:type="pct"/>
                  <w:vAlign w:val="center"/>
                </w:tcPr>
                <w:p w14:paraId="65FCB0F2">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5.64</w:t>
                  </w:r>
                </w:p>
              </w:tc>
              <w:tc>
                <w:tcPr>
                  <w:tcW w:w="462" w:type="pct"/>
                  <w:vAlign w:val="center"/>
                </w:tcPr>
                <w:p w14:paraId="2A1D2E80">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513.24</w:t>
                  </w:r>
                </w:p>
              </w:tc>
            </w:tr>
            <w:tr w14:paraId="1DCD7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 w:type="pct"/>
                  <w:vAlign w:val="center"/>
                </w:tcPr>
                <w:p w14:paraId="1FFD98A2">
                  <w:pPr>
                    <w:pStyle w:val="34"/>
                    <w:adjustRightInd w:val="0"/>
                    <w:snapToGrid w:val="0"/>
                    <w:spacing w:after="0"/>
                    <w:ind w:left="0" w:leftChars="0" w:firstLine="0" w:firstLineChars="0"/>
                    <w:jc w:val="center"/>
                    <w:rPr>
                      <w:color w:val="auto"/>
                      <w:sz w:val="21"/>
                      <w:szCs w:val="21"/>
                    </w:rPr>
                  </w:pPr>
                  <w:r>
                    <w:rPr>
                      <w:color w:val="auto"/>
                      <w:sz w:val="21"/>
                      <w:szCs w:val="21"/>
                    </w:rPr>
                    <w:t>4</w:t>
                  </w:r>
                </w:p>
              </w:tc>
              <w:tc>
                <w:tcPr>
                  <w:tcW w:w="437" w:type="pct"/>
                  <w:vAlign w:val="center"/>
                </w:tcPr>
                <w:p w14:paraId="5ED530FA">
                  <w:pPr>
                    <w:adjustRightInd w:val="0"/>
                    <w:snapToGrid w:val="0"/>
                    <w:jc w:val="center"/>
                    <w:rPr>
                      <w:color w:val="auto"/>
                      <w:szCs w:val="21"/>
                    </w:rPr>
                  </w:pPr>
                  <w:r>
                    <w:rPr>
                      <w:rFonts w:hint="eastAsia"/>
                      <w:color w:val="auto"/>
                      <w:szCs w:val="21"/>
                    </w:rPr>
                    <w:t>水帘柜</w:t>
                  </w:r>
                </w:p>
              </w:tc>
              <w:tc>
                <w:tcPr>
                  <w:tcW w:w="381" w:type="pct"/>
                  <w:vAlign w:val="center"/>
                </w:tcPr>
                <w:p w14:paraId="33C4D484">
                  <w:pPr>
                    <w:widowControl/>
                    <w:jc w:val="center"/>
                    <w:textAlignment w:val="center"/>
                    <w:rPr>
                      <w:color w:val="auto"/>
                      <w:kern w:val="0"/>
                      <w:szCs w:val="21"/>
                    </w:rPr>
                  </w:pPr>
                  <w:r>
                    <w:rPr>
                      <w:rFonts w:hint="eastAsia"/>
                      <w:color w:val="auto"/>
                      <w:kern w:val="0"/>
                      <w:szCs w:val="21"/>
                    </w:rPr>
                    <w:t>1</w:t>
                  </w:r>
                </w:p>
              </w:tc>
              <w:tc>
                <w:tcPr>
                  <w:tcW w:w="563" w:type="pct"/>
                  <w:vAlign w:val="center"/>
                </w:tcPr>
                <w:p w14:paraId="2119A2CC">
                  <w:pPr>
                    <w:widowControl/>
                    <w:jc w:val="center"/>
                    <w:textAlignment w:val="center"/>
                    <w:rPr>
                      <w:color w:val="auto"/>
                      <w:kern w:val="0"/>
                      <w:szCs w:val="21"/>
                      <w:lang w:bidi="ar"/>
                    </w:rPr>
                  </w:pPr>
                  <w:r>
                    <w:rPr>
                      <w:rFonts w:hint="eastAsia"/>
                      <w:color w:val="auto"/>
                      <w:kern w:val="0"/>
                      <w:szCs w:val="21"/>
                      <w:lang w:bidi="ar"/>
                    </w:rPr>
                    <w:t>2.4</w:t>
                  </w:r>
                  <w:r>
                    <w:rPr>
                      <w:color w:val="auto"/>
                      <w:kern w:val="0"/>
                      <w:szCs w:val="21"/>
                      <w:lang w:bidi="ar"/>
                    </w:rPr>
                    <w:t>×</w:t>
                  </w:r>
                  <w:r>
                    <w:rPr>
                      <w:rFonts w:hint="eastAsia"/>
                      <w:color w:val="auto"/>
                      <w:kern w:val="0"/>
                      <w:szCs w:val="21"/>
                      <w:lang w:bidi="ar"/>
                    </w:rPr>
                    <w:t>2</w:t>
                  </w:r>
                  <w:r>
                    <w:rPr>
                      <w:color w:val="auto"/>
                      <w:kern w:val="0"/>
                      <w:szCs w:val="21"/>
                      <w:lang w:bidi="ar"/>
                    </w:rPr>
                    <w:t>×</w:t>
                  </w:r>
                  <w:r>
                    <w:rPr>
                      <w:rFonts w:hint="eastAsia"/>
                      <w:color w:val="auto"/>
                      <w:kern w:val="0"/>
                      <w:szCs w:val="21"/>
                      <w:lang w:bidi="ar"/>
                    </w:rPr>
                    <w:t>0.2</w:t>
                  </w:r>
                </w:p>
              </w:tc>
              <w:tc>
                <w:tcPr>
                  <w:tcW w:w="453" w:type="pct"/>
                  <w:vAlign w:val="center"/>
                </w:tcPr>
                <w:p w14:paraId="6F873397">
                  <w:pPr>
                    <w:widowControl/>
                    <w:jc w:val="center"/>
                    <w:textAlignment w:val="center"/>
                    <w:rPr>
                      <w:color w:val="auto"/>
                      <w:kern w:val="0"/>
                      <w:szCs w:val="21"/>
                      <w:lang w:bidi="ar"/>
                    </w:rPr>
                  </w:pPr>
                  <w:r>
                    <w:rPr>
                      <w:rFonts w:hint="eastAsia"/>
                      <w:color w:val="auto"/>
                      <w:kern w:val="0"/>
                      <w:szCs w:val="21"/>
                      <w:lang w:bidi="ar"/>
                    </w:rPr>
                    <w:t>0.2</w:t>
                  </w:r>
                </w:p>
              </w:tc>
              <w:tc>
                <w:tcPr>
                  <w:tcW w:w="488" w:type="pct"/>
                  <w:vAlign w:val="center"/>
                </w:tcPr>
                <w:p w14:paraId="30D30CA3">
                  <w:pPr>
                    <w:widowControl/>
                    <w:jc w:val="center"/>
                    <w:textAlignment w:val="center"/>
                    <w:rPr>
                      <w:color w:val="auto"/>
                      <w:kern w:val="0"/>
                      <w:szCs w:val="21"/>
                      <w:lang w:bidi="ar"/>
                    </w:rPr>
                  </w:pPr>
                  <w:r>
                    <w:rPr>
                      <w:rFonts w:hint="eastAsia"/>
                      <w:color w:val="auto"/>
                      <w:kern w:val="0"/>
                      <w:szCs w:val="21"/>
                      <w:lang w:bidi="ar"/>
                    </w:rPr>
                    <w:t>0.96</w:t>
                  </w:r>
                </w:p>
              </w:tc>
              <w:tc>
                <w:tcPr>
                  <w:tcW w:w="533" w:type="pct"/>
                  <w:vAlign w:val="center"/>
                </w:tcPr>
                <w:p w14:paraId="2B988888">
                  <w:pPr>
                    <w:widowControl/>
                    <w:jc w:val="center"/>
                    <w:textAlignment w:val="center"/>
                    <w:rPr>
                      <w:color w:val="auto"/>
                      <w:kern w:val="0"/>
                      <w:szCs w:val="21"/>
                      <w:lang w:bidi="ar"/>
                    </w:rPr>
                  </w:pPr>
                  <w:r>
                    <w:rPr>
                      <w:rFonts w:hint="eastAsia"/>
                      <w:color w:val="auto"/>
                      <w:kern w:val="0"/>
                      <w:szCs w:val="21"/>
                      <w:lang w:bidi="ar"/>
                    </w:rPr>
                    <w:t>2.88</w:t>
                  </w:r>
                </w:p>
              </w:tc>
              <w:tc>
                <w:tcPr>
                  <w:tcW w:w="346" w:type="pct"/>
                  <w:vAlign w:val="center"/>
                </w:tcPr>
                <w:p w14:paraId="15BA8F8B">
                  <w:pPr>
                    <w:widowControl/>
                    <w:jc w:val="center"/>
                    <w:textAlignment w:val="center"/>
                    <w:rPr>
                      <w:color w:val="auto"/>
                      <w:kern w:val="0"/>
                      <w:szCs w:val="21"/>
                      <w:lang w:bidi="ar"/>
                    </w:rPr>
                  </w:pPr>
                  <w:r>
                    <w:rPr>
                      <w:rFonts w:hint="eastAsia"/>
                      <w:color w:val="auto"/>
                      <w:kern w:val="0"/>
                      <w:szCs w:val="21"/>
                      <w:lang w:val="en-US" w:eastAsia="zh-CN" w:bidi="ar"/>
                    </w:rPr>
                    <w:t>2</w:t>
                  </w:r>
                  <w:r>
                    <w:rPr>
                      <w:rFonts w:hint="eastAsia"/>
                      <w:color w:val="auto"/>
                      <w:kern w:val="0"/>
                      <w:szCs w:val="21"/>
                      <w:lang w:bidi="ar"/>
                    </w:rPr>
                    <w:t>%</w:t>
                  </w:r>
                </w:p>
              </w:tc>
              <w:tc>
                <w:tcPr>
                  <w:tcW w:w="364" w:type="pct"/>
                  <w:vAlign w:val="center"/>
                </w:tcPr>
                <w:p w14:paraId="31217B93">
                  <w:pPr>
                    <w:widowControl/>
                    <w:jc w:val="center"/>
                    <w:textAlignment w:val="center"/>
                    <w:rPr>
                      <w:color w:val="auto"/>
                      <w:kern w:val="0"/>
                      <w:szCs w:val="21"/>
                      <w:lang w:bidi="ar"/>
                    </w:rPr>
                  </w:pPr>
                  <w:r>
                    <w:rPr>
                      <w:rFonts w:hint="eastAsia"/>
                      <w:color w:val="auto"/>
                      <w:kern w:val="0"/>
                      <w:szCs w:val="21"/>
                      <w:lang w:bidi="ar"/>
                    </w:rPr>
                    <w:t>2</w:t>
                  </w:r>
                </w:p>
              </w:tc>
              <w:tc>
                <w:tcPr>
                  <w:tcW w:w="361" w:type="pct"/>
                  <w:vAlign w:val="center"/>
                </w:tcPr>
                <w:p w14:paraId="6C8E7318">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172.8</w:t>
                  </w:r>
                </w:p>
              </w:tc>
              <w:tc>
                <w:tcPr>
                  <w:tcW w:w="397" w:type="pct"/>
                  <w:vAlign w:val="center"/>
                </w:tcPr>
                <w:p w14:paraId="2FE23E81">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1.92</w:t>
                  </w:r>
                </w:p>
              </w:tc>
              <w:tc>
                <w:tcPr>
                  <w:tcW w:w="462" w:type="pct"/>
                  <w:vAlign w:val="center"/>
                </w:tcPr>
                <w:p w14:paraId="1584AC2A">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174.72</w:t>
                  </w:r>
                </w:p>
              </w:tc>
            </w:tr>
            <w:tr w14:paraId="776E3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8" w:type="pct"/>
                  <w:gridSpan w:val="9"/>
                  <w:vAlign w:val="center"/>
                </w:tcPr>
                <w:p w14:paraId="6F602AAA">
                  <w:pPr>
                    <w:widowControl/>
                    <w:jc w:val="center"/>
                    <w:textAlignment w:val="center"/>
                    <w:rPr>
                      <w:color w:val="auto"/>
                      <w:kern w:val="0"/>
                      <w:szCs w:val="21"/>
                      <w:lang w:bidi="ar"/>
                    </w:rPr>
                  </w:pPr>
                  <w:r>
                    <w:rPr>
                      <w:rFonts w:hint="eastAsia"/>
                      <w:color w:val="auto"/>
                      <w:kern w:val="0"/>
                      <w:szCs w:val="21"/>
                      <w:lang w:bidi="ar"/>
                    </w:rPr>
                    <w:t>合计</w:t>
                  </w:r>
                </w:p>
              </w:tc>
              <w:tc>
                <w:tcPr>
                  <w:tcW w:w="361" w:type="pct"/>
                  <w:vAlign w:val="center"/>
                </w:tcPr>
                <w:p w14:paraId="5751AC00">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1976.4</w:t>
                  </w:r>
                </w:p>
              </w:tc>
              <w:tc>
                <w:tcPr>
                  <w:tcW w:w="397" w:type="pct"/>
                  <w:vAlign w:val="center"/>
                </w:tcPr>
                <w:p w14:paraId="734059BC">
                  <w:pPr>
                    <w:keepNext w:val="0"/>
                    <w:keepLines w:val="0"/>
                    <w:widowControl/>
                    <w:suppressLineNumbers w:val="0"/>
                    <w:jc w:val="center"/>
                    <w:textAlignment w:val="center"/>
                    <w:rPr>
                      <w:color w:val="auto"/>
                      <w:kern w:val="0"/>
                      <w:sz w:val="21"/>
                      <w:szCs w:val="21"/>
                      <w:lang w:bidi="ar"/>
                    </w:rPr>
                  </w:pPr>
                  <w:r>
                    <w:rPr>
                      <w:rFonts w:hint="default" w:ascii="Times New Roman" w:hAnsi="Times New Roman" w:eastAsia="宋体" w:cs="Times New Roman"/>
                      <w:i w:val="0"/>
                      <w:iCs w:val="0"/>
                      <w:color w:val="auto"/>
                      <w:kern w:val="0"/>
                      <w:sz w:val="21"/>
                      <w:szCs w:val="21"/>
                      <w:u w:val="none"/>
                      <w:lang w:val="en-US" w:eastAsia="zh-CN" w:bidi="ar"/>
                    </w:rPr>
                    <w:t>21.96</w:t>
                  </w:r>
                </w:p>
              </w:tc>
              <w:tc>
                <w:tcPr>
                  <w:tcW w:w="462" w:type="pct"/>
                  <w:vAlign w:val="center"/>
                </w:tcPr>
                <w:p w14:paraId="06BF640E">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1998.36</w:t>
                  </w:r>
                </w:p>
              </w:tc>
            </w:tr>
          </w:tbl>
          <w:p w14:paraId="5939EB15">
            <w:pPr>
              <w:adjustRightInd w:val="0"/>
              <w:snapToGrid w:val="0"/>
              <w:spacing w:line="336" w:lineRule="auto"/>
              <w:ind w:firstLine="480" w:firstLineChars="200"/>
              <w:rPr>
                <w:color w:val="auto"/>
                <w:sz w:val="24"/>
              </w:rPr>
            </w:pPr>
            <w:r>
              <w:rPr>
                <w:color w:val="auto"/>
                <w:sz w:val="24"/>
              </w:rPr>
              <w:t>由上表可知，本项目</w:t>
            </w:r>
            <w:r>
              <w:rPr>
                <w:rFonts w:hint="eastAsia"/>
                <w:color w:val="auto"/>
                <w:sz w:val="24"/>
              </w:rPr>
              <w:t>水帘柜</w:t>
            </w:r>
            <w:r>
              <w:rPr>
                <w:color w:val="auto"/>
                <w:sz w:val="24"/>
              </w:rPr>
              <w:t>总用水量为</w:t>
            </w:r>
            <w:r>
              <w:rPr>
                <w:rFonts w:hint="eastAsia"/>
                <w:color w:val="auto"/>
                <w:sz w:val="24"/>
                <w:lang w:val="en-US" w:eastAsia="zh-CN"/>
              </w:rPr>
              <w:t>1998.36</w:t>
            </w:r>
            <w:r>
              <w:rPr>
                <w:color w:val="auto"/>
                <w:sz w:val="24"/>
              </w:rPr>
              <w:t>t/a，其中</w:t>
            </w:r>
            <w:r>
              <w:rPr>
                <w:rFonts w:hint="eastAsia"/>
                <w:color w:val="auto"/>
                <w:sz w:val="24"/>
              </w:rPr>
              <w:t>补充</w:t>
            </w:r>
            <w:r>
              <w:rPr>
                <w:color w:val="auto"/>
                <w:sz w:val="24"/>
              </w:rPr>
              <w:t>水量为</w:t>
            </w:r>
            <w:r>
              <w:rPr>
                <w:rFonts w:hint="eastAsia"/>
                <w:color w:val="auto"/>
                <w:sz w:val="24"/>
                <w:lang w:val="en-US" w:eastAsia="zh-CN"/>
              </w:rPr>
              <w:t>1976.4</w:t>
            </w:r>
            <w:r>
              <w:rPr>
                <w:color w:val="auto"/>
                <w:sz w:val="24"/>
              </w:rPr>
              <w:t>t/a，更换用水量为</w:t>
            </w:r>
            <w:r>
              <w:rPr>
                <w:rFonts w:hint="eastAsia"/>
                <w:color w:val="auto"/>
                <w:sz w:val="24"/>
              </w:rPr>
              <w:t>21.96</w:t>
            </w:r>
            <w:r>
              <w:rPr>
                <w:color w:val="auto"/>
                <w:sz w:val="24"/>
              </w:rPr>
              <w:t>t/a。</w:t>
            </w:r>
          </w:p>
          <w:p w14:paraId="1DFC7759">
            <w:pPr>
              <w:adjustRightInd w:val="0"/>
              <w:snapToGrid w:val="0"/>
              <w:spacing w:line="336" w:lineRule="auto"/>
              <w:ind w:firstLine="482" w:firstLineChars="200"/>
              <w:rPr>
                <w:b/>
                <w:bCs/>
                <w:color w:val="auto"/>
                <w:kern w:val="0"/>
                <w:sz w:val="24"/>
              </w:rPr>
            </w:pPr>
            <w:r>
              <w:rPr>
                <w:rFonts w:hint="eastAsia"/>
                <w:b/>
                <w:bCs/>
                <w:color w:val="auto"/>
                <w:kern w:val="0"/>
                <w:sz w:val="24"/>
              </w:rPr>
              <w:t>4）喷淋柜用水</w:t>
            </w:r>
          </w:p>
          <w:p w14:paraId="797B4854">
            <w:pPr>
              <w:adjustRightInd w:val="0"/>
              <w:snapToGrid w:val="0"/>
              <w:spacing w:line="336" w:lineRule="auto"/>
              <w:ind w:firstLine="480" w:firstLineChars="200"/>
              <w:rPr>
                <w:b/>
                <w:bCs/>
                <w:color w:val="auto"/>
                <w:kern w:val="0"/>
                <w:sz w:val="24"/>
              </w:rPr>
            </w:pPr>
            <w:r>
              <w:rPr>
                <w:rFonts w:hint="eastAsia"/>
                <w:color w:val="auto"/>
                <w:sz w:val="24"/>
              </w:rPr>
              <w:t>项目贴标线设有1个喷淋柜用于贴标过程的表面喷淋</w:t>
            </w:r>
            <w:r>
              <w:rPr>
                <w:color w:val="auto"/>
                <w:sz w:val="24"/>
              </w:rPr>
              <w:t>，尺寸为</w:t>
            </w:r>
            <w:r>
              <w:rPr>
                <w:rFonts w:hint="eastAsia"/>
                <w:color w:val="auto"/>
                <w:sz w:val="24"/>
              </w:rPr>
              <w:t>2</w:t>
            </w:r>
            <w:r>
              <w:rPr>
                <w:color w:val="auto"/>
                <w:sz w:val="24"/>
              </w:rPr>
              <w:t>m*</w:t>
            </w:r>
            <w:r>
              <w:rPr>
                <w:rFonts w:hint="eastAsia"/>
                <w:color w:val="auto"/>
                <w:sz w:val="24"/>
              </w:rPr>
              <w:t>0.8</w:t>
            </w:r>
            <w:r>
              <w:rPr>
                <w:color w:val="auto"/>
                <w:sz w:val="24"/>
              </w:rPr>
              <w:t>m*2</w:t>
            </w:r>
            <w:r>
              <w:rPr>
                <w:rFonts w:hint="eastAsia"/>
                <w:color w:val="auto"/>
                <w:sz w:val="24"/>
              </w:rPr>
              <w:t>.2</w:t>
            </w:r>
            <w:r>
              <w:rPr>
                <w:color w:val="auto"/>
                <w:sz w:val="24"/>
              </w:rPr>
              <w:t>m，</w:t>
            </w:r>
            <w:r>
              <w:rPr>
                <w:rFonts w:hint="eastAsia"/>
                <w:color w:val="auto"/>
                <w:sz w:val="24"/>
              </w:rPr>
              <w:t>喷淋柜</w:t>
            </w:r>
            <w:r>
              <w:rPr>
                <w:color w:val="auto"/>
                <w:sz w:val="24"/>
              </w:rPr>
              <w:t>底部为水箱，水箱内蓄水高度为0.2m，循环水通过循环泵实现内循环</w:t>
            </w:r>
            <w:r>
              <w:rPr>
                <w:rFonts w:hint="eastAsia"/>
                <w:color w:val="auto"/>
                <w:sz w:val="24"/>
              </w:rPr>
              <w:t>，</w:t>
            </w:r>
            <w:r>
              <w:rPr>
                <w:color w:val="auto"/>
                <w:sz w:val="24"/>
              </w:rPr>
              <w:t>则</w:t>
            </w:r>
            <w:r>
              <w:rPr>
                <w:rFonts w:hint="eastAsia"/>
                <w:color w:val="auto"/>
                <w:sz w:val="24"/>
              </w:rPr>
              <w:t>喷淋柜配备的</w:t>
            </w:r>
            <w:r>
              <w:rPr>
                <w:color w:val="auto"/>
                <w:sz w:val="24"/>
              </w:rPr>
              <w:t>蓄水箱内储水为</w:t>
            </w:r>
            <w:r>
              <w:rPr>
                <w:rFonts w:hint="eastAsia"/>
                <w:color w:val="auto"/>
                <w:sz w:val="24"/>
              </w:rPr>
              <w:t>0.32</w:t>
            </w:r>
            <w:r>
              <w:rPr>
                <w:color w:val="auto"/>
                <w:sz w:val="24"/>
              </w:rPr>
              <w:t>m</w:t>
            </w:r>
            <w:r>
              <w:rPr>
                <w:color w:val="auto"/>
                <w:sz w:val="24"/>
                <w:vertAlign w:val="superscript"/>
              </w:rPr>
              <w:t>3</w:t>
            </w:r>
            <w:r>
              <w:rPr>
                <w:color w:val="auto"/>
                <w:sz w:val="24"/>
              </w:rPr>
              <w:t>，</w:t>
            </w:r>
            <w:r>
              <w:rPr>
                <w:rFonts w:hint="eastAsia"/>
                <w:color w:val="auto"/>
                <w:sz w:val="24"/>
              </w:rPr>
              <w:t>循环水量为1m</w:t>
            </w:r>
            <w:r>
              <w:rPr>
                <w:rFonts w:hint="eastAsia"/>
                <w:color w:val="auto"/>
                <w:sz w:val="24"/>
                <w:vertAlign w:val="superscript"/>
              </w:rPr>
              <w:t>3</w:t>
            </w:r>
            <w:r>
              <w:rPr>
                <w:rFonts w:hint="eastAsia"/>
                <w:color w:val="auto"/>
                <w:sz w:val="24"/>
              </w:rPr>
              <w:t>/h，</w:t>
            </w:r>
            <w:r>
              <w:rPr>
                <w:color w:val="auto"/>
                <w:sz w:val="24"/>
              </w:rPr>
              <w:t>根据建设单位提供，每</w:t>
            </w:r>
            <w:r>
              <w:rPr>
                <w:rFonts w:hint="eastAsia"/>
                <w:color w:val="auto"/>
                <w:sz w:val="24"/>
              </w:rPr>
              <w:t>日</w:t>
            </w:r>
            <w:r>
              <w:rPr>
                <w:color w:val="auto"/>
                <w:sz w:val="24"/>
              </w:rPr>
              <w:t>对</w:t>
            </w:r>
            <w:r>
              <w:rPr>
                <w:rFonts w:hint="eastAsia"/>
                <w:color w:val="auto"/>
                <w:sz w:val="24"/>
              </w:rPr>
              <w:t>喷淋柜</w:t>
            </w:r>
            <w:r>
              <w:rPr>
                <w:color w:val="auto"/>
                <w:sz w:val="24"/>
              </w:rPr>
              <w:t>进行补充用水，</w:t>
            </w:r>
            <w:r>
              <w:rPr>
                <w:rFonts w:hint="eastAsia"/>
                <w:color w:val="auto"/>
                <w:sz w:val="24"/>
              </w:rPr>
              <w:t>补水量参考《涂装车间设计手册》（王锡春主编，化学工业出22版社）P87 中</w:t>
            </w:r>
            <w:r>
              <w:rPr>
                <w:rFonts w:hint="eastAsia"/>
                <w:color w:val="auto"/>
                <w:sz w:val="24"/>
                <w:lang w:eastAsia="zh-CN"/>
              </w:rPr>
              <w:t>，</w:t>
            </w:r>
            <w:r>
              <w:rPr>
                <w:rFonts w:hint="eastAsia"/>
                <w:color w:val="auto"/>
                <w:sz w:val="24"/>
              </w:rPr>
              <w:t>“喷淋式每小时补充循环水量的1.5%~3%”，则</w:t>
            </w:r>
            <w:r>
              <w:rPr>
                <w:color w:val="auto"/>
                <w:sz w:val="24"/>
              </w:rPr>
              <w:t>补水量</w:t>
            </w:r>
            <w:r>
              <w:rPr>
                <w:rFonts w:hint="eastAsia"/>
                <w:color w:val="auto"/>
                <w:sz w:val="24"/>
                <w:lang w:val="en-US" w:eastAsia="zh-CN"/>
              </w:rPr>
              <w:t>按</w:t>
            </w:r>
            <w:r>
              <w:rPr>
                <w:color w:val="auto"/>
                <w:sz w:val="24"/>
              </w:rPr>
              <w:t>占</w:t>
            </w:r>
            <w:r>
              <w:rPr>
                <w:rFonts w:hint="eastAsia"/>
                <w:color w:val="auto"/>
                <w:sz w:val="24"/>
              </w:rPr>
              <w:t>循环水量</w:t>
            </w:r>
            <w:r>
              <w:rPr>
                <w:color w:val="auto"/>
                <w:sz w:val="24"/>
              </w:rPr>
              <w:t>的</w:t>
            </w:r>
            <w:r>
              <w:rPr>
                <w:rFonts w:hint="eastAsia"/>
                <w:color w:val="auto"/>
                <w:sz w:val="24"/>
              </w:rPr>
              <w:t>2</w:t>
            </w:r>
            <w:r>
              <w:rPr>
                <w:color w:val="auto"/>
                <w:sz w:val="24"/>
              </w:rPr>
              <w:t>%</w:t>
            </w:r>
            <w:r>
              <w:rPr>
                <w:rFonts w:hint="eastAsia"/>
                <w:color w:val="auto"/>
                <w:sz w:val="24"/>
                <w:lang w:val="en-US" w:eastAsia="zh-CN"/>
              </w:rPr>
              <w:t>计</w:t>
            </w:r>
            <w:r>
              <w:rPr>
                <w:color w:val="auto"/>
                <w:sz w:val="24"/>
              </w:rPr>
              <w:t>，每</w:t>
            </w:r>
            <w:r>
              <w:rPr>
                <w:rFonts w:hint="eastAsia"/>
                <w:color w:val="auto"/>
                <w:sz w:val="24"/>
              </w:rPr>
              <w:t>半年</w:t>
            </w:r>
            <w:r>
              <w:rPr>
                <w:color w:val="auto"/>
                <w:sz w:val="24"/>
              </w:rPr>
              <w:t>更换一次水，</w:t>
            </w:r>
            <w:r>
              <w:rPr>
                <w:rFonts w:hint="eastAsia"/>
                <w:color w:val="auto"/>
                <w:sz w:val="24"/>
              </w:rPr>
              <w:t>年工作时间按300天，5h/d计，</w:t>
            </w:r>
            <w:r>
              <w:rPr>
                <w:color w:val="auto"/>
                <w:sz w:val="24"/>
              </w:rPr>
              <w:t>则</w:t>
            </w:r>
            <w:r>
              <w:rPr>
                <w:rFonts w:hint="eastAsia"/>
                <w:color w:val="auto"/>
                <w:sz w:val="24"/>
              </w:rPr>
              <w:t>喷淋柜</w:t>
            </w:r>
            <w:r>
              <w:rPr>
                <w:color w:val="auto"/>
                <w:sz w:val="24"/>
              </w:rPr>
              <w:t>的补水量为</w:t>
            </w:r>
            <w:r>
              <w:rPr>
                <w:rFonts w:hint="eastAsia"/>
                <w:color w:val="auto"/>
                <w:sz w:val="24"/>
              </w:rPr>
              <w:t>30t</w:t>
            </w:r>
            <w:r>
              <w:rPr>
                <w:color w:val="auto"/>
                <w:sz w:val="24"/>
              </w:rPr>
              <w:t>/a，</w:t>
            </w:r>
            <w:r>
              <w:rPr>
                <w:rFonts w:hint="eastAsia"/>
                <w:color w:val="auto"/>
                <w:sz w:val="24"/>
              </w:rPr>
              <w:t>喷淋</w:t>
            </w:r>
            <w:r>
              <w:rPr>
                <w:color w:val="auto"/>
                <w:sz w:val="24"/>
              </w:rPr>
              <w:t>柜的换水量为</w:t>
            </w:r>
            <w:r>
              <w:rPr>
                <w:rFonts w:hint="eastAsia"/>
                <w:color w:val="auto"/>
                <w:sz w:val="24"/>
              </w:rPr>
              <w:t>0.64t</w:t>
            </w:r>
            <w:r>
              <w:rPr>
                <w:color w:val="auto"/>
                <w:sz w:val="24"/>
              </w:rPr>
              <w:t>/a</w:t>
            </w:r>
            <w:r>
              <w:rPr>
                <w:rFonts w:hint="eastAsia"/>
                <w:color w:val="auto"/>
                <w:sz w:val="24"/>
              </w:rPr>
              <w:t>，故喷淋柜总用水量为30.64t</w:t>
            </w:r>
            <w:r>
              <w:rPr>
                <w:color w:val="auto"/>
                <w:sz w:val="24"/>
              </w:rPr>
              <w:t>/a。</w:t>
            </w:r>
          </w:p>
          <w:p w14:paraId="0992A4CC">
            <w:pPr>
              <w:adjustRightInd w:val="0"/>
              <w:snapToGrid w:val="0"/>
              <w:spacing w:line="336" w:lineRule="auto"/>
              <w:ind w:firstLine="482" w:firstLineChars="200"/>
              <w:rPr>
                <w:b/>
                <w:bCs/>
                <w:color w:val="auto"/>
                <w:kern w:val="0"/>
                <w:sz w:val="24"/>
              </w:rPr>
            </w:pPr>
            <w:r>
              <w:rPr>
                <w:rFonts w:hint="eastAsia"/>
                <w:b/>
                <w:bCs/>
                <w:color w:val="auto"/>
                <w:kern w:val="0"/>
                <w:sz w:val="24"/>
              </w:rPr>
              <w:t>5）喷枪清洗用水</w:t>
            </w:r>
          </w:p>
          <w:p w14:paraId="59C8D756">
            <w:pPr>
              <w:wordWrap w:val="0"/>
              <w:spacing w:line="336" w:lineRule="auto"/>
              <w:ind w:firstLine="480" w:firstLineChars="200"/>
              <w:rPr>
                <w:color w:val="auto"/>
                <w:sz w:val="24"/>
              </w:rPr>
            </w:pPr>
            <w:r>
              <w:rPr>
                <w:rFonts w:hint="eastAsia" w:ascii="宋体" w:hAnsi="宋体" w:cs="宋体"/>
                <w:color w:val="auto"/>
                <w:sz w:val="24"/>
              </w:rPr>
              <w:t>项目喷枪清洗采用清水冲洗，冲洗方式：将油漆喷枪倒置，用自来水冲虹吸管，使之从喷嘴流出，将残留于喷枪内的油漆冲洗干净，清洗后将所有配件吹干即可。根据建设单位提供的资料，</w:t>
            </w:r>
            <w:r>
              <w:rPr>
                <w:rFonts w:hint="eastAsia"/>
                <w:color w:val="auto"/>
                <w:sz w:val="24"/>
              </w:rPr>
              <w:t>底漆、</w:t>
            </w:r>
            <w:r>
              <w:rPr>
                <w:color w:val="auto"/>
                <w:sz w:val="24"/>
              </w:rPr>
              <w:t>面漆喷涂线处喷枪清洗频率为每天2次</w:t>
            </w:r>
            <w:r>
              <w:rPr>
                <w:rFonts w:hint="eastAsia" w:ascii="宋体" w:hAnsi="宋体" w:cs="宋体"/>
                <w:color w:val="auto"/>
                <w:sz w:val="24"/>
              </w:rPr>
              <w:t>，</w:t>
            </w:r>
            <w:r>
              <w:rPr>
                <w:color w:val="auto"/>
                <w:sz w:val="24"/>
              </w:rPr>
              <w:t>清漆喷涂线处喷枪清洗频率为每天1次</w:t>
            </w:r>
            <w:r>
              <w:rPr>
                <w:rFonts w:hint="eastAsia" w:ascii="宋体" w:hAnsi="宋体" w:cs="宋体"/>
                <w:color w:val="auto"/>
                <w:sz w:val="24"/>
              </w:rPr>
              <w:t>，尾数房处喷枪清洗频率为每天</w:t>
            </w:r>
            <w:r>
              <w:rPr>
                <w:color w:val="auto"/>
                <w:sz w:val="24"/>
              </w:rPr>
              <w:t>2次</w:t>
            </w:r>
            <w:r>
              <w:rPr>
                <w:rFonts w:hint="eastAsia"/>
                <w:color w:val="auto"/>
                <w:sz w:val="24"/>
              </w:rPr>
              <w:t>，</w:t>
            </w:r>
            <w:r>
              <w:rPr>
                <w:rFonts w:hint="eastAsia" w:ascii="宋体" w:hAnsi="宋体" w:cs="宋体"/>
                <w:color w:val="auto"/>
                <w:sz w:val="24"/>
              </w:rPr>
              <w:t>每次使用完毕后立即清洗，清洗时间</w:t>
            </w:r>
            <w:r>
              <w:rPr>
                <w:color w:val="auto"/>
                <w:sz w:val="24"/>
              </w:rPr>
              <w:t>需1min，</w:t>
            </w:r>
            <w:r>
              <w:rPr>
                <w:rFonts w:hint="eastAsia"/>
                <w:color w:val="auto"/>
                <w:sz w:val="24"/>
              </w:rPr>
              <w:t>手工喷枪的喷涂流量为1.5kg/h，自动喷枪的喷涂流量为6kg/h</w:t>
            </w:r>
            <w:r>
              <w:rPr>
                <w:color w:val="auto"/>
                <w:sz w:val="24"/>
              </w:rPr>
              <w:t>，</w:t>
            </w:r>
            <w:r>
              <w:rPr>
                <w:rFonts w:hint="eastAsia"/>
                <w:color w:val="auto"/>
                <w:sz w:val="24"/>
              </w:rPr>
              <w:t>年工作时间按300d计，</w:t>
            </w:r>
            <w:r>
              <w:rPr>
                <w:color w:val="auto"/>
                <w:sz w:val="24"/>
              </w:rPr>
              <w:t>则喷枪清洗用水</w:t>
            </w:r>
            <w:r>
              <w:rPr>
                <w:rFonts w:hint="eastAsia"/>
                <w:color w:val="auto"/>
                <w:sz w:val="24"/>
              </w:rPr>
              <w:t>情况如下表：</w:t>
            </w:r>
          </w:p>
          <w:p w14:paraId="08F9E50C">
            <w:pPr>
              <w:numPr>
                <w:ilvl w:val="0"/>
                <w:numId w:val="10"/>
              </w:numPr>
              <w:adjustRightInd w:val="0"/>
              <w:snapToGrid w:val="0"/>
              <w:jc w:val="center"/>
              <w:rPr>
                <w:b/>
                <w:color w:val="auto"/>
                <w:szCs w:val="21"/>
              </w:rPr>
            </w:pPr>
            <w:r>
              <w:rPr>
                <w:b/>
                <w:color w:val="auto"/>
                <w:szCs w:val="21"/>
              </w:rPr>
              <w:t>本项目</w:t>
            </w:r>
            <w:r>
              <w:rPr>
                <w:rFonts w:hint="eastAsia"/>
                <w:b/>
                <w:color w:val="auto"/>
                <w:szCs w:val="21"/>
              </w:rPr>
              <w:t>喷枪清洗</w:t>
            </w:r>
            <w:r>
              <w:rPr>
                <w:b/>
                <w:color w:val="auto"/>
                <w:szCs w:val="21"/>
              </w:rPr>
              <w:t>用水情况一览表</w:t>
            </w:r>
          </w:p>
          <w:tbl>
            <w:tblPr>
              <w:tblStyle w:val="3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286"/>
              <w:gridCol w:w="1141"/>
              <w:gridCol w:w="1013"/>
              <w:gridCol w:w="1169"/>
              <w:gridCol w:w="1109"/>
              <w:gridCol w:w="1237"/>
              <w:gridCol w:w="1093"/>
              <w:gridCol w:w="1167"/>
            </w:tblGrid>
            <w:tr w14:paraId="1ED9C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 w:type="pct"/>
                  <w:vAlign w:val="center"/>
                </w:tcPr>
                <w:p w14:paraId="75D4B8ED">
                  <w:pPr>
                    <w:pStyle w:val="34"/>
                    <w:adjustRightInd w:val="0"/>
                    <w:snapToGrid w:val="0"/>
                    <w:spacing w:after="0"/>
                    <w:ind w:left="0" w:leftChars="0" w:firstLine="0" w:firstLineChars="0"/>
                    <w:jc w:val="center"/>
                    <w:rPr>
                      <w:b/>
                      <w:bCs/>
                      <w:color w:val="auto"/>
                      <w:sz w:val="21"/>
                      <w:szCs w:val="21"/>
                    </w:rPr>
                  </w:pPr>
                  <w:r>
                    <w:rPr>
                      <w:b/>
                      <w:bCs/>
                      <w:color w:val="auto"/>
                      <w:sz w:val="21"/>
                      <w:szCs w:val="21"/>
                    </w:rPr>
                    <w:t>序号</w:t>
                  </w:r>
                </w:p>
              </w:tc>
              <w:tc>
                <w:tcPr>
                  <w:tcW w:w="644" w:type="pct"/>
                  <w:vAlign w:val="center"/>
                </w:tcPr>
                <w:p w14:paraId="7CC74572">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区域</w:t>
                  </w:r>
                </w:p>
              </w:tc>
              <w:tc>
                <w:tcPr>
                  <w:tcW w:w="572" w:type="pct"/>
                  <w:vAlign w:val="center"/>
                </w:tcPr>
                <w:p w14:paraId="03C00F3E">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喷枪类型</w:t>
                  </w:r>
                </w:p>
              </w:tc>
              <w:tc>
                <w:tcPr>
                  <w:tcW w:w="508" w:type="pct"/>
                  <w:vAlign w:val="center"/>
                </w:tcPr>
                <w:p w14:paraId="7A15757E">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喷枪数量（把）</w:t>
                  </w:r>
                </w:p>
              </w:tc>
              <w:tc>
                <w:tcPr>
                  <w:tcW w:w="586" w:type="pct"/>
                  <w:vAlign w:val="center"/>
                </w:tcPr>
                <w:p w14:paraId="244956EA">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每天清洗频率（次）</w:t>
                  </w:r>
                </w:p>
              </w:tc>
              <w:tc>
                <w:tcPr>
                  <w:tcW w:w="556" w:type="pct"/>
                  <w:vAlign w:val="center"/>
                </w:tcPr>
                <w:p w14:paraId="2C981777">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喷枪流量（kg/h）</w:t>
                  </w:r>
                </w:p>
              </w:tc>
              <w:tc>
                <w:tcPr>
                  <w:tcW w:w="620" w:type="pct"/>
                  <w:vAlign w:val="center"/>
                </w:tcPr>
                <w:p w14:paraId="61C8FC81">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清洗时间（min）</w:t>
                  </w:r>
                </w:p>
              </w:tc>
              <w:tc>
                <w:tcPr>
                  <w:tcW w:w="543" w:type="pct"/>
                  <w:vAlign w:val="center"/>
                </w:tcPr>
                <w:p w14:paraId="768BDD9E">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年工作时间（d）</w:t>
                  </w:r>
                </w:p>
              </w:tc>
              <w:tc>
                <w:tcPr>
                  <w:tcW w:w="585" w:type="pct"/>
                  <w:vAlign w:val="center"/>
                </w:tcPr>
                <w:p w14:paraId="6EC1E0CB">
                  <w:pPr>
                    <w:pStyle w:val="34"/>
                    <w:adjustRightInd w:val="0"/>
                    <w:snapToGrid w:val="0"/>
                    <w:spacing w:after="0"/>
                    <w:ind w:left="0" w:leftChars="0" w:firstLine="0" w:firstLineChars="0"/>
                    <w:jc w:val="center"/>
                    <w:rPr>
                      <w:b/>
                      <w:bCs/>
                      <w:color w:val="auto"/>
                      <w:sz w:val="21"/>
                      <w:szCs w:val="21"/>
                    </w:rPr>
                  </w:pPr>
                  <w:r>
                    <w:rPr>
                      <w:rFonts w:hint="eastAsia"/>
                      <w:b/>
                      <w:bCs/>
                      <w:color w:val="auto"/>
                      <w:sz w:val="21"/>
                      <w:szCs w:val="21"/>
                    </w:rPr>
                    <w:t>清洗</w:t>
                  </w:r>
                  <w:r>
                    <w:rPr>
                      <w:b/>
                      <w:bCs/>
                      <w:color w:val="auto"/>
                      <w:sz w:val="21"/>
                      <w:szCs w:val="21"/>
                    </w:rPr>
                    <w:t>用水量(t/a)</w:t>
                  </w:r>
                </w:p>
              </w:tc>
            </w:tr>
            <w:tr w14:paraId="2E7AE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 w:type="pct"/>
                  <w:vMerge w:val="restart"/>
                  <w:vAlign w:val="center"/>
                </w:tcPr>
                <w:p w14:paraId="240A7FAF">
                  <w:pPr>
                    <w:pStyle w:val="34"/>
                    <w:adjustRightInd w:val="0"/>
                    <w:snapToGrid w:val="0"/>
                    <w:spacing w:after="0"/>
                    <w:ind w:left="0" w:leftChars="0" w:firstLine="0" w:firstLineChars="0"/>
                    <w:jc w:val="center"/>
                    <w:rPr>
                      <w:color w:val="auto"/>
                      <w:sz w:val="21"/>
                      <w:szCs w:val="21"/>
                    </w:rPr>
                  </w:pPr>
                  <w:r>
                    <w:rPr>
                      <w:color w:val="auto"/>
                      <w:sz w:val="21"/>
                      <w:szCs w:val="21"/>
                    </w:rPr>
                    <w:t>1</w:t>
                  </w:r>
                </w:p>
              </w:tc>
              <w:tc>
                <w:tcPr>
                  <w:tcW w:w="644" w:type="pct"/>
                  <w:vMerge w:val="restart"/>
                  <w:vAlign w:val="center"/>
                </w:tcPr>
                <w:p w14:paraId="41D11179">
                  <w:pPr>
                    <w:pStyle w:val="34"/>
                    <w:adjustRightInd w:val="0"/>
                    <w:snapToGrid w:val="0"/>
                    <w:spacing w:after="0"/>
                    <w:ind w:left="0" w:leftChars="0" w:firstLine="0" w:firstLineChars="0"/>
                    <w:jc w:val="center"/>
                    <w:rPr>
                      <w:color w:val="auto"/>
                      <w:sz w:val="21"/>
                      <w:szCs w:val="21"/>
                    </w:rPr>
                  </w:pPr>
                  <w:r>
                    <w:rPr>
                      <w:rFonts w:hint="eastAsia"/>
                      <w:color w:val="auto"/>
                      <w:sz w:val="21"/>
                      <w:szCs w:val="21"/>
                    </w:rPr>
                    <w:t>底漆、面漆喷涂线</w:t>
                  </w:r>
                </w:p>
              </w:tc>
              <w:tc>
                <w:tcPr>
                  <w:tcW w:w="572" w:type="pct"/>
                  <w:vAlign w:val="center"/>
                </w:tcPr>
                <w:p w14:paraId="0C9831F1">
                  <w:pPr>
                    <w:widowControl/>
                    <w:jc w:val="center"/>
                    <w:textAlignment w:val="center"/>
                    <w:rPr>
                      <w:color w:val="auto"/>
                      <w:kern w:val="0"/>
                      <w:szCs w:val="21"/>
                    </w:rPr>
                  </w:pPr>
                  <w:r>
                    <w:rPr>
                      <w:rFonts w:hint="eastAsia"/>
                      <w:color w:val="auto"/>
                      <w:kern w:val="0"/>
                      <w:szCs w:val="21"/>
                    </w:rPr>
                    <w:t>手动</w:t>
                  </w:r>
                </w:p>
              </w:tc>
              <w:tc>
                <w:tcPr>
                  <w:tcW w:w="508" w:type="pct"/>
                  <w:vAlign w:val="center"/>
                </w:tcPr>
                <w:p w14:paraId="45C09C01">
                  <w:pPr>
                    <w:widowControl/>
                    <w:jc w:val="center"/>
                    <w:textAlignment w:val="center"/>
                    <w:rPr>
                      <w:color w:val="auto"/>
                      <w:kern w:val="0"/>
                      <w:szCs w:val="21"/>
                      <w:lang w:bidi="ar"/>
                    </w:rPr>
                  </w:pPr>
                  <w:r>
                    <w:rPr>
                      <w:rFonts w:hint="eastAsia"/>
                      <w:color w:val="auto"/>
                    </w:rPr>
                    <w:t>3</w:t>
                  </w:r>
                </w:p>
              </w:tc>
              <w:tc>
                <w:tcPr>
                  <w:tcW w:w="586" w:type="pct"/>
                  <w:vMerge w:val="restart"/>
                  <w:vAlign w:val="center"/>
                </w:tcPr>
                <w:p w14:paraId="092DA7B6">
                  <w:pPr>
                    <w:widowControl/>
                    <w:jc w:val="center"/>
                    <w:textAlignment w:val="center"/>
                    <w:rPr>
                      <w:color w:val="auto"/>
                      <w:kern w:val="0"/>
                      <w:szCs w:val="21"/>
                      <w:lang w:bidi="ar"/>
                    </w:rPr>
                  </w:pPr>
                  <w:r>
                    <w:rPr>
                      <w:rFonts w:hint="eastAsia"/>
                      <w:color w:val="auto"/>
                      <w:kern w:val="0"/>
                      <w:szCs w:val="21"/>
                      <w:lang w:bidi="ar"/>
                    </w:rPr>
                    <w:t>2</w:t>
                  </w:r>
                </w:p>
              </w:tc>
              <w:tc>
                <w:tcPr>
                  <w:tcW w:w="556" w:type="pct"/>
                  <w:vAlign w:val="center"/>
                </w:tcPr>
                <w:p w14:paraId="3787A053">
                  <w:pPr>
                    <w:widowControl/>
                    <w:jc w:val="center"/>
                    <w:textAlignment w:val="center"/>
                    <w:rPr>
                      <w:color w:val="auto"/>
                      <w:kern w:val="0"/>
                      <w:szCs w:val="21"/>
                      <w:lang w:bidi="ar"/>
                    </w:rPr>
                  </w:pPr>
                  <w:r>
                    <w:rPr>
                      <w:rFonts w:hint="eastAsia"/>
                      <w:color w:val="auto"/>
                      <w:kern w:val="0"/>
                      <w:szCs w:val="21"/>
                      <w:lang w:bidi="ar"/>
                    </w:rPr>
                    <w:t>1.5</w:t>
                  </w:r>
                </w:p>
              </w:tc>
              <w:tc>
                <w:tcPr>
                  <w:tcW w:w="620" w:type="pct"/>
                  <w:vAlign w:val="center"/>
                </w:tcPr>
                <w:p w14:paraId="691E5443">
                  <w:pPr>
                    <w:widowControl/>
                    <w:jc w:val="center"/>
                    <w:textAlignment w:val="center"/>
                    <w:rPr>
                      <w:color w:val="auto"/>
                      <w:kern w:val="0"/>
                      <w:szCs w:val="21"/>
                      <w:lang w:bidi="ar"/>
                    </w:rPr>
                  </w:pPr>
                  <w:r>
                    <w:rPr>
                      <w:rFonts w:hint="eastAsia"/>
                      <w:color w:val="auto"/>
                      <w:kern w:val="0"/>
                      <w:szCs w:val="21"/>
                      <w:lang w:bidi="ar"/>
                    </w:rPr>
                    <w:t>1</w:t>
                  </w:r>
                </w:p>
              </w:tc>
              <w:tc>
                <w:tcPr>
                  <w:tcW w:w="543" w:type="pct"/>
                  <w:vAlign w:val="center"/>
                </w:tcPr>
                <w:p w14:paraId="4B936C73">
                  <w:pPr>
                    <w:widowControl/>
                    <w:jc w:val="center"/>
                    <w:textAlignment w:val="center"/>
                    <w:rPr>
                      <w:color w:val="auto"/>
                      <w:kern w:val="0"/>
                      <w:szCs w:val="21"/>
                      <w:lang w:bidi="ar"/>
                    </w:rPr>
                  </w:pPr>
                  <w:r>
                    <w:rPr>
                      <w:rFonts w:hint="eastAsia"/>
                      <w:color w:val="auto"/>
                      <w:kern w:val="0"/>
                      <w:szCs w:val="21"/>
                      <w:lang w:bidi="ar"/>
                    </w:rPr>
                    <w:t>300</w:t>
                  </w:r>
                </w:p>
              </w:tc>
              <w:tc>
                <w:tcPr>
                  <w:tcW w:w="1169" w:type="dxa"/>
                  <w:vAlign w:val="center"/>
                </w:tcPr>
                <w:p w14:paraId="71B45702">
                  <w:pPr>
                    <w:widowControl/>
                    <w:jc w:val="center"/>
                    <w:textAlignment w:val="center"/>
                    <w:rPr>
                      <w:color w:val="auto"/>
                      <w:szCs w:val="21"/>
                    </w:rPr>
                  </w:pPr>
                  <w:r>
                    <w:rPr>
                      <w:color w:val="auto"/>
                      <w:kern w:val="0"/>
                      <w:szCs w:val="21"/>
                      <w:lang w:bidi="ar"/>
                    </w:rPr>
                    <w:t>0.045</w:t>
                  </w:r>
                </w:p>
              </w:tc>
            </w:tr>
            <w:tr w14:paraId="2563F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 w:type="pct"/>
                  <w:vMerge w:val="continue"/>
                  <w:vAlign w:val="center"/>
                </w:tcPr>
                <w:p w14:paraId="3B5A1035">
                  <w:pPr>
                    <w:widowControl/>
                    <w:jc w:val="center"/>
                    <w:textAlignment w:val="center"/>
                    <w:rPr>
                      <w:color w:val="auto"/>
                    </w:rPr>
                  </w:pPr>
                </w:p>
              </w:tc>
              <w:tc>
                <w:tcPr>
                  <w:tcW w:w="644" w:type="pct"/>
                  <w:vMerge w:val="continue"/>
                  <w:vAlign w:val="center"/>
                </w:tcPr>
                <w:p w14:paraId="092C9208">
                  <w:pPr>
                    <w:widowControl/>
                    <w:jc w:val="center"/>
                    <w:textAlignment w:val="center"/>
                    <w:rPr>
                      <w:color w:val="auto"/>
                    </w:rPr>
                  </w:pPr>
                </w:p>
              </w:tc>
              <w:tc>
                <w:tcPr>
                  <w:tcW w:w="572" w:type="pct"/>
                  <w:vAlign w:val="center"/>
                </w:tcPr>
                <w:p w14:paraId="0DEAE90B">
                  <w:pPr>
                    <w:widowControl/>
                    <w:jc w:val="center"/>
                    <w:textAlignment w:val="center"/>
                    <w:rPr>
                      <w:color w:val="auto"/>
                      <w:kern w:val="0"/>
                      <w:szCs w:val="21"/>
                    </w:rPr>
                  </w:pPr>
                  <w:r>
                    <w:rPr>
                      <w:rFonts w:hint="eastAsia"/>
                      <w:color w:val="auto"/>
                      <w:kern w:val="0"/>
                      <w:szCs w:val="21"/>
                    </w:rPr>
                    <w:t>自动</w:t>
                  </w:r>
                </w:p>
              </w:tc>
              <w:tc>
                <w:tcPr>
                  <w:tcW w:w="508" w:type="pct"/>
                  <w:vAlign w:val="center"/>
                </w:tcPr>
                <w:p w14:paraId="07FAFDF3">
                  <w:pPr>
                    <w:widowControl/>
                    <w:jc w:val="center"/>
                    <w:textAlignment w:val="center"/>
                    <w:rPr>
                      <w:color w:val="auto"/>
                      <w:kern w:val="0"/>
                      <w:szCs w:val="21"/>
                    </w:rPr>
                  </w:pPr>
                  <w:r>
                    <w:rPr>
                      <w:rFonts w:hint="eastAsia"/>
                      <w:color w:val="auto"/>
                      <w:kern w:val="0"/>
                      <w:szCs w:val="21"/>
                    </w:rPr>
                    <w:t>1</w:t>
                  </w:r>
                </w:p>
              </w:tc>
              <w:tc>
                <w:tcPr>
                  <w:tcW w:w="586" w:type="pct"/>
                  <w:vMerge w:val="continue"/>
                  <w:vAlign w:val="center"/>
                </w:tcPr>
                <w:p w14:paraId="42ED1A89">
                  <w:pPr>
                    <w:widowControl/>
                    <w:jc w:val="center"/>
                    <w:textAlignment w:val="center"/>
                    <w:rPr>
                      <w:color w:val="auto"/>
                      <w:kern w:val="0"/>
                      <w:szCs w:val="21"/>
                    </w:rPr>
                  </w:pPr>
                </w:p>
              </w:tc>
              <w:tc>
                <w:tcPr>
                  <w:tcW w:w="556" w:type="pct"/>
                  <w:vAlign w:val="center"/>
                </w:tcPr>
                <w:p w14:paraId="1D1FC9A5">
                  <w:pPr>
                    <w:widowControl/>
                    <w:jc w:val="center"/>
                    <w:textAlignment w:val="center"/>
                    <w:rPr>
                      <w:color w:val="auto"/>
                      <w:kern w:val="0"/>
                      <w:szCs w:val="21"/>
                    </w:rPr>
                  </w:pPr>
                  <w:r>
                    <w:rPr>
                      <w:rFonts w:hint="eastAsia"/>
                      <w:color w:val="auto"/>
                      <w:kern w:val="0"/>
                      <w:szCs w:val="21"/>
                    </w:rPr>
                    <w:t>6</w:t>
                  </w:r>
                </w:p>
              </w:tc>
              <w:tc>
                <w:tcPr>
                  <w:tcW w:w="620" w:type="pct"/>
                  <w:vAlign w:val="center"/>
                </w:tcPr>
                <w:p w14:paraId="67878A8B">
                  <w:pPr>
                    <w:widowControl/>
                    <w:jc w:val="center"/>
                    <w:textAlignment w:val="center"/>
                    <w:rPr>
                      <w:color w:val="auto"/>
                      <w:kern w:val="0"/>
                      <w:szCs w:val="21"/>
                    </w:rPr>
                  </w:pPr>
                  <w:r>
                    <w:rPr>
                      <w:rFonts w:hint="eastAsia"/>
                      <w:color w:val="auto"/>
                      <w:kern w:val="0"/>
                      <w:szCs w:val="21"/>
                    </w:rPr>
                    <w:t>1</w:t>
                  </w:r>
                </w:p>
              </w:tc>
              <w:tc>
                <w:tcPr>
                  <w:tcW w:w="543" w:type="pct"/>
                  <w:vAlign w:val="center"/>
                </w:tcPr>
                <w:p w14:paraId="55DADAE6">
                  <w:pPr>
                    <w:widowControl/>
                    <w:jc w:val="center"/>
                    <w:textAlignment w:val="center"/>
                    <w:rPr>
                      <w:color w:val="auto"/>
                      <w:kern w:val="0"/>
                      <w:szCs w:val="21"/>
                    </w:rPr>
                  </w:pPr>
                  <w:r>
                    <w:rPr>
                      <w:rFonts w:hint="eastAsia"/>
                      <w:color w:val="auto"/>
                      <w:kern w:val="0"/>
                      <w:szCs w:val="21"/>
                    </w:rPr>
                    <w:t>300</w:t>
                  </w:r>
                </w:p>
              </w:tc>
              <w:tc>
                <w:tcPr>
                  <w:tcW w:w="1169" w:type="dxa"/>
                  <w:vAlign w:val="center"/>
                </w:tcPr>
                <w:p w14:paraId="480C92AE">
                  <w:pPr>
                    <w:widowControl/>
                    <w:jc w:val="center"/>
                    <w:textAlignment w:val="center"/>
                    <w:rPr>
                      <w:color w:val="auto"/>
                      <w:kern w:val="0"/>
                      <w:szCs w:val="21"/>
                    </w:rPr>
                  </w:pPr>
                  <w:r>
                    <w:rPr>
                      <w:color w:val="auto"/>
                      <w:kern w:val="0"/>
                      <w:szCs w:val="21"/>
                      <w:lang w:bidi="ar"/>
                    </w:rPr>
                    <w:t>0.06</w:t>
                  </w:r>
                </w:p>
              </w:tc>
            </w:tr>
            <w:tr w14:paraId="299DC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 w:type="pct"/>
                  <w:vMerge w:val="restart"/>
                  <w:vAlign w:val="center"/>
                </w:tcPr>
                <w:p w14:paraId="0620A9E0">
                  <w:pPr>
                    <w:pStyle w:val="34"/>
                    <w:adjustRightInd w:val="0"/>
                    <w:snapToGrid w:val="0"/>
                    <w:spacing w:after="0"/>
                    <w:ind w:left="0" w:leftChars="0" w:firstLine="0" w:firstLineChars="0"/>
                    <w:jc w:val="center"/>
                    <w:rPr>
                      <w:color w:val="auto"/>
                      <w:sz w:val="21"/>
                      <w:szCs w:val="21"/>
                    </w:rPr>
                  </w:pPr>
                  <w:r>
                    <w:rPr>
                      <w:color w:val="auto"/>
                      <w:sz w:val="21"/>
                      <w:szCs w:val="21"/>
                    </w:rPr>
                    <w:t>2</w:t>
                  </w:r>
                </w:p>
              </w:tc>
              <w:tc>
                <w:tcPr>
                  <w:tcW w:w="644" w:type="pct"/>
                  <w:vMerge w:val="restart"/>
                  <w:vAlign w:val="center"/>
                </w:tcPr>
                <w:p w14:paraId="2E219DF0">
                  <w:pPr>
                    <w:adjustRightInd w:val="0"/>
                    <w:snapToGrid w:val="0"/>
                    <w:jc w:val="center"/>
                    <w:rPr>
                      <w:color w:val="auto"/>
                      <w:szCs w:val="21"/>
                    </w:rPr>
                  </w:pPr>
                  <w:r>
                    <w:rPr>
                      <w:rFonts w:hint="eastAsia"/>
                      <w:color w:val="auto"/>
                      <w:szCs w:val="21"/>
                    </w:rPr>
                    <w:t>清漆喷涂线</w:t>
                  </w:r>
                </w:p>
              </w:tc>
              <w:tc>
                <w:tcPr>
                  <w:tcW w:w="572" w:type="pct"/>
                  <w:vAlign w:val="center"/>
                </w:tcPr>
                <w:p w14:paraId="5AB4D66E">
                  <w:pPr>
                    <w:widowControl/>
                    <w:jc w:val="center"/>
                    <w:textAlignment w:val="center"/>
                    <w:rPr>
                      <w:color w:val="auto"/>
                      <w:kern w:val="0"/>
                      <w:szCs w:val="21"/>
                    </w:rPr>
                  </w:pPr>
                  <w:r>
                    <w:rPr>
                      <w:rFonts w:hint="eastAsia"/>
                      <w:color w:val="auto"/>
                      <w:kern w:val="0"/>
                      <w:szCs w:val="21"/>
                    </w:rPr>
                    <w:t>手动</w:t>
                  </w:r>
                </w:p>
              </w:tc>
              <w:tc>
                <w:tcPr>
                  <w:tcW w:w="508" w:type="pct"/>
                  <w:vAlign w:val="center"/>
                </w:tcPr>
                <w:p w14:paraId="6693166C">
                  <w:pPr>
                    <w:widowControl/>
                    <w:jc w:val="center"/>
                    <w:textAlignment w:val="center"/>
                    <w:rPr>
                      <w:color w:val="auto"/>
                      <w:kern w:val="0"/>
                      <w:szCs w:val="21"/>
                      <w:lang w:bidi="ar"/>
                    </w:rPr>
                  </w:pPr>
                  <w:r>
                    <w:rPr>
                      <w:rFonts w:hint="eastAsia"/>
                      <w:color w:val="auto"/>
                    </w:rPr>
                    <w:t>3</w:t>
                  </w:r>
                </w:p>
              </w:tc>
              <w:tc>
                <w:tcPr>
                  <w:tcW w:w="586" w:type="pct"/>
                  <w:vMerge w:val="restart"/>
                  <w:vAlign w:val="center"/>
                </w:tcPr>
                <w:p w14:paraId="33D00C9F">
                  <w:pPr>
                    <w:widowControl/>
                    <w:jc w:val="center"/>
                    <w:textAlignment w:val="center"/>
                    <w:rPr>
                      <w:color w:val="auto"/>
                      <w:kern w:val="0"/>
                      <w:szCs w:val="21"/>
                      <w:lang w:bidi="ar"/>
                    </w:rPr>
                  </w:pPr>
                  <w:r>
                    <w:rPr>
                      <w:rFonts w:hint="eastAsia"/>
                      <w:color w:val="auto"/>
                      <w:kern w:val="0"/>
                      <w:szCs w:val="21"/>
                      <w:lang w:bidi="ar"/>
                    </w:rPr>
                    <w:t>1</w:t>
                  </w:r>
                </w:p>
              </w:tc>
              <w:tc>
                <w:tcPr>
                  <w:tcW w:w="556" w:type="pct"/>
                  <w:vAlign w:val="center"/>
                </w:tcPr>
                <w:p w14:paraId="4F80EC01">
                  <w:pPr>
                    <w:widowControl/>
                    <w:jc w:val="center"/>
                    <w:textAlignment w:val="center"/>
                    <w:rPr>
                      <w:color w:val="auto"/>
                      <w:kern w:val="0"/>
                      <w:szCs w:val="21"/>
                      <w:lang w:bidi="ar"/>
                    </w:rPr>
                  </w:pPr>
                  <w:r>
                    <w:rPr>
                      <w:rFonts w:hint="eastAsia"/>
                      <w:color w:val="auto"/>
                      <w:kern w:val="0"/>
                      <w:szCs w:val="21"/>
                      <w:lang w:bidi="ar"/>
                    </w:rPr>
                    <w:t>1.5</w:t>
                  </w:r>
                </w:p>
              </w:tc>
              <w:tc>
                <w:tcPr>
                  <w:tcW w:w="620" w:type="pct"/>
                  <w:vAlign w:val="center"/>
                </w:tcPr>
                <w:p w14:paraId="1FEABDB4">
                  <w:pPr>
                    <w:widowControl/>
                    <w:jc w:val="center"/>
                    <w:textAlignment w:val="center"/>
                    <w:rPr>
                      <w:color w:val="auto"/>
                      <w:kern w:val="0"/>
                      <w:szCs w:val="21"/>
                      <w:lang w:bidi="ar"/>
                    </w:rPr>
                  </w:pPr>
                  <w:r>
                    <w:rPr>
                      <w:rFonts w:hint="eastAsia"/>
                      <w:color w:val="auto"/>
                      <w:kern w:val="0"/>
                      <w:szCs w:val="21"/>
                      <w:lang w:bidi="ar"/>
                    </w:rPr>
                    <w:t>1</w:t>
                  </w:r>
                </w:p>
              </w:tc>
              <w:tc>
                <w:tcPr>
                  <w:tcW w:w="543" w:type="pct"/>
                  <w:vAlign w:val="center"/>
                </w:tcPr>
                <w:p w14:paraId="0B7C65FB">
                  <w:pPr>
                    <w:widowControl/>
                    <w:jc w:val="center"/>
                    <w:textAlignment w:val="center"/>
                    <w:rPr>
                      <w:color w:val="auto"/>
                      <w:kern w:val="0"/>
                      <w:szCs w:val="21"/>
                      <w:lang w:bidi="ar"/>
                    </w:rPr>
                  </w:pPr>
                  <w:r>
                    <w:rPr>
                      <w:rFonts w:hint="eastAsia"/>
                      <w:color w:val="auto"/>
                      <w:kern w:val="0"/>
                      <w:szCs w:val="21"/>
                      <w:lang w:bidi="ar"/>
                    </w:rPr>
                    <w:t>300</w:t>
                  </w:r>
                </w:p>
              </w:tc>
              <w:tc>
                <w:tcPr>
                  <w:tcW w:w="1169" w:type="dxa"/>
                  <w:vAlign w:val="center"/>
                </w:tcPr>
                <w:p w14:paraId="3E60FB84">
                  <w:pPr>
                    <w:widowControl/>
                    <w:jc w:val="center"/>
                    <w:textAlignment w:val="center"/>
                    <w:rPr>
                      <w:color w:val="auto"/>
                      <w:szCs w:val="21"/>
                    </w:rPr>
                  </w:pPr>
                  <w:r>
                    <w:rPr>
                      <w:color w:val="auto"/>
                      <w:kern w:val="0"/>
                      <w:szCs w:val="21"/>
                      <w:lang w:bidi="ar"/>
                    </w:rPr>
                    <w:t>0.023</w:t>
                  </w:r>
                </w:p>
              </w:tc>
            </w:tr>
            <w:tr w14:paraId="650E7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 w:type="pct"/>
                  <w:vMerge w:val="continue"/>
                  <w:vAlign w:val="center"/>
                </w:tcPr>
                <w:p w14:paraId="25C1B488">
                  <w:pPr>
                    <w:widowControl/>
                    <w:jc w:val="center"/>
                    <w:textAlignment w:val="center"/>
                    <w:rPr>
                      <w:color w:val="auto"/>
                    </w:rPr>
                  </w:pPr>
                </w:p>
              </w:tc>
              <w:tc>
                <w:tcPr>
                  <w:tcW w:w="644" w:type="pct"/>
                  <w:vMerge w:val="continue"/>
                  <w:vAlign w:val="center"/>
                </w:tcPr>
                <w:p w14:paraId="13379B47">
                  <w:pPr>
                    <w:widowControl/>
                    <w:jc w:val="center"/>
                    <w:textAlignment w:val="center"/>
                    <w:rPr>
                      <w:color w:val="auto"/>
                    </w:rPr>
                  </w:pPr>
                </w:p>
              </w:tc>
              <w:tc>
                <w:tcPr>
                  <w:tcW w:w="572" w:type="pct"/>
                  <w:vAlign w:val="center"/>
                </w:tcPr>
                <w:p w14:paraId="574CAC69">
                  <w:pPr>
                    <w:widowControl/>
                    <w:jc w:val="center"/>
                    <w:textAlignment w:val="center"/>
                    <w:rPr>
                      <w:color w:val="auto"/>
                      <w:kern w:val="0"/>
                      <w:szCs w:val="21"/>
                    </w:rPr>
                  </w:pPr>
                  <w:r>
                    <w:rPr>
                      <w:rFonts w:hint="eastAsia"/>
                      <w:color w:val="auto"/>
                      <w:kern w:val="0"/>
                      <w:szCs w:val="21"/>
                    </w:rPr>
                    <w:t>自动</w:t>
                  </w:r>
                </w:p>
              </w:tc>
              <w:tc>
                <w:tcPr>
                  <w:tcW w:w="508" w:type="pct"/>
                  <w:vAlign w:val="center"/>
                </w:tcPr>
                <w:p w14:paraId="337F2C22">
                  <w:pPr>
                    <w:widowControl/>
                    <w:jc w:val="center"/>
                    <w:textAlignment w:val="center"/>
                    <w:rPr>
                      <w:color w:val="auto"/>
                      <w:kern w:val="0"/>
                      <w:szCs w:val="21"/>
                    </w:rPr>
                  </w:pPr>
                  <w:r>
                    <w:rPr>
                      <w:rFonts w:hint="eastAsia"/>
                      <w:color w:val="auto"/>
                      <w:kern w:val="0"/>
                      <w:szCs w:val="21"/>
                    </w:rPr>
                    <w:t>1</w:t>
                  </w:r>
                </w:p>
              </w:tc>
              <w:tc>
                <w:tcPr>
                  <w:tcW w:w="586" w:type="pct"/>
                  <w:vMerge w:val="continue"/>
                  <w:vAlign w:val="center"/>
                </w:tcPr>
                <w:p w14:paraId="30CCF516">
                  <w:pPr>
                    <w:widowControl/>
                    <w:jc w:val="center"/>
                    <w:textAlignment w:val="center"/>
                    <w:rPr>
                      <w:color w:val="auto"/>
                      <w:kern w:val="0"/>
                      <w:szCs w:val="21"/>
                    </w:rPr>
                  </w:pPr>
                </w:p>
              </w:tc>
              <w:tc>
                <w:tcPr>
                  <w:tcW w:w="556" w:type="pct"/>
                  <w:vAlign w:val="center"/>
                </w:tcPr>
                <w:p w14:paraId="41E31393">
                  <w:pPr>
                    <w:widowControl/>
                    <w:jc w:val="center"/>
                    <w:textAlignment w:val="center"/>
                    <w:rPr>
                      <w:color w:val="auto"/>
                      <w:kern w:val="0"/>
                      <w:szCs w:val="21"/>
                    </w:rPr>
                  </w:pPr>
                  <w:r>
                    <w:rPr>
                      <w:rFonts w:hint="eastAsia"/>
                      <w:color w:val="auto"/>
                      <w:kern w:val="0"/>
                      <w:szCs w:val="21"/>
                    </w:rPr>
                    <w:t>6</w:t>
                  </w:r>
                </w:p>
              </w:tc>
              <w:tc>
                <w:tcPr>
                  <w:tcW w:w="620" w:type="pct"/>
                  <w:vAlign w:val="center"/>
                </w:tcPr>
                <w:p w14:paraId="3F72CC4A">
                  <w:pPr>
                    <w:widowControl/>
                    <w:jc w:val="center"/>
                    <w:textAlignment w:val="center"/>
                    <w:rPr>
                      <w:color w:val="auto"/>
                      <w:kern w:val="0"/>
                      <w:szCs w:val="21"/>
                    </w:rPr>
                  </w:pPr>
                  <w:r>
                    <w:rPr>
                      <w:rFonts w:hint="eastAsia"/>
                      <w:color w:val="auto"/>
                      <w:kern w:val="0"/>
                      <w:szCs w:val="21"/>
                    </w:rPr>
                    <w:t>1</w:t>
                  </w:r>
                </w:p>
              </w:tc>
              <w:tc>
                <w:tcPr>
                  <w:tcW w:w="543" w:type="pct"/>
                  <w:vAlign w:val="center"/>
                </w:tcPr>
                <w:p w14:paraId="3213FD36">
                  <w:pPr>
                    <w:widowControl/>
                    <w:jc w:val="center"/>
                    <w:textAlignment w:val="center"/>
                    <w:rPr>
                      <w:color w:val="auto"/>
                      <w:kern w:val="0"/>
                      <w:szCs w:val="21"/>
                    </w:rPr>
                  </w:pPr>
                  <w:r>
                    <w:rPr>
                      <w:rFonts w:hint="eastAsia"/>
                      <w:color w:val="auto"/>
                      <w:kern w:val="0"/>
                      <w:szCs w:val="21"/>
                    </w:rPr>
                    <w:t>300</w:t>
                  </w:r>
                </w:p>
              </w:tc>
              <w:tc>
                <w:tcPr>
                  <w:tcW w:w="1169" w:type="dxa"/>
                  <w:vAlign w:val="center"/>
                </w:tcPr>
                <w:p w14:paraId="43E5E1A6">
                  <w:pPr>
                    <w:widowControl/>
                    <w:jc w:val="center"/>
                    <w:textAlignment w:val="center"/>
                    <w:rPr>
                      <w:color w:val="auto"/>
                      <w:kern w:val="0"/>
                      <w:szCs w:val="21"/>
                    </w:rPr>
                  </w:pPr>
                  <w:r>
                    <w:rPr>
                      <w:color w:val="auto"/>
                      <w:kern w:val="0"/>
                      <w:szCs w:val="21"/>
                      <w:lang w:bidi="ar"/>
                    </w:rPr>
                    <w:t>0.03</w:t>
                  </w:r>
                </w:p>
              </w:tc>
            </w:tr>
            <w:tr w14:paraId="45F9A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 w:type="pct"/>
                  <w:vAlign w:val="center"/>
                </w:tcPr>
                <w:p w14:paraId="7848293D">
                  <w:pPr>
                    <w:pStyle w:val="34"/>
                    <w:adjustRightInd w:val="0"/>
                    <w:snapToGrid w:val="0"/>
                    <w:spacing w:after="0"/>
                    <w:ind w:left="0" w:leftChars="0" w:firstLine="0" w:firstLineChars="0"/>
                    <w:jc w:val="center"/>
                    <w:rPr>
                      <w:color w:val="auto"/>
                      <w:sz w:val="21"/>
                      <w:szCs w:val="21"/>
                    </w:rPr>
                  </w:pPr>
                  <w:r>
                    <w:rPr>
                      <w:color w:val="auto"/>
                      <w:sz w:val="21"/>
                      <w:szCs w:val="21"/>
                    </w:rPr>
                    <w:t>3</w:t>
                  </w:r>
                </w:p>
              </w:tc>
              <w:tc>
                <w:tcPr>
                  <w:tcW w:w="644" w:type="pct"/>
                  <w:vAlign w:val="center"/>
                </w:tcPr>
                <w:p w14:paraId="0362FB5B">
                  <w:pPr>
                    <w:adjustRightInd w:val="0"/>
                    <w:snapToGrid w:val="0"/>
                    <w:jc w:val="center"/>
                    <w:rPr>
                      <w:color w:val="auto"/>
                      <w:szCs w:val="21"/>
                    </w:rPr>
                  </w:pPr>
                  <w:r>
                    <w:rPr>
                      <w:rFonts w:hint="eastAsia"/>
                      <w:color w:val="auto"/>
                      <w:szCs w:val="21"/>
                    </w:rPr>
                    <w:t>尾数房</w:t>
                  </w:r>
                </w:p>
              </w:tc>
              <w:tc>
                <w:tcPr>
                  <w:tcW w:w="572" w:type="pct"/>
                  <w:vAlign w:val="center"/>
                </w:tcPr>
                <w:p w14:paraId="07517EA5">
                  <w:pPr>
                    <w:widowControl/>
                    <w:jc w:val="center"/>
                    <w:textAlignment w:val="center"/>
                    <w:rPr>
                      <w:color w:val="auto"/>
                      <w:kern w:val="0"/>
                      <w:szCs w:val="21"/>
                    </w:rPr>
                  </w:pPr>
                  <w:r>
                    <w:rPr>
                      <w:rFonts w:hint="eastAsia"/>
                      <w:color w:val="auto"/>
                      <w:kern w:val="0"/>
                      <w:szCs w:val="21"/>
                    </w:rPr>
                    <w:t>手动</w:t>
                  </w:r>
                </w:p>
              </w:tc>
              <w:tc>
                <w:tcPr>
                  <w:tcW w:w="508" w:type="pct"/>
                  <w:vAlign w:val="center"/>
                </w:tcPr>
                <w:p w14:paraId="5C743657">
                  <w:pPr>
                    <w:widowControl/>
                    <w:jc w:val="center"/>
                    <w:textAlignment w:val="center"/>
                    <w:rPr>
                      <w:color w:val="auto"/>
                      <w:kern w:val="0"/>
                      <w:szCs w:val="21"/>
                      <w:lang w:bidi="ar"/>
                    </w:rPr>
                  </w:pPr>
                  <w:r>
                    <w:rPr>
                      <w:rFonts w:hint="eastAsia"/>
                      <w:color w:val="auto"/>
                      <w:kern w:val="0"/>
                      <w:szCs w:val="21"/>
                      <w:lang w:bidi="ar"/>
                    </w:rPr>
                    <w:t>2</w:t>
                  </w:r>
                </w:p>
              </w:tc>
              <w:tc>
                <w:tcPr>
                  <w:tcW w:w="586" w:type="pct"/>
                  <w:vAlign w:val="center"/>
                </w:tcPr>
                <w:p w14:paraId="71557C7F">
                  <w:pPr>
                    <w:widowControl/>
                    <w:jc w:val="center"/>
                    <w:textAlignment w:val="center"/>
                    <w:rPr>
                      <w:color w:val="auto"/>
                      <w:kern w:val="0"/>
                      <w:szCs w:val="21"/>
                      <w:lang w:bidi="ar"/>
                    </w:rPr>
                  </w:pPr>
                  <w:r>
                    <w:rPr>
                      <w:rFonts w:hint="eastAsia"/>
                      <w:color w:val="auto"/>
                      <w:kern w:val="0"/>
                      <w:szCs w:val="21"/>
                      <w:lang w:bidi="ar"/>
                    </w:rPr>
                    <w:t>2</w:t>
                  </w:r>
                </w:p>
              </w:tc>
              <w:tc>
                <w:tcPr>
                  <w:tcW w:w="556" w:type="pct"/>
                  <w:vAlign w:val="center"/>
                </w:tcPr>
                <w:p w14:paraId="77960C9E">
                  <w:pPr>
                    <w:widowControl/>
                    <w:jc w:val="center"/>
                    <w:textAlignment w:val="center"/>
                    <w:rPr>
                      <w:color w:val="auto"/>
                      <w:kern w:val="0"/>
                      <w:szCs w:val="21"/>
                      <w:lang w:bidi="ar"/>
                    </w:rPr>
                  </w:pPr>
                  <w:r>
                    <w:rPr>
                      <w:rFonts w:hint="eastAsia"/>
                      <w:color w:val="auto"/>
                      <w:kern w:val="0"/>
                      <w:szCs w:val="21"/>
                      <w:lang w:bidi="ar"/>
                    </w:rPr>
                    <w:t>1.5</w:t>
                  </w:r>
                </w:p>
              </w:tc>
              <w:tc>
                <w:tcPr>
                  <w:tcW w:w="620" w:type="pct"/>
                  <w:vAlign w:val="center"/>
                </w:tcPr>
                <w:p w14:paraId="526F0C99">
                  <w:pPr>
                    <w:widowControl/>
                    <w:jc w:val="center"/>
                    <w:textAlignment w:val="center"/>
                    <w:rPr>
                      <w:color w:val="auto"/>
                      <w:kern w:val="0"/>
                      <w:szCs w:val="21"/>
                      <w:lang w:bidi="ar"/>
                    </w:rPr>
                  </w:pPr>
                  <w:r>
                    <w:rPr>
                      <w:rFonts w:hint="eastAsia"/>
                      <w:color w:val="auto"/>
                      <w:kern w:val="0"/>
                      <w:szCs w:val="21"/>
                      <w:lang w:bidi="ar"/>
                    </w:rPr>
                    <w:t>1</w:t>
                  </w:r>
                </w:p>
              </w:tc>
              <w:tc>
                <w:tcPr>
                  <w:tcW w:w="543" w:type="pct"/>
                  <w:vAlign w:val="center"/>
                </w:tcPr>
                <w:p w14:paraId="09432586">
                  <w:pPr>
                    <w:widowControl/>
                    <w:jc w:val="center"/>
                    <w:textAlignment w:val="center"/>
                    <w:rPr>
                      <w:color w:val="auto"/>
                      <w:kern w:val="0"/>
                      <w:szCs w:val="21"/>
                      <w:lang w:bidi="ar"/>
                    </w:rPr>
                  </w:pPr>
                  <w:r>
                    <w:rPr>
                      <w:rFonts w:hint="eastAsia"/>
                      <w:color w:val="auto"/>
                      <w:kern w:val="0"/>
                      <w:szCs w:val="21"/>
                      <w:lang w:bidi="ar"/>
                    </w:rPr>
                    <w:t>300</w:t>
                  </w:r>
                </w:p>
              </w:tc>
              <w:tc>
                <w:tcPr>
                  <w:tcW w:w="1169" w:type="dxa"/>
                  <w:vAlign w:val="center"/>
                </w:tcPr>
                <w:p w14:paraId="70033448">
                  <w:pPr>
                    <w:widowControl/>
                    <w:jc w:val="center"/>
                    <w:textAlignment w:val="center"/>
                    <w:rPr>
                      <w:color w:val="auto"/>
                      <w:szCs w:val="21"/>
                    </w:rPr>
                  </w:pPr>
                  <w:r>
                    <w:rPr>
                      <w:color w:val="auto"/>
                      <w:kern w:val="0"/>
                      <w:szCs w:val="21"/>
                      <w:lang w:bidi="ar"/>
                    </w:rPr>
                    <w:t>0.03</w:t>
                  </w:r>
                </w:p>
              </w:tc>
            </w:tr>
            <w:tr w14:paraId="1764C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4" w:type="pct"/>
                  <w:gridSpan w:val="8"/>
                  <w:vAlign w:val="center"/>
                </w:tcPr>
                <w:p w14:paraId="16861277">
                  <w:pPr>
                    <w:widowControl/>
                    <w:jc w:val="center"/>
                    <w:textAlignment w:val="center"/>
                    <w:rPr>
                      <w:color w:val="auto"/>
                      <w:kern w:val="0"/>
                      <w:szCs w:val="21"/>
                      <w:lang w:bidi="ar"/>
                    </w:rPr>
                  </w:pPr>
                  <w:r>
                    <w:rPr>
                      <w:rFonts w:hint="eastAsia"/>
                      <w:color w:val="auto"/>
                      <w:kern w:val="0"/>
                      <w:szCs w:val="21"/>
                      <w:lang w:bidi="ar"/>
                    </w:rPr>
                    <w:t>合计</w:t>
                  </w:r>
                </w:p>
              </w:tc>
              <w:tc>
                <w:tcPr>
                  <w:tcW w:w="1169" w:type="dxa"/>
                  <w:vAlign w:val="center"/>
                </w:tcPr>
                <w:p w14:paraId="307F1C13">
                  <w:pPr>
                    <w:widowControl/>
                    <w:jc w:val="center"/>
                    <w:textAlignment w:val="center"/>
                    <w:rPr>
                      <w:color w:val="auto"/>
                      <w:szCs w:val="21"/>
                    </w:rPr>
                  </w:pPr>
                  <w:r>
                    <w:rPr>
                      <w:color w:val="auto"/>
                      <w:kern w:val="0"/>
                      <w:szCs w:val="21"/>
                      <w:lang w:bidi="ar"/>
                    </w:rPr>
                    <w:t>0.188</w:t>
                  </w:r>
                </w:p>
              </w:tc>
            </w:tr>
          </w:tbl>
          <w:p w14:paraId="10D69253">
            <w:pPr>
              <w:wordWrap w:val="0"/>
              <w:spacing w:line="360" w:lineRule="auto"/>
              <w:ind w:firstLine="480" w:firstLineChars="200"/>
              <w:rPr>
                <w:color w:val="auto"/>
                <w:sz w:val="24"/>
              </w:rPr>
            </w:pPr>
            <w:r>
              <w:rPr>
                <w:color w:val="auto"/>
                <w:sz w:val="24"/>
              </w:rPr>
              <w:t>由上表可知，本项目</w:t>
            </w:r>
            <w:r>
              <w:rPr>
                <w:rFonts w:hint="eastAsia"/>
                <w:color w:val="auto"/>
                <w:sz w:val="24"/>
              </w:rPr>
              <w:t>喷枪清洗</w:t>
            </w:r>
            <w:r>
              <w:rPr>
                <w:color w:val="auto"/>
                <w:sz w:val="24"/>
              </w:rPr>
              <w:t>用水量为</w:t>
            </w:r>
            <w:r>
              <w:rPr>
                <w:rFonts w:hint="eastAsia"/>
                <w:color w:val="auto"/>
                <w:sz w:val="24"/>
              </w:rPr>
              <w:t>0.188</w:t>
            </w:r>
            <w:r>
              <w:rPr>
                <w:color w:val="auto"/>
                <w:sz w:val="24"/>
              </w:rPr>
              <w:t>t/a</w:t>
            </w:r>
            <w:r>
              <w:rPr>
                <w:rFonts w:hint="eastAsia"/>
                <w:color w:val="auto"/>
                <w:sz w:val="24"/>
              </w:rPr>
              <w:t>。</w:t>
            </w:r>
          </w:p>
          <w:p w14:paraId="12B82A7C">
            <w:pPr>
              <w:adjustRightInd w:val="0"/>
              <w:snapToGrid w:val="0"/>
              <w:spacing w:line="360" w:lineRule="auto"/>
              <w:ind w:firstLine="482" w:firstLineChars="200"/>
              <w:rPr>
                <w:b/>
                <w:bCs/>
                <w:color w:val="auto"/>
                <w:kern w:val="0"/>
                <w:sz w:val="24"/>
              </w:rPr>
            </w:pPr>
            <w:r>
              <w:rPr>
                <w:rFonts w:hint="eastAsia"/>
                <w:b/>
                <w:bCs/>
                <w:color w:val="auto"/>
                <w:kern w:val="0"/>
                <w:sz w:val="24"/>
              </w:rPr>
              <w:t>6</w:t>
            </w:r>
            <w:r>
              <w:rPr>
                <w:b/>
                <w:bCs/>
                <w:color w:val="auto"/>
                <w:kern w:val="0"/>
                <w:sz w:val="24"/>
              </w:rPr>
              <w:t>）喷淋</w:t>
            </w:r>
            <w:r>
              <w:rPr>
                <w:rFonts w:hint="eastAsia"/>
                <w:b/>
                <w:bCs/>
                <w:color w:val="auto"/>
                <w:kern w:val="0"/>
                <w:sz w:val="24"/>
              </w:rPr>
              <w:t>塔</w:t>
            </w:r>
            <w:r>
              <w:rPr>
                <w:b/>
                <w:bCs/>
                <w:color w:val="auto"/>
                <w:kern w:val="0"/>
                <w:sz w:val="24"/>
              </w:rPr>
              <w:t>用水</w:t>
            </w:r>
          </w:p>
          <w:p w14:paraId="3E429098">
            <w:pPr>
              <w:adjustRightInd w:val="0"/>
              <w:snapToGrid w:val="0"/>
              <w:spacing w:line="360" w:lineRule="auto"/>
              <w:ind w:firstLine="480" w:firstLineChars="200"/>
              <w:rPr>
                <w:bCs/>
                <w:color w:val="auto"/>
                <w:sz w:val="24"/>
              </w:rPr>
            </w:pPr>
            <w:r>
              <w:rPr>
                <w:bCs/>
                <w:color w:val="auto"/>
                <w:sz w:val="24"/>
              </w:rPr>
              <w:t>本项目设有</w:t>
            </w:r>
            <w:r>
              <w:rPr>
                <w:rFonts w:hint="eastAsia"/>
                <w:bCs/>
                <w:color w:val="auto"/>
                <w:sz w:val="24"/>
              </w:rPr>
              <w:t>4</w:t>
            </w:r>
            <w:r>
              <w:rPr>
                <w:bCs/>
                <w:color w:val="auto"/>
                <w:sz w:val="24"/>
              </w:rPr>
              <w:t>套“喷淋塔”废气处理设施，</w:t>
            </w:r>
            <w:r>
              <w:rPr>
                <w:color w:val="auto"/>
                <w:sz w:val="24"/>
              </w:rPr>
              <w:t>根据《简明通风设计手册》（孙一坚主编）第527页表10-48“各种吸收装置的技术经济比较”，</w:t>
            </w:r>
            <w:r>
              <w:rPr>
                <w:rFonts w:hint="eastAsia"/>
                <w:color w:val="auto"/>
                <w:sz w:val="24"/>
              </w:rPr>
              <w:t>旋风洗涤塔的</w:t>
            </w:r>
            <w:r>
              <w:rPr>
                <w:color w:val="auto"/>
                <w:sz w:val="24"/>
              </w:rPr>
              <w:t>液气比为0.</w:t>
            </w:r>
            <w:r>
              <w:rPr>
                <w:rFonts w:hint="eastAsia"/>
                <w:color w:val="auto"/>
                <w:sz w:val="24"/>
              </w:rPr>
              <w:t>5</w:t>
            </w:r>
            <w:r>
              <w:rPr>
                <w:color w:val="auto"/>
                <w:sz w:val="24"/>
              </w:rPr>
              <w:t>~</w:t>
            </w:r>
            <w:r>
              <w:rPr>
                <w:rFonts w:hint="eastAsia"/>
                <w:color w:val="auto"/>
                <w:sz w:val="24"/>
              </w:rPr>
              <w:t>5</w:t>
            </w:r>
            <w:r>
              <w:rPr>
                <w:color w:val="auto"/>
                <w:sz w:val="24"/>
              </w:rPr>
              <w:t>L/m</w:t>
            </w:r>
            <w:r>
              <w:rPr>
                <w:color w:val="auto"/>
                <w:sz w:val="24"/>
                <w:vertAlign w:val="superscript"/>
              </w:rPr>
              <w:t>3</w:t>
            </w:r>
            <w:r>
              <w:rPr>
                <w:color w:val="auto"/>
                <w:sz w:val="24"/>
              </w:rPr>
              <w:t>，</w:t>
            </w:r>
            <w:r>
              <w:rPr>
                <w:rFonts w:hint="eastAsia"/>
                <w:color w:val="auto"/>
                <w:sz w:val="24"/>
              </w:rPr>
              <w:t>项目取中间值按2</w:t>
            </w:r>
            <w:r>
              <w:rPr>
                <w:color w:val="auto"/>
                <w:sz w:val="24"/>
              </w:rPr>
              <w:t>L/m</w:t>
            </w:r>
            <w:r>
              <w:rPr>
                <w:color w:val="auto"/>
                <w:sz w:val="24"/>
                <w:vertAlign w:val="superscript"/>
              </w:rPr>
              <w:t>3</w:t>
            </w:r>
            <w:r>
              <w:rPr>
                <w:rFonts w:hint="eastAsia"/>
                <w:color w:val="auto"/>
                <w:sz w:val="24"/>
              </w:rPr>
              <w:t>，考虑处理废气温度较高，喷淋塔有降温功能，需增加0.3~0.5</w:t>
            </w:r>
            <w:r>
              <w:rPr>
                <w:color w:val="auto"/>
                <w:sz w:val="24"/>
              </w:rPr>
              <w:t>L/m</w:t>
            </w:r>
            <w:r>
              <w:rPr>
                <w:color w:val="auto"/>
                <w:sz w:val="24"/>
                <w:vertAlign w:val="superscript"/>
              </w:rPr>
              <w:t>3</w:t>
            </w:r>
            <w:r>
              <w:rPr>
                <w:rFonts w:hint="eastAsia"/>
                <w:color w:val="auto"/>
                <w:sz w:val="24"/>
              </w:rPr>
              <w:t>补偿蒸发损失，则喷淋塔</w:t>
            </w:r>
            <w:r>
              <w:rPr>
                <w:color w:val="auto"/>
                <w:sz w:val="24"/>
              </w:rPr>
              <w:t>液气比</w:t>
            </w:r>
            <w:r>
              <w:rPr>
                <w:rFonts w:hint="eastAsia"/>
                <w:color w:val="auto"/>
                <w:sz w:val="24"/>
              </w:rPr>
              <w:t>按2.4</w:t>
            </w:r>
            <w:r>
              <w:rPr>
                <w:color w:val="auto"/>
                <w:sz w:val="24"/>
              </w:rPr>
              <w:t>L/m</w:t>
            </w:r>
            <w:r>
              <w:rPr>
                <w:color w:val="auto"/>
                <w:sz w:val="24"/>
                <w:vertAlign w:val="superscript"/>
              </w:rPr>
              <w:t>3</w:t>
            </w:r>
            <w:r>
              <w:rPr>
                <w:color w:val="auto"/>
                <w:sz w:val="24"/>
              </w:rPr>
              <w:t>。</w:t>
            </w:r>
            <w:r>
              <w:rPr>
                <w:rFonts w:hint="eastAsia"/>
                <w:color w:val="auto"/>
                <w:sz w:val="24"/>
                <w:lang w:val="en-US" w:eastAsia="zh-CN"/>
              </w:rPr>
              <w:t>循环过程因受热蒸发造成损耗，损耗</w:t>
            </w:r>
            <w:r>
              <w:rPr>
                <w:rFonts w:hint="eastAsia"/>
                <w:color w:val="auto"/>
                <w:sz w:val="24"/>
              </w:rPr>
              <w:t>补水量参考《涂装车间设计手册》（王锡春主编，化学工业出22版社）P87 中</w:t>
            </w:r>
            <w:r>
              <w:rPr>
                <w:rFonts w:hint="eastAsia"/>
                <w:color w:val="auto"/>
                <w:sz w:val="24"/>
                <w:lang w:eastAsia="zh-CN"/>
              </w:rPr>
              <w:t>，</w:t>
            </w:r>
            <w:r>
              <w:rPr>
                <w:rFonts w:hint="eastAsia"/>
                <w:color w:val="auto"/>
                <w:sz w:val="24"/>
              </w:rPr>
              <w:t>“喷淋式每小时补充循环水量的1.5%~3%”</w:t>
            </w:r>
            <w:r>
              <w:rPr>
                <w:rFonts w:hint="eastAsia"/>
                <w:color w:val="auto"/>
                <w:sz w:val="24"/>
                <w:lang w:eastAsia="zh-CN"/>
              </w:rPr>
              <w:t>，</w:t>
            </w:r>
            <w:r>
              <w:rPr>
                <w:rFonts w:hint="eastAsia"/>
                <w:color w:val="auto"/>
                <w:sz w:val="24"/>
              </w:rPr>
              <w:t>则</w:t>
            </w:r>
            <w:r>
              <w:rPr>
                <w:color w:val="auto"/>
                <w:sz w:val="24"/>
              </w:rPr>
              <w:t>补水量</w:t>
            </w:r>
            <w:r>
              <w:rPr>
                <w:rFonts w:hint="eastAsia"/>
                <w:color w:val="auto"/>
                <w:sz w:val="24"/>
                <w:lang w:val="en-US" w:eastAsia="zh-CN"/>
              </w:rPr>
              <w:t>按</w:t>
            </w:r>
            <w:r>
              <w:rPr>
                <w:color w:val="auto"/>
                <w:sz w:val="24"/>
              </w:rPr>
              <w:t>占</w:t>
            </w:r>
            <w:r>
              <w:rPr>
                <w:rFonts w:hint="eastAsia"/>
                <w:color w:val="auto"/>
                <w:sz w:val="24"/>
              </w:rPr>
              <w:t>循环水量</w:t>
            </w:r>
            <w:r>
              <w:rPr>
                <w:color w:val="auto"/>
                <w:sz w:val="24"/>
              </w:rPr>
              <w:t>的</w:t>
            </w:r>
            <w:r>
              <w:rPr>
                <w:rFonts w:hint="eastAsia"/>
                <w:color w:val="auto"/>
                <w:sz w:val="24"/>
              </w:rPr>
              <w:t>2</w:t>
            </w:r>
            <w:r>
              <w:rPr>
                <w:color w:val="auto"/>
                <w:sz w:val="24"/>
              </w:rPr>
              <w:t>%</w:t>
            </w:r>
            <w:r>
              <w:rPr>
                <w:rFonts w:hint="eastAsia"/>
                <w:color w:val="auto"/>
                <w:sz w:val="24"/>
                <w:lang w:val="en-US" w:eastAsia="zh-CN"/>
              </w:rPr>
              <w:t>计</w:t>
            </w:r>
            <w:r>
              <w:rPr>
                <w:bCs/>
                <w:color w:val="auto"/>
                <w:sz w:val="24"/>
              </w:rPr>
              <w:t>。另外喷淋塔用水经内部过滤后可循环使用，在循环过程中由于水质变差，为保证废气处理效果，喷淋水箱用水需定期进行更换，本项目喷淋塔用水情况见下表。</w:t>
            </w:r>
          </w:p>
          <w:p w14:paraId="1AB1DDE1">
            <w:pPr>
              <w:numPr>
                <w:ilvl w:val="0"/>
                <w:numId w:val="10"/>
              </w:numPr>
              <w:adjustRightInd w:val="0"/>
              <w:snapToGrid w:val="0"/>
              <w:jc w:val="center"/>
              <w:rPr>
                <w:b/>
                <w:color w:val="auto"/>
                <w:szCs w:val="21"/>
              </w:rPr>
            </w:pPr>
            <w:r>
              <w:rPr>
                <w:b/>
                <w:color w:val="auto"/>
                <w:szCs w:val="21"/>
              </w:rPr>
              <w:t>本项目喷淋塔用水情况一览表</w:t>
            </w:r>
          </w:p>
          <w:tbl>
            <w:tblPr>
              <w:tblStyle w:val="3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984"/>
              <w:gridCol w:w="963"/>
              <w:gridCol w:w="939"/>
              <w:gridCol w:w="869"/>
              <w:gridCol w:w="995"/>
              <w:gridCol w:w="1002"/>
              <w:gridCol w:w="985"/>
              <w:gridCol w:w="772"/>
              <w:gridCol w:w="928"/>
              <w:gridCol w:w="1046"/>
            </w:tblGrid>
            <w:tr w14:paraId="607D0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7" w:type="pct"/>
                  <w:vAlign w:val="center"/>
                </w:tcPr>
                <w:p w14:paraId="3499BF3B">
                  <w:pPr>
                    <w:adjustRightInd w:val="0"/>
                    <w:snapToGrid w:val="0"/>
                    <w:jc w:val="center"/>
                    <w:rPr>
                      <w:b/>
                      <w:bCs/>
                      <w:color w:val="auto"/>
                      <w:szCs w:val="21"/>
                    </w:rPr>
                  </w:pPr>
                  <w:r>
                    <w:rPr>
                      <w:b/>
                      <w:bCs/>
                      <w:color w:val="auto"/>
                      <w:szCs w:val="21"/>
                    </w:rPr>
                    <w:t>序号</w:t>
                  </w:r>
                </w:p>
              </w:tc>
              <w:tc>
                <w:tcPr>
                  <w:tcW w:w="493" w:type="pct"/>
                  <w:vAlign w:val="center"/>
                </w:tcPr>
                <w:p w14:paraId="094A00A5">
                  <w:pPr>
                    <w:adjustRightInd w:val="0"/>
                    <w:snapToGrid w:val="0"/>
                    <w:jc w:val="center"/>
                    <w:rPr>
                      <w:b/>
                      <w:bCs/>
                      <w:color w:val="auto"/>
                      <w:szCs w:val="21"/>
                    </w:rPr>
                  </w:pPr>
                  <w:r>
                    <w:rPr>
                      <w:b/>
                      <w:bCs/>
                      <w:color w:val="auto"/>
                      <w:szCs w:val="21"/>
                    </w:rPr>
                    <w:t>排放口编号</w:t>
                  </w:r>
                </w:p>
              </w:tc>
              <w:tc>
                <w:tcPr>
                  <w:tcW w:w="482" w:type="pct"/>
                  <w:vAlign w:val="center"/>
                </w:tcPr>
                <w:p w14:paraId="770774FB">
                  <w:pPr>
                    <w:adjustRightInd w:val="0"/>
                    <w:snapToGrid w:val="0"/>
                    <w:jc w:val="center"/>
                    <w:rPr>
                      <w:b/>
                      <w:bCs/>
                      <w:color w:val="auto"/>
                      <w:szCs w:val="21"/>
                    </w:rPr>
                  </w:pPr>
                  <w:r>
                    <w:rPr>
                      <w:b/>
                      <w:bCs/>
                      <w:color w:val="auto"/>
                      <w:szCs w:val="21"/>
                    </w:rPr>
                    <w:t>设计</w:t>
                  </w:r>
                </w:p>
                <w:p w14:paraId="741FC67A">
                  <w:pPr>
                    <w:adjustRightInd w:val="0"/>
                    <w:snapToGrid w:val="0"/>
                    <w:jc w:val="center"/>
                    <w:rPr>
                      <w:b/>
                      <w:bCs/>
                      <w:color w:val="auto"/>
                      <w:szCs w:val="21"/>
                    </w:rPr>
                  </w:pPr>
                  <w:r>
                    <w:rPr>
                      <w:b/>
                      <w:bCs/>
                      <w:color w:val="auto"/>
                      <w:szCs w:val="21"/>
                    </w:rPr>
                    <w:t>风量(m</w:t>
                  </w:r>
                  <w:r>
                    <w:rPr>
                      <w:b/>
                      <w:bCs/>
                      <w:color w:val="auto"/>
                      <w:szCs w:val="21"/>
                      <w:vertAlign w:val="superscript"/>
                    </w:rPr>
                    <w:t>3</w:t>
                  </w:r>
                  <w:r>
                    <w:rPr>
                      <w:b/>
                      <w:bCs/>
                      <w:color w:val="auto"/>
                      <w:szCs w:val="21"/>
                    </w:rPr>
                    <w:t>/h)</w:t>
                  </w:r>
                </w:p>
              </w:tc>
              <w:tc>
                <w:tcPr>
                  <w:tcW w:w="470" w:type="pct"/>
                  <w:vAlign w:val="center"/>
                </w:tcPr>
                <w:p w14:paraId="020E3BEC">
                  <w:pPr>
                    <w:adjustRightInd w:val="0"/>
                    <w:snapToGrid w:val="0"/>
                    <w:jc w:val="center"/>
                    <w:rPr>
                      <w:b/>
                      <w:bCs/>
                      <w:color w:val="auto"/>
                      <w:szCs w:val="21"/>
                    </w:rPr>
                  </w:pPr>
                  <w:r>
                    <w:rPr>
                      <w:b/>
                      <w:bCs/>
                      <w:color w:val="auto"/>
                      <w:szCs w:val="21"/>
                    </w:rPr>
                    <w:t>水箱有效容积(m</w:t>
                  </w:r>
                  <w:r>
                    <w:rPr>
                      <w:b/>
                      <w:bCs/>
                      <w:color w:val="auto"/>
                      <w:szCs w:val="21"/>
                      <w:vertAlign w:val="superscript"/>
                    </w:rPr>
                    <w:t>3</w:t>
                  </w:r>
                  <w:r>
                    <w:rPr>
                      <w:b/>
                      <w:bCs/>
                      <w:color w:val="auto"/>
                      <w:szCs w:val="21"/>
                    </w:rPr>
                    <w:t>)</w:t>
                  </w:r>
                </w:p>
              </w:tc>
              <w:tc>
                <w:tcPr>
                  <w:tcW w:w="435" w:type="pct"/>
                  <w:vAlign w:val="center"/>
                </w:tcPr>
                <w:p w14:paraId="771D7B1D">
                  <w:pPr>
                    <w:adjustRightInd w:val="0"/>
                    <w:snapToGrid w:val="0"/>
                    <w:jc w:val="center"/>
                    <w:rPr>
                      <w:b/>
                      <w:bCs/>
                      <w:color w:val="auto"/>
                      <w:szCs w:val="21"/>
                    </w:rPr>
                  </w:pPr>
                  <w:r>
                    <w:rPr>
                      <w:b/>
                      <w:bCs/>
                      <w:color w:val="auto"/>
                      <w:szCs w:val="21"/>
                    </w:rPr>
                    <w:t>年工作时间(h)</w:t>
                  </w:r>
                </w:p>
              </w:tc>
              <w:tc>
                <w:tcPr>
                  <w:tcW w:w="498" w:type="pct"/>
                  <w:vAlign w:val="center"/>
                </w:tcPr>
                <w:p w14:paraId="4108F216">
                  <w:pPr>
                    <w:adjustRightInd w:val="0"/>
                    <w:snapToGrid w:val="0"/>
                    <w:jc w:val="center"/>
                    <w:rPr>
                      <w:b/>
                      <w:bCs/>
                      <w:color w:val="auto"/>
                      <w:szCs w:val="21"/>
                    </w:rPr>
                  </w:pPr>
                  <w:r>
                    <w:rPr>
                      <w:b/>
                      <w:bCs/>
                      <w:color w:val="auto"/>
                      <w:szCs w:val="21"/>
                    </w:rPr>
                    <w:t>循环</w:t>
                  </w:r>
                </w:p>
                <w:p w14:paraId="0F3C0BCA">
                  <w:pPr>
                    <w:adjustRightInd w:val="0"/>
                    <w:snapToGrid w:val="0"/>
                    <w:jc w:val="center"/>
                    <w:rPr>
                      <w:b/>
                      <w:bCs/>
                      <w:color w:val="auto"/>
                      <w:szCs w:val="21"/>
                    </w:rPr>
                  </w:pPr>
                  <w:r>
                    <w:rPr>
                      <w:b/>
                      <w:bCs/>
                      <w:color w:val="auto"/>
                      <w:szCs w:val="21"/>
                    </w:rPr>
                    <w:t>水量(m</w:t>
                  </w:r>
                  <w:r>
                    <w:rPr>
                      <w:b/>
                      <w:bCs/>
                      <w:color w:val="auto"/>
                      <w:szCs w:val="21"/>
                      <w:vertAlign w:val="superscript"/>
                    </w:rPr>
                    <w:t>3</w:t>
                  </w:r>
                  <w:r>
                    <w:rPr>
                      <w:b/>
                      <w:bCs/>
                      <w:color w:val="auto"/>
                      <w:szCs w:val="21"/>
                    </w:rPr>
                    <w:t>/a)</w:t>
                  </w:r>
                </w:p>
              </w:tc>
              <w:tc>
                <w:tcPr>
                  <w:tcW w:w="502" w:type="pct"/>
                  <w:vAlign w:val="center"/>
                </w:tcPr>
                <w:p w14:paraId="0D9CF70A">
                  <w:pPr>
                    <w:adjustRightInd w:val="0"/>
                    <w:snapToGrid w:val="0"/>
                    <w:jc w:val="center"/>
                    <w:rPr>
                      <w:b/>
                      <w:bCs/>
                      <w:color w:val="auto"/>
                      <w:szCs w:val="21"/>
                    </w:rPr>
                  </w:pPr>
                  <w:r>
                    <w:rPr>
                      <w:b/>
                      <w:bCs/>
                      <w:color w:val="auto"/>
                      <w:szCs w:val="21"/>
                    </w:rPr>
                    <w:t>补充</w:t>
                  </w:r>
                </w:p>
                <w:p w14:paraId="59BDE604">
                  <w:pPr>
                    <w:adjustRightInd w:val="0"/>
                    <w:snapToGrid w:val="0"/>
                    <w:jc w:val="center"/>
                    <w:rPr>
                      <w:b/>
                      <w:bCs/>
                      <w:color w:val="auto"/>
                      <w:szCs w:val="21"/>
                    </w:rPr>
                  </w:pPr>
                  <w:r>
                    <w:rPr>
                      <w:b/>
                      <w:bCs/>
                      <w:color w:val="auto"/>
                      <w:szCs w:val="21"/>
                    </w:rPr>
                    <w:t>水量(m</w:t>
                  </w:r>
                  <w:r>
                    <w:rPr>
                      <w:b/>
                      <w:bCs/>
                      <w:color w:val="auto"/>
                      <w:szCs w:val="21"/>
                      <w:vertAlign w:val="superscript"/>
                    </w:rPr>
                    <w:t>3</w:t>
                  </w:r>
                  <w:r>
                    <w:rPr>
                      <w:b/>
                      <w:bCs/>
                      <w:color w:val="auto"/>
                      <w:szCs w:val="21"/>
                    </w:rPr>
                    <w:t>/a)</w:t>
                  </w:r>
                </w:p>
              </w:tc>
              <w:tc>
                <w:tcPr>
                  <w:tcW w:w="494" w:type="pct"/>
                  <w:vAlign w:val="center"/>
                </w:tcPr>
                <w:p w14:paraId="652E07CF">
                  <w:pPr>
                    <w:adjustRightInd w:val="0"/>
                    <w:snapToGrid w:val="0"/>
                    <w:jc w:val="center"/>
                    <w:rPr>
                      <w:b/>
                      <w:bCs/>
                      <w:color w:val="auto"/>
                      <w:szCs w:val="21"/>
                    </w:rPr>
                  </w:pPr>
                  <w:r>
                    <w:rPr>
                      <w:b/>
                      <w:bCs/>
                      <w:color w:val="auto"/>
                      <w:szCs w:val="21"/>
                    </w:rPr>
                    <w:t>更换</w:t>
                  </w:r>
                </w:p>
                <w:p w14:paraId="31EE80AB">
                  <w:pPr>
                    <w:adjustRightInd w:val="0"/>
                    <w:snapToGrid w:val="0"/>
                    <w:jc w:val="center"/>
                    <w:rPr>
                      <w:b/>
                      <w:bCs/>
                      <w:color w:val="auto"/>
                      <w:szCs w:val="21"/>
                    </w:rPr>
                  </w:pPr>
                  <w:r>
                    <w:rPr>
                      <w:b/>
                      <w:bCs/>
                      <w:color w:val="auto"/>
                      <w:szCs w:val="21"/>
                    </w:rPr>
                    <w:t>水量</w:t>
                  </w:r>
                </w:p>
                <w:p w14:paraId="25CAEC40">
                  <w:pPr>
                    <w:adjustRightInd w:val="0"/>
                    <w:snapToGrid w:val="0"/>
                    <w:jc w:val="center"/>
                    <w:rPr>
                      <w:b/>
                      <w:bCs/>
                      <w:color w:val="auto"/>
                      <w:szCs w:val="21"/>
                    </w:rPr>
                  </w:pPr>
                  <w:r>
                    <w:rPr>
                      <w:b/>
                      <w:bCs/>
                      <w:color w:val="auto"/>
                      <w:szCs w:val="21"/>
                    </w:rPr>
                    <w:t>(m</w:t>
                  </w:r>
                  <w:r>
                    <w:rPr>
                      <w:b/>
                      <w:bCs/>
                      <w:color w:val="auto"/>
                      <w:szCs w:val="21"/>
                      <w:vertAlign w:val="superscript"/>
                    </w:rPr>
                    <w:t>3</w:t>
                  </w:r>
                  <w:r>
                    <w:rPr>
                      <w:b/>
                      <w:bCs/>
                      <w:color w:val="auto"/>
                      <w:szCs w:val="21"/>
                    </w:rPr>
                    <w:t>/次)</w:t>
                  </w:r>
                </w:p>
              </w:tc>
              <w:tc>
                <w:tcPr>
                  <w:tcW w:w="387" w:type="pct"/>
                  <w:vAlign w:val="center"/>
                </w:tcPr>
                <w:p w14:paraId="74D61BB4">
                  <w:pPr>
                    <w:adjustRightInd w:val="0"/>
                    <w:snapToGrid w:val="0"/>
                    <w:jc w:val="center"/>
                    <w:rPr>
                      <w:b/>
                      <w:bCs/>
                      <w:color w:val="auto"/>
                      <w:szCs w:val="21"/>
                    </w:rPr>
                  </w:pPr>
                  <w:r>
                    <w:rPr>
                      <w:b/>
                      <w:bCs/>
                      <w:color w:val="auto"/>
                      <w:szCs w:val="21"/>
                    </w:rPr>
                    <w:t>年更换频次</w:t>
                  </w:r>
                </w:p>
              </w:tc>
              <w:tc>
                <w:tcPr>
                  <w:tcW w:w="465" w:type="pct"/>
                  <w:vAlign w:val="center"/>
                </w:tcPr>
                <w:p w14:paraId="54F1BB08">
                  <w:pPr>
                    <w:adjustRightInd w:val="0"/>
                    <w:snapToGrid w:val="0"/>
                    <w:jc w:val="center"/>
                    <w:rPr>
                      <w:b/>
                      <w:bCs/>
                      <w:color w:val="auto"/>
                      <w:szCs w:val="21"/>
                    </w:rPr>
                  </w:pPr>
                  <w:r>
                    <w:rPr>
                      <w:b/>
                      <w:bCs/>
                      <w:color w:val="auto"/>
                      <w:szCs w:val="21"/>
                    </w:rPr>
                    <w:t>更换用水量(m</w:t>
                  </w:r>
                  <w:r>
                    <w:rPr>
                      <w:b/>
                      <w:bCs/>
                      <w:color w:val="auto"/>
                      <w:szCs w:val="21"/>
                      <w:vertAlign w:val="superscript"/>
                    </w:rPr>
                    <w:t>3</w:t>
                  </w:r>
                  <w:r>
                    <w:rPr>
                      <w:b/>
                      <w:bCs/>
                      <w:color w:val="auto"/>
                      <w:szCs w:val="21"/>
                    </w:rPr>
                    <w:t>/a)</w:t>
                  </w:r>
                </w:p>
              </w:tc>
              <w:tc>
                <w:tcPr>
                  <w:tcW w:w="524" w:type="pct"/>
                  <w:vAlign w:val="center"/>
                </w:tcPr>
                <w:p w14:paraId="58A0F872">
                  <w:pPr>
                    <w:adjustRightInd w:val="0"/>
                    <w:snapToGrid w:val="0"/>
                    <w:jc w:val="center"/>
                    <w:rPr>
                      <w:b/>
                      <w:bCs/>
                      <w:color w:val="auto"/>
                      <w:szCs w:val="21"/>
                    </w:rPr>
                  </w:pPr>
                  <w:r>
                    <w:rPr>
                      <w:b/>
                      <w:bCs/>
                      <w:color w:val="auto"/>
                      <w:szCs w:val="21"/>
                    </w:rPr>
                    <w:t>总用</w:t>
                  </w:r>
                </w:p>
                <w:p w14:paraId="326825C0">
                  <w:pPr>
                    <w:adjustRightInd w:val="0"/>
                    <w:snapToGrid w:val="0"/>
                    <w:jc w:val="center"/>
                    <w:rPr>
                      <w:b/>
                      <w:bCs/>
                      <w:color w:val="auto"/>
                      <w:szCs w:val="21"/>
                    </w:rPr>
                  </w:pPr>
                  <w:r>
                    <w:rPr>
                      <w:b/>
                      <w:bCs/>
                      <w:color w:val="auto"/>
                      <w:szCs w:val="21"/>
                    </w:rPr>
                    <w:t>水量(m</w:t>
                  </w:r>
                  <w:r>
                    <w:rPr>
                      <w:b/>
                      <w:bCs/>
                      <w:color w:val="auto"/>
                      <w:szCs w:val="21"/>
                      <w:vertAlign w:val="superscript"/>
                    </w:rPr>
                    <w:t>3</w:t>
                  </w:r>
                  <w:r>
                    <w:rPr>
                      <w:b/>
                      <w:bCs/>
                      <w:color w:val="auto"/>
                      <w:szCs w:val="21"/>
                    </w:rPr>
                    <w:t>/a)</w:t>
                  </w:r>
                </w:p>
              </w:tc>
            </w:tr>
            <w:tr w14:paraId="2704D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3" w:type="dxa"/>
                  <w:vAlign w:val="center"/>
                </w:tcPr>
                <w:p w14:paraId="374E9569">
                  <w:pPr>
                    <w:widowControl/>
                    <w:jc w:val="center"/>
                    <w:textAlignment w:val="center"/>
                    <w:rPr>
                      <w:color w:val="auto"/>
                      <w:szCs w:val="21"/>
                    </w:rPr>
                  </w:pPr>
                  <w:r>
                    <w:rPr>
                      <w:color w:val="auto"/>
                      <w:kern w:val="0"/>
                      <w:szCs w:val="21"/>
                      <w:lang w:bidi="ar"/>
                    </w:rPr>
                    <w:t>1</w:t>
                  </w:r>
                </w:p>
              </w:tc>
              <w:tc>
                <w:tcPr>
                  <w:tcW w:w="984" w:type="dxa"/>
                  <w:vAlign w:val="center"/>
                </w:tcPr>
                <w:p w14:paraId="5CC6AA65">
                  <w:pPr>
                    <w:widowControl/>
                    <w:jc w:val="center"/>
                    <w:textAlignment w:val="center"/>
                    <w:rPr>
                      <w:color w:val="auto"/>
                      <w:szCs w:val="21"/>
                    </w:rPr>
                  </w:pPr>
                  <w:r>
                    <w:rPr>
                      <w:color w:val="auto"/>
                      <w:kern w:val="0"/>
                      <w:szCs w:val="21"/>
                      <w:lang w:bidi="ar"/>
                    </w:rPr>
                    <w:t>DA003</w:t>
                  </w:r>
                </w:p>
              </w:tc>
              <w:tc>
                <w:tcPr>
                  <w:tcW w:w="962" w:type="dxa"/>
                  <w:vAlign w:val="center"/>
                </w:tcPr>
                <w:p w14:paraId="4C83C8F2">
                  <w:pPr>
                    <w:widowControl/>
                    <w:jc w:val="center"/>
                    <w:textAlignment w:val="center"/>
                    <w:rPr>
                      <w:color w:val="auto"/>
                      <w:kern w:val="0"/>
                      <w:szCs w:val="21"/>
                      <w:lang w:bidi="ar"/>
                    </w:rPr>
                  </w:pPr>
                  <w:r>
                    <w:rPr>
                      <w:color w:val="auto"/>
                      <w:kern w:val="0"/>
                      <w:szCs w:val="21"/>
                      <w:lang w:bidi="ar"/>
                    </w:rPr>
                    <w:t>20000</w:t>
                  </w:r>
                </w:p>
              </w:tc>
              <w:tc>
                <w:tcPr>
                  <w:tcW w:w="938" w:type="dxa"/>
                  <w:vAlign w:val="center"/>
                </w:tcPr>
                <w:p w14:paraId="76C0C719">
                  <w:pPr>
                    <w:widowControl/>
                    <w:jc w:val="center"/>
                    <w:textAlignment w:val="center"/>
                    <w:rPr>
                      <w:color w:val="auto"/>
                      <w:kern w:val="0"/>
                      <w:szCs w:val="21"/>
                      <w:lang w:bidi="ar"/>
                    </w:rPr>
                  </w:pPr>
                  <w:r>
                    <w:rPr>
                      <w:color w:val="auto"/>
                      <w:kern w:val="0"/>
                      <w:szCs w:val="21"/>
                      <w:lang w:bidi="ar"/>
                    </w:rPr>
                    <w:t>3</w:t>
                  </w:r>
                </w:p>
              </w:tc>
              <w:tc>
                <w:tcPr>
                  <w:tcW w:w="869" w:type="dxa"/>
                  <w:vAlign w:val="center"/>
                </w:tcPr>
                <w:p w14:paraId="5CA30C75">
                  <w:pPr>
                    <w:widowControl/>
                    <w:jc w:val="center"/>
                    <w:textAlignment w:val="center"/>
                    <w:rPr>
                      <w:color w:val="auto"/>
                      <w:kern w:val="0"/>
                      <w:szCs w:val="21"/>
                      <w:lang w:bidi="ar"/>
                    </w:rPr>
                  </w:pPr>
                  <w:r>
                    <w:rPr>
                      <w:color w:val="auto"/>
                      <w:kern w:val="0"/>
                      <w:szCs w:val="21"/>
                      <w:lang w:bidi="ar"/>
                    </w:rPr>
                    <w:t>3000</w:t>
                  </w:r>
                </w:p>
              </w:tc>
              <w:tc>
                <w:tcPr>
                  <w:tcW w:w="994" w:type="dxa"/>
                  <w:vAlign w:val="center"/>
                </w:tcPr>
                <w:p w14:paraId="7621C070">
                  <w:pPr>
                    <w:widowControl/>
                    <w:jc w:val="center"/>
                    <w:textAlignment w:val="center"/>
                    <w:rPr>
                      <w:color w:val="auto"/>
                      <w:kern w:val="0"/>
                      <w:szCs w:val="21"/>
                      <w:lang w:bidi="ar"/>
                    </w:rPr>
                  </w:pPr>
                  <w:r>
                    <w:rPr>
                      <w:color w:val="auto"/>
                      <w:kern w:val="0"/>
                      <w:szCs w:val="21"/>
                      <w:lang w:bidi="ar"/>
                    </w:rPr>
                    <w:t>144000</w:t>
                  </w:r>
                </w:p>
              </w:tc>
              <w:tc>
                <w:tcPr>
                  <w:tcW w:w="1002" w:type="dxa"/>
                  <w:vAlign w:val="center"/>
                </w:tcPr>
                <w:p w14:paraId="07E08406">
                  <w:pPr>
                    <w:widowControl/>
                    <w:jc w:val="center"/>
                    <w:textAlignment w:val="center"/>
                    <w:rPr>
                      <w:color w:val="auto"/>
                      <w:kern w:val="0"/>
                      <w:szCs w:val="21"/>
                      <w:lang w:bidi="ar"/>
                    </w:rPr>
                  </w:pPr>
                  <w:r>
                    <w:rPr>
                      <w:color w:val="auto"/>
                      <w:kern w:val="0"/>
                      <w:szCs w:val="21"/>
                      <w:lang w:bidi="ar"/>
                    </w:rPr>
                    <w:t>2880</w:t>
                  </w:r>
                </w:p>
              </w:tc>
              <w:tc>
                <w:tcPr>
                  <w:tcW w:w="986" w:type="dxa"/>
                  <w:vAlign w:val="center"/>
                </w:tcPr>
                <w:p w14:paraId="4B358D0E">
                  <w:pPr>
                    <w:widowControl/>
                    <w:jc w:val="center"/>
                    <w:textAlignment w:val="center"/>
                    <w:rPr>
                      <w:color w:val="auto"/>
                      <w:kern w:val="0"/>
                      <w:szCs w:val="21"/>
                      <w:lang w:bidi="ar"/>
                    </w:rPr>
                  </w:pPr>
                  <w:r>
                    <w:rPr>
                      <w:color w:val="auto"/>
                      <w:kern w:val="0"/>
                      <w:szCs w:val="21"/>
                      <w:lang w:bidi="ar"/>
                    </w:rPr>
                    <w:t>3</w:t>
                  </w:r>
                </w:p>
              </w:tc>
              <w:tc>
                <w:tcPr>
                  <w:tcW w:w="773" w:type="dxa"/>
                  <w:vAlign w:val="center"/>
                </w:tcPr>
                <w:p w14:paraId="607138BC">
                  <w:pPr>
                    <w:widowControl/>
                    <w:jc w:val="center"/>
                    <w:textAlignment w:val="center"/>
                    <w:rPr>
                      <w:color w:val="auto"/>
                      <w:kern w:val="0"/>
                      <w:szCs w:val="21"/>
                      <w:lang w:bidi="ar"/>
                    </w:rPr>
                  </w:pPr>
                  <w:r>
                    <w:rPr>
                      <w:color w:val="auto"/>
                      <w:kern w:val="0"/>
                      <w:szCs w:val="21"/>
                      <w:lang w:bidi="ar"/>
                    </w:rPr>
                    <w:t>12</w:t>
                  </w:r>
                </w:p>
              </w:tc>
              <w:tc>
                <w:tcPr>
                  <w:tcW w:w="931" w:type="dxa"/>
                  <w:vAlign w:val="center"/>
                </w:tcPr>
                <w:p w14:paraId="729A7EA7">
                  <w:pPr>
                    <w:widowControl/>
                    <w:jc w:val="center"/>
                    <w:textAlignment w:val="center"/>
                    <w:rPr>
                      <w:color w:val="auto"/>
                      <w:kern w:val="0"/>
                      <w:szCs w:val="21"/>
                      <w:lang w:bidi="ar"/>
                    </w:rPr>
                  </w:pPr>
                  <w:r>
                    <w:rPr>
                      <w:color w:val="auto"/>
                      <w:kern w:val="0"/>
                      <w:szCs w:val="21"/>
                      <w:lang w:bidi="ar"/>
                    </w:rPr>
                    <w:t>36</w:t>
                  </w:r>
                </w:p>
              </w:tc>
              <w:tc>
                <w:tcPr>
                  <w:tcW w:w="1049" w:type="dxa"/>
                  <w:vAlign w:val="center"/>
                </w:tcPr>
                <w:p w14:paraId="2BF9BE43">
                  <w:pPr>
                    <w:widowControl/>
                    <w:jc w:val="center"/>
                    <w:textAlignment w:val="center"/>
                    <w:rPr>
                      <w:color w:val="auto"/>
                      <w:kern w:val="0"/>
                      <w:szCs w:val="21"/>
                      <w:lang w:bidi="ar"/>
                    </w:rPr>
                  </w:pPr>
                  <w:r>
                    <w:rPr>
                      <w:color w:val="auto"/>
                      <w:kern w:val="0"/>
                      <w:szCs w:val="21"/>
                      <w:lang w:bidi="ar"/>
                    </w:rPr>
                    <w:t>2916</w:t>
                  </w:r>
                </w:p>
              </w:tc>
            </w:tr>
            <w:tr w14:paraId="3F50B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3" w:type="dxa"/>
                  <w:vAlign w:val="center"/>
                </w:tcPr>
                <w:p w14:paraId="7EF56248">
                  <w:pPr>
                    <w:widowControl/>
                    <w:jc w:val="center"/>
                    <w:textAlignment w:val="center"/>
                    <w:rPr>
                      <w:color w:val="auto"/>
                      <w:szCs w:val="21"/>
                    </w:rPr>
                  </w:pPr>
                  <w:r>
                    <w:rPr>
                      <w:color w:val="auto"/>
                      <w:kern w:val="0"/>
                      <w:szCs w:val="21"/>
                      <w:lang w:bidi="ar"/>
                    </w:rPr>
                    <w:t>2</w:t>
                  </w:r>
                </w:p>
              </w:tc>
              <w:tc>
                <w:tcPr>
                  <w:tcW w:w="984" w:type="dxa"/>
                  <w:vAlign w:val="center"/>
                </w:tcPr>
                <w:p w14:paraId="26C85C6B">
                  <w:pPr>
                    <w:widowControl/>
                    <w:jc w:val="center"/>
                    <w:textAlignment w:val="center"/>
                    <w:rPr>
                      <w:color w:val="auto"/>
                      <w:szCs w:val="21"/>
                    </w:rPr>
                  </w:pPr>
                  <w:r>
                    <w:rPr>
                      <w:color w:val="auto"/>
                      <w:kern w:val="0"/>
                      <w:szCs w:val="21"/>
                      <w:lang w:bidi="ar"/>
                    </w:rPr>
                    <w:t>DA004</w:t>
                  </w:r>
                </w:p>
              </w:tc>
              <w:tc>
                <w:tcPr>
                  <w:tcW w:w="962" w:type="dxa"/>
                  <w:vAlign w:val="center"/>
                </w:tcPr>
                <w:p w14:paraId="6F8E3CE0">
                  <w:pPr>
                    <w:widowControl/>
                    <w:jc w:val="center"/>
                    <w:textAlignment w:val="center"/>
                    <w:rPr>
                      <w:color w:val="auto"/>
                      <w:kern w:val="0"/>
                      <w:szCs w:val="21"/>
                      <w:lang w:bidi="ar"/>
                    </w:rPr>
                  </w:pPr>
                  <w:r>
                    <w:rPr>
                      <w:color w:val="auto"/>
                      <w:kern w:val="0"/>
                      <w:szCs w:val="21"/>
                      <w:lang w:bidi="ar"/>
                    </w:rPr>
                    <w:t>15000</w:t>
                  </w:r>
                </w:p>
              </w:tc>
              <w:tc>
                <w:tcPr>
                  <w:tcW w:w="938" w:type="dxa"/>
                  <w:vAlign w:val="center"/>
                </w:tcPr>
                <w:p w14:paraId="3EC24C92">
                  <w:pPr>
                    <w:widowControl/>
                    <w:jc w:val="center"/>
                    <w:textAlignment w:val="center"/>
                    <w:rPr>
                      <w:color w:val="auto"/>
                      <w:kern w:val="0"/>
                      <w:szCs w:val="21"/>
                      <w:lang w:bidi="ar"/>
                    </w:rPr>
                  </w:pPr>
                  <w:r>
                    <w:rPr>
                      <w:color w:val="auto"/>
                      <w:kern w:val="0"/>
                      <w:szCs w:val="21"/>
                      <w:lang w:bidi="ar"/>
                    </w:rPr>
                    <w:t>2.5</w:t>
                  </w:r>
                </w:p>
              </w:tc>
              <w:tc>
                <w:tcPr>
                  <w:tcW w:w="869" w:type="dxa"/>
                  <w:vAlign w:val="center"/>
                </w:tcPr>
                <w:p w14:paraId="3F0045CB">
                  <w:pPr>
                    <w:widowControl/>
                    <w:jc w:val="center"/>
                    <w:textAlignment w:val="center"/>
                    <w:rPr>
                      <w:color w:val="auto"/>
                      <w:kern w:val="0"/>
                      <w:szCs w:val="21"/>
                      <w:lang w:bidi="ar"/>
                    </w:rPr>
                  </w:pPr>
                  <w:r>
                    <w:rPr>
                      <w:color w:val="auto"/>
                      <w:kern w:val="0"/>
                      <w:szCs w:val="21"/>
                      <w:lang w:bidi="ar"/>
                    </w:rPr>
                    <w:t>3000</w:t>
                  </w:r>
                </w:p>
              </w:tc>
              <w:tc>
                <w:tcPr>
                  <w:tcW w:w="994" w:type="dxa"/>
                  <w:vAlign w:val="center"/>
                </w:tcPr>
                <w:p w14:paraId="088264E6">
                  <w:pPr>
                    <w:widowControl/>
                    <w:jc w:val="center"/>
                    <w:textAlignment w:val="center"/>
                    <w:rPr>
                      <w:color w:val="auto"/>
                      <w:kern w:val="0"/>
                      <w:szCs w:val="21"/>
                      <w:lang w:bidi="ar"/>
                    </w:rPr>
                  </w:pPr>
                  <w:r>
                    <w:rPr>
                      <w:color w:val="auto"/>
                      <w:kern w:val="0"/>
                      <w:szCs w:val="21"/>
                      <w:lang w:bidi="ar"/>
                    </w:rPr>
                    <w:t>108000</w:t>
                  </w:r>
                </w:p>
              </w:tc>
              <w:tc>
                <w:tcPr>
                  <w:tcW w:w="1002" w:type="dxa"/>
                  <w:vAlign w:val="center"/>
                </w:tcPr>
                <w:p w14:paraId="0D659177">
                  <w:pPr>
                    <w:widowControl/>
                    <w:jc w:val="center"/>
                    <w:textAlignment w:val="center"/>
                    <w:rPr>
                      <w:color w:val="auto"/>
                      <w:kern w:val="0"/>
                      <w:szCs w:val="21"/>
                      <w:lang w:bidi="ar"/>
                    </w:rPr>
                  </w:pPr>
                  <w:r>
                    <w:rPr>
                      <w:color w:val="auto"/>
                      <w:kern w:val="0"/>
                      <w:szCs w:val="21"/>
                      <w:lang w:bidi="ar"/>
                    </w:rPr>
                    <w:t>2160</w:t>
                  </w:r>
                </w:p>
              </w:tc>
              <w:tc>
                <w:tcPr>
                  <w:tcW w:w="986" w:type="dxa"/>
                  <w:vAlign w:val="center"/>
                </w:tcPr>
                <w:p w14:paraId="0C8A47C4">
                  <w:pPr>
                    <w:widowControl/>
                    <w:jc w:val="center"/>
                    <w:textAlignment w:val="center"/>
                    <w:rPr>
                      <w:color w:val="auto"/>
                      <w:kern w:val="0"/>
                      <w:szCs w:val="21"/>
                      <w:lang w:bidi="ar"/>
                    </w:rPr>
                  </w:pPr>
                  <w:r>
                    <w:rPr>
                      <w:color w:val="auto"/>
                      <w:kern w:val="0"/>
                      <w:szCs w:val="21"/>
                      <w:lang w:bidi="ar"/>
                    </w:rPr>
                    <w:t>2.5</w:t>
                  </w:r>
                </w:p>
              </w:tc>
              <w:tc>
                <w:tcPr>
                  <w:tcW w:w="773" w:type="dxa"/>
                  <w:vAlign w:val="center"/>
                </w:tcPr>
                <w:p w14:paraId="2FEFF342">
                  <w:pPr>
                    <w:widowControl/>
                    <w:jc w:val="center"/>
                    <w:textAlignment w:val="center"/>
                    <w:rPr>
                      <w:color w:val="auto"/>
                      <w:kern w:val="0"/>
                      <w:szCs w:val="21"/>
                      <w:lang w:bidi="ar"/>
                    </w:rPr>
                  </w:pPr>
                  <w:r>
                    <w:rPr>
                      <w:color w:val="auto"/>
                      <w:kern w:val="0"/>
                      <w:szCs w:val="21"/>
                      <w:lang w:bidi="ar"/>
                    </w:rPr>
                    <w:t>12</w:t>
                  </w:r>
                </w:p>
              </w:tc>
              <w:tc>
                <w:tcPr>
                  <w:tcW w:w="931" w:type="dxa"/>
                  <w:vAlign w:val="center"/>
                </w:tcPr>
                <w:p w14:paraId="235408A4">
                  <w:pPr>
                    <w:widowControl/>
                    <w:jc w:val="center"/>
                    <w:textAlignment w:val="center"/>
                    <w:rPr>
                      <w:color w:val="auto"/>
                      <w:kern w:val="0"/>
                      <w:szCs w:val="21"/>
                      <w:lang w:bidi="ar"/>
                    </w:rPr>
                  </w:pPr>
                  <w:r>
                    <w:rPr>
                      <w:color w:val="auto"/>
                      <w:kern w:val="0"/>
                      <w:szCs w:val="21"/>
                      <w:lang w:bidi="ar"/>
                    </w:rPr>
                    <w:t>30</w:t>
                  </w:r>
                </w:p>
              </w:tc>
              <w:tc>
                <w:tcPr>
                  <w:tcW w:w="1049" w:type="dxa"/>
                  <w:vAlign w:val="center"/>
                </w:tcPr>
                <w:p w14:paraId="69DC3100">
                  <w:pPr>
                    <w:widowControl/>
                    <w:jc w:val="center"/>
                    <w:textAlignment w:val="center"/>
                    <w:rPr>
                      <w:color w:val="auto"/>
                      <w:kern w:val="0"/>
                      <w:szCs w:val="21"/>
                      <w:lang w:bidi="ar"/>
                    </w:rPr>
                  </w:pPr>
                  <w:r>
                    <w:rPr>
                      <w:color w:val="auto"/>
                      <w:kern w:val="0"/>
                      <w:szCs w:val="21"/>
                      <w:lang w:bidi="ar"/>
                    </w:rPr>
                    <w:t>2190</w:t>
                  </w:r>
                </w:p>
              </w:tc>
            </w:tr>
            <w:tr w14:paraId="75E5C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3" w:type="dxa"/>
                  <w:vAlign w:val="center"/>
                </w:tcPr>
                <w:p w14:paraId="170B9607">
                  <w:pPr>
                    <w:widowControl/>
                    <w:jc w:val="center"/>
                    <w:textAlignment w:val="center"/>
                    <w:rPr>
                      <w:color w:val="auto"/>
                      <w:szCs w:val="21"/>
                    </w:rPr>
                  </w:pPr>
                  <w:r>
                    <w:rPr>
                      <w:color w:val="auto"/>
                      <w:kern w:val="0"/>
                      <w:szCs w:val="21"/>
                      <w:lang w:bidi="ar"/>
                    </w:rPr>
                    <w:t>3</w:t>
                  </w:r>
                </w:p>
              </w:tc>
              <w:tc>
                <w:tcPr>
                  <w:tcW w:w="984" w:type="dxa"/>
                  <w:vAlign w:val="center"/>
                </w:tcPr>
                <w:p w14:paraId="32873C26">
                  <w:pPr>
                    <w:widowControl/>
                    <w:jc w:val="center"/>
                    <w:textAlignment w:val="center"/>
                    <w:rPr>
                      <w:color w:val="auto"/>
                      <w:szCs w:val="21"/>
                    </w:rPr>
                  </w:pPr>
                  <w:r>
                    <w:rPr>
                      <w:color w:val="auto"/>
                      <w:kern w:val="0"/>
                      <w:szCs w:val="21"/>
                      <w:lang w:bidi="ar"/>
                    </w:rPr>
                    <w:t>DA005</w:t>
                  </w:r>
                </w:p>
              </w:tc>
              <w:tc>
                <w:tcPr>
                  <w:tcW w:w="962" w:type="dxa"/>
                  <w:vAlign w:val="center"/>
                </w:tcPr>
                <w:p w14:paraId="091B3ABA">
                  <w:pPr>
                    <w:widowControl/>
                    <w:jc w:val="center"/>
                    <w:textAlignment w:val="center"/>
                    <w:rPr>
                      <w:color w:val="auto"/>
                      <w:kern w:val="0"/>
                      <w:szCs w:val="21"/>
                      <w:lang w:bidi="ar"/>
                    </w:rPr>
                  </w:pPr>
                  <w:r>
                    <w:rPr>
                      <w:color w:val="auto"/>
                      <w:kern w:val="0"/>
                      <w:szCs w:val="21"/>
                      <w:lang w:bidi="ar"/>
                    </w:rPr>
                    <w:t>10000</w:t>
                  </w:r>
                </w:p>
              </w:tc>
              <w:tc>
                <w:tcPr>
                  <w:tcW w:w="938" w:type="dxa"/>
                  <w:vAlign w:val="center"/>
                </w:tcPr>
                <w:p w14:paraId="74A89888">
                  <w:pPr>
                    <w:widowControl/>
                    <w:jc w:val="center"/>
                    <w:textAlignment w:val="center"/>
                    <w:rPr>
                      <w:color w:val="auto"/>
                      <w:kern w:val="0"/>
                      <w:szCs w:val="21"/>
                      <w:lang w:bidi="ar"/>
                    </w:rPr>
                  </w:pPr>
                  <w:r>
                    <w:rPr>
                      <w:color w:val="auto"/>
                      <w:kern w:val="0"/>
                      <w:szCs w:val="21"/>
                      <w:lang w:bidi="ar"/>
                    </w:rPr>
                    <w:t>2</w:t>
                  </w:r>
                </w:p>
              </w:tc>
              <w:tc>
                <w:tcPr>
                  <w:tcW w:w="869" w:type="dxa"/>
                  <w:vAlign w:val="center"/>
                </w:tcPr>
                <w:p w14:paraId="02F084A2">
                  <w:pPr>
                    <w:widowControl/>
                    <w:jc w:val="center"/>
                    <w:textAlignment w:val="center"/>
                    <w:rPr>
                      <w:color w:val="auto"/>
                      <w:kern w:val="0"/>
                      <w:szCs w:val="21"/>
                      <w:lang w:bidi="ar"/>
                    </w:rPr>
                  </w:pPr>
                  <w:r>
                    <w:rPr>
                      <w:color w:val="auto"/>
                      <w:kern w:val="0"/>
                      <w:szCs w:val="21"/>
                      <w:lang w:bidi="ar"/>
                    </w:rPr>
                    <w:t>600</w:t>
                  </w:r>
                </w:p>
              </w:tc>
              <w:tc>
                <w:tcPr>
                  <w:tcW w:w="994" w:type="dxa"/>
                  <w:vAlign w:val="center"/>
                </w:tcPr>
                <w:p w14:paraId="601CEBA1">
                  <w:pPr>
                    <w:widowControl/>
                    <w:jc w:val="center"/>
                    <w:textAlignment w:val="center"/>
                    <w:rPr>
                      <w:color w:val="auto"/>
                      <w:kern w:val="0"/>
                      <w:szCs w:val="21"/>
                      <w:lang w:bidi="ar"/>
                    </w:rPr>
                  </w:pPr>
                  <w:r>
                    <w:rPr>
                      <w:color w:val="auto"/>
                      <w:kern w:val="0"/>
                      <w:szCs w:val="21"/>
                      <w:lang w:bidi="ar"/>
                    </w:rPr>
                    <w:t>14400</w:t>
                  </w:r>
                </w:p>
              </w:tc>
              <w:tc>
                <w:tcPr>
                  <w:tcW w:w="1002" w:type="dxa"/>
                  <w:vAlign w:val="center"/>
                </w:tcPr>
                <w:p w14:paraId="508862D8">
                  <w:pPr>
                    <w:widowControl/>
                    <w:jc w:val="center"/>
                    <w:textAlignment w:val="center"/>
                    <w:rPr>
                      <w:color w:val="auto"/>
                      <w:kern w:val="0"/>
                      <w:szCs w:val="21"/>
                      <w:lang w:bidi="ar"/>
                    </w:rPr>
                  </w:pPr>
                  <w:r>
                    <w:rPr>
                      <w:color w:val="auto"/>
                      <w:kern w:val="0"/>
                      <w:szCs w:val="21"/>
                      <w:lang w:bidi="ar"/>
                    </w:rPr>
                    <w:t>288</w:t>
                  </w:r>
                </w:p>
              </w:tc>
              <w:tc>
                <w:tcPr>
                  <w:tcW w:w="986" w:type="dxa"/>
                  <w:vAlign w:val="center"/>
                </w:tcPr>
                <w:p w14:paraId="1B44E3C5">
                  <w:pPr>
                    <w:widowControl/>
                    <w:jc w:val="center"/>
                    <w:textAlignment w:val="center"/>
                    <w:rPr>
                      <w:color w:val="auto"/>
                      <w:kern w:val="0"/>
                      <w:szCs w:val="21"/>
                      <w:lang w:bidi="ar"/>
                    </w:rPr>
                  </w:pPr>
                  <w:r>
                    <w:rPr>
                      <w:color w:val="auto"/>
                      <w:kern w:val="0"/>
                      <w:szCs w:val="21"/>
                      <w:lang w:bidi="ar"/>
                    </w:rPr>
                    <w:t>2</w:t>
                  </w:r>
                </w:p>
              </w:tc>
              <w:tc>
                <w:tcPr>
                  <w:tcW w:w="773" w:type="dxa"/>
                  <w:vAlign w:val="center"/>
                </w:tcPr>
                <w:p w14:paraId="3CE2B43D">
                  <w:pPr>
                    <w:widowControl/>
                    <w:jc w:val="center"/>
                    <w:textAlignment w:val="center"/>
                    <w:rPr>
                      <w:color w:val="auto"/>
                      <w:kern w:val="0"/>
                      <w:szCs w:val="21"/>
                      <w:lang w:bidi="ar"/>
                    </w:rPr>
                  </w:pPr>
                  <w:r>
                    <w:rPr>
                      <w:color w:val="auto"/>
                      <w:kern w:val="0"/>
                      <w:szCs w:val="21"/>
                      <w:lang w:bidi="ar"/>
                    </w:rPr>
                    <w:t>4</w:t>
                  </w:r>
                </w:p>
              </w:tc>
              <w:tc>
                <w:tcPr>
                  <w:tcW w:w="931" w:type="dxa"/>
                  <w:vAlign w:val="center"/>
                </w:tcPr>
                <w:p w14:paraId="6029606D">
                  <w:pPr>
                    <w:widowControl/>
                    <w:jc w:val="center"/>
                    <w:textAlignment w:val="center"/>
                    <w:rPr>
                      <w:color w:val="auto"/>
                      <w:kern w:val="0"/>
                      <w:szCs w:val="21"/>
                      <w:lang w:bidi="ar"/>
                    </w:rPr>
                  </w:pPr>
                  <w:r>
                    <w:rPr>
                      <w:color w:val="auto"/>
                      <w:kern w:val="0"/>
                      <w:szCs w:val="21"/>
                      <w:lang w:bidi="ar"/>
                    </w:rPr>
                    <w:t>8</w:t>
                  </w:r>
                </w:p>
              </w:tc>
              <w:tc>
                <w:tcPr>
                  <w:tcW w:w="1049" w:type="dxa"/>
                  <w:vAlign w:val="center"/>
                </w:tcPr>
                <w:p w14:paraId="2E650E64">
                  <w:pPr>
                    <w:widowControl/>
                    <w:jc w:val="center"/>
                    <w:textAlignment w:val="center"/>
                    <w:rPr>
                      <w:color w:val="auto"/>
                      <w:kern w:val="0"/>
                      <w:szCs w:val="21"/>
                      <w:lang w:bidi="ar"/>
                    </w:rPr>
                  </w:pPr>
                  <w:r>
                    <w:rPr>
                      <w:color w:val="auto"/>
                      <w:kern w:val="0"/>
                      <w:szCs w:val="21"/>
                      <w:lang w:bidi="ar"/>
                    </w:rPr>
                    <w:t>296</w:t>
                  </w:r>
                </w:p>
              </w:tc>
            </w:tr>
            <w:tr w14:paraId="1CCE1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3" w:type="dxa"/>
                  <w:vAlign w:val="center"/>
                </w:tcPr>
                <w:p w14:paraId="0C499158">
                  <w:pPr>
                    <w:widowControl/>
                    <w:jc w:val="center"/>
                    <w:textAlignment w:val="center"/>
                    <w:rPr>
                      <w:color w:val="auto"/>
                      <w:szCs w:val="21"/>
                    </w:rPr>
                  </w:pPr>
                  <w:r>
                    <w:rPr>
                      <w:color w:val="auto"/>
                      <w:kern w:val="0"/>
                      <w:szCs w:val="21"/>
                      <w:lang w:bidi="ar"/>
                    </w:rPr>
                    <w:t>4</w:t>
                  </w:r>
                </w:p>
              </w:tc>
              <w:tc>
                <w:tcPr>
                  <w:tcW w:w="984" w:type="dxa"/>
                  <w:vAlign w:val="center"/>
                </w:tcPr>
                <w:p w14:paraId="7D59A605">
                  <w:pPr>
                    <w:widowControl/>
                    <w:jc w:val="center"/>
                    <w:textAlignment w:val="center"/>
                    <w:rPr>
                      <w:color w:val="auto"/>
                      <w:szCs w:val="21"/>
                    </w:rPr>
                  </w:pPr>
                  <w:r>
                    <w:rPr>
                      <w:color w:val="auto"/>
                      <w:kern w:val="0"/>
                      <w:szCs w:val="21"/>
                      <w:lang w:bidi="ar"/>
                    </w:rPr>
                    <w:t>DA006</w:t>
                  </w:r>
                </w:p>
              </w:tc>
              <w:tc>
                <w:tcPr>
                  <w:tcW w:w="962" w:type="dxa"/>
                  <w:vAlign w:val="center"/>
                </w:tcPr>
                <w:p w14:paraId="734311D6">
                  <w:pPr>
                    <w:widowControl/>
                    <w:jc w:val="center"/>
                    <w:textAlignment w:val="center"/>
                    <w:rPr>
                      <w:color w:val="auto"/>
                      <w:kern w:val="0"/>
                      <w:szCs w:val="21"/>
                      <w:lang w:bidi="ar"/>
                    </w:rPr>
                  </w:pPr>
                  <w:r>
                    <w:rPr>
                      <w:color w:val="auto"/>
                      <w:kern w:val="0"/>
                      <w:szCs w:val="21"/>
                      <w:lang w:bidi="ar"/>
                    </w:rPr>
                    <w:t>7000</w:t>
                  </w:r>
                </w:p>
              </w:tc>
              <w:tc>
                <w:tcPr>
                  <w:tcW w:w="938" w:type="dxa"/>
                  <w:vAlign w:val="center"/>
                </w:tcPr>
                <w:p w14:paraId="6F10410A">
                  <w:pPr>
                    <w:widowControl/>
                    <w:jc w:val="center"/>
                    <w:textAlignment w:val="center"/>
                    <w:rPr>
                      <w:color w:val="auto"/>
                      <w:kern w:val="0"/>
                      <w:szCs w:val="21"/>
                      <w:lang w:bidi="ar"/>
                    </w:rPr>
                  </w:pPr>
                  <w:r>
                    <w:rPr>
                      <w:color w:val="auto"/>
                      <w:kern w:val="0"/>
                      <w:szCs w:val="21"/>
                      <w:lang w:bidi="ar"/>
                    </w:rPr>
                    <w:t>2</w:t>
                  </w:r>
                </w:p>
              </w:tc>
              <w:tc>
                <w:tcPr>
                  <w:tcW w:w="869" w:type="dxa"/>
                  <w:vAlign w:val="center"/>
                </w:tcPr>
                <w:p w14:paraId="5D9C180A">
                  <w:pPr>
                    <w:widowControl/>
                    <w:jc w:val="center"/>
                    <w:textAlignment w:val="center"/>
                    <w:rPr>
                      <w:color w:val="auto"/>
                      <w:kern w:val="0"/>
                      <w:szCs w:val="21"/>
                      <w:lang w:bidi="ar"/>
                    </w:rPr>
                  </w:pPr>
                  <w:r>
                    <w:rPr>
                      <w:color w:val="auto"/>
                      <w:kern w:val="0"/>
                      <w:szCs w:val="21"/>
                      <w:lang w:bidi="ar"/>
                    </w:rPr>
                    <w:t>2350</w:t>
                  </w:r>
                </w:p>
              </w:tc>
              <w:tc>
                <w:tcPr>
                  <w:tcW w:w="994" w:type="dxa"/>
                  <w:vAlign w:val="center"/>
                </w:tcPr>
                <w:p w14:paraId="485317C4">
                  <w:pPr>
                    <w:widowControl/>
                    <w:jc w:val="center"/>
                    <w:textAlignment w:val="center"/>
                    <w:rPr>
                      <w:color w:val="auto"/>
                      <w:szCs w:val="21"/>
                    </w:rPr>
                  </w:pPr>
                  <w:r>
                    <w:rPr>
                      <w:color w:val="auto"/>
                      <w:kern w:val="0"/>
                      <w:szCs w:val="21"/>
                      <w:lang w:bidi="ar"/>
                    </w:rPr>
                    <w:t>39480</w:t>
                  </w:r>
                </w:p>
              </w:tc>
              <w:tc>
                <w:tcPr>
                  <w:tcW w:w="1002" w:type="dxa"/>
                  <w:vAlign w:val="center"/>
                </w:tcPr>
                <w:p w14:paraId="36C395C4">
                  <w:pPr>
                    <w:widowControl/>
                    <w:jc w:val="center"/>
                    <w:textAlignment w:val="center"/>
                    <w:rPr>
                      <w:color w:val="auto"/>
                      <w:szCs w:val="21"/>
                    </w:rPr>
                  </w:pPr>
                  <w:r>
                    <w:rPr>
                      <w:color w:val="auto"/>
                      <w:kern w:val="0"/>
                      <w:szCs w:val="21"/>
                      <w:lang w:bidi="ar"/>
                    </w:rPr>
                    <w:t>789.6</w:t>
                  </w:r>
                </w:p>
              </w:tc>
              <w:tc>
                <w:tcPr>
                  <w:tcW w:w="986" w:type="dxa"/>
                  <w:vAlign w:val="center"/>
                </w:tcPr>
                <w:p w14:paraId="085558B2">
                  <w:pPr>
                    <w:widowControl/>
                    <w:jc w:val="center"/>
                    <w:textAlignment w:val="center"/>
                    <w:rPr>
                      <w:color w:val="auto"/>
                      <w:kern w:val="0"/>
                      <w:szCs w:val="21"/>
                      <w:lang w:bidi="ar"/>
                    </w:rPr>
                  </w:pPr>
                  <w:r>
                    <w:rPr>
                      <w:color w:val="auto"/>
                      <w:kern w:val="0"/>
                      <w:szCs w:val="21"/>
                      <w:lang w:bidi="ar"/>
                    </w:rPr>
                    <w:t>2</w:t>
                  </w:r>
                </w:p>
              </w:tc>
              <w:tc>
                <w:tcPr>
                  <w:tcW w:w="773" w:type="dxa"/>
                  <w:vAlign w:val="center"/>
                </w:tcPr>
                <w:p w14:paraId="4D386BFF">
                  <w:pPr>
                    <w:widowControl/>
                    <w:jc w:val="center"/>
                    <w:textAlignment w:val="center"/>
                    <w:rPr>
                      <w:color w:val="auto"/>
                      <w:szCs w:val="21"/>
                    </w:rPr>
                  </w:pPr>
                  <w:r>
                    <w:rPr>
                      <w:color w:val="auto"/>
                      <w:kern w:val="0"/>
                      <w:szCs w:val="21"/>
                      <w:lang w:bidi="ar"/>
                    </w:rPr>
                    <w:t>4</w:t>
                  </w:r>
                </w:p>
              </w:tc>
              <w:tc>
                <w:tcPr>
                  <w:tcW w:w="931" w:type="dxa"/>
                  <w:vAlign w:val="center"/>
                </w:tcPr>
                <w:p w14:paraId="0893EC7B">
                  <w:pPr>
                    <w:widowControl/>
                    <w:jc w:val="center"/>
                    <w:textAlignment w:val="center"/>
                    <w:rPr>
                      <w:color w:val="auto"/>
                      <w:szCs w:val="21"/>
                    </w:rPr>
                  </w:pPr>
                  <w:r>
                    <w:rPr>
                      <w:color w:val="auto"/>
                      <w:kern w:val="0"/>
                      <w:szCs w:val="21"/>
                      <w:lang w:bidi="ar"/>
                    </w:rPr>
                    <w:t>8</w:t>
                  </w:r>
                </w:p>
              </w:tc>
              <w:tc>
                <w:tcPr>
                  <w:tcW w:w="1049" w:type="dxa"/>
                  <w:vAlign w:val="center"/>
                </w:tcPr>
                <w:p w14:paraId="2DE3F22B">
                  <w:pPr>
                    <w:widowControl/>
                    <w:jc w:val="center"/>
                    <w:textAlignment w:val="center"/>
                    <w:rPr>
                      <w:color w:val="auto"/>
                      <w:szCs w:val="21"/>
                    </w:rPr>
                  </w:pPr>
                  <w:r>
                    <w:rPr>
                      <w:color w:val="auto"/>
                      <w:kern w:val="0"/>
                      <w:szCs w:val="21"/>
                      <w:lang w:bidi="ar"/>
                    </w:rPr>
                    <w:t>797.6</w:t>
                  </w:r>
                </w:p>
              </w:tc>
            </w:tr>
            <w:tr w14:paraId="29F0C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0" w:type="dxa"/>
                  <w:gridSpan w:val="6"/>
                  <w:vAlign w:val="center"/>
                </w:tcPr>
                <w:p w14:paraId="29C9B0E0">
                  <w:pPr>
                    <w:widowControl/>
                    <w:jc w:val="center"/>
                    <w:textAlignment w:val="center"/>
                    <w:rPr>
                      <w:color w:val="auto"/>
                      <w:kern w:val="0"/>
                      <w:szCs w:val="21"/>
                      <w:lang w:bidi="ar"/>
                    </w:rPr>
                  </w:pPr>
                  <w:r>
                    <w:rPr>
                      <w:rFonts w:hint="eastAsia" w:ascii="宋体" w:hAnsi="宋体" w:cs="宋体"/>
                      <w:color w:val="auto"/>
                      <w:kern w:val="0"/>
                      <w:szCs w:val="21"/>
                      <w:lang w:bidi="ar"/>
                    </w:rPr>
                    <w:t>合计</w:t>
                  </w:r>
                </w:p>
              </w:tc>
              <w:tc>
                <w:tcPr>
                  <w:tcW w:w="1002" w:type="dxa"/>
                  <w:vAlign w:val="center"/>
                </w:tcPr>
                <w:p w14:paraId="3993408A">
                  <w:pPr>
                    <w:widowControl/>
                    <w:jc w:val="center"/>
                    <w:textAlignment w:val="center"/>
                    <w:rPr>
                      <w:color w:val="auto"/>
                    </w:rPr>
                  </w:pPr>
                  <w:r>
                    <w:rPr>
                      <w:color w:val="auto"/>
                      <w:kern w:val="0"/>
                      <w:sz w:val="22"/>
                      <w:szCs w:val="22"/>
                      <w:lang w:bidi="ar"/>
                    </w:rPr>
                    <w:t>6117.6</w:t>
                  </w:r>
                </w:p>
              </w:tc>
              <w:tc>
                <w:tcPr>
                  <w:tcW w:w="986" w:type="dxa"/>
                  <w:vAlign w:val="center"/>
                </w:tcPr>
                <w:p w14:paraId="611FCCB1">
                  <w:pPr>
                    <w:widowControl/>
                    <w:jc w:val="center"/>
                    <w:textAlignment w:val="center"/>
                    <w:rPr>
                      <w:color w:val="auto"/>
                      <w:kern w:val="0"/>
                      <w:szCs w:val="21"/>
                      <w:lang w:bidi="ar"/>
                    </w:rPr>
                  </w:pPr>
                  <w:r>
                    <w:rPr>
                      <w:color w:val="auto"/>
                      <w:kern w:val="0"/>
                      <w:szCs w:val="21"/>
                      <w:lang w:bidi="ar"/>
                    </w:rPr>
                    <w:t>/</w:t>
                  </w:r>
                </w:p>
              </w:tc>
              <w:tc>
                <w:tcPr>
                  <w:tcW w:w="773" w:type="dxa"/>
                  <w:vAlign w:val="center"/>
                </w:tcPr>
                <w:p w14:paraId="1BFC84FC">
                  <w:pPr>
                    <w:widowControl/>
                    <w:jc w:val="center"/>
                    <w:textAlignment w:val="center"/>
                    <w:rPr>
                      <w:color w:val="auto"/>
                      <w:kern w:val="0"/>
                      <w:szCs w:val="21"/>
                      <w:lang w:bidi="ar"/>
                    </w:rPr>
                  </w:pPr>
                  <w:r>
                    <w:rPr>
                      <w:color w:val="auto"/>
                      <w:kern w:val="0"/>
                      <w:szCs w:val="21"/>
                      <w:lang w:bidi="ar"/>
                    </w:rPr>
                    <w:t>/</w:t>
                  </w:r>
                </w:p>
              </w:tc>
              <w:tc>
                <w:tcPr>
                  <w:tcW w:w="931" w:type="dxa"/>
                  <w:vAlign w:val="center"/>
                </w:tcPr>
                <w:p w14:paraId="4186737D">
                  <w:pPr>
                    <w:widowControl/>
                    <w:jc w:val="center"/>
                    <w:textAlignment w:val="center"/>
                    <w:rPr>
                      <w:color w:val="auto"/>
                      <w:kern w:val="0"/>
                      <w:szCs w:val="21"/>
                      <w:lang w:bidi="ar"/>
                    </w:rPr>
                  </w:pPr>
                  <w:r>
                    <w:rPr>
                      <w:color w:val="auto"/>
                      <w:kern w:val="0"/>
                      <w:sz w:val="22"/>
                      <w:szCs w:val="22"/>
                      <w:lang w:bidi="ar"/>
                    </w:rPr>
                    <w:t>82</w:t>
                  </w:r>
                </w:p>
              </w:tc>
              <w:tc>
                <w:tcPr>
                  <w:tcW w:w="1049" w:type="dxa"/>
                  <w:vAlign w:val="center"/>
                </w:tcPr>
                <w:p w14:paraId="5E09683C">
                  <w:pPr>
                    <w:widowControl/>
                    <w:jc w:val="center"/>
                    <w:textAlignment w:val="center"/>
                    <w:rPr>
                      <w:color w:val="auto"/>
                      <w:kern w:val="0"/>
                      <w:szCs w:val="21"/>
                      <w:lang w:bidi="ar"/>
                    </w:rPr>
                  </w:pPr>
                  <w:r>
                    <w:rPr>
                      <w:color w:val="auto"/>
                      <w:kern w:val="0"/>
                      <w:sz w:val="22"/>
                      <w:szCs w:val="22"/>
                      <w:lang w:bidi="ar"/>
                    </w:rPr>
                    <w:t>6199.6</w:t>
                  </w:r>
                </w:p>
              </w:tc>
            </w:tr>
          </w:tbl>
          <w:p w14:paraId="140B69A2">
            <w:pPr>
              <w:adjustRightInd w:val="0"/>
              <w:snapToGrid w:val="0"/>
              <w:spacing w:line="348" w:lineRule="auto"/>
              <w:ind w:firstLine="480" w:firstLineChars="200"/>
              <w:rPr>
                <w:b/>
                <w:bCs/>
                <w:color w:val="auto"/>
                <w:kern w:val="0"/>
                <w:sz w:val="24"/>
              </w:rPr>
            </w:pPr>
            <w:r>
              <w:rPr>
                <w:bCs/>
                <w:color w:val="auto"/>
                <w:sz w:val="24"/>
              </w:rPr>
              <w:t>由上表可知，本项目喷淋塔用水量为</w:t>
            </w:r>
            <w:r>
              <w:rPr>
                <w:rFonts w:hint="eastAsia"/>
                <w:bCs/>
                <w:color w:val="auto"/>
                <w:sz w:val="24"/>
              </w:rPr>
              <w:t>6199.6</w:t>
            </w:r>
            <w:r>
              <w:rPr>
                <w:bCs/>
                <w:color w:val="auto"/>
                <w:sz w:val="24"/>
              </w:rPr>
              <w:t>m</w:t>
            </w:r>
            <w:r>
              <w:rPr>
                <w:bCs/>
                <w:color w:val="auto"/>
                <w:sz w:val="24"/>
                <w:vertAlign w:val="superscript"/>
              </w:rPr>
              <w:t>3</w:t>
            </w:r>
            <w:r>
              <w:rPr>
                <w:bCs/>
                <w:color w:val="auto"/>
                <w:sz w:val="24"/>
              </w:rPr>
              <w:t>/a，其中补充水量</w:t>
            </w:r>
            <w:r>
              <w:rPr>
                <w:rFonts w:hint="eastAsia"/>
                <w:bCs/>
                <w:color w:val="auto"/>
                <w:sz w:val="24"/>
              </w:rPr>
              <w:t>6117.6</w:t>
            </w:r>
            <w:r>
              <w:rPr>
                <w:bCs/>
                <w:color w:val="auto"/>
                <w:sz w:val="24"/>
              </w:rPr>
              <w:t>m</w:t>
            </w:r>
            <w:r>
              <w:rPr>
                <w:bCs/>
                <w:color w:val="auto"/>
                <w:sz w:val="24"/>
                <w:vertAlign w:val="superscript"/>
              </w:rPr>
              <w:t>3</w:t>
            </w:r>
            <w:r>
              <w:rPr>
                <w:bCs/>
                <w:color w:val="auto"/>
                <w:sz w:val="24"/>
              </w:rPr>
              <w:t>/a，更换水量</w:t>
            </w:r>
            <w:r>
              <w:rPr>
                <w:rFonts w:hint="eastAsia"/>
                <w:bCs/>
                <w:color w:val="auto"/>
                <w:sz w:val="24"/>
              </w:rPr>
              <w:t>82</w:t>
            </w:r>
            <w:r>
              <w:rPr>
                <w:bCs/>
                <w:color w:val="auto"/>
                <w:sz w:val="24"/>
              </w:rPr>
              <w:t>m</w:t>
            </w:r>
            <w:r>
              <w:rPr>
                <w:bCs/>
                <w:color w:val="auto"/>
                <w:sz w:val="24"/>
                <w:vertAlign w:val="superscript"/>
              </w:rPr>
              <w:t>3</w:t>
            </w:r>
            <w:r>
              <w:rPr>
                <w:bCs/>
                <w:color w:val="auto"/>
                <w:sz w:val="24"/>
              </w:rPr>
              <w:t>/a。</w:t>
            </w:r>
          </w:p>
          <w:p w14:paraId="14E0294C">
            <w:pPr>
              <w:adjustRightInd w:val="0"/>
              <w:snapToGrid w:val="0"/>
              <w:spacing w:line="348" w:lineRule="auto"/>
              <w:ind w:firstLine="482" w:firstLineChars="200"/>
              <w:rPr>
                <w:color w:val="auto"/>
                <w:kern w:val="0"/>
                <w:sz w:val="24"/>
              </w:rPr>
            </w:pPr>
            <w:r>
              <w:rPr>
                <w:rFonts w:hint="eastAsia"/>
                <w:b/>
                <w:bCs/>
                <w:color w:val="auto"/>
                <w:kern w:val="0"/>
                <w:sz w:val="24"/>
              </w:rPr>
              <w:t>7</w:t>
            </w:r>
            <w:r>
              <w:rPr>
                <w:b/>
                <w:bCs/>
                <w:color w:val="auto"/>
                <w:kern w:val="0"/>
                <w:sz w:val="24"/>
              </w:rPr>
              <w:t>）</w:t>
            </w:r>
            <w:r>
              <w:rPr>
                <w:rFonts w:hint="eastAsia"/>
                <w:b/>
                <w:color w:val="auto"/>
                <w:sz w:val="24"/>
              </w:rPr>
              <w:t>废水处理设施</w:t>
            </w:r>
            <w:r>
              <w:rPr>
                <w:b/>
                <w:color w:val="auto"/>
                <w:sz w:val="24"/>
              </w:rPr>
              <w:t>反</w:t>
            </w:r>
            <w:r>
              <w:rPr>
                <w:b/>
                <w:color w:val="auto"/>
                <w:kern w:val="0"/>
                <w:sz w:val="24"/>
              </w:rPr>
              <w:t>冲洗用水</w:t>
            </w:r>
          </w:p>
          <w:p w14:paraId="769CF9FC">
            <w:pPr>
              <w:adjustRightInd w:val="0"/>
              <w:snapToGrid w:val="0"/>
              <w:spacing w:line="348" w:lineRule="auto"/>
              <w:ind w:firstLine="480" w:firstLineChars="200"/>
              <w:rPr>
                <w:bCs/>
                <w:color w:val="auto"/>
                <w:sz w:val="24"/>
              </w:rPr>
            </w:pPr>
            <w:r>
              <w:rPr>
                <w:bCs/>
                <w:color w:val="auto"/>
                <w:sz w:val="24"/>
              </w:rPr>
              <w:t>本项目</w:t>
            </w:r>
            <w:r>
              <w:rPr>
                <w:rFonts w:hint="eastAsia"/>
                <w:bCs/>
                <w:color w:val="auto"/>
                <w:sz w:val="24"/>
              </w:rPr>
              <w:t>废水处理设施</w:t>
            </w:r>
            <w:r>
              <w:rPr>
                <w:bCs/>
                <w:color w:val="auto"/>
                <w:sz w:val="24"/>
              </w:rPr>
              <w:t>中的</w:t>
            </w:r>
            <w:r>
              <w:rPr>
                <w:rFonts w:hint="eastAsia"/>
                <w:bCs/>
                <w:color w:val="auto"/>
                <w:sz w:val="24"/>
              </w:rPr>
              <w:t>中水回用系统需定期反冲洗，反冲洗频率为设施每10天</w:t>
            </w:r>
            <w:r>
              <w:rPr>
                <w:bCs/>
                <w:color w:val="auto"/>
                <w:sz w:val="24"/>
              </w:rPr>
              <w:t>一次，</w:t>
            </w:r>
            <w:r>
              <w:rPr>
                <w:rFonts w:hint="eastAsia"/>
                <w:bCs/>
                <w:color w:val="auto"/>
                <w:sz w:val="24"/>
              </w:rPr>
              <w:t>年工作300天，合计约冲洗30次，</w:t>
            </w:r>
            <w:r>
              <w:rPr>
                <w:bCs/>
                <w:color w:val="auto"/>
                <w:sz w:val="24"/>
              </w:rPr>
              <w:t>根据设计单位提供，每次反冲洗用水量约为</w:t>
            </w:r>
            <w:r>
              <w:rPr>
                <w:rFonts w:hint="eastAsia"/>
                <w:bCs/>
                <w:color w:val="auto"/>
                <w:sz w:val="24"/>
              </w:rPr>
              <w:t>1</w:t>
            </w:r>
            <w:r>
              <w:rPr>
                <w:bCs/>
                <w:color w:val="auto"/>
                <w:sz w:val="24"/>
              </w:rPr>
              <w:t>m</w:t>
            </w:r>
            <w:r>
              <w:rPr>
                <w:bCs/>
                <w:color w:val="auto"/>
                <w:sz w:val="24"/>
                <w:vertAlign w:val="superscript"/>
              </w:rPr>
              <w:t>3</w:t>
            </w:r>
            <w:r>
              <w:rPr>
                <w:bCs/>
                <w:color w:val="auto"/>
                <w:sz w:val="24"/>
              </w:rPr>
              <w:t>，故反冲洗用水量为</w:t>
            </w:r>
            <w:r>
              <w:rPr>
                <w:rFonts w:hint="eastAsia"/>
                <w:bCs/>
                <w:color w:val="auto"/>
                <w:sz w:val="24"/>
              </w:rPr>
              <w:t>30</w:t>
            </w:r>
            <w:r>
              <w:rPr>
                <w:bCs/>
                <w:color w:val="auto"/>
                <w:sz w:val="24"/>
              </w:rPr>
              <w:t>t/a。</w:t>
            </w:r>
          </w:p>
          <w:p w14:paraId="7F2F2D48">
            <w:pPr>
              <w:adjustRightInd w:val="0"/>
              <w:snapToGrid w:val="0"/>
              <w:spacing w:line="348" w:lineRule="auto"/>
              <w:ind w:firstLine="482" w:firstLineChars="200"/>
              <w:rPr>
                <w:b/>
                <w:color w:val="auto"/>
                <w:sz w:val="24"/>
              </w:rPr>
            </w:pPr>
            <w:r>
              <w:rPr>
                <w:rFonts w:hint="eastAsia"/>
                <w:b/>
                <w:color w:val="auto"/>
                <w:sz w:val="24"/>
              </w:rPr>
              <w:t>8</w:t>
            </w:r>
            <w:r>
              <w:rPr>
                <w:b/>
                <w:color w:val="auto"/>
                <w:sz w:val="24"/>
              </w:rPr>
              <w:t>）生活用水</w:t>
            </w:r>
          </w:p>
          <w:p w14:paraId="4FE9235C">
            <w:pPr>
              <w:adjustRightInd w:val="0"/>
              <w:snapToGrid w:val="0"/>
              <w:spacing w:line="348" w:lineRule="auto"/>
              <w:ind w:firstLine="480" w:firstLineChars="200"/>
              <w:rPr>
                <w:b/>
                <w:bCs/>
                <w:color w:val="auto"/>
                <w:sz w:val="24"/>
                <w:szCs w:val="22"/>
              </w:rPr>
            </w:pPr>
            <w:r>
              <w:rPr>
                <w:color w:val="auto"/>
                <w:sz w:val="24"/>
                <w:szCs w:val="22"/>
              </w:rPr>
              <w:t>本项目拟招聘员工</w:t>
            </w:r>
            <w:r>
              <w:rPr>
                <w:rFonts w:hint="eastAsia"/>
                <w:color w:val="auto"/>
                <w:sz w:val="24"/>
                <w:szCs w:val="22"/>
              </w:rPr>
              <w:t>5</w:t>
            </w:r>
            <w:r>
              <w:rPr>
                <w:color w:val="auto"/>
                <w:sz w:val="24"/>
                <w:szCs w:val="22"/>
              </w:rPr>
              <w:t>0人，均不在厂区食宿，参考广东省《用水定额 第3部分：生活》（DB44/T 1461.3-2021）</w:t>
            </w:r>
            <w:r>
              <w:rPr>
                <w:color w:val="auto"/>
                <w:kern w:val="0"/>
                <w:sz w:val="24"/>
              </w:rPr>
              <w:t>，</w:t>
            </w:r>
            <w:r>
              <w:rPr>
                <w:color w:val="auto"/>
                <w:sz w:val="24"/>
                <w:szCs w:val="22"/>
              </w:rPr>
              <w:t>国家机构（92）-国家行政机构（922）-办公楼-有食堂和浴室</w:t>
            </w:r>
            <w:r>
              <w:rPr>
                <w:color w:val="auto"/>
                <w:kern w:val="0"/>
                <w:sz w:val="24"/>
              </w:rPr>
              <w:t>用水定额为10m</w:t>
            </w:r>
            <w:r>
              <w:rPr>
                <w:color w:val="auto"/>
                <w:kern w:val="0"/>
                <w:sz w:val="24"/>
                <w:vertAlign w:val="superscript"/>
              </w:rPr>
              <w:t>3</w:t>
            </w:r>
            <w:r>
              <w:rPr>
                <w:color w:val="auto"/>
                <w:kern w:val="0"/>
                <w:sz w:val="24"/>
              </w:rPr>
              <w:t>/人·a计算</w:t>
            </w:r>
            <w:r>
              <w:rPr>
                <w:color w:val="auto"/>
                <w:sz w:val="24"/>
                <w:szCs w:val="22"/>
              </w:rPr>
              <w:t>，则项目生活用水量为</w:t>
            </w:r>
            <w:r>
              <w:rPr>
                <w:rFonts w:hint="eastAsia"/>
                <w:color w:val="auto"/>
                <w:sz w:val="24"/>
                <w:szCs w:val="22"/>
              </w:rPr>
              <w:t>5</w:t>
            </w:r>
            <w:r>
              <w:rPr>
                <w:color w:val="auto"/>
                <w:sz w:val="24"/>
                <w:szCs w:val="22"/>
              </w:rPr>
              <w:t>00</w:t>
            </w:r>
            <w:r>
              <w:rPr>
                <w:color w:val="auto"/>
                <w:szCs w:val="22"/>
              </w:rPr>
              <w:t>t/a。</w:t>
            </w:r>
          </w:p>
          <w:p w14:paraId="3DFE522B">
            <w:pPr>
              <w:adjustRightInd w:val="0"/>
              <w:snapToGrid w:val="0"/>
              <w:spacing w:line="348" w:lineRule="auto"/>
              <w:ind w:firstLine="482" w:firstLineChars="200"/>
              <w:rPr>
                <w:bCs/>
                <w:color w:val="auto"/>
                <w:sz w:val="24"/>
              </w:rPr>
            </w:pPr>
            <w:r>
              <w:rPr>
                <w:b/>
                <w:color w:val="auto"/>
                <w:sz w:val="24"/>
              </w:rPr>
              <w:t>（2）排水情况</w:t>
            </w:r>
          </w:p>
          <w:p w14:paraId="60A31BFA">
            <w:pPr>
              <w:adjustRightInd w:val="0"/>
              <w:snapToGrid w:val="0"/>
              <w:spacing w:line="348" w:lineRule="auto"/>
              <w:ind w:firstLine="480" w:firstLineChars="200"/>
              <w:rPr>
                <w:color w:val="auto"/>
                <w:kern w:val="0"/>
                <w:sz w:val="24"/>
              </w:rPr>
            </w:pPr>
            <w:r>
              <w:rPr>
                <w:color w:val="auto"/>
                <w:kern w:val="0"/>
                <w:sz w:val="24"/>
              </w:rPr>
              <w:t>本</w:t>
            </w:r>
            <w:r>
              <w:rPr>
                <w:bCs/>
                <w:color w:val="auto"/>
                <w:kern w:val="0"/>
                <w:sz w:val="24"/>
              </w:rPr>
              <w:t>项目厂区实行雨污分流制，分别设置有雨水管网、污水管网。</w:t>
            </w:r>
            <w:r>
              <w:rPr>
                <w:color w:val="auto"/>
                <w:kern w:val="0"/>
                <w:sz w:val="24"/>
              </w:rPr>
              <w:t>运营期废水主要为生产废水及生活污水，生产废水包括废槽液、清洗废水、</w:t>
            </w:r>
            <w:r>
              <w:rPr>
                <w:rFonts w:hint="eastAsia"/>
                <w:color w:val="auto"/>
                <w:kern w:val="0"/>
                <w:sz w:val="24"/>
              </w:rPr>
              <w:t>水帘柜废水、喷淋柜废水、喷枪清洗废水、</w:t>
            </w:r>
            <w:r>
              <w:rPr>
                <w:color w:val="auto"/>
                <w:kern w:val="0"/>
                <w:sz w:val="24"/>
              </w:rPr>
              <w:t>喷淋</w:t>
            </w:r>
            <w:r>
              <w:rPr>
                <w:rFonts w:hint="eastAsia"/>
                <w:color w:val="auto"/>
                <w:kern w:val="0"/>
                <w:sz w:val="24"/>
              </w:rPr>
              <w:t>塔</w:t>
            </w:r>
            <w:r>
              <w:rPr>
                <w:color w:val="auto"/>
                <w:kern w:val="0"/>
                <w:sz w:val="24"/>
              </w:rPr>
              <w:t>废水</w:t>
            </w:r>
            <w:r>
              <w:rPr>
                <w:rFonts w:hint="eastAsia"/>
                <w:color w:val="auto"/>
                <w:kern w:val="0"/>
                <w:sz w:val="24"/>
              </w:rPr>
              <w:t>和废水处理设施反冲洗废水</w:t>
            </w:r>
            <w:r>
              <w:rPr>
                <w:color w:val="auto"/>
                <w:kern w:val="0"/>
                <w:sz w:val="24"/>
              </w:rPr>
              <w:t>。</w:t>
            </w:r>
          </w:p>
          <w:p w14:paraId="6C753649">
            <w:pPr>
              <w:adjustRightInd w:val="0"/>
              <w:snapToGrid w:val="0"/>
              <w:spacing w:line="348" w:lineRule="auto"/>
              <w:ind w:firstLine="482" w:firstLineChars="200"/>
              <w:rPr>
                <w:color w:val="auto"/>
                <w:kern w:val="0"/>
                <w:sz w:val="24"/>
                <w:lang w:bidi="ar"/>
              </w:rPr>
            </w:pPr>
            <w:r>
              <w:rPr>
                <w:b/>
                <w:bCs/>
                <w:color w:val="auto"/>
                <w:kern w:val="0"/>
                <w:sz w:val="24"/>
                <w:lang w:bidi="ar"/>
              </w:rPr>
              <w:t>1）</w:t>
            </w:r>
            <w:r>
              <w:rPr>
                <w:b/>
                <w:bCs/>
                <w:color w:val="auto"/>
                <w:kern w:val="0"/>
                <w:sz w:val="24"/>
              </w:rPr>
              <w:t>废槽液</w:t>
            </w:r>
          </w:p>
          <w:p w14:paraId="67B08102">
            <w:pPr>
              <w:adjustRightInd w:val="0"/>
              <w:snapToGrid w:val="0"/>
              <w:spacing w:line="348" w:lineRule="auto"/>
              <w:ind w:firstLine="480" w:firstLineChars="200"/>
              <w:rPr>
                <w:color w:val="auto"/>
                <w:kern w:val="0"/>
                <w:sz w:val="24"/>
                <w:lang w:bidi="ar"/>
              </w:rPr>
            </w:pPr>
            <w:r>
              <w:rPr>
                <w:color w:val="auto"/>
                <w:sz w:val="24"/>
              </w:rPr>
              <w:t>根据前文的功</w:t>
            </w:r>
            <w:r>
              <w:rPr>
                <w:bCs/>
                <w:color w:val="auto"/>
                <w:sz w:val="24"/>
              </w:rPr>
              <w:t>能槽药剂及用水情况一览表（2-1</w:t>
            </w:r>
            <w:r>
              <w:rPr>
                <w:rFonts w:hint="eastAsia"/>
                <w:bCs/>
                <w:color w:val="auto"/>
                <w:sz w:val="24"/>
              </w:rPr>
              <w:t>1</w:t>
            </w:r>
            <w:r>
              <w:rPr>
                <w:bCs/>
                <w:color w:val="auto"/>
                <w:sz w:val="24"/>
              </w:rPr>
              <w:t>）可知，废槽液产生量为</w:t>
            </w:r>
            <w:r>
              <w:rPr>
                <w:rFonts w:hint="eastAsia"/>
                <w:bCs/>
                <w:color w:val="auto"/>
                <w:sz w:val="24"/>
              </w:rPr>
              <w:t>40.51</w:t>
            </w:r>
            <w:r>
              <w:rPr>
                <w:bCs/>
                <w:color w:val="auto"/>
                <w:sz w:val="24"/>
              </w:rPr>
              <w:t>t/a，经自建</w:t>
            </w:r>
            <w:r>
              <w:rPr>
                <w:rFonts w:hint="eastAsia"/>
                <w:bCs/>
                <w:color w:val="auto"/>
                <w:sz w:val="24"/>
              </w:rPr>
              <w:t>废水处理设施</w:t>
            </w:r>
            <w:r>
              <w:rPr>
                <w:bCs/>
                <w:color w:val="auto"/>
                <w:sz w:val="24"/>
              </w:rPr>
              <w:t>进行处理后回用于</w:t>
            </w:r>
            <w:r>
              <w:rPr>
                <w:rFonts w:hint="eastAsia"/>
                <w:bCs/>
                <w:color w:val="auto"/>
                <w:sz w:val="24"/>
              </w:rPr>
              <w:t>生产</w:t>
            </w:r>
            <w:r>
              <w:rPr>
                <w:bCs/>
                <w:color w:val="auto"/>
                <w:sz w:val="24"/>
              </w:rPr>
              <w:t>。</w:t>
            </w:r>
          </w:p>
          <w:p w14:paraId="7952188B">
            <w:pPr>
              <w:adjustRightInd w:val="0"/>
              <w:snapToGrid w:val="0"/>
              <w:spacing w:line="348" w:lineRule="auto"/>
              <w:ind w:firstLine="482" w:firstLineChars="200"/>
              <w:rPr>
                <w:b/>
                <w:bCs/>
                <w:color w:val="auto"/>
                <w:kern w:val="0"/>
                <w:sz w:val="24"/>
                <w:lang w:bidi="ar"/>
              </w:rPr>
            </w:pPr>
            <w:r>
              <w:rPr>
                <w:b/>
                <w:bCs/>
                <w:color w:val="auto"/>
                <w:kern w:val="0"/>
                <w:sz w:val="24"/>
                <w:lang w:bidi="ar"/>
              </w:rPr>
              <w:t>2）</w:t>
            </w:r>
            <w:r>
              <w:rPr>
                <w:b/>
                <w:bCs/>
                <w:color w:val="auto"/>
                <w:kern w:val="0"/>
                <w:sz w:val="24"/>
              </w:rPr>
              <w:t>清洗废水</w:t>
            </w:r>
          </w:p>
          <w:p w14:paraId="5D847F23">
            <w:pPr>
              <w:adjustRightInd w:val="0"/>
              <w:snapToGrid w:val="0"/>
              <w:spacing w:line="348" w:lineRule="auto"/>
              <w:ind w:firstLine="480" w:firstLineChars="200"/>
              <w:rPr>
                <w:b/>
                <w:bCs/>
                <w:color w:val="auto"/>
                <w:kern w:val="0"/>
                <w:sz w:val="24"/>
                <w:lang w:bidi="ar"/>
              </w:rPr>
            </w:pPr>
            <w:r>
              <w:rPr>
                <w:bCs/>
                <w:color w:val="auto"/>
                <w:sz w:val="24"/>
              </w:rPr>
              <w:t>根据</w:t>
            </w:r>
            <w:r>
              <w:rPr>
                <w:rFonts w:hint="eastAsia"/>
                <w:bCs/>
                <w:color w:val="auto"/>
                <w:sz w:val="24"/>
              </w:rPr>
              <w:t>表2-22</w:t>
            </w:r>
            <w:r>
              <w:rPr>
                <w:bCs/>
                <w:color w:val="auto"/>
                <w:sz w:val="24"/>
              </w:rPr>
              <w:t>，本项目更换用水量为</w:t>
            </w:r>
            <w:r>
              <w:rPr>
                <w:rFonts w:hint="eastAsia"/>
                <w:bCs/>
                <w:color w:val="auto"/>
                <w:sz w:val="24"/>
              </w:rPr>
              <w:t>1440</w:t>
            </w:r>
            <w:r>
              <w:rPr>
                <w:bCs/>
                <w:color w:val="auto"/>
                <w:sz w:val="24"/>
              </w:rPr>
              <w:t>t/a，损耗率约为10%，故本项目清洗废水产生量为</w:t>
            </w:r>
            <w:r>
              <w:rPr>
                <w:rFonts w:hint="eastAsia"/>
                <w:bCs/>
                <w:color w:val="auto"/>
                <w:sz w:val="24"/>
              </w:rPr>
              <w:t>1296</w:t>
            </w:r>
            <w:r>
              <w:rPr>
                <w:bCs/>
                <w:color w:val="auto"/>
                <w:sz w:val="24"/>
              </w:rPr>
              <w:t>t/a，经自建废水站进行处理后回用于</w:t>
            </w:r>
            <w:r>
              <w:rPr>
                <w:rFonts w:hint="eastAsia"/>
                <w:bCs/>
                <w:color w:val="auto"/>
                <w:sz w:val="24"/>
              </w:rPr>
              <w:t>生产</w:t>
            </w:r>
            <w:r>
              <w:rPr>
                <w:color w:val="auto"/>
                <w:kern w:val="0"/>
                <w:sz w:val="24"/>
                <w:lang w:bidi="ar"/>
              </w:rPr>
              <w:t>。</w:t>
            </w:r>
          </w:p>
          <w:p w14:paraId="3F0E3842">
            <w:pPr>
              <w:adjustRightInd w:val="0"/>
              <w:snapToGrid w:val="0"/>
              <w:spacing w:line="348" w:lineRule="auto"/>
              <w:ind w:firstLine="482" w:firstLineChars="200"/>
              <w:rPr>
                <w:b/>
                <w:bCs/>
                <w:color w:val="auto"/>
                <w:sz w:val="24"/>
                <w:szCs w:val="32"/>
              </w:rPr>
            </w:pPr>
            <w:r>
              <w:rPr>
                <w:b/>
                <w:bCs/>
                <w:color w:val="auto"/>
                <w:sz w:val="24"/>
                <w:szCs w:val="32"/>
              </w:rPr>
              <w:t>3）</w:t>
            </w:r>
            <w:r>
              <w:rPr>
                <w:rFonts w:hint="eastAsia"/>
                <w:b/>
                <w:bCs/>
                <w:color w:val="auto"/>
                <w:sz w:val="24"/>
                <w:szCs w:val="32"/>
              </w:rPr>
              <w:t>水帘柜废水</w:t>
            </w:r>
          </w:p>
          <w:p w14:paraId="1F910DF3">
            <w:pPr>
              <w:pStyle w:val="43"/>
              <w:spacing w:line="348" w:lineRule="auto"/>
              <w:rPr>
                <w:color w:val="auto"/>
              </w:rPr>
            </w:pPr>
            <w:r>
              <w:rPr>
                <w:rFonts w:hint="eastAsia"/>
                <w:color w:val="auto"/>
              </w:rPr>
              <w:t>根据表2-23，项目水帘柜、自动涂装机更换用水量合计为21.96t/a，损耗率</w:t>
            </w:r>
            <w:r>
              <w:rPr>
                <w:bCs/>
                <w:color w:val="auto"/>
              </w:rPr>
              <w:t>约为10%，故本项目</w:t>
            </w:r>
            <w:r>
              <w:rPr>
                <w:rFonts w:hint="eastAsia"/>
                <w:bCs/>
                <w:color w:val="auto"/>
              </w:rPr>
              <w:t>水帘柜</w:t>
            </w:r>
            <w:r>
              <w:rPr>
                <w:bCs/>
                <w:color w:val="auto"/>
              </w:rPr>
              <w:t>废水产生量为</w:t>
            </w:r>
            <w:r>
              <w:rPr>
                <w:rFonts w:hint="eastAsia"/>
                <w:bCs/>
                <w:color w:val="auto"/>
              </w:rPr>
              <w:t>19.76</w:t>
            </w:r>
            <w:r>
              <w:rPr>
                <w:bCs/>
                <w:color w:val="auto"/>
              </w:rPr>
              <w:t>t/a，</w:t>
            </w:r>
            <w:r>
              <w:rPr>
                <w:rFonts w:hint="eastAsia"/>
                <w:bCs/>
                <w:color w:val="auto"/>
              </w:rPr>
              <w:t>收集后定期交由有资质的危废处置单位处理。</w:t>
            </w:r>
          </w:p>
          <w:p w14:paraId="1AD0F22E">
            <w:pPr>
              <w:adjustRightInd w:val="0"/>
              <w:snapToGrid w:val="0"/>
              <w:spacing w:line="348" w:lineRule="auto"/>
              <w:ind w:firstLine="482" w:firstLineChars="200"/>
              <w:rPr>
                <w:b/>
                <w:bCs/>
                <w:color w:val="auto"/>
                <w:sz w:val="24"/>
                <w:szCs w:val="32"/>
              </w:rPr>
            </w:pPr>
            <w:r>
              <w:rPr>
                <w:b/>
                <w:bCs/>
                <w:color w:val="auto"/>
                <w:sz w:val="24"/>
                <w:szCs w:val="32"/>
              </w:rPr>
              <w:t>4）</w:t>
            </w:r>
            <w:r>
              <w:rPr>
                <w:rFonts w:hint="eastAsia"/>
                <w:b/>
                <w:bCs/>
                <w:color w:val="auto"/>
                <w:sz w:val="24"/>
                <w:szCs w:val="32"/>
              </w:rPr>
              <w:t>喷淋柜废水</w:t>
            </w:r>
          </w:p>
          <w:p w14:paraId="5CE78C73">
            <w:pPr>
              <w:pStyle w:val="43"/>
              <w:spacing w:line="348" w:lineRule="auto"/>
              <w:rPr>
                <w:color w:val="auto"/>
              </w:rPr>
            </w:pPr>
            <w:r>
              <w:rPr>
                <w:rFonts w:hint="eastAsia"/>
                <w:color w:val="auto"/>
              </w:rPr>
              <w:t>根据工程分析，项目喷淋柜的换水量为0.64t/a，</w:t>
            </w:r>
            <w:r>
              <w:rPr>
                <w:bCs/>
                <w:color w:val="auto"/>
              </w:rPr>
              <w:t>损耗率约为10%，故本项目</w:t>
            </w:r>
            <w:r>
              <w:rPr>
                <w:rFonts w:hint="eastAsia"/>
                <w:bCs/>
                <w:color w:val="auto"/>
              </w:rPr>
              <w:t>喷淋柜</w:t>
            </w:r>
            <w:r>
              <w:rPr>
                <w:bCs/>
                <w:color w:val="auto"/>
              </w:rPr>
              <w:t>废水产生量为</w:t>
            </w:r>
            <w:r>
              <w:rPr>
                <w:rFonts w:hint="eastAsia"/>
                <w:bCs/>
                <w:color w:val="auto"/>
              </w:rPr>
              <w:t>0.576</w:t>
            </w:r>
            <w:r>
              <w:rPr>
                <w:bCs/>
                <w:color w:val="auto"/>
              </w:rPr>
              <w:t>t/a，经自建废水站进行处理后回用于</w:t>
            </w:r>
            <w:r>
              <w:rPr>
                <w:rFonts w:hint="eastAsia"/>
                <w:bCs/>
                <w:color w:val="auto"/>
              </w:rPr>
              <w:t>生产</w:t>
            </w:r>
            <w:r>
              <w:rPr>
                <w:color w:val="auto"/>
                <w:kern w:val="0"/>
                <w:lang w:bidi="ar"/>
              </w:rPr>
              <w:t>。</w:t>
            </w:r>
          </w:p>
          <w:p w14:paraId="3A040B64">
            <w:pPr>
              <w:adjustRightInd w:val="0"/>
              <w:snapToGrid w:val="0"/>
              <w:spacing w:line="348" w:lineRule="auto"/>
              <w:ind w:firstLine="482" w:firstLineChars="200"/>
              <w:rPr>
                <w:b/>
                <w:bCs/>
                <w:color w:val="auto"/>
                <w:sz w:val="24"/>
                <w:szCs w:val="32"/>
              </w:rPr>
            </w:pPr>
            <w:r>
              <w:rPr>
                <w:b/>
                <w:bCs/>
                <w:color w:val="auto"/>
                <w:sz w:val="24"/>
                <w:szCs w:val="32"/>
              </w:rPr>
              <w:t>5）</w:t>
            </w:r>
            <w:r>
              <w:rPr>
                <w:rFonts w:hint="eastAsia"/>
                <w:b/>
                <w:bCs/>
                <w:color w:val="auto"/>
                <w:sz w:val="24"/>
                <w:szCs w:val="32"/>
              </w:rPr>
              <w:t>喷枪清洗废水</w:t>
            </w:r>
          </w:p>
          <w:p w14:paraId="4835DF95">
            <w:pPr>
              <w:pStyle w:val="43"/>
              <w:spacing w:line="348" w:lineRule="auto"/>
              <w:rPr>
                <w:color w:val="auto"/>
              </w:rPr>
            </w:pPr>
            <w:r>
              <w:rPr>
                <w:rFonts w:hint="eastAsia"/>
                <w:color w:val="auto"/>
              </w:rPr>
              <w:t>根据工程分析，项目喷枪清洗过程用水量为0.188t/a，</w:t>
            </w:r>
            <w:r>
              <w:rPr>
                <w:bCs/>
                <w:color w:val="auto"/>
              </w:rPr>
              <w:t>损耗率约为10%，</w:t>
            </w:r>
            <w:r>
              <w:rPr>
                <w:rFonts w:hint="eastAsia"/>
                <w:bCs/>
                <w:color w:val="auto"/>
              </w:rPr>
              <w:t>故项目喷枪清洗废水产生量为0.169t/a</w:t>
            </w:r>
            <w:r>
              <w:rPr>
                <w:bCs/>
                <w:color w:val="auto"/>
              </w:rPr>
              <w:t>，</w:t>
            </w:r>
            <w:r>
              <w:rPr>
                <w:rFonts w:hint="eastAsia"/>
                <w:bCs/>
                <w:color w:val="auto"/>
              </w:rPr>
              <w:t>清洗后废水直接倒入水帘柜内进行二次利用，不另外处理</w:t>
            </w:r>
            <w:r>
              <w:rPr>
                <w:rFonts w:hint="eastAsia"/>
                <w:color w:val="auto"/>
              </w:rPr>
              <w:t>。</w:t>
            </w:r>
          </w:p>
          <w:p w14:paraId="55CF3251">
            <w:pPr>
              <w:adjustRightInd w:val="0"/>
              <w:snapToGrid w:val="0"/>
              <w:spacing w:line="348" w:lineRule="auto"/>
              <w:ind w:firstLine="482" w:firstLineChars="200"/>
              <w:rPr>
                <w:b/>
                <w:bCs/>
                <w:color w:val="auto"/>
                <w:sz w:val="24"/>
                <w:szCs w:val="32"/>
              </w:rPr>
            </w:pPr>
            <w:r>
              <w:rPr>
                <w:b/>
                <w:bCs/>
                <w:color w:val="auto"/>
                <w:sz w:val="24"/>
                <w:szCs w:val="32"/>
              </w:rPr>
              <w:t>6）喷淋</w:t>
            </w:r>
            <w:r>
              <w:rPr>
                <w:rFonts w:hint="eastAsia"/>
                <w:b/>
                <w:bCs/>
                <w:color w:val="auto"/>
                <w:sz w:val="24"/>
                <w:szCs w:val="32"/>
              </w:rPr>
              <w:t>塔</w:t>
            </w:r>
            <w:r>
              <w:rPr>
                <w:b/>
                <w:bCs/>
                <w:color w:val="auto"/>
                <w:sz w:val="24"/>
                <w:szCs w:val="32"/>
              </w:rPr>
              <w:t>废水</w:t>
            </w:r>
          </w:p>
          <w:p w14:paraId="08CA2971">
            <w:pPr>
              <w:adjustRightInd w:val="0"/>
              <w:snapToGrid w:val="0"/>
              <w:spacing w:line="348" w:lineRule="auto"/>
              <w:ind w:firstLine="480" w:firstLineChars="200"/>
              <w:rPr>
                <w:b/>
                <w:bCs/>
                <w:color w:val="auto"/>
                <w:kern w:val="0"/>
                <w:sz w:val="24"/>
                <w:lang w:bidi="ar"/>
              </w:rPr>
            </w:pPr>
            <w:r>
              <w:rPr>
                <w:color w:val="auto"/>
                <w:sz w:val="24"/>
                <w:szCs w:val="32"/>
              </w:rPr>
              <w:t>根据</w:t>
            </w:r>
            <w:r>
              <w:rPr>
                <w:rFonts w:hint="eastAsia"/>
                <w:color w:val="auto"/>
                <w:sz w:val="24"/>
                <w:szCs w:val="32"/>
              </w:rPr>
              <w:t>工程分析</w:t>
            </w:r>
            <w:r>
              <w:rPr>
                <w:color w:val="auto"/>
                <w:sz w:val="24"/>
                <w:szCs w:val="32"/>
              </w:rPr>
              <w:t>，</w:t>
            </w:r>
            <w:r>
              <w:rPr>
                <w:color w:val="auto"/>
                <w:sz w:val="24"/>
              </w:rPr>
              <w:t>项目</w:t>
            </w:r>
            <w:r>
              <w:rPr>
                <w:color w:val="auto"/>
                <w:sz w:val="24"/>
                <w:szCs w:val="32"/>
              </w:rPr>
              <w:t>喷淋</w:t>
            </w:r>
            <w:r>
              <w:rPr>
                <w:rFonts w:hint="eastAsia"/>
                <w:color w:val="auto"/>
                <w:sz w:val="24"/>
                <w:szCs w:val="32"/>
              </w:rPr>
              <w:t>塔更换用水量为82</w:t>
            </w:r>
            <w:r>
              <w:rPr>
                <w:bCs/>
                <w:color w:val="auto"/>
                <w:sz w:val="24"/>
              </w:rPr>
              <w:t>t/a，损耗率约为10%，故本项目</w:t>
            </w:r>
            <w:r>
              <w:rPr>
                <w:rFonts w:hint="eastAsia"/>
                <w:bCs/>
                <w:color w:val="auto"/>
                <w:sz w:val="24"/>
              </w:rPr>
              <w:t>喷淋塔废水</w:t>
            </w:r>
            <w:r>
              <w:rPr>
                <w:color w:val="auto"/>
                <w:sz w:val="24"/>
                <w:szCs w:val="32"/>
              </w:rPr>
              <w:t>产生量为</w:t>
            </w:r>
            <w:r>
              <w:rPr>
                <w:rFonts w:hint="eastAsia"/>
                <w:color w:val="auto"/>
                <w:sz w:val="24"/>
                <w:szCs w:val="32"/>
              </w:rPr>
              <w:t>73.8</w:t>
            </w:r>
            <w:r>
              <w:rPr>
                <w:color w:val="auto"/>
                <w:sz w:val="24"/>
              </w:rPr>
              <w:t>t/a</w:t>
            </w:r>
            <w:r>
              <w:rPr>
                <w:bCs/>
                <w:color w:val="auto"/>
                <w:sz w:val="24"/>
              </w:rPr>
              <w:t>，经自建废水站进行处理后回用于</w:t>
            </w:r>
            <w:r>
              <w:rPr>
                <w:rFonts w:hint="eastAsia"/>
                <w:bCs/>
                <w:color w:val="auto"/>
                <w:sz w:val="24"/>
              </w:rPr>
              <w:t>生产</w:t>
            </w:r>
            <w:r>
              <w:rPr>
                <w:color w:val="auto"/>
                <w:sz w:val="24"/>
              </w:rPr>
              <w:t>。</w:t>
            </w:r>
          </w:p>
          <w:p w14:paraId="4EA489A0">
            <w:pPr>
              <w:adjustRightInd w:val="0"/>
              <w:snapToGrid w:val="0"/>
              <w:spacing w:line="348" w:lineRule="auto"/>
              <w:ind w:firstLine="482" w:firstLineChars="200"/>
              <w:rPr>
                <w:b/>
                <w:bCs/>
                <w:color w:val="auto"/>
                <w:sz w:val="24"/>
                <w:szCs w:val="32"/>
              </w:rPr>
            </w:pPr>
            <w:r>
              <w:rPr>
                <w:b/>
                <w:bCs/>
                <w:color w:val="auto"/>
                <w:sz w:val="24"/>
                <w:szCs w:val="32"/>
              </w:rPr>
              <w:t>7）</w:t>
            </w:r>
            <w:r>
              <w:rPr>
                <w:rFonts w:hint="eastAsia"/>
                <w:b/>
                <w:bCs/>
                <w:color w:val="auto"/>
                <w:sz w:val="24"/>
                <w:szCs w:val="32"/>
              </w:rPr>
              <w:t>废水处理设施反冲洗</w:t>
            </w:r>
            <w:r>
              <w:rPr>
                <w:b/>
                <w:bCs/>
                <w:color w:val="auto"/>
                <w:sz w:val="24"/>
                <w:szCs w:val="32"/>
              </w:rPr>
              <w:t>废水</w:t>
            </w:r>
          </w:p>
          <w:p w14:paraId="19409419">
            <w:pPr>
              <w:adjustRightInd w:val="0"/>
              <w:snapToGrid w:val="0"/>
              <w:spacing w:line="348" w:lineRule="auto"/>
              <w:ind w:firstLine="480" w:firstLineChars="200"/>
              <w:rPr>
                <w:color w:val="auto"/>
                <w:kern w:val="0"/>
                <w:sz w:val="24"/>
                <w:lang w:bidi="ar"/>
              </w:rPr>
            </w:pPr>
            <w:r>
              <w:rPr>
                <w:bCs/>
                <w:color w:val="auto"/>
                <w:sz w:val="24"/>
              </w:rPr>
              <w:t>根据</w:t>
            </w:r>
            <w:r>
              <w:rPr>
                <w:rFonts w:hint="eastAsia"/>
                <w:bCs/>
                <w:color w:val="auto"/>
                <w:sz w:val="24"/>
              </w:rPr>
              <w:t>工程</w:t>
            </w:r>
            <w:r>
              <w:rPr>
                <w:bCs/>
                <w:color w:val="auto"/>
                <w:sz w:val="24"/>
              </w:rPr>
              <w:t>分析，</w:t>
            </w:r>
            <w:r>
              <w:rPr>
                <w:iCs/>
                <w:color w:val="auto"/>
                <w:sz w:val="24"/>
                <w:lang w:bidi="ar"/>
              </w:rPr>
              <w:t>本</w:t>
            </w:r>
            <w:r>
              <w:rPr>
                <w:color w:val="auto"/>
                <w:sz w:val="24"/>
              </w:rPr>
              <w:t>项目</w:t>
            </w:r>
            <w:r>
              <w:rPr>
                <w:bCs/>
                <w:color w:val="auto"/>
                <w:sz w:val="24"/>
              </w:rPr>
              <w:t>反冲洗用水量为</w:t>
            </w:r>
            <w:r>
              <w:rPr>
                <w:rFonts w:hint="eastAsia"/>
                <w:bCs/>
                <w:color w:val="auto"/>
                <w:sz w:val="24"/>
              </w:rPr>
              <w:t>30</w:t>
            </w:r>
            <w:r>
              <w:rPr>
                <w:bCs/>
                <w:color w:val="auto"/>
                <w:sz w:val="24"/>
              </w:rPr>
              <w:t>t/a</w:t>
            </w:r>
            <w:r>
              <w:rPr>
                <w:color w:val="auto"/>
                <w:kern w:val="0"/>
                <w:sz w:val="24"/>
                <w:lang w:bidi="ar"/>
              </w:rPr>
              <w:t>，反</w:t>
            </w:r>
            <w:r>
              <w:rPr>
                <w:color w:val="auto"/>
                <w:sz w:val="24"/>
              </w:rPr>
              <w:t>冲洗用水在使用过程中存在损耗，损耗率约为</w:t>
            </w:r>
            <w:r>
              <w:rPr>
                <w:rFonts w:hint="eastAsia"/>
                <w:color w:val="auto"/>
                <w:sz w:val="24"/>
              </w:rPr>
              <w:t>10</w:t>
            </w:r>
            <w:r>
              <w:rPr>
                <w:color w:val="auto"/>
                <w:sz w:val="24"/>
              </w:rPr>
              <w:t>%，</w:t>
            </w:r>
            <w:r>
              <w:rPr>
                <w:color w:val="auto"/>
                <w:kern w:val="0"/>
                <w:sz w:val="24"/>
                <w:lang w:bidi="ar"/>
              </w:rPr>
              <w:t>故</w:t>
            </w:r>
            <w:r>
              <w:rPr>
                <w:rFonts w:hint="eastAsia"/>
                <w:color w:val="auto"/>
                <w:kern w:val="0"/>
                <w:sz w:val="24"/>
                <w:lang w:bidi="ar"/>
              </w:rPr>
              <w:t>反</w:t>
            </w:r>
            <w:r>
              <w:rPr>
                <w:color w:val="auto"/>
                <w:kern w:val="0"/>
                <w:sz w:val="24"/>
                <w:lang w:bidi="ar"/>
              </w:rPr>
              <w:t>冲洗废水产生量为</w:t>
            </w:r>
            <w:r>
              <w:rPr>
                <w:rFonts w:hint="eastAsia"/>
                <w:color w:val="auto"/>
                <w:kern w:val="0"/>
                <w:sz w:val="24"/>
                <w:lang w:bidi="ar"/>
              </w:rPr>
              <w:t>27</w:t>
            </w:r>
            <w:r>
              <w:rPr>
                <w:bCs/>
                <w:color w:val="auto"/>
                <w:sz w:val="24"/>
              </w:rPr>
              <w:t>t/a，经自建废水站进行处理后回用于</w:t>
            </w:r>
            <w:r>
              <w:rPr>
                <w:rFonts w:hint="eastAsia"/>
                <w:bCs/>
                <w:color w:val="auto"/>
                <w:sz w:val="24"/>
              </w:rPr>
              <w:t>生产</w:t>
            </w:r>
            <w:r>
              <w:rPr>
                <w:bCs/>
                <w:color w:val="auto"/>
                <w:sz w:val="24"/>
              </w:rPr>
              <w:t>。</w:t>
            </w:r>
          </w:p>
          <w:p w14:paraId="5D7E35CF">
            <w:pPr>
              <w:adjustRightInd w:val="0"/>
              <w:snapToGrid w:val="0"/>
              <w:spacing w:line="348" w:lineRule="auto"/>
              <w:ind w:firstLine="482" w:firstLineChars="200"/>
              <w:rPr>
                <w:b/>
                <w:bCs/>
                <w:color w:val="auto"/>
                <w:sz w:val="24"/>
                <w:szCs w:val="32"/>
              </w:rPr>
            </w:pPr>
            <w:r>
              <w:rPr>
                <w:rFonts w:hint="eastAsia"/>
                <w:b/>
                <w:bCs/>
                <w:color w:val="auto"/>
                <w:sz w:val="24"/>
                <w:szCs w:val="32"/>
              </w:rPr>
              <w:t>8）生活污水</w:t>
            </w:r>
          </w:p>
          <w:p w14:paraId="4DE31EEA">
            <w:pPr>
              <w:adjustRightInd w:val="0"/>
              <w:snapToGrid w:val="0"/>
              <w:spacing w:line="348" w:lineRule="auto"/>
              <w:ind w:firstLine="480" w:firstLineChars="200"/>
              <w:rPr>
                <w:b/>
                <w:bCs/>
                <w:color w:val="auto"/>
                <w:kern w:val="0"/>
                <w:sz w:val="24"/>
                <w:lang w:bidi="ar"/>
              </w:rPr>
            </w:pPr>
            <w:r>
              <w:rPr>
                <w:bCs/>
                <w:color w:val="auto"/>
                <w:sz w:val="24"/>
              </w:rPr>
              <w:t>根据</w:t>
            </w:r>
            <w:r>
              <w:rPr>
                <w:rFonts w:hint="eastAsia"/>
                <w:bCs/>
                <w:color w:val="auto"/>
                <w:sz w:val="24"/>
              </w:rPr>
              <w:t>工程</w:t>
            </w:r>
            <w:r>
              <w:rPr>
                <w:bCs/>
                <w:color w:val="auto"/>
                <w:sz w:val="24"/>
              </w:rPr>
              <w:t>分析</w:t>
            </w:r>
            <w:r>
              <w:rPr>
                <w:iCs/>
                <w:color w:val="auto"/>
                <w:sz w:val="24"/>
                <w:lang w:bidi="ar"/>
              </w:rPr>
              <w:t>，本</w:t>
            </w:r>
            <w:r>
              <w:rPr>
                <w:color w:val="auto"/>
                <w:sz w:val="24"/>
              </w:rPr>
              <w:t>项目生活用水量为</w:t>
            </w:r>
            <w:r>
              <w:rPr>
                <w:rFonts w:hint="eastAsia"/>
                <w:color w:val="auto"/>
                <w:sz w:val="24"/>
                <w:szCs w:val="22"/>
              </w:rPr>
              <w:t>500</w:t>
            </w:r>
            <w:r>
              <w:rPr>
                <w:color w:val="auto"/>
                <w:sz w:val="24"/>
              </w:rPr>
              <w:t>t/a，排污系数按0.</w:t>
            </w:r>
            <w:r>
              <w:rPr>
                <w:rFonts w:hint="eastAsia"/>
                <w:color w:val="auto"/>
                <w:sz w:val="24"/>
              </w:rPr>
              <w:t>9</w:t>
            </w:r>
            <w:r>
              <w:rPr>
                <w:color w:val="auto"/>
                <w:sz w:val="24"/>
              </w:rPr>
              <w:t>计算，则生活污水量为</w:t>
            </w:r>
            <w:r>
              <w:rPr>
                <w:rFonts w:hint="eastAsia"/>
                <w:color w:val="auto"/>
                <w:sz w:val="24"/>
              </w:rPr>
              <w:t>45</w:t>
            </w:r>
            <w:r>
              <w:rPr>
                <w:color w:val="auto"/>
                <w:sz w:val="24"/>
              </w:rPr>
              <w:t>0t/a。</w:t>
            </w:r>
          </w:p>
          <w:p w14:paraId="1D25D33F">
            <w:pPr>
              <w:widowControl/>
              <w:adjustRightInd w:val="0"/>
              <w:snapToGrid w:val="0"/>
              <w:spacing w:line="348" w:lineRule="auto"/>
              <w:ind w:firstLine="480" w:firstLineChars="200"/>
              <w:rPr>
                <w:color w:val="auto"/>
                <w:kern w:val="0"/>
                <w:sz w:val="24"/>
                <w:lang w:bidi="ar"/>
              </w:rPr>
            </w:pPr>
            <w:r>
              <w:rPr>
                <w:rFonts w:hint="eastAsia"/>
                <w:color w:val="auto"/>
                <w:kern w:val="0"/>
                <w:sz w:val="24"/>
                <w:lang w:bidi="ar"/>
              </w:rPr>
              <w:t>综上，</w:t>
            </w:r>
            <w:r>
              <w:rPr>
                <w:color w:val="auto"/>
                <w:kern w:val="0"/>
                <w:sz w:val="24"/>
                <w:lang w:bidi="ar"/>
              </w:rPr>
              <w:t>本项目给排水情况见下表。</w:t>
            </w:r>
          </w:p>
          <w:p w14:paraId="4F25E25D">
            <w:pPr>
              <w:numPr>
                <w:ilvl w:val="0"/>
                <w:numId w:val="10"/>
              </w:numPr>
              <w:adjustRightInd w:val="0"/>
              <w:snapToGrid w:val="0"/>
              <w:jc w:val="center"/>
              <w:rPr>
                <w:b/>
                <w:color w:val="auto"/>
                <w:szCs w:val="21"/>
              </w:rPr>
            </w:pPr>
            <w:r>
              <w:rPr>
                <w:b/>
                <w:color w:val="auto"/>
                <w:szCs w:val="21"/>
              </w:rPr>
              <w:t>本项目给排水情况一览表（单位：t/a）</w:t>
            </w:r>
          </w:p>
          <w:tbl>
            <w:tblPr>
              <w:tblStyle w:val="36"/>
              <w:tblW w:w="10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075"/>
              <w:gridCol w:w="1075"/>
              <w:gridCol w:w="1076"/>
              <w:gridCol w:w="910"/>
              <w:gridCol w:w="1033"/>
              <w:gridCol w:w="1035"/>
              <w:gridCol w:w="1289"/>
              <w:gridCol w:w="1278"/>
            </w:tblGrid>
            <w:tr w14:paraId="5E3F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blHeader/>
                <w:jc w:val="center"/>
              </w:trPr>
              <w:tc>
                <w:tcPr>
                  <w:tcW w:w="1275" w:type="dxa"/>
                  <w:vAlign w:val="center"/>
                </w:tcPr>
                <w:p w14:paraId="7B69F8C0">
                  <w:pPr>
                    <w:pStyle w:val="2"/>
                    <w:adjustRightInd w:val="0"/>
                    <w:spacing w:before="0" w:after="0" w:line="240" w:lineRule="auto"/>
                    <w:ind w:right="0"/>
                    <w:jc w:val="center"/>
                    <w:rPr>
                      <w:b/>
                      <w:bCs/>
                      <w:color w:val="auto"/>
                      <w:sz w:val="21"/>
                      <w:szCs w:val="21"/>
                    </w:rPr>
                  </w:pPr>
                  <w:r>
                    <w:rPr>
                      <w:b/>
                      <w:bCs/>
                      <w:color w:val="auto"/>
                      <w:sz w:val="21"/>
                      <w:szCs w:val="21"/>
                    </w:rPr>
                    <w:t>用水种类</w:t>
                  </w:r>
                </w:p>
              </w:tc>
              <w:tc>
                <w:tcPr>
                  <w:tcW w:w="1075" w:type="dxa"/>
                  <w:vAlign w:val="center"/>
                </w:tcPr>
                <w:p w14:paraId="2B78DE54">
                  <w:pPr>
                    <w:pStyle w:val="2"/>
                    <w:adjustRightInd w:val="0"/>
                    <w:spacing w:before="0" w:after="0" w:line="240" w:lineRule="auto"/>
                    <w:ind w:right="0"/>
                    <w:jc w:val="center"/>
                    <w:rPr>
                      <w:b/>
                      <w:bCs/>
                      <w:color w:val="auto"/>
                      <w:sz w:val="21"/>
                      <w:szCs w:val="21"/>
                    </w:rPr>
                  </w:pPr>
                  <w:r>
                    <w:rPr>
                      <w:b/>
                      <w:bCs/>
                      <w:color w:val="auto"/>
                      <w:sz w:val="21"/>
                      <w:szCs w:val="21"/>
                    </w:rPr>
                    <w:t>总用水量</w:t>
                  </w:r>
                </w:p>
              </w:tc>
              <w:tc>
                <w:tcPr>
                  <w:tcW w:w="1075" w:type="dxa"/>
                  <w:vAlign w:val="center"/>
                </w:tcPr>
                <w:p w14:paraId="56F60AAA">
                  <w:pPr>
                    <w:pStyle w:val="2"/>
                    <w:adjustRightInd w:val="0"/>
                    <w:spacing w:before="0" w:after="0" w:line="240" w:lineRule="auto"/>
                    <w:ind w:right="0"/>
                    <w:jc w:val="center"/>
                    <w:rPr>
                      <w:b/>
                      <w:bCs/>
                      <w:color w:val="auto"/>
                      <w:sz w:val="21"/>
                      <w:szCs w:val="21"/>
                    </w:rPr>
                  </w:pPr>
                  <w:r>
                    <w:rPr>
                      <w:b/>
                      <w:bCs/>
                      <w:color w:val="auto"/>
                      <w:sz w:val="21"/>
                      <w:szCs w:val="21"/>
                    </w:rPr>
                    <w:t>新鲜水量</w:t>
                  </w:r>
                </w:p>
              </w:tc>
              <w:tc>
                <w:tcPr>
                  <w:tcW w:w="1076" w:type="dxa"/>
                  <w:vAlign w:val="center"/>
                </w:tcPr>
                <w:p w14:paraId="380406E8">
                  <w:pPr>
                    <w:pStyle w:val="2"/>
                    <w:adjustRightInd w:val="0"/>
                    <w:spacing w:before="0" w:after="0" w:line="240" w:lineRule="auto"/>
                    <w:ind w:right="0"/>
                    <w:jc w:val="center"/>
                    <w:rPr>
                      <w:b/>
                      <w:bCs/>
                      <w:color w:val="auto"/>
                      <w:sz w:val="21"/>
                      <w:szCs w:val="21"/>
                    </w:rPr>
                  </w:pPr>
                  <w:r>
                    <w:rPr>
                      <w:b/>
                      <w:bCs/>
                      <w:color w:val="auto"/>
                      <w:sz w:val="21"/>
                      <w:szCs w:val="21"/>
                    </w:rPr>
                    <w:t>回用水量</w:t>
                  </w:r>
                </w:p>
              </w:tc>
              <w:tc>
                <w:tcPr>
                  <w:tcW w:w="910" w:type="dxa"/>
                  <w:vAlign w:val="center"/>
                </w:tcPr>
                <w:p w14:paraId="0D89C262">
                  <w:pPr>
                    <w:pStyle w:val="2"/>
                    <w:adjustRightInd w:val="0"/>
                    <w:spacing w:before="0" w:after="0" w:line="240" w:lineRule="auto"/>
                    <w:ind w:right="0"/>
                    <w:jc w:val="center"/>
                    <w:rPr>
                      <w:b/>
                      <w:bCs/>
                      <w:color w:val="auto"/>
                      <w:sz w:val="21"/>
                      <w:szCs w:val="21"/>
                    </w:rPr>
                  </w:pPr>
                  <w:r>
                    <w:rPr>
                      <w:rFonts w:hint="eastAsia"/>
                      <w:b/>
                      <w:bCs/>
                      <w:color w:val="auto"/>
                      <w:sz w:val="21"/>
                      <w:szCs w:val="21"/>
                    </w:rPr>
                    <w:t>冷凝水</w:t>
                  </w:r>
                </w:p>
              </w:tc>
              <w:tc>
                <w:tcPr>
                  <w:tcW w:w="1033" w:type="dxa"/>
                  <w:vAlign w:val="center"/>
                </w:tcPr>
                <w:p w14:paraId="78F2E3BE">
                  <w:pPr>
                    <w:pStyle w:val="2"/>
                    <w:adjustRightInd w:val="0"/>
                    <w:spacing w:before="0" w:after="0" w:line="240" w:lineRule="auto"/>
                    <w:ind w:right="0"/>
                    <w:jc w:val="center"/>
                    <w:rPr>
                      <w:b/>
                      <w:bCs/>
                      <w:color w:val="auto"/>
                      <w:sz w:val="21"/>
                      <w:szCs w:val="21"/>
                    </w:rPr>
                  </w:pPr>
                  <w:r>
                    <w:rPr>
                      <w:b/>
                      <w:bCs/>
                      <w:color w:val="auto"/>
                      <w:sz w:val="21"/>
                      <w:szCs w:val="21"/>
                    </w:rPr>
                    <w:t>损耗量</w:t>
                  </w:r>
                </w:p>
              </w:tc>
              <w:tc>
                <w:tcPr>
                  <w:tcW w:w="1035" w:type="dxa"/>
                  <w:vAlign w:val="center"/>
                </w:tcPr>
                <w:p w14:paraId="1917EE6E">
                  <w:pPr>
                    <w:pStyle w:val="2"/>
                    <w:adjustRightInd w:val="0"/>
                    <w:spacing w:before="0" w:after="0" w:line="240" w:lineRule="auto"/>
                    <w:ind w:right="0"/>
                    <w:jc w:val="center"/>
                    <w:rPr>
                      <w:b/>
                      <w:bCs/>
                      <w:color w:val="auto"/>
                      <w:sz w:val="21"/>
                      <w:szCs w:val="21"/>
                    </w:rPr>
                  </w:pPr>
                  <w:r>
                    <w:rPr>
                      <w:rFonts w:hint="eastAsia"/>
                      <w:b/>
                      <w:bCs/>
                      <w:color w:val="auto"/>
                      <w:sz w:val="21"/>
                      <w:szCs w:val="21"/>
                    </w:rPr>
                    <w:t>废水</w:t>
                  </w:r>
                  <w:r>
                    <w:rPr>
                      <w:b/>
                      <w:bCs/>
                      <w:color w:val="auto"/>
                      <w:sz w:val="21"/>
                      <w:szCs w:val="21"/>
                    </w:rPr>
                    <w:t>量</w:t>
                  </w:r>
                </w:p>
              </w:tc>
              <w:tc>
                <w:tcPr>
                  <w:tcW w:w="1289" w:type="dxa"/>
                  <w:vAlign w:val="center"/>
                </w:tcPr>
                <w:p w14:paraId="4622B5EC">
                  <w:pPr>
                    <w:pStyle w:val="2"/>
                    <w:adjustRightInd w:val="0"/>
                    <w:spacing w:before="0" w:after="0" w:line="240" w:lineRule="auto"/>
                    <w:ind w:right="0"/>
                    <w:jc w:val="center"/>
                    <w:rPr>
                      <w:b/>
                      <w:bCs/>
                      <w:color w:val="auto"/>
                      <w:sz w:val="21"/>
                      <w:szCs w:val="21"/>
                    </w:rPr>
                  </w:pPr>
                  <w:r>
                    <w:rPr>
                      <w:b/>
                      <w:bCs/>
                      <w:color w:val="auto"/>
                      <w:sz w:val="21"/>
                      <w:szCs w:val="21"/>
                    </w:rPr>
                    <w:t>废水种类</w:t>
                  </w:r>
                </w:p>
              </w:tc>
              <w:tc>
                <w:tcPr>
                  <w:tcW w:w="1278" w:type="dxa"/>
                  <w:vAlign w:val="center"/>
                </w:tcPr>
                <w:p w14:paraId="3CA9EEE8">
                  <w:pPr>
                    <w:pStyle w:val="2"/>
                    <w:adjustRightInd w:val="0"/>
                    <w:spacing w:before="0" w:after="0" w:line="240" w:lineRule="auto"/>
                    <w:ind w:right="0"/>
                    <w:jc w:val="center"/>
                    <w:rPr>
                      <w:b/>
                      <w:bCs/>
                      <w:color w:val="auto"/>
                      <w:sz w:val="21"/>
                      <w:szCs w:val="21"/>
                    </w:rPr>
                  </w:pPr>
                  <w:r>
                    <w:rPr>
                      <w:b/>
                      <w:bCs/>
                      <w:color w:val="auto"/>
                      <w:sz w:val="21"/>
                      <w:szCs w:val="21"/>
                    </w:rPr>
                    <w:t>排放去向</w:t>
                  </w:r>
                </w:p>
              </w:tc>
            </w:tr>
            <w:tr w14:paraId="57FB1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75" w:type="dxa"/>
                  <w:vAlign w:val="center"/>
                </w:tcPr>
                <w:p w14:paraId="36FEE366">
                  <w:pPr>
                    <w:pStyle w:val="2"/>
                    <w:adjustRightInd w:val="0"/>
                    <w:spacing w:before="0" w:after="0" w:line="240" w:lineRule="auto"/>
                    <w:ind w:right="0"/>
                    <w:jc w:val="center"/>
                    <w:rPr>
                      <w:color w:val="auto"/>
                      <w:sz w:val="21"/>
                      <w:szCs w:val="21"/>
                    </w:rPr>
                  </w:pPr>
                  <w:r>
                    <w:rPr>
                      <w:color w:val="auto"/>
                      <w:sz w:val="21"/>
                      <w:szCs w:val="21"/>
                    </w:rPr>
                    <w:t>功能槽用水</w:t>
                  </w:r>
                </w:p>
              </w:tc>
              <w:tc>
                <w:tcPr>
                  <w:tcW w:w="1075" w:type="dxa"/>
                  <w:vAlign w:val="center"/>
                </w:tcPr>
                <w:p w14:paraId="6B668450">
                  <w:pPr>
                    <w:widowControl/>
                    <w:jc w:val="center"/>
                    <w:textAlignment w:val="center"/>
                    <w:rPr>
                      <w:color w:val="auto"/>
                      <w:kern w:val="0"/>
                      <w:szCs w:val="21"/>
                    </w:rPr>
                  </w:pPr>
                  <w:r>
                    <w:rPr>
                      <w:rFonts w:hint="eastAsia"/>
                      <w:color w:val="auto"/>
                      <w:kern w:val="0"/>
                      <w:szCs w:val="21"/>
                      <w:lang w:bidi="ar"/>
                    </w:rPr>
                    <w:t>241.91</w:t>
                  </w:r>
                </w:p>
              </w:tc>
              <w:tc>
                <w:tcPr>
                  <w:tcW w:w="1075" w:type="dxa"/>
                  <w:vAlign w:val="center"/>
                </w:tcPr>
                <w:p w14:paraId="56EEDD1C">
                  <w:pPr>
                    <w:widowControl/>
                    <w:jc w:val="center"/>
                    <w:textAlignment w:val="center"/>
                    <w:rPr>
                      <w:color w:val="auto"/>
                      <w:szCs w:val="21"/>
                    </w:rPr>
                  </w:pPr>
                  <w:r>
                    <w:rPr>
                      <w:rFonts w:hint="eastAsia"/>
                      <w:color w:val="auto"/>
                      <w:kern w:val="0"/>
                      <w:szCs w:val="21"/>
                      <w:lang w:bidi="ar"/>
                    </w:rPr>
                    <w:t>241.91</w:t>
                  </w:r>
                </w:p>
              </w:tc>
              <w:tc>
                <w:tcPr>
                  <w:tcW w:w="1076" w:type="dxa"/>
                  <w:vAlign w:val="center"/>
                </w:tcPr>
                <w:p w14:paraId="24A55251">
                  <w:pPr>
                    <w:widowControl/>
                    <w:jc w:val="center"/>
                    <w:textAlignment w:val="center"/>
                    <w:rPr>
                      <w:color w:val="auto"/>
                      <w:szCs w:val="21"/>
                    </w:rPr>
                  </w:pPr>
                  <w:r>
                    <w:rPr>
                      <w:color w:val="auto"/>
                      <w:kern w:val="0"/>
                      <w:szCs w:val="21"/>
                      <w:lang w:bidi="ar"/>
                    </w:rPr>
                    <w:t>0</w:t>
                  </w:r>
                </w:p>
              </w:tc>
              <w:tc>
                <w:tcPr>
                  <w:tcW w:w="910" w:type="dxa"/>
                  <w:vAlign w:val="center"/>
                </w:tcPr>
                <w:p w14:paraId="7553AA6A">
                  <w:pPr>
                    <w:widowControl/>
                    <w:jc w:val="center"/>
                    <w:textAlignment w:val="center"/>
                    <w:rPr>
                      <w:color w:val="auto"/>
                      <w:kern w:val="0"/>
                      <w:szCs w:val="21"/>
                      <w:lang w:bidi="ar"/>
                    </w:rPr>
                  </w:pPr>
                  <w:r>
                    <w:rPr>
                      <w:rFonts w:hint="eastAsia"/>
                      <w:color w:val="auto"/>
                      <w:kern w:val="0"/>
                      <w:szCs w:val="21"/>
                      <w:lang w:bidi="ar"/>
                    </w:rPr>
                    <w:t>0</w:t>
                  </w:r>
                </w:p>
              </w:tc>
              <w:tc>
                <w:tcPr>
                  <w:tcW w:w="1033" w:type="dxa"/>
                  <w:vAlign w:val="center"/>
                </w:tcPr>
                <w:p w14:paraId="25BD9F2B">
                  <w:pPr>
                    <w:widowControl/>
                    <w:jc w:val="center"/>
                    <w:textAlignment w:val="center"/>
                    <w:rPr>
                      <w:color w:val="auto"/>
                      <w:szCs w:val="21"/>
                    </w:rPr>
                  </w:pPr>
                  <w:r>
                    <w:rPr>
                      <w:rFonts w:hint="eastAsia"/>
                      <w:color w:val="auto"/>
                      <w:kern w:val="0"/>
                      <w:szCs w:val="21"/>
                      <w:lang w:bidi="ar"/>
                    </w:rPr>
                    <w:t>201.4</w:t>
                  </w:r>
                </w:p>
              </w:tc>
              <w:tc>
                <w:tcPr>
                  <w:tcW w:w="1035" w:type="dxa"/>
                  <w:vAlign w:val="center"/>
                </w:tcPr>
                <w:p w14:paraId="768FF56E">
                  <w:pPr>
                    <w:widowControl/>
                    <w:jc w:val="center"/>
                    <w:textAlignment w:val="center"/>
                    <w:rPr>
                      <w:color w:val="auto"/>
                      <w:szCs w:val="21"/>
                    </w:rPr>
                  </w:pPr>
                  <w:r>
                    <w:rPr>
                      <w:color w:val="auto"/>
                      <w:kern w:val="0"/>
                      <w:szCs w:val="21"/>
                      <w:lang w:bidi="ar"/>
                    </w:rPr>
                    <w:t>40.51</w:t>
                  </w:r>
                </w:p>
              </w:tc>
              <w:tc>
                <w:tcPr>
                  <w:tcW w:w="1289" w:type="dxa"/>
                  <w:vAlign w:val="center"/>
                </w:tcPr>
                <w:p w14:paraId="0BC781BD">
                  <w:pPr>
                    <w:pStyle w:val="2"/>
                    <w:adjustRightInd w:val="0"/>
                    <w:spacing w:before="0" w:after="0" w:line="240" w:lineRule="auto"/>
                    <w:ind w:right="0"/>
                    <w:jc w:val="center"/>
                    <w:rPr>
                      <w:color w:val="auto"/>
                      <w:sz w:val="21"/>
                      <w:szCs w:val="21"/>
                    </w:rPr>
                  </w:pPr>
                  <w:r>
                    <w:rPr>
                      <w:color w:val="auto"/>
                      <w:sz w:val="21"/>
                      <w:szCs w:val="21"/>
                    </w:rPr>
                    <w:t>废槽液</w:t>
                  </w:r>
                </w:p>
              </w:tc>
              <w:tc>
                <w:tcPr>
                  <w:tcW w:w="1278" w:type="dxa"/>
                  <w:vMerge w:val="restart"/>
                  <w:vAlign w:val="center"/>
                </w:tcPr>
                <w:p w14:paraId="7FC8DE0A">
                  <w:pPr>
                    <w:pStyle w:val="2"/>
                    <w:adjustRightInd w:val="0"/>
                    <w:spacing w:before="0" w:after="0" w:line="240" w:lineRule="auto"/>
                    <w:ind w:right="0"/>
                    <w:jc w:val="center"/>
                    <w:rPr>
                      <w:color w:val="auto"/>
                      <w:sz w:val="21"/>
                      <w:szCs w:val="21"/>
                    </w:rPr>
                  </w:pPr>
                  <w:r>
                    <w:rPr>
                      <w:color w:val="auto"/>
                      <w:sz w:val="21"/>
                      <w:szCs w:val="21"/>
                    </w:rPr>
                    <w:t>经自建废水站处理后回用，不外排</w:t>
                  </w:r>
                </w:p>
              </w:tc>
            </w:tr>
            <w:tr w14:paraId="4F600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275" w:type="dxa"/>
                  <w:vAlign w:val="center"/>
                </w:tcPr>
                <w:p w14:paraId="55A899F0">
                  <w:pPr>
                    <w:pStyle w:val="2"/>
                    <w:adjustRightInd w:val="0"/>
                    <w:spacing w:before="0" w:after="0" w:line="240" w:lineRule="auto"/>
                    <w:ind w:right="0"/>
                    <w:jc w:val="center"/>
                    <w:rPr>
                      <w:color w:val="auto"/>
                      <w:sz w:val="21"/>
                      <w:szCs w:val="21"/>
                    </w:rPr>
                  </w:pPr>
                  <w:r>
                    <w:rPr>
                      <w:rFonts w:hint="eastAsia"/>
                      <w:color w:val="auto"/>
                      <w:sz w:val="21"/>
                      <w:szCs w:val="21"/>
                    </w:rPr>
                    <w:t>清洗</w:t>
                  </w:r>
                  <w:r>
                    <w:rPr>
                      <w:color w:val="auto"/>
                      <w:sz w:val="21"/>
                      <w:szCs w:val="21"/>
                    </w:rPr>
                    <w:t>槽用水</w:t>
                  </w:r>
                </w:p>
              </w:tc>
              <w:tc>
                <w:tcPr>
                  <w:tcW w:w="1075" w:type="dxa"/>
                  <w:vAlign w:val="center"/>
                </w:tcPr>
                <w:p w14:paraId="4026753D">
                  <w:pPr>
                    <w:widowControl/>
                    <w:jc w:val="center"/>
                    <w:textAlignment w:val="center"/>
                    <w:rPr>
                      <w:color w:val="auto"/>
                      <w:sz w:val="21"/>
                      <w:szCs w:val="21"/>
                    </w:rPr>
                  </w:pPr>
                  <w:r>
                    <w:rPr>
                      <w:rFonts w:hint="eastAsia"/>
                      <w:color w:val="auto"/>
                      <w:kern w:val="0"/>
                      <w:szCs w:val="21"/>
                      <w:lang w:bidi="ar"/>
                    </w:rPr>
                    <w:t>16</w:t>
                  </w:r>
                  <w:r>
                    <w:rPr>
                      <w:rFonts w:hint="eastAsia"/>
                      <w:color w:val="auto"/>
                      <w:kern w:val="0"/>
                      <w:szCs w:val="21"/>
                      <w:lang w:val="en-US" w:eastAsia="zh-CN" w:bidi="ar"/>
                    </w:rPr>
                    <w:t>44</w:t>
                  </w:r>
                </w:p>
              </w:tc>
              <w:tc>
                <w:tcPr>
                  <w:tcW w:w="1075" w:type="dxa"/>
                  <w:vAlign w:val="center"/>
                </w:tcPr>
                <w:p w14:paraId="1E6C71F7">
                  <w:pPr>
                    <w:pStyle w:val="2"/>
                    <w:adjustRightInd w:val="0"/>
                    <w:spacing w:before="0" w:after="0" w:line="240" w:lineRule="auto"/>
                    <w:ind w:right="0"/>
                    <w:jc w:val="center"/>
                    <w:rPr>
                      <w:rFonts w:hint="default" w:eastAsia="宋体"/>
                      <w:color w:val="auto"/>
                      <w:sz w:val="21"/>
                      <w:szCs w:val="21"/>
                      <w:lang w:val="en-US" w:eastAsia="zh-CN"/>
                    </w:rPr>
                  </w:pPr>
                  <w:r>
                    <w:rPr>
                      <w:rFonts w:hint="eastAsia"/>
                      <w:color w:val="auto"/>
                      <w:sz w:val="21"/>
                      <w:szCs w:val="21"/>
                      <w:lang w:val="en-US" w:eastAsia="zh-CN"/>
                    </w:rPr>
                    <w:t>464</w:t>
                  </w:r>
                </w:p>
              </w:tc>
              <w:tc>
                <w:tcPr>
                  <w:tcW w:w="1076" w:type="dxa"/>
                  <w:vAlign w:val="center"/>
                </w:tcPr>
                <w:p w14:paraId="415CCB2D">
                  <w:pPr>
                    <w:pStyle w:val="2"/>
                    <w:adjustRightInd w:val="0"/>
                    <w:spacing w:before="0" w:after="0" w:line="240" w:lineRule="auto"/>
                    <w:ind w:right="0"/>
                    <w:jc w:val="center"/>
                    <w:rPr>
                      <w:rFonts w:hint="default" w:eastAsia="宋体"/>
                      <w:color w:val="auto"/>
                      <w:sz w:val="21"/>
                      <w:szCs w:val="21"/>
                      <w:lang w:val="en-US" w:eastAsia="zh-CN"/>
                    </w:rPr>
                  </w:pPr>
                  <w:r>
                    <w:rPr>
                      <w:rFonts w:hint="eastAsia"/>
                      <w:color w:val="auto"/>
                      <w:sz w:val="21"/>
                      <w:szCs w:val="21"/>
                      <w:lang w:val="en-US" w:eastAsia="zh-CN"/>
                    </w:rPr>
                    <w:t>1180</w:t>
                  </w:r>
                </w:p>
              </w:tc>
              <w:tc>
                <w:tcPr>
                  <w:tcW w:w="910" w:type="dxa"/>
                  <w:vAlign w:val="center"/>
                </w:tcPr>
                <w:p w14:paraId="1FEB4AE7">
                  <w:pPr>
                    <w:widowControl/>
                    <w:jc w:val="center"/>
                    <w:textAlignment w:val="center"/>
                    <w:rPr>
                      <w:rFonts w:hint="eastAsia"/>
                      <w:color w:val="auto"/>
                      <w:kern w:val="0"/>
                      <w:szCs w:val="21"/>
                      <w:lang w:bidi="ar"/>
                    </w:rPr>
                  </w:pPr>
                  <w:r>
                    <w:rPr>
                      <w:rFonts w:hint="eastAsia"/>
                      <w:color w:val="auto"/>
                      <w:kern w:val="0"/>
                      <w:szCs w:val="21"/>
                      <w:lang w:bidi="ar"/>
                    </w:rPr>
                    <w:t>0</w:t>
                  </w:r>
                </w:p>
              </w:tc>
              <w:tc>
                <w:tcPr>
                  <w:tcW w:w="1033" w:type="dxa"/>
                  <w:vAlign w:val="center"/>
                </w:tcPr>
                <w:p w14:paraId="20A53352">
                  <w:pPr>
                    <w:widowControl/>
                    <w:jc w:val="center"/>
                    <w:textAlignment w:val="center"/>
                    <w:rPr>
                      <w:rFonts w:hint="eastAsia"/>
                      <w:color w:val="auto"/>
                      <w:kern w:val="0"/>
                      <w:szCs w:val="21"/>
                      <w:lang w:bidi="ar"/>
                    </w:rPr>
                  </w:pPr>
                  <w:r>
                    <w:rPr>
                      <w:rFonts w:hint="eastAsia"/>
                      <w:color w:val="auto"/>
                      <w:kern w:val="0"/>
                      <w:szCs w:val="21"/>
                      <w:lang w:bidi="ar"/>
                    </w:rPr>
                    <w:t>348</w:t>
                  </w:r>
                </w:p>
              </w:tc>
              <w:tc>
                <w:tcPr>
                  <w:tcW w:w="1035" w:type="dxa"/>
                  <w:vAlign w:val="center"/>
                </w:tcPr>
                <w:p w14:paraId="7CAE9B7D">
                  <w:pPr>
                    <w:widowControl/>
                    <w:jc w:val="center"/>
                    <w:textAlignment w:val="center"/>
                    <w:rPr>
                      <w:rFonts w:hint="eastAsia"/>
                      <w:color w:val="auto"/>
                      <w:kern w:val="0"/>
                      <w:szCs w:val="21"/>
                      <w:lang w:bidi="ar"/>
                    </w:rPr>
                  </w:pPr>
                  <w:r>
                    <w:rPr>
                      <w:rFonts w:hint="eastAsia"/>
                      <w:color w:val="auto"/>
                      <w:kern w:val="0"/>
                      <w:szCs w:val="21"/>
                      <w:lang w:bidi="ar"/>
                    </w:rPr>
                    <w:t>1296</w:t>
                  </w:r>
                </w:p>
              </w:tc>
              <w:tc>
                <w:tcPr>
                  <w:tcW w:w="1289" w:type="dxa"/>
                  <w:vAlign w:val="center"/>
                </w:tcPr>
                <w:p w14:paraId="51900E48">
                  <w:pPr>
                    <w:pStyle w:val="2"/>
                    <w:adjustRightInd w:val="0"/>
                    <w:spacing w:before="0" w:after="0" w:line="240" w:lineRule="auto"/>
                    <w:ind w:right="0"/>
                    <w:jc w:val="center"/>
                    <w:rPr>
                      <w:color w:val="auto"/>
                      <w:sz w:val="21"/>
                      <w:szCs w:val="21"/>
                    </w:rPr>
                  </w:pPr>
                  <w:r>
                    <w:rPr>
                      <w:color w:val="auto"/>
                      <w:sz w:val="21"/>
                      <w:szCs w:val="21"/>
                    </w:rPr>
                    <w:t>清洗废水</w:t>
                  </w:r>
                </w:p>
              </w:tc>
              <w:tc>
                <w:tcPr>
                  <w:tcW w:w="1278" w:type="dxa"/>
                  <w:vMerge w:val="continue"/>
                  <w:vAlign w:val="center"/>
                </w:tcPr>
                <w:p w14:paraId="1E80D45F">
                  <w:pPr>
                    <w:pStyle w:val="2"/>
                    <w:adjustRightInd w:val="0"/>
                    <w:spacing w:before="0" w:after="0" w:line="240" w:lineRule="auto"/>
                    <w:ind w:right="0"/>
                    <w:jc w:val="center"/>
                    <w:rPr>
                      <w:color w:val="auto"/>
                      <w:sz w:val="21"/>
                      <w:szCs w:val="21"/>
                    </w:rPr>
                  </w:pPr>
                </w:p>
              </w:tc>
            </w:tr>
            <w:tr w14:paraId="08398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75" w:type="dxa"/>
                  <w:vAlign w:val="center"/>
                </w:tcPr>
                <w:p w14:paraId="334A729A">
                  <w:pPr>
                    <w:pStyle w:val="2"/>
                    <w:adjustRightInd w:val="0"/>
                    <w:spacing w:before="0" w:after="0" w:line="240" w:lineRule="auto"/>
                    <w:ind w:right="0"/>
                    <w:jc w:val="center"/>
                    <w:rPr>
                      <w:color w:val="auto"/>
                      <w:sz w:val="21"/>
                      <w:szCs w:val="21"/>
                    </w:rPr>
                  </w:pPr>
                  <w:r>
                    <w:rPr>
                      <w:rFonts w:hint="eastAsia"/>
                      <w:color w:val="auto"/>
                      <w:sz w:val="21"/>
                      <w:szCs w:val="21"/>
                    </w:rPr>
                    <w:t>水帘柜用水</w:t>
                  </w:r>
                </w:p>
              </w:tc>
              <w:tc>
                <w:tcPr>
                  <w:tcW w:w="1075" w:type="dxa"/>
                  <w:vAlign w:val="center"/>
                </w:tcPr>
                <w:p w14:paraId="4A1B5CF4">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1998.36</w:t>
                  </w:r>
                </w:p>
              </w:tc>
              <w:tc>
                <w:tcPr>
                  <w:tcW w:w="1075" w:type="dxa"/>
                  <w:vAlign w:val="center"/>
                </w:tcPr>
                <w:p w14:paraId="16C9E2C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 xml:space="preserve">1998.191 </w:t>
                  </w:r>
                </w:p>
              </w:tc>
              <w:tc>
                <w:tcPr>
                  <w:tcW w:w="1076" w:type="dxa"/>
                  <w:vAlign w:val="center"/>
                </w:tcPr>
                <w:p w14:paraId="5A0D692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910" w:type="dxa"/>
                  <w:vAlign w:val="center"/>
                </w:tcPr>
                <w:p w14:paraId="4F879884">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1033" w:type="dxa"/>
                  <w:vAlign w:val="center"/>
                </w:tcPr>
                <w:p w14:paraId="1FF2E542">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1978.6</w:t>
                  </w:r>
                </w:p>
              </w:tc>
              <w:tc>
                <w:tcPr>
                  <w:tcW w:w="1035" w:type="dxa"/>
                  <w:vAlign w:val="center"/>
                </w:tcPr>
                <w:p w14:paraId="4451DEA2">
                  <w:pPr>
                    <w:widowControl/>
                    <w:jc w:val="center"/>
                    <w:textAlignment w:val="center"/>
                    <w:rPr>
                      <w:color w:val="auto"/>
                      <w:szCs w:val="21"/>
                    </w:rPr>
                  </w:pPr>
                  <w:r>
                    <w:rPr>
                      <w:color w:val="auto"/>
                      <w:kern w:val="0"/>
                      <w:szCs w:val="21"/>
                      <w:lang w:bidi="ar"/>
                    </w:rPr>
                    <w:t>19.76</w:t>
                  </w:r>
                </w:p>
              </w:tc>
              <w:tc>
                <w:tcPr>
                  <w:tcW w:w="1289" w:type="dxa"/>
                  <w:vAlign w:val="center"/>
                </w:tcPr>
                <w:p w14:paraId="13D6B589">
                  <w:pPr>
                    <w:pStyle w:val="2"/>
                    <w:adjustRightInd w:val="0"/>
                    <w:spacing w:before="0" w:after="0" w:line="240" w:lineRule="auto"/>
                    <w:ind w:right="0"/>
                    <w:jc w:val="center"/>
                    <w:rPr>
                      <w:color w:val="auto"/>
                      <w:sz w:val="21"/>
                      <w:szCs w:val="21"/>
                    </w:rPr>
                  </w:pPr>
                  <w:r>
                    <w:rPr>
                      <w:rFonts w:hint="eastAsia"/>
                      <w:color w:val="auto"/>
                      <w:sz w:val="21"/>
                      <w:szCs w:val="21"/>
                    </w:rPr>
                    <w:t>水帘柜废水</w:t>
                  </w:r>
                </w:p>
              </w:tc>
              <w:tc>
                <w:tcPr>
                  <w:tcW w:w="1278" w:type="dxa"/>
                  <w:vAlign w:val="center"/>
                </w:tcPr>
                <w:p w14:paraId="2EFF0397">
                  <w:pPr>
                    <w:pStyle w:val="2"/>
                    <w:adjustRightInd w:val="0"/>
                    <w:spacing w:before="0" w:after="0" w:line="240" w:lineRule="auto"/>
                    <w:ind w:right="0"/>
                    <w:jc w:val="center"/>
                    <w:rPr>
                      <w:color w:val="auto"/>
                      <w:sz w:val="21"/>
                      <w:szCs w:val="21"/>
                    </w:rPr>
                  </w:pPr>
                  <w:r>
                    <w:rPr>
                      <w:rFonts w:hint="eastAsia"/>
                      <w:color w:val="auto"/>
                      <w:sz w:val="21"/>
                      <w:szCs w:val="21"/>
                    </w:rPr>
                    <w:t>委托有资质单位处置</w:t>
                  </w:r>
                </w:p>
              </w:tc>
            </w:tr>
            <w:tr w14:paraId="2840E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blHeader/>
                <w:jc w:val="center"/>
              </w:trPr>
              <w:tc>
                <w:tcPr>
                  <w:tcW w:w="1275" w:type="dxa"/>
                  <w:vAlign w:val="center"/>
                </w:tcPr>
                <w:p w14:paraId="2138A6A0">
                  <w:pPr>
                    <w:pStyle w:val="2"/>
                    <w:adjustRightInd w:val="0"/>
                    <w:spacing w:before="0" w:after="0" w:line="240" w:lineRule="auto"/>
                    <w:ind w:right="0"/>
                    <w:jc w:val="center"/>
                    <w:rPr>
                      <w:color w:val="auto"/>
                      <w:sz w:val="21"/>
                      <w:szCs w:val="21"/>
                    </w:rPr>
                  </w:pPr>
                  <w:r>
                    <w:rPr>
                      <w:rFonts w:hint="eastAsia"/>
                      <w:color w:val="auto"/>
                      <w:sz w:val="21"/>
                      <w:szCs w:val="21"/>
                    </w:rPr>
                    <w:t>喷枪清洗</w:t>
                  </w:r>
                </w:p>
                <w:p w14:paraId="155D14B4">
                  <w:pPr>
                    <w:pStyle w:val="2"/>
                    <w:adjustRightInd w:val="0"/>
                    <w:spacing w:before="0" w:after="0" w:line="240" w:lineRule="auto"/>
                    <w:ind w:right="0"/>
                    <w:jc w:val="center"/>
                    <w:rPr>
                      <w:color w:val="auto"/>
                      <w:sz w:val="21"/>
                      <w:szCs w:val="21"/>
                    </w:rPr>
                  </w:pPr>
                  <w:r>
                    <w:rPr>
                      <w:rFonts w:hint="eastAsia"/>
                      <w:color w:val="auto"/>
                      <w:sz w:val="21"/>
                      <w:szCs w:val="21"/>
                    </w:rPr>
                    <w:t>用水</w:t>
                  </w:r>
                </w:p>
              </w:tc>
              <w:tc>
                <w:tcPr>
                  <w:tcW w:w="1075" w:type="dxa"/>
                  <w:vAlign w:val="center"/>
                </w:tcPr>
                <w:p w14:paraId="2EF0094B">
                  <w:pPr>
                    <w:widowControl/>
                    <w:jc w:val="center"/>
                    <w:textAlignment w:val="center"/>
                    <w:rPr>
                      <w:color w:val="auto"/>
                      <w:kern w:val="0"/>
                      <w:szCs w:val="21"/>
                      <w:lang w:bidi="ar"/>
                    </w:rPr>
                  </w:pPr>
                  <w:r>
                    <w:rPr>
                      <w:color w:val="auto"/>
                      <w:kern w:val="0"/>
                      <w:szCs w:val="21"/>
                      <w:lang w:bidi="ar"/>
                    </w:rPr>
                    <w:t>0.188</w:t>
                  </w:r>
                </w:p>
              </w:tc>
              <w:tc>
                <w:tcPr>
                  <w:tcW w:w="1075" w:type="dxa"/>
                  <w:vAlign w:val="center"/>
                </w:tcPr>
                <w:p w14:paraId="49A15C29">
                  <w:pPr>
                    <w:widowControl/>
                    <w:jc w:val="center"/>
                    <w:textAlignment w:val="center"/>
                    <w:rPr>
                      <w:color w:val="auto"/>
                      <w:kern w:val="0"/>
                      <w:szCs w:val="21"/>
                      <w:lang w:bidi="ar"/>
                    </w:rPr>
                  </w:pPr>
                  <w:r>
                    <w:rPr>
                      <w:color w:val="auto"/>
                      <w:kern w:val="0"/>
                      <w:szCs w:val="21"/>
                      <w:lang w:bidi="ar"/>
                    </w:rPr>
                    <w:t>0.188</w:t>
                  </w:r>
                </w:p>
              </w:tc>
              <w:tc>
                <w:tcPr>
                  <w:tcW w:w="1076" w:type="dxa"/>
                  <w:vAlign w:val="center"/>
                </w:tcPr>
                <w:p w14:paraId="4E596989">
                  <w:pPr>
                    <w:widowControl/>
                    <w:jc w:val="center"/>
                    <w:textAlignment w:val="center"/>
                    <w:rPr>
                      <w:color w:val="auto"/>
                      <w:szCs w:val="21"/>
                    </w:rPr>
                  </w:pPr>
                  <w:r>
                    <w:rPr>
                      <w:color w:val="auto"/>
                      <w:kern w:val="0"/>
                      <w:szCs w:val="21"/>
                      <w:lang w:bidi="ar"/>
                    </w:rPr>
                    <w:t>0</w:t>
                  </w:r>
                </w:p>
              </w:tc>
              <w:tc>
                <w:tcPr>
                  <w:tcW w:w="910" w:type="dxa"/>
                  <w:vAlign w:val="center"/>
                </w:tcPr>
                <w:p w14:paraId="57328209">
                  <w:pPr>
                    <w:widowControl/>
                    <w:jc w:val="center"/>
                    <w:textAlignment w:val="center"/>
                    <w:rPr>
                      <w:color w:val="auto"/>
                      <w:kern w:val="0"/>
                      <w:szCs w:val="21"/>
                      <w:lang w:bidi="ar"/>
                    </w:rPr>
                  </w:pPr>
                  <w:r>
                    <w:rPr>
                      <w:color w:val="auto"/>
                      <w:kern w:val="0"/>
                      <w:szCs w:val="21"/>
                      <w:lang w:bidi="ar"/>
                    </w:rPr>
                    <w:t>0</w:t>
                  </w:r>
                </w:p>
              </w:tc>
              <w:tc>
                <w:tcPr>
                  <w:tcW w:w="1033" w:type="dxa"/>
                  <w:vAlign w:val="center"/>
                </w:tcPr>
                <w:p w14:paraId="47B3883C">
                  <w:pPr>
                    <w:widowControl/>
                    <w:jc w:val="center"/>
                    <w:textAlignment w:val="center"/>
                    <w:rPr>
                      <w:color w:val="auto"/>
                      <w:kern w:val="0"/>
                      <w:szCs w:val="21"/>
                      <w:lang w:bidi="ar"/>
                    </w:rPr>
                  </w:pPr>
                  <w:r>
                    <w:rPr>
                      <w:color w:val="auto"/>
                      <w:kern w:val="0"/>
                      <w:szCs w:val="21"/>
                      <w:lang w:bidi="ar"/>
                    </w:rPr>
                    <w:t>0.019</w:t>
                  </w:r>
                </w:p>
              </w:tc>
              <w:tc>
                <w:tcPr>
                  <w:tcW w:w="1035" w:type="dxa"/>
                  <w:vAlign w:val="center"/>
                </w:tcPr>
                <w:p w14:paraId="4D7E2E07">
                  <w:pPr>
                    <w:widowControl/>
                    <w:jc w:val="center"/>
                    <w:textAlignment w:val="center"/>
                    <w:rPr>
                      <w:color w:val="auto"/>
                      <w:kern w:val="0"/>
                      <w:szCs w:val="21"/>
                      <w:lang w:bidi="ar"/>
                    </w:rPr>
                  </w:pPr>
                  <w:r>
                    <w:rPr>
                      <w:color w:val="auto"/>
                      <w:kern w:val="0"/>
                      <w:szCs w:val="21"/>
                      <w:lang w:bidi="ar"/>
                    </w:rPr>
                    <w:t>0.169</w:t>
                  </w:r>
                </w:p>
              </w:tc>
              <w:tc>
                <w:tcPr>
                  <w:tcW w:w="1289" w:type="dxa"/>
                  <w:vAlign w:val="center"/>
                </w:tcPr>
                <w:p w14:paraId="7CB8A046">
                  <w:pPr>
                    <w:pStyle w:val="2"/>
                    <w:adjustRightInd w:val="0"/>
                    <w:spacing w:before="0" w:after="0" w:line="240" w:lineRule="auto"/>
                    <w:ind w:right="0"/>
                    <w:jc w:val="center"/>
                    <w:rPr>
                      <w:color w:val="auto"/>
                      <w:sz w:val="21"/>
                      <w:szCs w:val="21"/>
                    </w:rPr>
                  </w:pPr>
                  <w:r>
                    <w:rPr>
                      <w:rFonts w:hint="eastAsia"/>
                      <w:color w:val="auto"/>
                      <w:sz w:val="21"/>
                      <w:szCs w:val="21"/>
                    </w:rPr>
                    <w:t>喷枪清洗</w:t>
                  </w:r>
                </w:p>
                <w:p w14:paraId="51E9A68C">
                  <w:pPr>
                    <w:pStyle w:val="2"/>
                    <w:adjustRightInd w:val="0"/>
                    <w:spacing w:before="0" w:after="0" w:line="240" w:lineRule="auto"/>
                    <w:ind w:right="0"/>
                    <w:jc w:val="center"/>
                    <w:rPr>
                      <w:color w:val="auto"/>
                      <w:sz w:val="21"/>
                      <w:szCs w:val="21"/>
                    </w:rPr>
                  </w:pPr>
                  <w:r>
                    <w:rPr>
                      <w:rFonts w:hint="eastAsia"/>
                      <w:color w:val="auto"/>
                      <w:sz w:val="21"/>
                      <w:szCs w:val="21"/>
                    </w:rPr>
                    <w:t>废水</w:t>
                  </w:r>
                </w:p>
              </w:tc>
              <w:tc>
                <w:tcPr>
                  <w:tcW w:w="1278" w:type="dxa"/>
                  <w:vAlign w:val="center"/>
                </w:tcPr>
                <w:p w14:paraId="0BA73249">
                  <w:pPr>
                    <w:pStyle w:val="2"/>
                    <w:adjustRightInd w:val="0"/>
                    <w:spacing w:before="0" w:after="0" w:line="240" w:lineRule="auto"/>
                    <w:ind w:right="0"/>
                    <w:jc w:val="center"/>
                    <w:rPr>
                      <w:color w:val="auto"/>
                      <w:sz w:val="21"/>
                      <w:szCs w:val="21"/>
                    </w:rPr>
                  </w:pPr>
                  <w:r>
                    <w:rPr>
                      <w:rFonts w:hint="eastAsia"/>
                      <w:color w:val="auto"/>
                      <w:sz w:val="21"/>
                      <w:szCs w:val="21"/>
                    </w:rPr>
                    <w:t>倒入水帘柜二次利用</w:t>
                  </w:r>
                </w:p>
              </w:tc>
            </w:tr>
            <w:tr w14:paraId="0A870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blHeader/>
                <w:jc w:val="center"/>
              </w:trPr>
              <w:tc>
                <w:tcPr>
                  <w:tcW w:w="1275" w:type="dxa"/>
                  <w:vAlign w:val="center"/>
                </w:tcPr>
                <w:p w14:paraId="5C6FFBAC">
                  <w:pPr>
                    <w:pStyle w:val="2"/>
                    <w:adjustRightInd w:val="0"/>
                    <w:spacing w:before="0" w:after="0" w:line="240" w:lineRule="auto"/>
                    <w:ind w:right="0"/>
                    <w:jc w:val="center"/>
                    <w:rPr>
                      <w:color w:val="auto"/>
                      <w:sz w:val="21"/>
                      <w:szCs w:val="21"/>
                    </w:rPr>
                  </w:pPr>
                  <w:r>
                    <w:rPr>
                      <w:color w:val="auto"/>
                      <w:sz w:val="21"/>
                      <w:szCs w:val="21"/>
                    </w:rPr>
                    <w:t>喷淋</w:t>
                  </w:r>
                  <w:r>
                    <w:rPr>
                      <w:rFonts w:hint="eastAsia"/>
                      <w:color w:val="auto"/>
                      <w:sz w:val="21"/>
                      <w:szCs w:val="21"/>
                    </w:rPr>
                    <w:t>柜</w:t>
                  </w:r>
                  <w:r>
                    <w:rPr>
                      <w:color w:val="auto"/>
                      <w:sz w:val="21"/>
                      <w:szCs w:val="21"/>
                    </w:rPr>
                    <w:t>用水</w:t>
                  </w:r>
                </w:p>
              </w:tc>
              <w:tc>
                <w:tcPr>
                  <w:tcW w:w="1075" w:type="dxa"/>
                  <w:vAlign w:val="center"/>
                </w:tcPr>
                <w:p w14:paraId="4F16EB45">
                  <w:pPr>
                    <w:widowControl/>
                    <w:jc w:val="center"/>
                    <w:textAlignment w:val="center"/>
                    <w:rPr>
                      <w:color w:val="auto"/>
                      <w:kern w:val="0"/>
                      <w:szCs w:val="21"/>
                    </w:rPr>
                  </w:pPr>
                  <w:r>
                    <w:rPr>
                      <w:color w:val="auto"/>
                      <w:kern w:val="0"/>
                      <w:szCs w:val="21"/>
                      <w:lang w:bidi="ar"/>
                    </w:rPr>
                    <w:t>30.64</w:t>
                  </w:r>
                </w:p>
              </w:tc>
              <w:tc>
                <w:tcPr>
                  <w:tcW w:w="1075" w:type="dxa"/>
                  <w:vAlign w:val="center"/>
                </w:tcPr>
                <w:p w14:paraId="3D4CA496">
                  <w:pPr>
                    <w:widowControl/>
                    <w:jc w:val="center"/>
                    <w:textAlignment w:val="center"/>
                    <w:rPr>
                      <w:color w:val="auto"/>
                      <w:szCs w:val="21"/>
                    </w:rPr>
                  </w:pPr>
                  <w:r>
                    <w:rPr>
                      <w:color w:val="auto"/>
                      <w:kern w:val="0"/>
                      <w:szCs w:val="21"/>
                      <w:lang w:bidi="ar"/>
                    </w:rPr>
                    <w:t>30.64</w:t>
                  </w:r>
                </w:p>
              </w:tc>
              <w:tc>
                <w:tcPr>
                  <w:tcW w:w="1076" w:type="dxa"/>
                  <w:vAlign w:val="center"/>
                </w:tcPr>
                <w:p w14:paraId="4052E542">
                  <w:pPr>
                    <w:widowControl/>
                    <w:jc w:val="center"/>
                    <w:textAlignment w:val="center"/>
                    <w:rPr>
                      <w:color w:val="auto"/>
                      <w:szCs w:val="21"/>
                    </w:rPr>
                  </w:pPr>
                  <w:r>
                    <w:rPr>
                      <w:color w:val="auto"/>
                      <w:kern w:val="0"/>
                      <w:szCs w:val="21"/>
                      <w:lang w:bidi="ar"/>
                    </w:rPr>
                    <w:t>0</w:t>
                  </w:r>
                </w:p>
              </w:tc>
              <w:tc>
                <w:tcPr>
                  <w:tcW w:w="910" w:type="dxa"/>
                  <w:vAlign w:val="center"/>
                </w:tcPr>
                <w:p w14:paraId="4731FBDA">
                  <w:pPr>
                    <w:widowControl/>
                    <w:jc w:val="center"/>
                    <w:textAlignment w:val="center"/>
                    <w:rPr>
                      <w:color w:val="auto"/>
                      <w:kern w:val="0"/>
                      <w:szCs w:val="21"/>
                      <w:lang w:bidi="ar"/>
                    </w:rPr>
                  </w:pPr>
                  <w:r>
                    <w:rPr>
                      <w:color w:val="auto"/>
                      <w:kern w:val="0"/>
                      <w:szCs w:val="21"/>
                      <w:lang w:bidi="ar"/>
                    </w:rPr>
                    <w:t>0</w:t>
                  </w:r>
                </w:p>
              </w:tc>
              <w:tc>
                <w:tcPr>
                  <w:tcW w:w="1033" w:type="dxa"/>
                  <w:vAlign w:val="center"/>
                </w:tcPr>
                <w:p w14:paraId="6397C318">
                  <w:pPr>
                    <w:widowControl/>
                    <w:jc w:val="center"/>
                    <w:textAlignment w:val="center"/>
                    <w:rPr>
                      <w:color w:val="auto"/>
                      <w:szCs w:val="21"/>
                    </w:rPr>
                  </w:pPr>
                  <w:r>
                    <w:rPr>
                      <w:color w:val="auto"/>
                      <w:kern w:val="0"/>
                      <w:szCs w:val="21"/>
                      <w:lang w:bidi="ar"/>
                    </w:rPr>
                    <w:t>30.064</w:t>
                  </w:r>
                </w:p>
              </w:tc>
              <w:tc>
                <w:tcPr>
                  <w:tcW w:w="1035" w:type="dxa"/>
                  <w:vAlign w:val="center"/>
                </w:tcPr>
                <w:p w14:paraId="502454F2">
                  <w:pPr>
                    <w:widowControl/>
                    <w:jc w:val="center"/>
                    <w:textAlignment w:val="center"/>
                    <w:rPr>
                      <w:color w:val="auto"/>
                      <w:szCs w:val="21"/>
                    </w:rPr>
                  </w:pPr>
                  <w:r>
                    <w:rPr>
                      <w:color w:val="auto"/>
                      <w:kern w:val="0"/>
                      <w:szCs w:val="21"/>
                      <w:lang w:bidi="ar"/>
                    </w:rPr>
                    <w:t>0.576</w:t>
                  </w:r>
                </w:p>
              </w:tc>
              <w:tc>
                <w:tcPr>
                  <w:tcW w:w="1289" w:type="dxa"/>
                  <w:vAlign w:val="center"/>
                </w:tcPr>
                <w:p w14:paraId="1CDBB0F7">
                  <w:pPr>
                    <w:pStyle w:val="2"/>
                    <w:adjustRightInd w:val="0"/>
                    <w:spacing w:before="0" w:after="0" w:line="240" w:lineRule="auto"/>
                    <w:ind w:right="0"/>
                    <w:jc w:val="center"/>
                    <w:rPr>
                      <w:color w:val="auto"/>
                      <w:sz w:val="21"/>
                      <w:szCs w:val="21"/>
                    </w:rPr>
                  </w:pPr>
                  <w:r>
                    <w:rPr>
                      <w:color w:val="auto"/>
                      <w:sz w:val="21"/>
                      <w:szCs w:val="21"/>
                    </w:rPr>
                    <w:t>喷淋</w:t>
                  </w:r>
                  <w:r>
                    <w:rPr>
                      <w:rFonts w:hint="eastAsia"/>
                      <w:color w:val="auto"/>
                      <w:sz w:val="21"/>
                      <w:szCs w:val="21"/>
                    </w:rPr>
                    <w:t>柜</w:t>
                  </w:r>
                  <w:r>
                    <w:rPr>
                      <w:color w:val="auto"/>
                      <w:sz w:val="21"/>
                      <w:szCs w:val="21"/>
                    </w:rPr>
                    <w:t>废水</w:t>
                  </w:r>
                </w:p>
              </w:tc>
              <w:tc>
                <w:tcPr>
                  <w:tcW w:w="1278" w:type="dxa"/>
                  <w:vMerge w:val="restart"/>
                  <w:vAlign w:val="center"/>
                </w:tcPr>
                <w:p w14:paraId="3320C088">
                  <w:pPr>
                    <w:pStyle w:val="2"/>
                    <w:adjustRightInd w:val="0"/>
                    <w:spacing w:before="0" w:after="0" w:line="240" w:lineRule="auto"/>
                    <w:ind w:right="0"/>
                    <w:jc w:val="center"/>
                    <w:rPr>
                      <w:color w:val="auto"/>
                      <w:sz w:val="21"/>
                      <w:szCs w:val="21"/>
                    </w:rPr>
                  </w:pPr>
                  <w:r>
                    <w:rPr>
                      <w:color w:val="auto"/>
                      <w:sz w:val="21"/>
                      <w:szCs w:val="21"/>
                    </w:rPr>
                    <w:t>经自建废水站处理后回用，不外排</w:t>
                  </w:r>
                </w:p>
              </w:tc>
            </w:tr>
            <w:tr w14:paraId="53C09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blHeader/>
                <w:jc w:val="center"/>
              </w:trPr>
              <w:tc>
                <w:tcPr>
                  <w:tcW w:w="1275" w:type="dxa"/>
                  <w:vAlign w:val="center"/>
                </w:tcPr>
                <w:p w14:paraId="786CC587">
                  <w:pPr>
                    <w:pStyle w:val="2"/>
                    <w:adjustRightInd w:val="0"/>
                    <w:spacing w:before="0" w:after="0" w:line="240" w:lineRule="auto"/>
                    <w:ind w:right="0"/>
                    <w:jc w:val="center"/>
                    <w:rPr>
                      <w:color w:val="auto"/>
                      <w:sz w:val="21"/>
                      <w:szCs w:val="21"/>
                    </w:rPr>
                  </w:pPr>
                  <w:r>
                    <w:rPr>
                      <w:rFonts w:hint="eastAsia"/>
                      <w:color w:val="auto"/>
                      <w:sz w:val="21"/>
                      <w:szCs w:val="21"/>
                    </w:rPr>
                    <w:t>喷淋塔用水</w:t>
                  </w:r>
                </w:p>
              </w:tc>
              <w:tc>
                <w:tcPr>
                  <w:tcW w:w="1075" w:type="dxa"/>
                  <w:vAlign w:val="center"/>
                </w:tcPr>
                <w:p w14:paraId="7FE2CC2B">
                  <w:pPr>
                    <w:widowControl/>
                    <w:jc w:val="center"/>
                    <w:textAlignment w:val="center"/>
                    <w:rPr>
                      <w:color w:val="auto"/>
                      <w:kern w:val="0"/>
                      <w:szCs w:val="21"/>
                    </w:rPr>
                  </w:pPr>
                  <w:r>
                    <w:rPr>
                      <w:rFonts w:hint="eastAsia"/>
                      <w:bCs/>
                      <w:color w:val="auto"/>
                      <w:szCs w:val="21"/>
                    </w:rPr>
                    <w:t>6199.6</w:t>
                  </w:r>
                </w:p>
              </w:tc>
              <w:tc>
                <w:tcPr>
                  <w:tcW w:w="1075" w:type="dxa"/>
                  <w:vAlign w:val="center"/>
                </w:tcPr>
                <w:p w14:paraId="3ABF7ED7">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5950.701</w:t>
                  </w:r>
                </w:p>
              </w:tc>
              <w:tc>
                <w:tcPr>
                  <w:tcW w:w="1076" w:type="dxa"/>
                  <w:vAlign w:val="center"/>
                </w:tcPr>
                <w:p w14:paraId="5F71C343">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78.151</w:t>
                  </w:r>
                </w:p>
              </w:tc>
              <w:tc>
                <w:tcPr>
                  <w:tcW w:w="910" w:type="dxa"/>
                  <w:vAlign w:val="center"/>
                </w:tcPr>
                <w:p w14:paraId="2A5CD448">
                  <w:pPr>
                    <w:widowControl/>
                    <w:jc w:val="center"/>
                    <w:textAlignment w:val="center"/>
                    <w:rPr>
                      <w:color w:val="auto"/>
                      <w:kern w:val="0"/>
                      <w:szCs w:val="21"/>
                      <w:lang w:bidi="ar"/>
                    </w:rPr>
                  </w:pPr>
                  <w:r>
                    <w:rPr>
                      <w:color w:val="auto"/>
                      <w:kern w:val="0"/>
                      <w:szCs w:val="21"/>
                      <w:lang w:bidi="ar"/>
                    </w:rPr>
                    <w:t>170.748</w:t>
                  </w:r>
                </w:p>
              </w:tc>
              <w:tc>
                <w:tcPr>
                  <w:tcW w:w="1033" w:type="dxa"/>
                  <w:vAlign w:val="center"/>
                </w:tcPr>
                <w:p w14:paraId="46489A0F">
                  <w:pPr>
                    <w:widowControl/>
                    <w:jc w:val="center"/>
                    <w:textAlignment w:val="center"/>
                    <w:rPr>
                      <w:color w:val="auto"/>
                      <w:szCs w:val="21"/>
                    </w:rPr>
                  </w:pPr>
                  <w:r>
                    <w:rPr>
                      <w:rFonts w:hint="eastAsia"/>
                      <w:color w:val="auto"/>
                      <w:kern w:val="0"/>
                      <w:szCs w:val="21"/>
                      <w:lang w:bidi="ar"/>
                    </w:rPr>
                    <w:t>6125.8</w:t>
                  </w:r>
                </w:p>
              </w:tc>
              <w:tc>
                <w:tcPr>
                  <w:tcW w:w="1035" w:type="dxa"/>
                  <w:vAlign w:val="center"/>
                </w:tcPr>
                <w:p w14:paraId="6A4B0B5C">
                  <w:pPr>
                    <w:widowControl/>
                    <w:jc w:val="center"/>
                    <w:textAlignment w:val="center"/>
                    <w:rPr>
                      <w:color w:val="auto"/>
                      <w:szCs w:val="21"/>
                    </w:rPr>
                  </w:pPr>
                  <w:r>
                    <w:rPr>
                      <w:rFonts w:hint="eastAsia"/>
                      <w:color w:val="auto"/>
                      <w:kern w:val="0"/>
                      <w:szCs w:val="21"/>
                      <w:lang w:bidi="ar"/>
                    </w:rPr>
                    <w:t>73.8</w:t>
                  </w:r>
                </w:p>
              </w:tc>
              <w:tc>
                <w:tcPr>
                  <w:tcW w:w="1289" w:type="dxa"/>
                  <w:vAlign w:val="center"/>
                </w:tcPr>
                <w:p w14:paraId="5BFFC76D">
                  <w:pPr>
                    <w:pStyle w:val="2"/>
                    <w:adjustRightInd w:val="0"/>
                    <w:spacing w:before="0" w:after="0" w:line="240" w:lineRule="auto"/>
                    <w:ind w:right="0"/>
                    <w:jc w:val="center"/>
                    <w:rPr>
                      <w:color w:val="auto"/>
                      <w:sz w:val="21"/>
                      <w:szCs w:val="21"/>
                    </w:rPr>
                  </w:pPr>
                  <w:r>
                    <w:rPr>
                      <w:rFonts w:hint="eastAsia"/>
                      <w:color w:val="auto"/>
                      <w:sz w:val="21"/>
                      <w:szCs w:val="21"/>
                    </w:rPr>
                    <w:t>喷淋塔</w:t>
                  </w:r>
                  <w:r>
                    <w:rPr>
                      <w:color w:val="auto"/>
                      <w:sz w:val="21"/>
                      <w:szCs w:val="21"/>
                    </w:rPr>
                    <w:t>废水</w:t>
                  </w:r>
                </w:p>
              </w:tc>
              <w:tc>
                <w:tcPr>
                  <w:tcW w:w="1278" w:type="dxa"/>
                  <w:vMerge w:val="continue"/>
                  <w:vAlign w:val="center"/>
                </w:tcPr>
                <w:p w14:paraId="7E9275DD">
                  <w:pPr>
                    <w:pStyle w:val="2"/>
                    <w:adjustRightInd w:val="0"/>
                    <w:spacing w:before="0" w:after="0" w:line="240" w:lineRule="auto"/>
                    <w:ind w:right="0"/>
                    <w:jc w:val="center"/>
                    <w:rPr>
                      <w:color w:val="auto"/>
                      <w:sz w:val="21"/>
                      <w:szCs w:val="21"/>
                    </w:rPr>
                  </w:pPr>
                </w:p>
              </w:tc>
            </w:tr>
            <w:tr w14:paraId="354F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75" w:type="dxa"/>
                  <w:vAlign w:val="center"/>
                </w:tcPr>
                <w:p w14:paraId="1E04238F">
                  <w:pPr>
                    <w:pStyle w:val="2"/>
                    <w:adjustRightInd w:val="0"/>
                    <w:spacing w:before="0" w:after="0" w:line="240" w:lineRule="auto"/>
                    <w:ind w:right="0"/>
                    <w:jc w:val="center"/>
                    <w:rPr>
                      <w:color w:val="auto"/>
                      <w:sz w:val="21"/>
                      <w:szCs w:val="21"/>
                    </w:rPr>
                  </w:pPr>
                  <w:r>
                    <w:rPr>
                      <w:rFonts w:hint="eastAsia"/>
                      <w:color w:val="auto"/>
                      <w:sz w:val="21"/>
                      <w:szCs w:val="21"/>
                    </w:rPr>
                    <w:t>反冲洗用水</w:t>
                  </w:r>
                </w:p>
              </w:tc>
              <w:tc>
                <w:tcPr>
                  <w:tcW w:w="1075" w:type="dxa"/>
                  <w:vAlign w:val="center"/>
                </w:tcPr>
                <w:p w14:paraId="1FD4E34B">
                  <w:pPr>
                    <w:widowControl/>
                    <w:jc w:val="center"/>
                    <w:textAlignment w:val="center"/>
                    <w:rPr>
                      <w:color w:val="auto"/>
                      <w:szCs w:val="21"/>
                    </w:rPr>
                  </w:pPr>
                  <w:r>
                    <w:rPr>
                      <w:color w:val="auto"/>
                      <w:kern w:val="0"/>
                      <w:szCs w:val="21"/>
                      <w:lang w:bidi="ar"/>
                    </w:rPr>
                    <w:t>30</w:t>
                  </w:r>
                </w:p>
              </w:tc>
              <w:tc>
                <w:tcPr>
                  <w:tcW w:w="1075" w:type="dxa"/>
                  <w:vAlign w:val="center"/>
                </w:tcPr>
                <w:p w14:paraId="45206C84">
                  <w:pPr>
                    <w:widowControl/>
                    <w:jc w:val="center"/>
                    <w:textAlignment w:val="center"/>
                    <w:rPr>
                      <w:color w:val="auto"/>
                      <w:szCs w:val="21"/>
                    </w:rPr>
                  </w:pPr>
                  <w:r>
                    <w:rPr>
                      <w:color w:val="auto"/>
                      <w:kern w:val="0"/>
                      <w:szCs w:val="21"/>
                      <w:lang w:bidi="ar"/>
                    </w:rPr>
                    <w:t>30</w:t>
                  </w:r>
                </w:p>
              </w:tc>
              <w:tc>
                <w:tcPr>
                  <w:tcW w:w="1076" w:type="dxa"/>
                  <w:vAlign w:val="center"/>
                </w:tcPr>
                <w:p w14:paraId="07EFED9B">
                  <w:pPr>
                    <w:widowControl/>
                    <w:jc w:val="center"/>
                    <w:textAlignment w:val="center"/>
                    <w:rPr>
                      <w:color w:val="auto"/>
                      <w:szCs w:val="21"/>
                    </w:rPr>
                  </w:pPr>
                  <w:r>
                    <w:rPr>
                      <w:rFonts w:hint="eastAsia"/>
                      <w:color w:val="auto"/>
                      <w:szCs w:val="21"/>
                    </w:rPr>
                    <w:t>0</w:t>
                  </w:r>
                </w:p>
              </w:tc>
              <w:tc>
                <w:tcPr>
                  <w:tcW w:w="910" w:type="dxa"/>
                  <w:vAlign w:val="center"/>
                </w:tcPr>
                <w:p w14:paraId="1A7B0B22">
                  <w:pPr>
                    <w:widowControl/>
                    <w:jc w:val="center"/>
                    <w:textAlignment w:val="center"/>
                    <w:rPr>
                      <w:color w:val="auto"/>
                      <w:szCs w:val="21"/>
                    </w:rPr>
                  </w:pPr>
                  <w:r>
                    <w:rPr>
                      <w:color w:val="auto"/>
                      <w:kern w:val="0"/>
                      <w:szCs w:val="21"/>
                      <w:lang w:bidi="ar"/>
                    </w:rPr>
                    <w:t>0</w:t>
                  </w:r>
                </w:p>
              </w:tc>
              <w:tc>
                <w:tcPr>
                  <w:tcW w:w="1033" w:type="dxa"/>
                  <w:vAlign w:val="center"/>
                </w:tcPr>
                <w:p w14:paraId="7D66D730">
                  <w:pPr>
                    <w:widowControl/>
                    <w:jc w:val="center"/>
                    <w:textAlignment w:val="center"/>
                    <w:rPr>
                      <w:color w:val="auto"/>
                      <w:szCs w:val="21"/>
                    </w:rPr>
                  </w:pPr>
                  <w:r>
                    <w:rPr>
                      <w:color w:val="auto"/>
                      <w:kern w:val="0"/>
                      <w:szCs w:val="21"/>
                      <w:lang w:bidi="ar"/>
                    </w:rPr>
                    <w:t>3</w:t>
                  </w:r>
                </w:p>
              </w:tc>
              <w:tc>
                <w:tcPr>
                  <w:tcW w:w="1035" w:type="dxa"/>
                  <w:vAlign w:val="center"/>
                </w:tcPr>
                <w:p w14:paraId="6D5A4359">
                  <w:pPr>
                    <w:widowControl/>
                    <w:jc w:val="center"/>
                    <w:textAlignment w:val="center"/>
                    <w:rPr>
                      <w:color w:val="auto"/>
                      <w:szCs w:val="21"/>
                    </w:rPr>
                  </w:pPr>
                  <w:r>
                    <w:rPr>
                      <w:color w:val="auto"/>
                      <w:kern w:val="0"/>
                      <w:szCs w:val="21"/>
                      <w:lang w:bidi="ar"/>
                    </w:rPr>
                    <w:t>27</w:t>
                  </w:r>
                </w:p>
              </w:tc>
              <w:tc>
                <w:tcPr>
                  <w:tcW w:w="1289" w:type="dxa"/>
                  <w:vAlign w:val="center"/>
                </w:tcPr>
                <w:p w14:paraId="3AD6915D">
                  <w:pPr>
                    <w:pStyle w:val="2"/>
                    <w:adjustRightInd w:val="0"/>
                    <w:spacing w:before="0" w:after="0" w:line="240" w:lineRule="auto"/>
                    <w:ind w:right="0"/>
                    <w:jc w:val="center"/>
                    <w:rPr>
                      <w:color w:val="auto"/>
                      <w:sz w:val="21"/>
                      <w:szCs w:val="21"/>
                    </w:rPr>
                  </w:pPr>
                  <w:r>
                    <w:rPr>
                      <w:rFonts w:hint="eastAsia"/>
                      <w:color w:val="auto"/>
                      <w:sz w:val="21"/>
                      <w:szCs w:val="21"/>
                    </w:rPr>
                    <w:t>反冲洗废水</w:t>
                  </w:r>
                </w:p>
              </w:tc>
              <w:tc>
                <w:tcPr>
                  <w:tcW w:w="1278" w:type="dxa"/>
                  <w:vMerge w:val="continue"/>
                  <w:vAlign w:val="center"/>
                </w:tcPr>
                <w:p w14:paraId="54936324">
                  <w:pPr>
                    <w:pStyle w:val="2"/>
                    <w:adjustRightInd w:val="0"/>
                    <w:spacing w:before="0" w:after="0" w:line="240" w:lineRule="auto"/>
                    <w:ind w:right="0"/>
                    <w:jc w:val="center"/>
                    <w:rPr>
                      <w:color w:val="auto"/>
                      <w:sz w:val="21"/>
                      <w:szCs w:val="21"/>
                    </w:rPr>
                  </w:pPr>
                </w:p>
              </w:tc>
            </w:tr>
            <w:tr w14:paraId="4BADA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75" w:type="dxa"/>
                  <w:vAlign w:val="center"/>
                </w:tcPr>
                <w:p w14:paraId="3E0D44ED">
                  <w:pPr>
                    <w:pStyle w:val="2"/>
                    <w:adjustRightInd w:val="0"/>
                    <w:spacing w:before="0" w:after="0" w:line="240" w:lineRule="auto"/>
                    <w:ind w:right="0"/>
                    <w:jc w:val="center"/>
                    <w:rPr>
                      <w:color w:val="auto"/>
                      <w:sz w:val="21"/>
                      <w:szCs w:val="21"/>
                    </w:rPr>
                  </w:pPr>
                  <w:r>
                    <w:rPr>
                      <w:color w:val="auto"/>
                      <w:sz w:val="21"/>
                      <w:szCs w:val="21"/>
                    </w:rPr>
                    <w:t>生活用水</w:t>
                  </w:r>
                </w:p>
              </w:tc>
              <w:tc>
                <w:tcPr>
                  <w:tcW w:w="1075" w:type="dxa"/>
                  <w:vAlign w:val="center"/>
                </w:tcPr>
                <w:p w14:paraId="1E1A1802">
                  <w:pPr>
                    <w:widowControl/>
                    <w:jc w:val="center"/>
                    <w:textAlignment w:val="center"/>
                    <w:rPr>
                      <w:color w:val="auto"/>
                      <w:kern w:val="0"/>
                      <w:szCs w:val="21"/>
                    </w:rPr>
                  </w:pPr>
                  <w:r>
                    <w:rPr>
                      <w:color w:val="auto"/>
                      <w:kern w:val="0"/>
                      <w:szCs w:val="21"/>
                      <w:lang w:bidi="ar"/>
                    </w:rPr>
                    <w:t>500</w:t>
                  </w:r>
                </w:p>
              </w:tc>
              <w:tc>
                <w:tcPr>
                  <w:tcW w:w="1075" w:type="dxa"/>
                  <w:vAlign w:val="center"/>
                </w:tcPr>
                <w:p w14:paraId="6A17CB62">
                  <w:pPr>
                    <w:widowControl/>
                    <w:jc w:val="center"/>
                    <w:textAlignment w:val="center"/>
                    <w:rPr>
                      <w:color w:val="auto"/>
                      <w:szCs w:val="21"/>
                    </w:rPr>
                  </w:pPr>
                  <w:r>
                    <w:rPr>
                      <w:color w:val="auto"/>
                      <w:kern w:val="0"/>
                      <w:szCs w:val="21"/>
                      <w:lang w:bidi="ar"/>
                    </w:rPr>
                    <w:t>500</w:t>
                  </w:r>
                </w:p>
              </w:tc>
              <w:tc>
                <w:tcPr>
                  <w:tcW w:w="1076" w:type="dxa"/>
                  <w:vAlign w:val="center"/>
                </w:tcPr>
                <w:p w14:paraId="2DE25375">
                  <w:pPr>
                    <w:widowControl/>
                    <w:jc w:val="center"/>
                    <w:textAlignment w:val="center"/>
                    <w:rPr>
                      <w:color w:val="auto"/>
                      <w:szCs w:val="21"/>
                    </w:rPr>
                  </w:pPr>
                  <w:r>
                    <w:rPr>
                      <w:color w:val="auto"/>
                      <w:kern w:val="0"/>
                      <w:szCs w:val="21"/>
                      <w:lang w:bidi="ar"/>
                    </w:rPr>
                    <w:t>0</w:t>
                  </w:r>
                </w:p>
              </w:tc>
              <w:tc>
                <w:tcPr>
                  <w:tcW w:w="910" w:type="dxa"/>
                  <w:vAlign w:val="center"/>
                </w:tcPr>
                <w:p w14:paraId="5EA875B6">
                  <w:pPr>
                    <w:widowControl/>
                    <w:jc w:val="center"/>
                    <w:textAlignment w:val="center"/>
                    <w:rPr>
                      <w:color w:val="auto"/>
                      <w:kern w:val="0"/>
                      <w:szCs w:val="21"/>
                      <w:lang w:bidi="ar"/>
                    </w:rPr>
                  </w:pPr>
                  <w:r>
                    <w:rPr>
                      <w:color w:val="auto"/>
                      <w:kern w:val="0"/>
                      <w:szCs w:val="21"/>
                      <w:lang w:bidi="ar"/>
                    </w:rPr>
                    <w:t>0</w:t>
                  </w:r>
                </w:p>
              </w:tc>
              <w:tc>
                <w:tcPr>
                  <w:tcW w:w="1033" w:type="dxa"/>
                  <w:vAlign w:val="center"/>
                </w:tcPr>
                <w:p w14:paraId="7FB8A885">
                  <w:pPr>
                    <w:widowControl/>
                    <w:jc w:val="center"/>
                    <w:textAlignment w:val="center"/>
                    <w:rPr>
                      <w:color w:val="auto"/>
                      <w:szCs w:val="21"/>
                    </w:rPr>
                  </w:pPr>
                  <w:r>
                    <w:rPr>
                      <w:color w:val="auto"/>
                      <w:kern w:val="0"/>
                      <w:szCs w:val="21"/>
                      <w:lang w:bidi="ar"/>
                    </w:rPr>
                    <w:t>50</w:t>
                  </w:r>
                </w:p>
              </w:tc>
              <w:tc>
                <w:tcPr>
                  <w:tcW w:w="1035" w:type="dxa"/>
                  <w:vAlign w:val="center"/>
                </w:tcPr>
                <w:p w14:paraId="6A25FB9D">
                  <w:pPr>
                    <w:widowControl/>
                    <w:jc w:val="center"/>
                    <w:textAlignment w:val="center"/>
                    <w:rPr>
                      <w:color w:val="auto"/>
                      <w:szCs w:val="21"/>
                    </w:rPr>
                  </w:pPr>
                  <w:r>
                    <w:rPr>
                      <w:color w:val="auto"/>
                      <w:kern w:val="0"/>
                      <w:szCs w:val="21"/>
                      <w:lang w:bidi="ar"/>
                    </w:rPr>
                    <w:t>450</w:t>
                  </w:r>
                </w:p>
              </w:tc>
              <w:tc>
                <w:tcPr>
                  <w:tcW w:w="1289" w:type="dxa"/>
                  <w:vAlign w:val="center"/>
                </w:tcPr>
                <w:p w14:paraId="4E329545">
                  <w:pPr>
                    <w:pStyle w:val="2"/>
                    <w:adjustRightInd w:val="0"/>
                    <w:spacing w:before="0" w:after="0" w:line="240" w:lineRule="auto"/>
                    <w:ind w:right="0"/>
                    <w:jc w:val="center"/>
                    <w:rPr>
                      <w:color w:val="auto"/>
                      <w:sz w:val="21"/>
                      <w:szCs w:val="21"/>
                    </w:rPr>
                  </w:pPr>
                  <w:r>
                    <w:rPr>
                      <w:color w:val="auto"/>
                      <w:sz w:val="21"/>
                      <w:szCs w:val="21"/>
                    </w:rPr>
                    <w:t>生活污水</w:t>
                  </w:r>
                </w:p>
              </w:tc>
              <w:tc>
                <w:tcPr>
                  <w:tcW w:w="1278" w:type="dxa"/>
                  <w:vAlign w:val="center"/>
                </w:tcPr>
                <w:p w14:paraId="05954CBD">
                  <w:pPr>
                    <w:pStyle w:val="2"/>
                    <w:adjustRightInd w:val="0"/>
                    <w:spacing w:before="0" w:after="0" w:line="240" w:lineRule="auto"/>
                    <w:ind w:right="0"/>
                    <w:jc w:val="center"/>
                    <w:rPr>
                      <w:color w:val="auto"/>
                      <w:sz w:val="21"/>
                      <w:szCs w:val="21"/>
                    </w:rPr>
                  </w:pPr>
                  <w:r>
                    <w:rPr>
                      <w:rFonts w:hint="eastAsia"/>
                      <w:color w:val="auto"/>
                      <w:sz w:val="21"/>
                      <w:szCs w:val="21"/>
                    </w:rPr>
                    <w:t>石湾镇西基生活污水厂</w:t>
                  </w:r>
                </w:p>
              </w:tc>
            </w:tr>
            <w:tr w14:paraId="32037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blHeader/>
                <w:jc w:val="center"/>
              </w:trPr>
              <w:tc>
                <w:tcPr>
                  <w:tcW w:w="1275" w:type="dxa"/>
                  <w:vAlign w:val="center"/>
                </w:tcPr>
                <w:p w14:paraId="60A79993">
                  <w:pPr>
                    <w:pStyle w:val="2"/>
                    <w:adjustRightInd w:val="0"/>
                    <w:spacing w:before="0" w:after="0" w:line="240" w:lineRule="auto"/>
                    <w:ind w:right="0"/>
                    <w:jc w:val="center"/>
                    <w:rPr>
                      <w:color w:val="auto"/>
                      <w:sz w:val="21"/>
                      <w:szCs w:val="21"/>
                    </w:rPr>
                  </w:pPr>
                  <w:r>
                    <w:rPr>
                      <w:color w:val="auto"/>
                      <w:sz w:val="21"/>
                      <w:szCs w:val="21"/>
                    </w:rPr>
                    <w:t>合计</w:t>
                  </w:r>
                </w:p>
              </w:tc>
              <w:tc>
                <w:tcPr>
                  <w:tcW w:w="1075" w:type="dxa"/>
                  <w:vAlign w:val="center"/>
                </w:tcPr>
                <w:p w14:paraId="18BB772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10644.698</w:t>
                  </w:r>
                </w:p>
              </w:tc>
              <w:tc>
                <w:tcPr>
                  <w:tcW w:w="1075" w:type="dxa"/>
                  <w:vAlign w:val="center"/>
                </w:tcPr>
                <w:p w14:paraId="6AD678A4">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w:t>
                  </w:r>
                  <w:r>
                    <w:rPr>
                      <w:rFonts w:hint="eastAsia" w:cs="Times New Roman"/>
                      <w:i w:val="0"/>
                      <w:iCs w:val="0"/>
                      <w:color w:val="auto"/>
                      <w:kern w:val="0"/>
                      <w:sz w:val="21"/>
                      <w:szCs w:val="21"/>
                      <w:u w:val="none"/>
                      <w:lang w:val="en-US" w:eastAsia="zh-CN" w:bidi="ar"/>
                    </w:rPr>
                    <w:t>21</w:t>
                  </w:r>
                  <w:r>
                    <w:rPr>
                      <w:rFonts w:hint="default" w:ascii="Times New Roman" w:hAnsi="Times New Roman" w:eastAsia="宋体" w:cs="Times New Roman"/>
                      <w:i w:val="0"/>
                      <w:iCs w:val="0"/>
                      <w:color w:val="auto"/>
                      <w:kern w:val="0"/>
                      <w:sz w:val="21"/>
                      <w:szCs w:val="21"/>
                      <w:u w:val="none"/>
                      <w:lang w:val="en-US" w:eastAsia="zh-CN" w:bidi="ar"/>
                    </w:rPr>
                    <w:t>5.63</w:t>
                  </w:r>
                </w:p>
              </w:tc>
              <w:tc>
                <w:tcPr>
                  <w:tcW w:w="1076" w:type="dxa"/>
                  <w:vAlign w:val="center"/>
                </w:tcPr>
                <w:p w14:paraId="40DF203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1258.151</w:t>
                  </w:r>
                </w:p>
              </w:tc>
              <w:tc>
                <w:tcPr>
                  <w:tcW w:w="910" w:type="dxa"/>
                  <w:vAlign w:val="center"/>
                </w:tcPr>
                <w:p w14:paraId="4AE4BD52">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170.748</w:t>
                  </w:r>
                </w:p>
              </w:tc>
              <w:tc>
                <w:tcPr>
                  <w:tcW w:w="1033" w:type="dxa"/>
                  <w:vAlign w:val="center"/>
                </w:tcPr>
                <w:p w14:paraId="443FC19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8736.883</w:t>
                  </w:r>
                </w:p>
              </w:tc>
              <w:tc>
                <w:tcPr>
                  <w:tcW w:w="1035" w:type="dxa"/>
                  <w:vAlign w:val="center"/>
                </w:tcPr>
                <w:p w14:paraId="5CF3812B">
                  <w:pPr>
                    <w:widowControl/>
                    <w:jc w:val="center"/>
                    <w:textAlignment w:val="center"/>
                    <w:rPr>
                      <w:color w:val="auto"/>
                      <w:szCs w:val="21"/>
                    </w:rPr>
                  </w:pPr>
                  <w:r>
                    <w:rPr>
                      <w:color w:val="auto"/>
                      <w:kern w:val="0"/>
                      <w:szCs w:val="21"/>
                      <w:lang w:bidi="ar"/>
                    </w:rPr>
                    <w:t>1907.815</w:t>
                  </w:r>
                </w:p>
              </w:tc>
              <w:tc>
                <w:tcPr>
                  <w:tcW w:w="1289" w:type="dxa"/>
                  <w:vAlign w:val="center"/>
                </w:tcPr>
                <w:p w14:paraId="04AF465C">
                  <w:pPr>
                    <w:pStyle w:val="2"/>
                    <w:adjustRightInd w:val="0"/>
                    <w:spacing w:before="0" w:after="0" w:line="240" w:lineRule="auto"/>
                    <w:ind w:right="0"/>
                    <w:jc w:val="center"/>
                    <w:rPr>
                      <w:color w:val="auto"/>
                      <w:sz w:val="21"/>
                      <w:szCs w:val="21"/>
                    </w:rPr>
                  </w:pPr>
                  <w:r>
                    <w:rPr>
                      <w:color w:val="auto"/>
                      <w:sz w:val="21"/>
                      <w:szCs w:val="21"/>
                    </w:rPr>
                    <w:t>/</w:t>
                  </w:r>
                </w:p>
              </w:tc>
              <w:tc>
                <w:tcPr>
                  <w:tcW w:w="1278" w:type="dxa"/>
                  <w:vAlign w:val="center"/>
                </w:tcPr>
                <w:p w14:paraId="532AF4F0">
                  <w:pPr>
                    <w:pStyle w:val="2"/>
                    <w:adjustRightInd w:val="0"/>
                    <w:spacing w:before="0" w:after="0" w:line="240" w:lineRule="auto"/>
                    <w:ind w:right="0"/>
                    <w:jc w:val="center"/>
                    <w:rPr>
                      <w:color w:val="auto"/>
                      <w:sz w:val="21"/>
                      <w:szCs w:val="21"/>
                    </w:rPr>
                  </w:pPr>
                  <w:r>
                    <w:rPr>
                      <w:color w:val="auto"/>
                      <w:sz w:val="21"/>
                      <w:szCs w:val="21"/>
                    </w:rPr>
                    <w:t>/</w:t>
                  </w:r>
                </w:p>
              </w:tc>
            </w:tr>
          </w:tbl>
          <w:p w14:paraId="4A6836CF">
            <w:pPr>
              <w:adjustRightInd w:val="0"/>
              <w:snapToGrid w:val="0"/>
              <w:rPr>
                <w:b/>
                <w:color w:val="auto"/>
                <w:szCs w:val="21"/>
              </w:rPr>
            </w:pPr>
          </w:p>
          <w:p w14:paraId="1B0B7D44">
            <w:pPr>
              <w:adjustRightInd w:val="0"/>
              <w:snapToGrid w:val="0"/>
              <w:rPr>
                <w:b/>
                <w:color w:val="auto"/>
                <w:szCs w:val="21"/>
              </w:rPr>
            </w:pPr>
          </w:p>
          <w:p w14:paraId="22D159EB">
            <w:pPr>
              <w:numPr>
                <w:ilvl w:val="0"/>
                <w:numId w:val="10"/>
              </w:numPr>
              <w:adjustRightInd w:val="0"/>
              <w:snapToGrid w:val="0"/>
              <w:jc w:val="center"/>
              <w:rPr>
                <w:b/>
                <w:color w:val="auto"/>
                <w:szCs w:val="21"/>
              </w:rPr>
            </w:pPr>
            <w:r>
              <w:rPr>
                <w:b/>
                <w:color w:val="auto"/>
                <w:szCs w:val="21"/>
              </w:rPr>
              <w:t>本项目给排水情况一览表（单位：t/d）</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1111"/>
              <w:gridCol w:w="1113"/>
              <w:gridCol w:w="1089"/>
              <w:gridCol w:w="767"/>
              <w:gridCol w:w="1067"/>
              <w:gridCol w:w="934"/>
              <w:gridCol w:w="1321"/>
              <w:gridCol w:w="1283"/>
            </w:tblGrid>
            <w:tr w14:paraId="568DF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blHeader/>
                <w:jc w:val="center"/>
              </w:trPr>
              <w:tc>
                <w:tcPr>
                  <w:tcW w:w="1299" w:type="dxa"/>
                  <w:vAlign w:val="center"/>
                </w:tcPr>
                <w:p w14:paraId="54735965">
                  <w:pPr>
                    <w:pStyle w:val="2"/>
                    <w:adjustRightInd w:val="0"/>
                    <w:spacing w:before="0" w:after="0" w:line="240" w:lineRule="auto"/>
                    <w:ind w:right="0"/>
                    <w:jc w:val="center"/>
                    <w:rPr>
                      <w:b/>
                      <w:bCs/>
                      <w:color w:val="auto"/>
                      <w:sz w:val="21"/>
                      <w:szCs w:val="21"/>
                    </w:rPr>
                  </w:pPr>
                  <w:r>
                    <w:rPr>
                      <w:b/>
                      <w:bCs/>
                      <w:color w:val="auto"/>
                      <w:sz w:val="21"/>
                      <w:szCs w:val="21"/>
                    </w:rPr>
                    <w:t>用水种类</w:t>
                  </w:r>
                </w:p>
              </w:tc>
              <w:tc>
                <w:tcPr>
                  <w:tcW w:w="1111" w:type="dxa"/>
                  <w:vAlign w:val="center"/>
                </w:tcPr>
                <w:p w14:paraId="68396D67">
                  <w:pPr>
                    <w:pStyle w:val="2"/>
                    <w:adjustRightInd w:val="0"/>
                    <w:spacing w:before="0" w:after="0" w:line="240" w:lineRule="auto"/>
                    <w:ind w:right="0"/>
                    <w:jc w:val="center"/>
                    <w:rPr>
                      <w:b/>
                      <w:bCs/>
                      <w:color w:val="auto"/>
                      <w:sz w:val="21"/>
                      <w:szCs w:val="21"/>
                    </w:rPr>
                  </w:pPr>
                  <w:r>
                    <w:rPr>
                      <w:b/>
                      <w:bCs/>
                      <w:color w:val="auto"/>
                      <w:sz w:val="21"/>
                      <w:szCs w:val="21"/>
                    </w:rPr>
                    <w:t>总用水量</w:t>
                  </w:r>
                </w:p>
              </w:tc>
              <w:tc>
                <w:tcPr>
                  <w:tcW w:w="1113" w:type="dxa"/>
                  <w:vAlign w:val="center"/>
                </w:tcPr>
                <w:p w14:paraId="7E26EFF7">
                  <w:pPr>
                    <w:pStyle w:val="2"/>
                    <w:adjustRightInd w:val="0"/>
                    <w:spacing w:before="0" w:after="0" w:line="240" w:lineRule="auto"/>
                    <w:ind w:right="0"/>
                    <w:jc w:val="center"/>
                    <w:rPr>
                      <w:b/>
                      <w:bCs/>
                      <w:color w:val="auto"/>
                      <w:sz w:val="21"/>
                      <w:szCs w:val="21"/>
                    </w:rPr>
                  </w:pPr>
                  <w:r>
                    <w:rPr>
                      <w:b/>
                      <w:bCs/>
                      <w:color w:val="auto"/>
                      <w:sz w:val="21"/>
                      <w:szCs w:val="21"/>
                    </w:rPr>
                    <w:t>新鲜水量</w:t>
                  </w:r>
                </w:p>
              </w:tc>
              <w:tc>
                <w:tcPr>
                  <w:tcW w:w="1089" w:type="dxa"/>
                  <w:vAlign w:val="center"/>
                </w:tcPr>
                <w:p w14:paraId="36D0D7FC">
                  <w:pPr>
                    <w:pStyle w:val="2"/>
                    <w:adjustRightInd w:val="0"/>
                    <w:spacing w:before="0" w:after="0" w:line="240" w:lineRule="auto"/>
                    <w:ind w:right="0"/>
                    <w:jc w:val="center"/>
                    <w:rPr>
                      <w:b/>
                      <w:bCs/>
                      <w:color w:val="auto"/>
                      <w:sz w:val="21"/>
                      <w:szCs w:val="21"/>
                    </w:rPr>
                  </w:pPr>
                  <w:r>
                    <w:rPr>
                      <w:b/>
                      <w:bCs/>
                      <w:color w:val="auto"/>
                      <w:sz w:val="21"/>
                      <w:szCs w:val="21"/>
                    </w:rPr>
                    <w:t>回用水量</w:t>
                  </w:r>
                </w:p>
              </w:tc>
              <w:tc>
                <w:tcPr>
                  <w:tcW w:w="765" w:type="dxa"/>
                  <w:vAlign w:val="center"/>
                </w:tcPr>
                <w:p w14:paraId="04FA9EC4">
                  <w:pPr>
                    <w:pStyle w:val="2"/>
                    <w:adjustRightInd w:val="0"/>
                    <w:spacing w:before="0" w:after="0" w:line="240" w:lineRule="auto"/>
                    <w:ind w:right="0"/>
                    <w:jc w:val="center"/>
                    <w:rPr>
                      <w:b/>
                      <w:bCs/>
                      <w:color w:val="auto"/>
                      <w:sz w:val="21"/>
                      <w:szCs w:val="21"/>
                    </w:rPr>
                  </w:pPr>
                  <w:r>
                    <w:rPr>
                      <w:rFonts w:hint="eastAsia"/>
                      <w:b/>
                      <w:bCs/>
                      <w:color w:val="auto"/>
                      <w:sz w:val="21"/>
                      <w:szCs w:val="21"/>
                    </w:rPr>
                    <w:t>冷凝水</w:t>
                  </w:r>
                </w:p>
              </w:tc>
              <w:tc>
                <w:tcPr>
                  <w:tcW w:w="1067" w:type="dxa"/>
                  <w:vAlign w:val="center"/>
                </w:tcPr>
                <w:p w14:paraId="1DA96BDE">
                  <w:pPr>
                    <w:pStyle w:val="2"/>
                    <w:adjustRightInd w:val="0"/>
                    <w:spacing w:before="0" w:after="0" w:line="240" w:lineRule="auto"/>
                    <w:ind w:right="0"/>
                    <w:jc w:val="center"/>
                    <w:rPr>
                      <w:b/>
                      <w:bCs/>
                      <w:color w:val="auto"/>
                      <w:sz w:val="21"/>
                      <w:szCs w:val="21"/>
                    </w:rPr>
                  </w:pPr>
                  <w:r>
                    <w:rPr>
                      <w:b/>
                      <w:bCs/>
                      <w:color w:val="auto"/>
                      <w:sz w:val="21"/>
                      <w:szCs w:val="21"/>
                    </w:rPr>
                    <w:t>损耗量</w:t>
                  </w:r>
                </w:p>
              </w:tc>
              <w:tc>
                <w:tcPr>
                  <w:tcW w:w="933" w:type="dxa"/>
                  <w:vAlign w:val="center"/>
                </w:tcPr>
                <w:p w14:paraId="079BF300">
                  <w:pPr>
                    <w:pStyle w:val="2"/>
                    <w:adjustRightInd w:val="0"/>
                    <w:spacing w:before="0" w:after="0" w:line="240" w:lineRule="auto"/>
                    <w:ind w:right="0"/>
                    <w:jc w:val="center"/>
                    <w:rPr>
                      <w:b/>
                      <w:bCs/>
                      <w:color w:val="auto"/>
                      <w:sz w:val="21"/>
                      <w:szCs w:val="21"/>
                    </w:rPr>
                  </w:pPr>
                  <w:r>
                    <w:rPr>
                      <w:rFonts w:hint="eastAsia"/>
                      <w:b/>
                      <w:bCs/>
                      <w:color w:val="auto"/>
                      <w:sz w:val="21"/>
                      <w:szCs w:val="21"/>
                    </w:rPr>
                    <w:t>废水</w:t>
                  </w:r>
                  <w:r>
                    <w:rPr>
                      <w:b/>
                      <w:bCs/>
                      <w:color w:val="auto"/>
                      <w:sz w:val="21"/>
                      <w:szCs w:val="21"/>
                    </w:rPr>
                    <w:t>量</w:t>
                  </w:r>
                </w:p>
              </w:tc>
              <w:tc>
                <w:tcPr>
                  <w:tcW w:w="1322" w:type="dxa"/>
                  <w:vAlign w:val="center"/>
                </w:tcPr>
                <w:p w14:paraId="04C60831">
                  <w:pPr>
                    <w:pStyle w:val="2"/>
                    <w:adjustRightInd w:val="0"/>
                    <w:spacing w:before="0" w:after="0" w:line="240" w:lineRule="auto"/>
                    <w:ind w:right="0"/>
                    <w:jc w:val="center"/>
                    <w:rPr>
                      <w:b/>
                      <w:bCs/>
                      <w:color w:val="auto"/>
                      <w:sz w:val="21"/>
                      <w:szCs w:val="21"/>
                    </w:rPr>
                  </w:pPr>
                  <w:r>
                    <w:rPr>
                      <w:b/>
                      <w:bCs/>
                      <w:color w:val="auto"/>
                      <w:sz w:val="21"/>
                      <w:szCs w:val="21"/>
                    </w:rPr>
                    <w:t>废水种类</w:t>
                  </w:r>
                </w:p>
              </w:tc>
              <w:tc>
                <w:tcPr>
                  <w:tcW w:w="1284" w:type="dxa"/>
                  <w:vAlign w:val="center"/>
                </w:tcPr>
                <w:p w14:paraId="3C34F453">
                  <w:pPr>
                    <w:pStyle w:val="2"/>
                    <w:adjustRightInd w:val="0"/>
                    <w:spacing w:before="0" w:after="0" w:line="240" w:lineRule="auto"/>
                    <w:ind w:right="0"/>
                    <w:jc w:val="center"/>
                    <w:rPr>
                      <w:b/>
                      <w:bCs/>
                      <w:color w:val="auto"/>
                      <w:sz w:val="21"/>
                      <w:szCs w:val="21"/>
                    </w:rPr>
                  </w:pPr>
                  <w:r>
                    <w:rPr>
                      <w:b/>
                      <w:bCs/>
                      <w:color w:val="auto"/>
                      <w:sz w:val="21"/>
                      <w:szCs w:val="21"/>
                    </w:rPr>
                    <w:t>排放去向</w:t>
                  </w:r>
                </w:p>
              </w:tc>
            </w:tr>
            <w:tr w14:paraId="5777C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99" w:type="dxa"/>
                  <w:vAlign w:val="center"/>
                </w:tcPr>
                <w:p w14:paraId="1FD5C517">
                  <w:pPr>
                    <w:pStyle w:val="2"/>
                    <w:adjustRightInd w:val="0"/>
                    <w:spacing w:before="0" w:after="0" w:line="240" w:lineRule="auto"/>
                    <w:ind w:right="0"/>
                    <w:jc w:val="center"/>
                    <w:rPr>
                      <w:color w:val="auto"/>
                      <w:sz w:val="21"/>
                      <w:szCs w:val="21"/>
                    </w:rPr>
                  </w:pPr>
                  <w:r>
                    <w:rPr>
                      <w:color w:val="auto"/>
                      <w:sz w:val="21"/>
                      <w:szCs w:val="21"/>
                    </w:rPr>
                    <w:t>功能槽用水</w:t>
                  </w:r>
                </w:p>
              </w:tc>
              <w:tc>
                <w:tcPr>
                  <w:tcW w:w="1111" w:type="dxa"/>
                  <w:vAlign w:val="center"/>
                </w:tcPr>
                <w:p w14:paraId="66F6D6D3">
                  <w:pPr>
                    <w:widowControl/>
                    <w:jc w:val="center"/>
                    <w:textAlignment w:val="center"/>
                    <w:rPr>
                      <w:color w:val="auto"/>
                      <w:szCs w:val="21"/>
                    </w:rPr>
                  </w:pPr>
                  <w:r>
                    <w:rPr>
                      <w:color w:val="auto"/>
                      <w:kern w:val="0"/>
                      <w:szCs w:val="21"/>
                      <w:lang w:bidi="ar"/>
                    </w:rPr>
                    <w:t xml:space="preserve">0.806 </w:t>
                  </w:r>
                </w:p>
              </w:tc>
              <w:tc>
                <w:tcPr>
                  <w:tcW w:w="1113" w:type="dxa"/>
                  <w:vAlign w:val="center"/>
                </w:tcPr>
                <w:p w14:paraId="269C43D5">
                  <w:pPr>
                    <w:widowControl/>
                    <w:jc w:val="center"/>
                    <w:textAlignment w:val="center"/>
                    <w:rPr>
                      <w:color w:val="auto"/>
                      <w:szCs w:val="21"/>
                    </w:rPr>
                  </w:pPr>
                  <w:r>
                    <w:rPr>
                      <w:color w:val="auto"/>
                      <w:kern w:val="0"/>
                      <w:szCs w:val="21"/>
                      <w:lang w:bidi="ar"/>
                    </w:rPr>
                    <w:t xml:space="preserve">0.806 </w:t>
                  </w:r>
                </w:p>
              </w:tc>
              <w:tc>
                <w:tcPr>
                  <w:tcW w:w="1089" w:type="dxa"/>
                  <w:vAlign w:val="center"/>
                </w:tcPr>
                <w:p w14:paraId="53E2FA6D">
                  <w:pPr>
                    <w:widowControl/>
                    <w:jc w:val="center"/>
                    <w:textAlignment w:val="center"/>
                    <w:rPr>
                      <w:color w:val="auto"/>
                      <w:szCs w:val="21"/>
                    </w:rPr>
                  </w:pPr>
                  <w:r>
                    <w:rPr>
                      <w:color w:val="auto"/>
                      <w:kern w:val="0"/>
                      <w:szCs w:val="21"/>
                      <w:lang w:bidi="ar"/>
                    </w:rPr>
                    <w:t xml:space="preserve">0 </w:t>
                  </w:r>
                </w:p>
              </w:tc>
              <w:tc>
                <w:tcPr>
                  <w:tcW w:w="765" w:type="dxa"/>
                  <w:vAlign w:val="center"/>
                </w:tcPr>
                <w:p w14:paraId="45ADFC57">
                  <w:pPr>
                    <w:widowControl/>
                    <w:jc w:val="center"/>
                    <w:textAlignment w:val="center"/>
                    <w:rPr>
                      <w:color w:val="auto"/>
                      <w:szCs w:val="21"/>
                    </w:rPr>
                  </w:pPr>
                  <w:r>
                    <w:rPr>
                      <w:color w:val="auto"/>
                      <w:kern w:val="0"/>
                      <w:szCs w:val="21"/>
                      <w:lang w:bidi="ar"/>
                    </w:rPr>
                    <w:t xml:space="preserve">0 </w:t>
                  </w:r>
                </w:p>
              </w:tc>
              <w:tc>
                <w:tcPr>
                  <w:tcW w:w="1067" w:type="dxa"/>
                  <w:vAlign w:val="center"/>
                </w:tcPr>
                <w:p w14:paraId="3EB68027">
                  <w:pPr>
                    <w:widowControl/>
                    <w:jc w:val="center"/>
                    <w:textAlignment w:val="center"/>
                    <w:rPr>
                      <w:color w:val="auto"/>
                      <w:szCs w:val="21"/>
                    </w:rPr>
                  </w:pPr>
                  <w:r>
                    <w:rPr>
                      <w:color w:val="auto"/>
                      <w:kern w:val="0"/>
                      <w:szCs w:val="21"/>
                      <w:lang w:bidi="ar"/>
                    </w:rPr>
                    <w:t xml:space="preserve">0.671 </w:t>
                  </w:r>
                </w:p>
              </w:tc>
              <w:tc>
                <w:tcPr>
                  <w:tcW w:w="933" w:type="dxa"/>
                  <w:vAlign w:val="center"/>
                </w:tcPr>
                <w:p w14:paraId="7A5F3D3E">
                  <w:pPr>
                    <w:widowControl/>
                    <w:jc w:val="center"/>
                    <w:textAlignment w:val="center"/>
                    <w:rPr>
                      <w:color w:val="auto"/>
                      <w:szCs w:val="21"/>
                    </w:rPr>
                  </w:pPr>
                  <w:r>
                    <w:rPr>
                      <w:color w:val="auto"/>
                      <w:kern w:val="0"/>
                      <w:szCs w:val="21"/>
                      <w:lang w:bidi="ar"/>
                    </w:rPr>
                    <w:t xml:space="preserve">0.135 </w:t>
                  </w:r>
                </w:p>
              </w:tc>
              <w:tc>
                <w:tcPr>
                  <w:tcW w:w="1322" w:type="dxa"/>
                  <w:vAlign w:val="center"/>
                </w:tcPr>
                <w:p w14:paraId="32BD7500">
                  <w:pPr>
                    <w:pStyle w:val="2"/>
                    <w:adjustRightInd w:val="0"/>
                    <w:spacing w:before="0" w:after="0" w:line="240" w:lineRule="auto"/>
                    <w:ind w:right="0"/>
                    <w:jc w:val="center"/>
                    <w:rPr>
                      <w:color w:val="auto"/>
                      <w:sz w:val="21"/>
                      <w:szCs w:val="21"/>
                    </w:rPr>
                  </w:pPr>
                  <w:r>
                    <w:rPr>
                      <w:color w:val="auto"/>
                      <w:sz w:val="21"/>
                      <w:szCs w:val="21"/>
                    </w:rPr>
                    <w:t>废槽液</w:t>
                  </w:r>
                </w:p>
              </w:tc>
              <w:tc>
                <w:tcPr>
                  <w:tcW w:w="1284" w:type="dxa"/>
                  <w:vMerge w:val="restart"/>
                  <w:vAlign w:val="center"/>
                </w:tcPr>
                <w:p w14:paraId="293E560C">
                  <w:pPr>
                    <w:pStyle w:val="2"/>
                    <w:adjustRightInd w:val="0"/>
                    <w:spacing w:before="0" w:after="0" w:line="240" w:lineRule="auto"/>
                    <w:ind w:right="0"/>
                    <w:jc w:val="center"/>
                    <w:rPr>
                      <w:color w:val="auto"/>
                      <w:sz w:val="21"/>
                      <w:szCs w:val="21"/>
                    </w:rPr>
                  </w:pPr>
                  <w:r>
                    <w:rPr>
                      <w:color w:val="auto"/>
                      <w:sz w:val="21"/>
                      <w:szCs w:val="21"/>
                    </w:rPr>
                    <w:t>经自建废水站处理后回用，不外排</w:t>
                  </w:r>
                </w:p>
              </w:tc>
            </w:tr>
            <w:tr w14:paraId="47BCE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299" w:type="dxa"/>
                  <w:vAlign w:val="center"/>
                </w:tcPr>
                <w:p w14:paraId="28A921AF">
                  <w:pPr>
                    <w:pStyle w:val="2"/>
                    <w:adjustRightInd w:val="0"/>
                    <w:spacing w:before="0" w:after="0" w:line="240" w:lineRule="auto"/>
                    <w:ind w:right="0"/>
                    <w:jc w:val="center"/>
                    <w:rPr>
                      <w:color w:val="auto"/>
                      <w:sz w:val="21"/>
                      <w:szCs w:val="21"/>
                    </w:rPr>
                  </w:pPr>
                  <w:r>
                    <w:rPr>
                      <w:rFonts w:hint="eastAsia"/>
                      <w:color w:val="auto"/>
                      <w:sz w:val="21"/>
                      <w:szCs w:val="21"/>
                    </w:rPr>
                    <w:t>清洗</w:t>
                  </w:r>
                  <w:r>
                    <w:rPr>
                      <w:color w:val="auto"/>
                      <w:sz w:val="21"/>
                      <w:szCs w:val="21"/>
                    </w:rPr>
                    <w:t>槽用水</w:t>
                  </w:r>
                </w:p>
              </w:tc>
              <w:tc>
                <w:tcPr>
                  <w:tcW w:w="1111" w:type="dxa"/>
                  <w:vAlign w:val="center"/>
                </w:tcPr>
                <w:p w14:paraId="7B7DECD2">
                  <w:pPr>
                    <w:pStyle w:val="2"/>
                    <w:adjustRightInd w:val="0"/>
                    <w:spacing w:before="0" w:after="0" w:line="240" w:lineRule="auto"/>
                    <w:ind w:right="0"/>
                    <w:jc w:val="center"/>
                    <w:rPr>
                      <w:color w:val="auto"/>
                      <w:sz w:val="21"/>
                      <w:szCs w:val="21"/>
                    </w:rPr>
                  </w:pPr>
                  <w:r>
                    <w:rPr>
                      <w:rFonts w:hint="eastAsia"/>
                      <w:color w:val="auto"/>
                      <w:sz w:val="21"/>
                      <w:szCs w:val="21"/>
                    </w:rPr>
                    <w:t>5.48</w:t>
                  </w:r>
                </w:p>
              </w:tc>
              <w:tc>
                <w:tcPr>
                  <w:tcW w:w="1113" w:type="dxa"/>
                  <w:vAlign w:val="center"/>
                </w:tcPr>
                <w:p w14:paraId="28F3219C">
                  <w:pPr>
                    <w:pStyle w:val="2"/>
                    <w:adjustRightInd w:val="0"/>
                    <w:spacing w:before="0" w:after="0" w:line="240" w:lineRule="auto"/>
                    <w:ind w:right="0"/>
                    <w:jc w:val="center"/>
                    <w:rPr>
                      <w:rFonts w:hint="default" w:eastAsia="宋体"/>
                      <w:color w:val="auto"/>
                      <w:sz w:val="21"/>
                      <w:szCs w:val="21"/>
                      <w:lang w:val="en-US" w:eastAsia="zh-CN"/>
                    </w:rPr>
                  </w:pPr>
                  <w:r>
                    <w:rPr>
                      <w:rFonts w:hint="eastAsia"/>
                      <w:color w:val="auto"/>
                      <w:sz w:val="21"/>
                      <w:szCs w:val="21"/>
                      <w:lang w:val="en-US" w:eastAsia="zh-CN"/>
                    </w:rPr>
                    <w:t>1.547</w:t>
                  </w:r>
                </w:p>
              </w:tc>
              <w:tc>
                <w:tcPr>
                  <w:tcW w:w="1089" w:type="dxa"/>
                  <w:vAlign w:val="center"/>
                </w:tcPr>
                <w:p w14:paraId="125D381D">
                  <w:pPr>
                    <w:pStyle w:val="2"/>
                    <w:adjustRightInd w:val="0"/>
                    <w:spacing w:before="0" w:after="0" w:line="240" w:lineRule="auto"/>
                    <w:ind w:right="0"/>
                    <w:jc w:val="center"/>
                    <w:rPr>
                      <w:rFonts w:hint="default" w:eastAsia="宋体"/>
                      <w:color w:val="auto"/>
                      <w:sz w:val="21"/>
                      <w:szCs w:val="21"/>
                      <w:lang w:val="en-US" w:eastAsia="zh-CN"/>
                    </w:rPr>
                  </w:pPr>
                  <w:r>
                    <w:rPr>
                      <w:rFonts w:hint="eastAsia"/>
                      <w:color w:val="auto"/>
                      <w:sz w:val="21"/>
                      <w:szCs w:val="21"/>
                      <w:lang w:val="en-US" w:eastAsia="zh-CN"/>
                    </w:rPr>
                    <w:t>3.933</w:t>
                  </w:r>
                </w:p>
              </w:tc>
              <w:tc>
                <w:tcPr>
                  <w:tcW w:w="765" w:type="dxa"/>
                  <w:vAlign w:val="center"/>
                </w:tcPr>
                <w:p w14:paraId="1D3E6D3B">
                  <w:pPr>
                    <w:pStyle w:val="2"/>
                    <w:adjustRightInd w:val="0"/>
                    <w:spacing w:before="0" w:after="0" w:line="240" w:lineRule="auto"/>
                    <w:ind w:right="0"/>
                    <w:jc w:val="center"/>
                    <w:rPr>
                      <w:color w:val="auto"/>
                      <w:sz w:val="21"/>
                      <w:szCs w:val="21"/>
                    </w:rPr>
                  </w:pPr>
                  <w:r>
                    <w:rPr>
                      <w:rFonts w:hint="eastAsia"/>
                      <w:color w:val="auto"/>
                      <w:sz w:val="21"/>
                      <w:szCs w:val="21"/>
                    </w:rPr>
                    <w:t>0</w:t>
                  </w:r>
                </w:p>
              </w:tc>
              <w:tc>
                <w:tcPr>
                  <w:tcW w:w="1067" w:type="dxa"/>
                  <w:vAlign w:val="center"/>
                </w:tcPr>
                <w:p w14:paraId="7EF128DA">
                  <w:pPr>
                    <w:pStyle w:val="2"/>
                    <w:adjustRightInd w:val="0"/>
                    <w:spacing w:before="0" w:after="0" w:line="240" w:lineRule="auto"/>
                    <w:ind w:right="0"/>
                    <w:jc w:val="center"/>
                    <w:rPr>
                      <w:color w:val="auto"/>
                      <w:sz w:val="21"/>
                      <w:szCs w:val="21"/>
                    </w:rPr>
                  </w:pPr>
                  <w:r>
                    <w:rPr>
                      <w:rFonts w:hint="eastAsia"/>
                      <w:color w:val="auto"/>
                      <w:sz w:val="21"/>
                      <w:szCs w:val="21"/>
                    </w:rPr>
                    <w:t>1.16</w:t>
                  </w:r>
                </w:p>
              </w:tc>
              <w:tc>
                <w:tcPr>
                  <w:tcW w:w="933" w:type="dxa"/>
                  <w:vAlign w:val="center"/>
                </w:tcPr>
                <w:p w14:paraId="04B92AC9">
                  <w:pPr>
                    <w:pStyle w:val="2"/>
                    <w:adjustRightInd w:val="0"/>
                    <w:spacing w:before="0" w:after="0" w:line="240" w:lineRule="auto"/>
                    <w:ind w:right="0"/>
                    <w:jc w:val="center"/>
                    <w:rPr>
                      <w:color w:val="auto"/>
                      <w:sz w:val="21"/>
                      <w:szCs w:val="21"/>
                    </w:rPr>
                  </w:pPr>
                  <w:r>
                    <w:rPr>
                      <w:rFonts w:hint="eastAsia"/>
                      <w:color w:val="auto"/>
                      <w:sz w:val="21"/>
                      <w:szCs w:val="21"/>
                    </w:rPr>
                    <w:t>4.32</w:t>
                  </w:r>
                </w:p>
              </w:tc>
              <w:tc>
                <w:tcPr>
                  <w:tcW w:w="1322" w:type="dxa"/>
                  <w:vAlign w:val="center"/>
                </w:tcPr>
                <w:p w14:paraId="4EAB1099">
                  <w:pPr>
                    <w:pStyle w:val="2"/>
                    <w:adjustRightInd w:val="0"/>
                    <w:spacing w:before="0" w:after="0" w:line="240" w:lineRule="auto"/>
                    <w:ind w:right="0"/>
                    <w:jc w:val="center"/>
                    <w:rPr>
                      <w:color w:val="auto"/>
                      <w:sz w:val="21"/>
                      <w:szCs w:val="21"/>
                    </w:rPr>
                  </w:pPr>
                  <w:r>
                    <w:rPr>
                      <w:color w:val="auto"/>
                      <w:sz w:val="21"/>
                      <w:szCs w:val="21"/>
                    </w:rPr>
                    <w:t>清洗废水</w:t>
                  </w:r>
                </w:p>
              </w:tc>
              <w:tc>
                <w:tcPr>
                  <w:tcW w:w="1284" w:type="dxa"/>
                  <w:vMerge w:val="continue"/>
                  <w:vAlign w:val="center"/>
                </w:tcPr>
                <w:p w14:paraId="13A8A489">
                  <w:pPr>
                    <w:pStyle w:val="2"/>
                    <w:adjustRightInd w:val="0"/>
                    <w:spacing w:before="0" w:after="0" w:line="240" w:lineRule="auto"/>
                    <w:ind w:right="0"/>
                    <w:jc w:val="center"/>
                    <w:rPr>
                      <w:color w:val="auto"/>
                      <w:sz w:val="21"/>
                      <w:szCs w:val="21"/>
                    </w:rPr>
                  </w:pPr>
                </w:p>
              </w:tc>
            </w:tr>
            <w:tr w14:paraId="207F6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99" w:type="dxa"/>
                  <w:vAlign w:val="center"/>
                </w:tcPr>
                <w:p w14:paraId="34B48F8A">
                  <w:pPr>
                    <w:pStyle w:val="2"/>
                    <w:adjustRightInd w:val="0"/>
                    <w:spacing w:before="0" w:after="0" w:line="240" w:lineRule="auto"/>
                    <w:ind w:right="0"/>
                    <w:jc w:val="center"/>
                    <w:rPr>
                      <w:color w:val="auto"/>
                      <w:sz w:val="21"/>
                      <w:szCs w:val="21"/>
                    </w:rPr>
                  </w:pPr>
                  <w:r>
                    <w:rPr>
                      <w:rFonts w:hint="eastAsia"/>
                      <w:color w:val="auto"/>
                      <w:sz w:val="21"/>
                      <w:szCs w:val="21"/>
                    </w:rPr>
                    <w:t>水帘柜用水</w:t>
                  </w:r>
                </w:p>
              </w:tc>
              <w:tc>
                <w:tcPr>
                  <w:tcW w:w="1111" w:type="dxa"/>
                  <w:vAlign w:val="center"/>
                </w:tcPr>
                <w:p w14:paraId="0DF36432">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 xml:space="preserve">6.6612 </w:t>
                  </w:r>
                </w:p>
              </w:tc>
              <w:tc>
                <w:tcPr>
                  <w:tcW w:w="1113" w:type="dxa"/>
                  <w:vAlign w:val="center"/>
                </w:tcPr>
                <w:p w14:paraId="4D579B72">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 xml:space="preserve">6.66064 </w:t>
                  </w:r>
                </w:p>
              </w:tc>
              <w:tc>
                <w:tcPr>
                  <w:tcW w:w="1089" w:type="dxa"/>
                  <w:vAlign w:val="center"/>
                </w:tcPr>
                <w:p w14:paraId="34F3309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 xml:space="preserve">0 </w:t>
                  </w:r>
                </w:p>
              </w:tc>
              <w:tc>
                <w:tcPr>
                  <w:tcW w:w="765" w:type="dxa"/>
                  <w:vAlign w:val="center"/>
                </w:tcPr>
                <w:p w14:paraId="709CECD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0 </w:t>
                  </w:r>
                </w:p>
              </w:tc>
              <w:tc>
                <w:tcPr>
                  <w:tcW w:w="1067" w:type="dxa"/>
                  <w:vAlign w:val="center"/>
                </w:tcPr>
                <w:p w14:paraId="4F3622C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 xml:space="preserve">6.5953 </w:t>
                  </w:r>
                </w:p>
              </w:tc>
              <w:tc>
                <w:tcPr>
                  <w:tcW w:w="933" w:type="dxa"/>
                  <w:vAlign w:val="center"/>
                </w:tcPr>
                <w:p w14:paraId="6AE2360A">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 xml:space="preserve">0.0659 </w:t>
                  </w:r>
                </w:p>
              </w:tc>
              <w:tc>
                <w:tcPr>
                  <w:tcW w:w="1322" w:type="dxa"/>
                  <w:vAlign w:val="center"/>
                </w:tcPr>
                <w:p w14:paraId="03400B7B">
                  <w:pPr>
                    <w:pStyle w:val="2"/>
                    <w:adjustRightInd w:val="0"/>
                    <w:spacing w:before="0" w:after="0" w:line="240" w:lineRule="auto"/>
                    <w:ind w:right="0"/>
                    <w:jc w:val="center"/>
                    <w:rPr>
                      <w:color w:val="auto"/>
                      <w:sz w:val="21"/>
                      <w:szCs w:val="21"/>
                    </w:rPr>
                  </w:pPr>
                  <w:r>
                    <w:rPr>
                      <w:rFonts w:hint="eastAsia"/>
                      <w:color w:val="auto"/>
                      <w:sz w:val="21"/>
                      <w:szCs w:val="21"/>
                    </w:rPr>
                    <w:t>水帘柜废水</w:t>
                  </w:r>
                </w:p>
              </w:tc>
              <w:tc>
                <w:tcPr>
                  <w:tcW w:w="1284" w:type="dxa"/>
                  <w:vAlign w:val="center"/>
                </w:tcPr>
                <w:p w14:paraId="4B052C40">
                  <w:pPr>
                    <w:pStyle w:val="2"/>
                    <w:adjustRightInd w:val="0"/>
                    <w:spacing w:before="0" w:after="0" w:line="240" w:lineRule="auto"/>
                    <w:ind w:right="0"/>
                    <w:jc w:val="center"/>
                    <w:rPr>
                      <w:color w:val="auto"/>
                      <w:sz w:val="21"/>
                      <w:szCs w:val="21"/>
                    </w:rPr>
                  </w:pPr>
                  <w:r>
                    <w:rPr>
                      <w:rFonts w:hint="eastAsia"/>
                      <w:color w:val="auto"/>
                      <w:sz w:val="21"/>
                      <w:szCs w:val="21"/>
                    </w:rPr>
                    <w:t>委托有资质单位处置</w:t>
                  </w:r>
                </w:p>
              </w:tc>
            </w:tr>
            <w:tr w14:paraId="4F5C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blHeader/>
                <w:jc w:val="center"/>
              </w:trPr>
              <w:tc>
                <w:tcPr>
                  <w:tcW w:w="1299" w:type="dxa"/>
                  <w:vAlign w:val="center"/>
                </w:tcPr>
                <w:p w14:paraId="51A329E3">
                  <w:pPr>
                    <w:pStyle w:val="2"/>
                    <w:adjustRightInd w:val="0"/>
                    <w:spacing w:before="0" w:after="0" w:line="240" w:lineRule="auto"/>
                    <w:ind w:right="0"/>
                    <w:jc w:val="center"/>
                    <w:rPr>
                      <w:color w:val="auto"/>
                      <w:sz w:val="21"/>
                      <w:szCs w:val="21"/>
                    </w:rPr>
                  </w:pPr>
                  <w:r>
                    <w:rPr>
                      <w:rFonts w:hint="eastAsia"/>
                      <w:color w:val="auto"/>
                      <w:sz w:val="21"/>
                      <w:szCs w:val="21"/>
                    </w:rPr>
                    <w:t>喷枪清洗</w:t>
                  </w:r>
                </w:p>
                <w:p w14:paraId="7B8ABFB4">
                  <w:pPr>
                    <w:pStyle w:val="2"/>
                    <w:adjustRightInd w:val="0"/>
                    <w:spacing w:before="0" w:after="0" w:line="240" w:lineRule="auto"/>
                    <w:ind w:right="0"/>
                    <w:jc w:val="center"/>
                    <w:rPr>
                      <w:color w:val="auto"/>
                      <w:sz w:val="21"/>
                      <w:szCs w:val="21"/>
                    </w:rPr>
                  </w:pPr>
                  <w:r>
                    <w:rPr>
                      <w:rFonts w:hint="eastAsia"/>
                      <w:color w:val="auto"/>
                      <w:sz w:val="21"/>
                      <w:szCs w:val="21"/>
                    </w:rPr>
                    <w:t>用水</w:t>
                  </w:r>
                </w:p>
              </w:tc>
              <w:tc>
                <w:tcPr>
                  <w:tcW w:w="1111" w:type="dxa"/>
                  <w:vAlign w:val="center"/>
                </w:tcPr>
                <w:p w14:paraId="14E95F38">
                  <w:pPr>
                    <w:widowControl/>
                    <w:jc w:val="center"/>
                    <w:textAlignment w:val="center"/>
                    <w:rPr>
                      <w:color w:val="auto"/>
                      <w:kern w:val="0"/>
                      <w:szCs w:val="21"/>
                      <w:lang w:bidi="ar"/>
                    </w:rPr>
                  </w:pPr>
                  <w:r>
                    <w:rPr>
                      <w:color w:val="auto"/>
                      <w:kern w:val="0"/>
                      <w:szCs w:val="21"/>
                      <w:lang w:bidi="ar"/>
                    </w:rPr>
                    <w:t>0.00063</w:t>
                  </w:r>
                </w:p>
              </w:tc>
              <w:tc>
                <w:tcPr>
                  <w:tcW w:w="1113" w:type="dxa"/>
                  <w:vAlign w:val="center"/>
                </w:tcPr>
                <w:p w14:paraId="57F6A083">
                  <w:pPr>
                    <w:widowControl/>
                    <w:jc w:val="center"/>
                    <w:textAlignment w:val="center"/>
                    <w:rPr>
                      <w:color w:val="auto"/>
                      <w:kern w:val="0"/>
                      <w:szCs w:val="21"/>
                      <w:lang w:bidi="ar"/>
                    </w:rPr>
                  </w:pPr>
                  <w:r>
                    <w:rPr>
                      <w:color w:val="auto"/>
                      <w:kern w:val="0"/>
                      <w:szCs w:val="21"/>
                      <w:lang w:bidi="ar"/>
                    </w:rPr>
                    <w:t>0.00063</w:t>
                  </w:r>
                </w:p>
              </w:tc>
              <w:tc>
                <w:tcPr>
                  <w:tcW w:w="1089" w:type="dxa"/>
                  <w:vAlign w:val="center"/>
                </w:tcPr>
                <w:p w14:paraId="2B78B222">
                  <w:pPr>
                    <w:widowControl/>
                    <w:jc w:val="center"/>
                    <w:textAlignment w:val="center"/>
                    <w:rPr>
                      <w:color w:val="auto"/>
                      <w:szCs w:val="21"/>
                    </w:rPr>
                  </w:pPr>
                  <w:r>
                    <w:rPr>
                      <w:color w:val="auto"/>
                      <w:kern w:val="0"/>
                      <w:szCs w:val="21"/>
                      <w:lang w:bidi="ar"/>
                    </w:rPr>
                    <w:t>0</w:t>
                  </w:r>
                </w:p>
              </w:tc>
              <w:tc>
                <w:tcPr>
                  <w:tcW w:w="765" w:type="dxa"/>
                  <w:vAlign w:val="center"/>
                </w:tcPr>
                <w:p w14:paraId="50569572">
                  <w:pPr>
                    <w:widowControl/>
                    <w:jc w:val="center"/>
                    <w:textAlignment w:val="center"/>
                    <w:rPr>
                      <w:color w:val="auto"/>
                      <w:kern w:val="0"/>
                      <w:szCs w:val="21"/>
                      <w:lang w:bidi="ar"/>
                    </w:rPr>
                  </w:pPr>
                  <w:r>
                    <w:rPr>
                      <w:color w:val="auto"/>
                      <w:kern w:val="0"/>
                      <w:szCs w:val="21"/>
                      <w:lang w:bidi="ar"/>
                    </w:rPr>
                    <w:t>0</w:t>
                  </w:r>
                </w:p>
              </w:tc>
              <w:tc>
                <w:tcPr>
                  <w:tcW w:w="1067" w:type="dxa"/>
                  <w:vAlign w:val="center"/>
                </w:tcPr>
                <w:p w14:paraId="24B0211D">
                  <w:pPr>
                    <w:widowControl/>
                    <w:jc w:val="center"/>
                    <w:textAlignment w:val="center"/>
                    <w:rPr>
                      <w:color w:val="auto"/>
                      <w:kern w:val="0"/>
                      <w:szCs w:val="21"/>
                      <w:lang w:bidi="ar"/>
                    </w:rPr>
                  </w:pPr>
                  <w:r>
                    <w:rPr>
                      <w:color w:val="auto"/>
                      <w:kern w:val="0"/>
                      <w:szCs w:val="21"/>
                      <w:lang w:bidi="ar"/>
                    </w:rPr>
                    <w:t>0.00006</w:t>
                  </w:r>
                </w:p>
              </w:tc>
              <w:tc>
                <w:tcPr>
                  <w:tcW w:w="933" w:type="dxa"/>
                  <w:vAlign w:val="center"/>
                </w:tcPr>
                <w:p w14:paraId="13F32231">
                  <w:pPr>
                    <w:widowControl/>
                    <w:jc w:val="center"/>
                    <w:textAlignment w:val="center"/>
                    <w:rPr>
                      <w:color w:val="auto"/>
                      <w:kern w:val="0"/>
                      <w:szCs w:val="21"/>
                      <w:lang w:bidi="ar"/>
                    </w:rPr>
                  </w:pPr>
                  <w:r>
                    <w:rPr>
                      <w:color w:val="auto"/>
                      <w:kern w:val="0"/>
                      <w:szCs w:val="21"/>
                      <w:lang w:bidi="ar"/>
                    </w:rPr>
                    <w:t>0.0005</w:t>
                  </w:r>
                  <w:r>
                    <w:rPr>
                      <w:rFonts w:hint="eastAsia"/>
                      <w:color w:val="auto"/>
                      <w:kern w:val="0"/>
                      <w:szCs w:val="21"/>
                      <w:lang w:bidi="ar"/>
                    </w:rPr>
                    <w:t>6</w:t>
                  </w:r>
                </w:p>
              </w:tc>
              <w:tc>
                <w:tcPr>
                  <w:tcW w:w="1322" w:type="dxa"/>
                  <w:vAlign w:val="center"/>
                </w:tcPr>
                <w:p w14:paraId="71735E4E">
                  <w:pPr>
                    <w:pStyle w:val="2"/>
                    <w:adjustRightInd w:val="0"/>
                    <w:spacing w:before="0" w:after="0" w:line="240" w:lineRule="auto"/>
                    <w:ind w:right="0"/>
                    <w:jc w:val="center"/>
                    <w:rPr>
                      <w:color w:val="auto"/>
                      <w:sz w:val="21"/>
                      <w:szCs w:val="21"/>
                    </w:rPr>
                  </w:pPr>
                  <w:r>
                    <w:rPr>
                      <w:rFonts w:hint="eastAsia"/>
                      <w:color w:val="auto"/>
                      <w:sz w:val="21"/>
                      <w:szCs w:val="21"/>
                    </w:rPr>
                    <w:t>喷枪清洗</w:t>
                  </w:r>
                </w:p>
                <w:p w14:paraId="71F5D27D">
                  <w:pPr>
                    <w:pStyle w:val="2"/>
                    <w:adjustRightInd w:val="0"/>
                    <w:spacing w:before="0" w:after="0" w:line="240" w:lineRule="auto"/>
                    <w:ind w:right="0"/>
                    <w:jc w:val="center"/>
                    <w:rPr>
                      <w:color w:val="auto"/>
                      <w:sz w:val="21"/>
                      <w:szCs w:val="21"/>
                    </w:rPr>
                  </w:pPr>
                  <w:r>
                    <w:rPr>
                      <w:rFonts w:hint="eastAsia"/>
                      <w:color w:val="auto"/>
                      <w:sz w:val="21"/>
                      <w:szCs w:val="21"/>
                    </w:rPr>
                    <w:t>废水</w:t>
                  </w:r>
                </w:p>
              </w:tc>
              <w:tc>
                <w:tcPr>
                  <w:tcW w:w="1284" w:type="dxa"/>
                  <w:vAlign w:val="center"/>
                </w:tcPr>
                <w:p w14:paraId="7E9904DC">
                  <w:pPr>
                    <w:pStyle w:val="2"/>
                    <w:adjustRightInd w:val="0"/>
                    <w:spacing w:before="0" w:after="0" w:line="240" w:lineRule="auto"/>
                    <w:ind w:right="0"/>
                    <w:jc w:val="center"/>
                    <w:rPr>
                      <w:color w:val="auto"/>
                      <w:sz w:val="21"/>
                      <w:szCs w:val="21"/>
                    </w:rPr>
                  </w:pPr>
                  <w:r>
                    <w:rPr>
                      <w:rFonts w:hint="eastAsia"/>
                      <w:color w:val="auto"/>
                      <w:sz w:val="21"/>
                      <w:szCs w:val="21"/>
                    </w:rPr>
                    <w:t>倒入水帘柜二次利用</w:t>
                  </w:r>
                </w:p>
              </w:tc>
            </w:tr>
            <w:tr w14:paraId="47077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blHeader/>
                <w:jc w:val="center"/>
              </w:trPr>
              <w:tc>
                <w:tcPr>
                  <w:tcW w:w="1299" w:type="dxa"/>
                  <w:vAlign w:val="center"/>
                </w:tcPr>
                <w:p w14:paraId="27849B2F">
                  <w:pPr>
                    <w:pStyle w:val="2"/>
                    <w:adjustRightInd w:val="0"/>
                    <w:spacing w:before="0" w:after="0" w:line="240" w:lineRule="auto"/>
                    <w:ind w:right="0"/>
                    <w:jc w:val="center"/>
                    <w:rPr>
                      <w:color w:val="auto"/>
                      <w:sz w:val="21"/>
                      <w:szCs w:val="21"/>
                    </w:rPr>
                  </w:pPr>
                  <w:r>
                    <w:rPr>
                      <w:color w:val="auto"/>
                      <w:sz w:val="21"/>
                      <w:szCs w:val="21"/>
                    </w:rPr>
                    <w:t>喷淋</w:t>
                  </w:r>
                  <w:r>
                    <w:rPr>
                      <w:rFonts w:hint="eastAsia"/>
                      <w:color w:val="auto"/>
                      <w:sz w:val="21"/>
                      <w:szCs w:val="21"/>
                    </w:rPr>
                    <w:t>柜</w:t>
                  </w:r>
                  <w:r>
                    <w:rPr>
                      <w:color w:val="auto"/>
                      <w:sz w:val="21"/>
                      <w:szCs w:val="21"/>
                    </w:rPr>
                    <w:t>用水</w:t>
                  </w:r>
                </w:p>
              </w:tc>
              <w:tc>
                <w:tcPr>
                  <w:tcW w:w="1111" w:type="dxa"/>
                  <w:vAlign w:val="center"/>
                </w:tcPr>
                <w:p w14:paraId="25422767">
                  <w:pPr>
                    <w:widowControl/>
                    <w:jc w:val="center"/>
                    <w:textAlignment w:val="center"/>
                    <w:rPr>
                      <w:color w:val="auto"/>
                      <w:kern w:val="0"/>
                      <w:szCs w:val="21"/>
                    </w:rPr>
                  </w:pPr>
                  <w:r>
                    <w:rPr>
                      <w:color w:val="auto"/>
                      <w:kern w:val="0"/>
                      <w:szCs w:val="21"/>
                      <w:lang w:bidi="ar"/>
                    </w:rPr>
                    <w:t>0.102</w:t>
                  </w:r>
                </w:p>
              </w:tc>
              <w:tc>
                <w:tcPr>
                  <w:tcW w:w="1113" w:type="dxa"/>
                  <w:vAlign w:val="center"/>
                </w:tcPr>
                <w:p w14:paraId="75EE5F46">
                  <w:pPr>
                    <w:widowControl/>
                    <w:jc w:val="center"/>
                    <w:textAlignment w:val="center"/>
                    <w:rPr>
                      <w:color w:val="auto"/>
                      <w:szCs w:val="21"/>
                    </w:rPr>
                  </w:pPr>
                  <w:r>
                    <w:rPr>
                      <w:color w:val="auto"/>
                      <w:kern w:val="0"/>
                      <w:szCs w:val="21"/>
                      <w:lang w:bidi="ar"/>
                    </w:rPr>
                    <w:t>0.102</w:t>
                  </w:r>
                </w:p>
              </w:tc>
              <w:tc>
                <w:tcPr>
                  <w:tcW w:w="1089" w:type="dxa"/>
                  <w:vAlign w:val="center"/>
                </w:tcPr>
                <w:p w14:paraId="54C9FDDC">
                  <w:pPr>
                    <w:widowControl/>
                    <w:jc w:val="center"/>
                    <w:textAlignment w:val="center"/>
                    <w:rPr>
                      <w:color w:val="auto"/>
                      <w:szCs w:val="21"/>
                    </w:rPr>
                  </w:pPr>
                  <w:r>
                    <w:rPr>
                      <w:color w:val="auto"/>
                      <w:kern w:val="0"/>
                      <w:szCs w:val="21"/>
                      <w:lang w:bidi="ar"/>
                    </w:rPr>
                    <w:t>0</w:t>
                  </w:r>
                </w:p>
              </w:tc>
              <w:tc>
                <w:tcPr>
                  <w:tcW w:w="765" w:type="dxa"/>
                  <w:vAlign w:val="center"/>
                </w:tcPr>
                <w:p w14:paraId="641CBD75">
                  <w:pPr>
                    <w:widowControl/>
                    <w:jc w:val="center"/>
                    <w:textAlignment w:val="center"/>
                    <w:rPr>
                      <w:color w:val="auto"/>
                      <w:kern w:val="0"/>
                      <w:szCs w:val="21"/>
                      <w:lang w:bidi="ar"/>
                    </w:rPr>
                  </w:pPr>
                  <w:r>
                    <w:rPr>
                      <w:color w:val="auto"/>
                      <w:kern w:val="0"/>
                      <w:szCs w:val="21"/>
                      <w:lang w:bidi="ar"/>
                    </w:rPr>
                    <w:t>0</w:t>
                  </w:r>
                </w:p>
              </w:tc>
              <w:tc>
                <w:tcPr>
                  <w:tcW w:w="1067" w:type="dxa"/>
                  <w:vAlign w:val="center"/>
                </w:tcPr>
                <w:p w14:paraId="3D9D17DB">
                  <w:pPr>
                    <w:widowControl/>
                    <w:jc w:val="center"/>
                    <w:textAlignment w:val="center"/>
                    <w:rPr>
                      <w:color w:val="auto"/>
                      <w:szCs w:val="21"/>
                    </w:rPr>
                  </w:pPr>
                  <w:r>
                    <w:rPr>
                      <w:color w:val="auto"/>
                      <w:kern w:val="0"/>
                      <w:szCs w:val="21"/>
                      <w:lang w:bidi="ar"/>
                    </w:rPr>
                    <w:t>0.1</w:t>
                  </w:r>
                </w:p>
              </w:tc>
              <w:tc>
                <w:tcPr>
                  <w:tcW w:w="933" w:type="dxa"/>
                  <w:vAlign w:val="center"/>
                </w:tcPr>
                <w:p w14:paraId="4EA90B0B">
                  <w:pPr>
                    <w:widowControl/>
                    <w:jc w:val="center"/>
                    <w:textAlignment w:val="center"/>
                    <w:rPr>
                      <w:color w:val="auto"/>
                      <w:szCs w:val="21"/>
                    </w:rPr>
                  </w:pPr>
                  <w:r>
                    <w:rPr>
                      <w:color w:val="auto"/>
                      <w:kern w:val="0"/>
                      <w:szCs w:val="21"/>
                      <w:lang w:bidi="ar"/>
                    </w:rPr>
                    <w:t>0.002</w:t>
                  </w:r>
                </w:p>
              </w:tc>
              <w:tc>
                <w:tcPr>
                  <w:tcW w:w="1322" w:type="dxa"/>
                  <w:vAlign w:val="center"/>
                </w:tcPr>
                <w:p w14:paraId="461980B5">
                  <w:pPr>
                    <w:pStyle w:val="2"/>
                    <w:adjustRightInd w:val="0"/>
                    <w:spacing w:before="0" w:after="0" w:line="240" w:lineRule="auto"/>
                    <w:ind w:right="0"/>
                    <w:jc w:val="center"/>
                    <w:rPr>
                      <w:color w:val="auto"/>
                      <w:sz w:val="21"/>
                      <w:szCs w:val="21"/>
                    </w:rPr>
                  </w:pPr>
                  <w:r>
                    <w:rPr>
                      <w:color w:val="auto"/>
                      <w:sz w:val="21"/>
                      <w:szCs w:val="21"/>
                    </w:rPr>
                    <w:t>喷淋</w:t>
                  </w:r>
                  <w:r>
                    <w:rPr>
                      <w:rFonts w:hint="eastAsia"/>
                      <w:color w:val="auto"/>
                      <w:sz w:val="21"/>
                      <w:szCs w:val="21"/>
                    </w:rPr>
                    <w:t>柜</w:t>
                  </w:r>
                  <w:r>
                    <w:rPr>
                      <w:color w:val="auto"/>
                      <w:sz w:val="21"/>
                      <w:szCs w:val="21"/>
                    </w:rPr>
                    <w:t>废水</w:t>
                  </w:r>
                </w:p>
              </w:tc>
              <w:tc>
                <w:tcPr>
                  <w:tcW w:w="1284" w:type="dxa"/>
                  <w:vMerge w:val="restart"/>
                  <w:vAlign w:val="center"/>
                </w:tcPr>
                <w:p w14:paraId="5B6B862E">
                  <w:pPr>
                    <w:pStyle w:val="2"/>
                    <w:adjustRightInd w:val="0"/>
                    <w:spacing w:before="0" w:after="0" w:line="240" w:lineRule="auto"/>
                    <w:ind w:right="0"/>
                    <w:jc w:val="center"/>
                    <w:rPr>
                      <w:color w:val="auto"/>
                      <w:sz w:val="21"/>
                      <w:szCs w:val="21"/>
                    </w:rPr>
                  </w:pPr>
                  <w:r>
                    <w:rPr>
                      <w:color w:val="auto"/>
                      <w:sz w:val="21"/>
                      <w:szCs w:val="21"/>
                    </w:rPr>
                    <w:t>经自建废水站处理后回用，不外排</w:t>
                  </w:r>
                </w:p>
              </w:tc>
            </w:tr>
            <w:tr w14:paraId="05878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99" w:type="dxa"/>
                  <w:vAlign w:val="center"/>
                </w:tcPr>
                <w:p w14:paraId="0499BADA">
                  <w:pPr>
                    <w:pStyle w:val="2"/>
                    <w:adjustRightInd w:val="0"/>
                    <w:spacing w:before="0" w:after="0" w:line="240" w:lineRule="auto"/>
                    <w:ind w:right="0"/>
                    <w:jc w:val="center"/>
                    <w:rPr>
                      <w:color w:val="auto"/>
                      <w:sz w:val="21"/>
                      <w:szCs w:val="21"/>
                    </w:rPr>
                  </w:pPr>
                  <w:r>
                    <w:rPr>
                      <w:rFonts w:hint="eastAsia"/>
                      <w:color w:val="auto"/>
                      <w:sz w:val="21"/>
                      <w:szCs w:val="21"/>
                    </w:rPr>
                    <w:t>喷淋塔用水</w:t>
                  </w:r>
                </w:p>
              </w:tc>
              <w:tc>
                <w:tcPr>
                  <w:tcW w:w="1111" w:type="dxa"/>
                  <w:vAlign w:val="center"/>
                </w:tcPr>
                <w:p w14:paraId="18A1FDA3">
                  <w:pPr>
                    <w:widowControl/>
                    <w:jc w:val="center"/>
                    <w:textAlignment w:val="center"/>
                    <w:rPr>
                      <w:color w:val="auto"/>
                      <w:kern w:val="0"/>
                      <w:szCs w:val="21"/>
                    </w:rPr>
                  </w:pPr>
                  <w:r>
                    <w:rPr>
                      <w:color w:val="auto"/>
                      <w:kern w:val="0"/>
                      <w:szCs w:val="21"/>
                      <w:lang w:bidi="ar"/>
                    </w:rPr>
                    <w:t xml:space="preserve">20.665 </w:t>
                  </w:r>
                </w:p>
              </w:tc>
              <w:tc>
                <w:tcPr>
                  <w:tcW w:w="1113" w:type="dxa"/>
                  <w:vAlign w:val="center"/>
                </w:tcPr>
                <w:p w14:paraId="198C11C9">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19.835</w:t>
                  </w:r>
                </w:p>
              </w:tc>
              <w:tc>
                <w:tcPr>
                  <w:tcW w:w="1089" w:type="dxa"/>
                  <w:vAlign w:val="center"/>
                </w:tcPr>
                <w:p w14:paraId="2D930F02">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0.261</w:t>
                  </w:r>
                </w:p>
              </w:tc>
              <w:tc>
                <w:tcPr>
                  <w:tcW w:w="765" w:type="dxa"/>
                  <w:vAlign w:val="center"/>
                </w:tcPr>
                <w:p w14:paraId="7DB38209">
                  <w:pPr>
                    <w:widowControl/>
                    <w:jc w:val="center"/>
                    <w:textAlignment w:val="center"/>
                    <w:rPr>
                      <w:color w:val="auto"/>
                      <w:kern w:val="0"/>
                      <w:szCs w:val="21"/>
                      <w:lang w:bidi="ar"/>
                    </w:rPr>
                  </w:pPr>
                  <w:r>
                    <w:rPr>
                      <w:color w:val="auto"/>
                      <w:kern w:val="0"/>
                      <w:szCs w:val="21"/>
                      <w:lang w:bidi="ar"/>
                    </w:rPr>
                    <w:t xml:space="preserve">0.569 </w:t>
                  </w:r>
                </w:p>
              </w:tc>
              <w:tc>
                <w:tcPr>
                  <w:tcW w:w="1067" w:type="dxa"/>
                  <w:vAlign w:val="center"/>
                </w:tcPr>
                <w:p w14:paraId="6A9089F4">
                  <w:pPr>
                    <w:widowControl/>
                    <w:jc w:val="center"/>
                    <w:textAlignment w:val="center"/>
                    <w:rPr>
                      <w:color w:val="auto"/>
                      <w:szCs w:val="21"/>
                    </w:rPr>
                  </w:pPr>
                  <w:r>
                    <w:rPr>
                      <w:color w:val="auto"/>
                      <w:kern w:val="0"/>
                      <w:szCs w:val="21"/>
                      <w:lang w:bidi="ar"/>
                    </w:rPr>
                    <w:t xml:space="preserve">20.419 </w:t>
                  </w:r>
                </w:p>
              </w:tc>
              <w:tc>
                <w:tcPr>
                  <w:tcW w:w="933" w:type="dxa"/>
                  <w:vAlign w:val="center"/>
                </w:tcPr>
                <w:p w14:paraId="46094B0E">
                  <w:pPr>
                    <w:widowControl/>
                    <w:jc w:val="center"/>
                    <w:textAlignment w:val="center"/>
                    <w:rPr>
                      <w:color w:val="auto"/>
                      <w:szCs w:val="21"/>
                    </w:rPr>
                  </w:pPr>
                  <w:r>
                    <w:rPr>
                      <w:color w:val="auto"/>
                      <w:kern w:val="0"/>
                      <w:szCs w:val="21"/>
                      <w:lang w:bidi="ar"/>
                    </w:rPr>
                    <w:t xml:space="preserve">0.246 </w:t>
                  </w:r>
                </w:p>
              </w:tc>
              <w:tc>
                <w:tcPr>
                  <w:tcW w:w="1322" w:type="dxa"/>
                  <w:vAlign w:val="center"/>
                </w:tcPr>
                <w:p w14:paraId="6D9123C3">
                  <w:pPr>
                    <w:pStyle w:val="2"/>
                    <w:adjustRightInd w:val="0"/>
                    <w:spacing w:before="0" w:after="0" w:line="240" w:lineRule="auto"/>
                    <w:ind w:right="0"/>
                    <w:jc w:val="center"/>
                    <w:rPr>
                      <w:color w:val="auto"/>
                      <w:sz w:val="21"/>
                      <w:szCs w:val="21"/>
                    </w:rPr>
                  </w:pPr>
                  <w:r>
                    <w:rPr>
                      <w:rFonts w:hint="eastAsia"/>
                      <w:color w:val="auto"/>
                      <w:sz w:val="21"/>
                      <w:szCs w:val="21"/>
                    </w:rPr>
                    <w:t>喷淋塔</w:t>
                  </w:r>
                  <w:r>
                    <w:rPr>
                      <w:color w:val="auto"/>
                      <w:sz w:val="21"/>
                      <w:szCs w:val="21"/>
                    </w:rPr>
                    <w:t>废水</w:t>
                  </w:r>
                </w:p>
              </w:tc>
              <w:tc>
                <w:tcPr>
                  <w:tcW w:w="1284" w:type="dxa"/>
                  <w:vMerge w:val="continue"/>
                  <w:vAlign w:val="center"/>
                </w:tcPr>
                <w:p w14:paraId="7415DB36">
                  <w:pPr>
                    <w:pStyle w:val="2"/>
                    <w:adjustRightInd w:val="0"/>
                    <w:spacing w:before="0" w:after="0" w:line="240" w:lineRule="auto"/>
                    <w:ind w:right="0"/>
                    <w:jc w:val="center"/>
                    <w:rPr>
                      <w:color w:val="auto"/>
                      <w:sz w:val="21"/>
                      <w:szCs w:val="21"/>
                    </w:rPr>
                  </w:pPr>
                </w:p>
              </w:tc>
            </w:tr>
            <w:tr w14:paraId="42F10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99" w:type="dxa"/>
                  <w:vAlign w:val="center"/>
                </w:tcPr>
                <w:p w14:paraId="3C0706DA">
                  <w:pPr>
                    <w:pStyle w:val="2"/>
                    <w:adjustRightInd w:val="0"/>
                    <w:spacing w:before="0" w:after="0" w:line="240" w:lineRule="auto"/>
                    <w:ind w:right="0"/>
                    <w:jc w:val="center"/>
                    <w:rPr>
                      <w:color w:val="auto"/>
                      <w:sz w:val="21"/>
                      <w:szCs w:val="21"/>
                    </w:rPr>
                  </w:pPr>
                  <w:r>
                    <w:rPr>
                      <w:rFonts w:hint="eastAsia"/>
                      <w:color w:val="auto"/>
                      <w:sz w:val="21"/>
                      <w:szCs w:val="21"/>
                    </w:rPr>
                    <w:t>反冲洗用水</w:t>
                  </w:r>
                </w:p>
              </w:tc>
              <w:tc>
                <w:tcPr>
                  <w:tcW w:w="1111" w:type="dxa"/>
                  <w:vAlign w:val="center"/>
                </w:tcPr>
                <w:p w14:paraId="749EB534">
                  <w:pPr>
                    <w:widowControl/>
                    <w:jc w:val="center"/>
                    <w:textAlignment w:val="center"/>
                    <w:rPr>
                      <w:color w:val="auto"/>
                      <w:szCs w:val="21"/>
                    </w:rPr>
                  </w:pPr>
                  <w:r>
                    <w:rPr>
                      <w:color w:val="auto"/>
                      <w:kern w:val="0"/>
                      <w:szCs w:val="21"/>
                      <w:lang w:bidi="ar"/>
                    </w:rPr>
                    <w:t>0.1</w:t>
                  </w:r>
                </w:p>
              </w:tc>
              <w:tc>
                <w:tcPr>
                  <w:tcW w:w="1113" w:type="dxa"/>
                  <w:vAlign w:val="center"/>
                </w:tcPr>
                <w:p w14:paraId="079A8E32">
                  <w:pPr>
                    <w:widowControl/>
                    <w:jc w:val="center"/>
                    <w:textAlignment w:val="center"/>
                    <w:rPr>
                      <w:color w:val="auto"/>
                      <w:szCs w:val="21"/>
                    </w:rPr>
                  </w:pPr>
                  <w:r>
                    <w:rPr>
                      <w:rFonts w:hint="eastAsia"/>
                      <w:color w:val="auto"/>
                      <w:kern w:val="0"/>
                      <w:szCs w:val="21"/>
                      <w:lang w:bidi="ar"/>
                    </w:rPr>
                    <w:t>0.1</w:t>
                  </w:r>
                </w:p>
              </w:tc>
              <w:tc>
                <w:tcPr>
                  <w:tcW w:w="1089" w:type="dxa"/>
                  <w:vAlign w:val="center"/>
                </w:tcPr>
                <w:p w14:paraId="4F4DC2D8">
                  <w:pPr>
                    <w:widowControl/>
                    <w:jc w:val="center"/>
                    <w:textAlignment w:val="center"/>
                    <w:rPr>
                      <w:color w:val="auto"/>
                      <w:szCs w:val="21"/>
                    </w:rPr>
                  </w:pPr>
                  <w:r>
                    <w:rPr>
                      <w:rFonts w:hint="eastAsia"/>
                      <w:color w:val="auto"/>
                      <w:kern w:val="0"/>
                      <w:szCs w:val="21"/>
                      <w:lang w:bidi="ar"/>
                    </w:rPr>
                    <w:t>0</w:t>
                  </w:r>
                </w:p>
              </w:tc>
              <w:tc>
                <w:tcPr>
                  <w:tcW w:w="765" w:type="dxa"/>
                  <w:vAlign w:val="center"/>
                </w:tcPr>
                <w:p w14:paraId="7538B886">
                  <w:pPr>
                    <w:widowControl/>
                    <w:jc w:val="center"/>
                    <w:textAlignment w:val="center"/>
                    <w:rPr>
                      <w:color w:val="auto"/>
                      <w:szCs w:val="21"/>
                    </w:rPr>
                  </w:pPr>
                  <w:r>
                    <w:rPr>
                      <w:color w:val="auto"/>
                      <w:kern w:val="0"/>
                      <w:szCs w:val="21"/>
                      <w:lang w:bidi="ar"/>
                    </w:rPr>
                    <w:t>0</w:t>
                  </w:r>
                </w:p>
              </w:tc>
              <w:tc>
                <w:tcPr>
                  <w:tcW w:w="1067" w:type="dxa"/>
                  <w:vAlign w:val="center"/>
                </w:tcPr>
                <w:p w14:paraId="1C0BE7A4">
                  <w:pPr>
                    <w:widowControl/>
                    <w:jc w:val="center"/>
                    <w:textAlignment w:val="center"/>
                    <w:rPr>
                      <w:color w:val="auto"/>
                      <w:szCs w:val="21"/>
                    </w:rPr>
                  </w:pPr>
                  <w:r>
                    <w:rPr>
                      <w:color w:val="auto"/>
                      <w:kern w:val="0"/>
                      <w:szCs w:val="21"/>
                      <w:lang w:bidi="ar"/>
                    </w:rPr>
                    <w:t>0.01</w:t>
                  </w:r>
                </w:p>
              </w:tc>
              <w:tc>
                <w:tcPr>
                  <w:tcW w:w="933" w:type="dxa"/>
                  <w:vAlign w:val="center"/>
                </w:tcPr>
                <w:p w14:paraId="0FC234E8">
                  <w:pPr>
                    <w:widowControl/>
                    <w:jc w:val="center"/>
                    <w:textAlignment w:val="center"/>
                    <w:rPr>
                      <w:color w:val="auto"/>
                      <w:szCs w:val="21"/>
                    </w:rPr>
                  </w:pPr>
                  <w:r>
                    <w:rPr>
                      <w:color w:val="auto"/>
                      <w:kern w:val="0"/>
                      <w:szCs w:val="21"/>
                      <w:lang w:bidi="ar"/>
                    </w:rPr>
                    <w:t>0.09</w:t>
                  </w:r>
                </w:p>
              </w:tc>
              <w:tc>
                <w:tcPr>
                  <w:tcW w:w="1322" w:type="dxa"/>
                  <w:vAlign w:val="center"/>
                </w:tcPr>
                <w:p w14:paraId="28744FD8">
                  <w:pPr>
                    <w:pStyle w:val="2"/>
                    <w:adjustRightInd w:val="0"/>
                    <w:spacing w:before="0" w:after="0" w:line="240" w:lineRule="auto"/>
                    <w:ind w:right="0"/>
                    <w:jc w:val="center"/>
                    <w:rPr>
                      <w:color w:val="auto"/>
                      <w:sz w:val="21"/>
                      <w:szCs w:val="21"/>
                    </w:rPr>
                  </w:pPr>
                  <w:r>
                    <w:rPr>
                      <w:rFonts w:hint="eastAsia"/>
                      <w:color w:val="auto"/>
                      <w:sz w:val="21"/>
                      <w:szCs w:val="21"/>
                    </w:rPr>
                    <w:t>反冲洗废水</w:t>
                  </w:r>
                </w:p>
              </w:tc>
              <w:tc>
                <w:tcPr>
                  <w:tcW w:w="1284" w:type="dxa"/>
                  <w:vMerge w:val="continue"/>
                  <w:vAlign w:val="center"/>
                </w:tcPr>
                <w:p w14:paraId="1127E7B7">
                  <w:pPr>
                    <w:pStyle w:val="2"/>
                    <w:adjustRightInd w:val="0"/>
                    <w:spacing w:before="0" w:after="0" w:line="240" w:lineRule="auto"/>
                    <w:ind w:right="0"/>
                    <w:jc w:val="center"/>
                    <w:rPr>
                      <w:color w:val="auto"/>
                      <w:sz w:val="21"/>
                      <w:szCs w:val="21"/>
                    </w:rPr>
                  </w:pPr>
                </w:p>
              </w:tc>
            </w:tr>
            <w:tr w14:paraId="36D1E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99" w:type="dxa"/>
                  <w:vAlign w:val="center"/>
                </w:tcPr>
                <w:p w14:paraId="34A2C626">
                  <w:pPr>
                    <w:pStyle w:val="2"/>
                    <w:adjustRightInd w:val="0"/>
                    <w:spacing w:before="0" w:after="0" w:line="240" w:lineRule="auto"/>
                    <w:ind w:right="0"/>
                    <w:jc w:val="center"/>
                    <w:rPr>
                      <w:color w:val="auto"/>
                      <w:sz w:val="21"/>
                      <w:szCs w:val="21"/>
                    </w:rPr>
                  </w:pPr>
                  <w:r>
                    <w:rPr>
                      <w:color w:val="auto"/>
                      <w:sz w:val="21"/>
                      <w:szCs w:val="21"/>
                    </w:rPr>
                    <w:t>生活用水</w:t>
                  </w:r>
                </w:p>
              </w:tc>
              <w:tc>
                <w:tcPr>
                  <w:tcW w:w="1111" w:type="dxa"/>
                  <w:vAlign w:val="center"/>
                </w:tcPr>
                <w:p w14:paraId="63988269">
                  <w:pPr>
                    <w:widowControl/>
                    <w:jc w:val="center"/>
                    <w:textAlignment w:val="center"/>
                    <w:rPr>
                      <w:color w:val="auto"/>
                      <w:kern w:val="0"/>
                      <w:szCs w:val="21"/>
                    </w:rPr>
                  </w:pPr>
                  <w:r>
                    <w:rPr>
                      <w:color w:val="auto"/>
                      <w:kern w:val="0"/>
                      <w:szCs w:val="21"/>
                      <w:lang w:bidi="ar"/>
                    </w:rPr>
                    <w:t>1.667</w:t>
                  </w:r>
                </w:p>
              </w:tc>
              <w:tc>
                <w:tcPr>
                  <w:tcW w:w="1113" w:type="dxa"/>
                  <w:vAlign w:val="center"/>
                </w:tcPr>
                <w:p w14:paraId="6CCFD17B">
                  <w:pPr>
                    <w:widowControl/>
                    <w:jc w:val="center"/>
                    <w:textAlignment w:val="center"/>
                    <w:rPr>
                      <w:color w:val="auto"/>
                      <w:szCs w:val="21"/>
                    </w:rPr>
                  </w:pPr>
                  <w:r>
                    <w:rPr>
                      <w:color w:val="auto"/>
                      <w:kern w:val="0"/>
                      <w:szCs w:val="21"/>
                      <w:lang w:bidi="ar"/>
                    </w:rPr>
                    <w:t>1.667</w:t>
                  </w:r>
                </w:p>
              </w:tc>
              <w:tc>
                <w:tcPr>
                  <w:tcW w:w="1089" w:type="dxa"/>
                  <w:vAlign w:val="center"/>
                </w:tcPr>
                <w:p w14:paraId="7BA445A1">
                  <w:pPr>
                    <w:widowControl/>
                    <w:jc w:val="center"/>
                    <w:textAlignment w:val="center"/>
                    <w:rPr>
                      <w:color w:val="auto"/>
                      <w:szCs w:val="21"/>
                    </w:rPr>
                  </w:pPr>
                  <w:r>
                    <w:rPr>
                      <w:color w:val="auto"/>
                      <w:kern w:val="0"/>
                      <w:szCs w:val="21"/>
                      <w:lang w:bidi="ar"/>
                    </w:rPr>
                    <w:t>0</w:t>
                  </w:r>
                </w:p>
              </w:tc>
              <w:tc>
                <w:tcPr>
                  <w:tcW w:w="765" w:type="dxa"/>
                  <w:vAlign w:val="center"/>
                </w:tcPr>
                <w:p w14:paraId="68102BB2">
                  <w:pPr>
                    <w:widowControl/>
                    <w:jc w:val="center"/>
                    <w:textAlignment w:val="center"/>
                    <w:rPr>
                      <w:color w:val="auto"/>
                      <w:kern w:val="0"/>
                      <w:szCs w:val="21"/>
                      <w:lang w:bidi="ar"/>
                    </w:rPr>
                  </w:pPr>
                  <w:r>
                    <w:rPr>
                      <w:color w:val="auto"/>
                      <w:kern w:val="0"/>
                      <w:szCs w:val="21"/>
                      <w:lang w:bidi="ar"/>
                    </w:rPr>
                    <w:t>0</w:t>
                  </w:r>
                </w:p>
              </w:tc>
              <w:tc>
                <w:tcPr>
                  <w:tcW w:w="1067" w:type="dxa"/>
                  <w:vAlign w:val="center"/>
                </w:tcPr>
                <w:p w14:paraId="4F692F65">
                  <w:pPr>
                    <w:widowControl/>
                    <w:jc w:val="center"/>
                    <w:textAlignment w:val="center"/>
                    <w:rPr>
                      <w:color w:val="auto"/>
                      <w:szCs w:val="21"/>
                    </w:rPr>
                  </w:pPr>
                  <w:r>
                    <w:rPr>
                      <w:color w:val="auto"/>
                      <w:kern w:val="0"/>
                      <w:szCs w:val="21"/>
                      <w:lang w:bidi="ar"/>
                    </w:rPr>
                    <w:t>0.167</w:t>
                  </w:r>
                </w:p>
              </w:tc>
              <w:tc>
                <w:tcPr>
                  <w:tcW w:w="933" w:type="dxa"/>
                  <w:vAlign w:val="center"/>
                </w:tcPr>
                <w:p w14:paraId="114C0678">
                  <w:pPr>
                    <w:widowControl/>
                    <w:jc w:val="center"/>
                    <w:textAlignment w:val="center"/>
                    <w:rPr>
                      <w:color w:val="auto"/>
                      <w:szCs w:val="21"/>
                    </w:rPr>
                  </w:pPr>
                  <w:r>
                    <w:rPr>
                      <w:color w:val="auto"/>
                      <w:kern w:val="0"/>
                      <w:szCs w:val="21"/>
                      <w:lang w:bidi="ar"/>
                    </w:rPr>
                    <w:t>1.5</w:t>
                  </w:r>
                </w:p>
              </w:tc>
              <w:tc>
                <w:tcPr>
                  <w:tcW w:w="1322" w:type="dxa"/>
                  <w:vAlign w:val="center"/>
                </w:tcPr>
                <w:p w14:paraId="2CA0D5BA">
                  <w:pPr>
                    <w:pStyle w:val="2"/>
                    <w:adjustRightInd w:val="0"/>
                    <w:spacing w:before="0" w:after="0" w:line="240" w:lineRule="auto"/>
                    <w:ind w:right="0"/>
                    <w:jc w:val="center"/>
                    <w:rPr>
                      <w:color w:val="auto"/>
                      <w:sz w:val="21"/>
                      <w:szCs w:val="21"/>
                    </w:rPr>
                  </w:pPr>
                  <w:r>
                    <w:rPr>
                      <w:color w:val="auto"/>
                      <w:sz w:val="21"/>
                      <w:szCs w:val="21"/>
                    </w:rPr>
                    <w:t>生活污水</w:t>
                  </w:r>
                </w:p>
              </w:tc>
              <w:tc>
                <w:tcPr>
                  <w:tcW w:w="1284" w:type="dxa"/>
                  <w:vAlign w:val="center"/>
                </w:tcPr>
                <w:p w14:paraId="313419E3">
                  <w:pPr>
                    <w:pStyle w:val="2"/>
                    <w:adjustRightInd w:val="0"/>
                    <w:spacing w:before="0" w:after="0" w:line="240" w:lineRule="auto"/>
                    <w:ind w:right="0"/>
                    <w:jc w:val="center"/>
                    <w:rPr>
                      <w:color w:val="auto"/>
                      <w:sz w:val="21"/>
                      <w:szCs w:val="21"/>
                    </w:rPr>
                  </w:pPr>
                  <w:r>
                    <w:rPr>
                      <w:rFonts w:hint="eastAsia"/>
                      <w:color w:val="auto"/>
                      <w:sz w:val="21"/>
                      <w:szCs w:val="21"/>
                    </w:rPr>
                    <w:t>石湾镇西基生活污水厂</w:t>
                  </w:r>
                </w:p>
              </w:tc>
            </w:tr>
            <w:tr w14:paraId="17F47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299" w:type="dxa"/>
                  <w:vAlign w:val="center"/>
                </w:tcPr>
                <w:p w14:paraId="2CA6E915">
                  <w:pPr>
                    <w:pStyle w:val="2"/>
                    <w:adjustRightInd w:val="0"/>
                    <w:spacing w:before="0" w:after="0" w:line="240" w:lineRule="auto"/>
                    <w:ind w:right="0"/>
                    <w:jc w:val="center"/>
                    <w:rPr>
                      <w:color w:val="auto"/>
                      <w:sz w:val="21"/>
                      <w:szCs w:val="21"/>
                    </w:rPr>
                  </w:pPr>
                  <w:r>
                    <w:rPr>
                      <w:color w:val="auto"/>
                      <w:sz w:val="21"/>
                      <w:szCs w:val="21"/>
                    </w:rPr>
                    <w:t>合计</w:t>
                  </w:r>
                </w:p>
              </w:tc>
              <w:tc>
                <w:tcPr>
                  <w:tcW w:w="1111" w:type="dxa"/>
                  <w:vAlign w:val="center"/>
                </w:tcPr>
                <w:p w14:paraId="1A48963C">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35.48183</w:t>
                  </w:r>
                </w:p>
              </w:tc>
              <w:tc>
                <w:tcPr>
                  <w:tcW w:w="1113" w:type="dxa"/>
                  <w:vAlign w:val="center"/>
                </w:tcPr>
                <w:p w14:paraId="6DB839D6">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30.71827</w:t>
                  </w:r>
                </w:p>
              </w:tc>
              <w:tc>
                <w:tcPr>
                  <w:tcW w:w="1089" w:type="dxa"/>
                  <w:vAlign w:val="center"/>
                </w:tcPr>
                <w:p w14:paraId="4F8FAFD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4.194</w:t>
                  </w:r>
                </w:p>
              </w:tc>
              <w:tc>
                <w:tcPr>
                  <w:tcW w:w="765" w:type="dxa"/>
                  <w:vAlign w:val="center"/>
                </w:tcPr>
                <w:p w14:paraId="565AAB7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0.569</w:t>
                  </w:r>
                </w:p>
              </w:tc>
              <w:tc>
                <w:tcPr>
                  <w:tcW w:w="1067" w:type="dxa"/>
                  <w:vAlign w:val="center"/>
                </w:tcPr>
                <w:p w14:paraId="6F71E46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29.12237</w:t>
                  </w:r>
                </w:p>
              </w:tc>
              <w:tc>
                <w:tcPr>
                  <w:tcW w:w="933" w:type="dxa"/>
                  <w:vAlign w:val="center"/>
                </w:tcPr>
                <w:p w14:paraId="7F5519C3">
                  <w:pPr>
                    <w:widowControl/>
                    <w:jc w:val="center"/>
                    <w:textAlignment w:val="center"/>
                    <w:rPr>
                      <w:color w:val="auto"/>
                      <w:szCs w:val="21"/>
                    </w:rPr>
                  </w:pPr>
                  <w:r>
                    <w:rPr>
                      <w:color w:val="auto"/>
                      <w:kern w:val="0"/>
                      <w:szCs w:val="21"/>
                      <w:lang w:bidi="ar"/>
                    </w:rPr>
                    <w:t>6.35946</w:t>
                  </w:r>
                </w:p>
              </w:tc>
              <w:tc>
                <w:tcPr>
                  <w:tcW w:w="1322" w:type="dxa"/>
                  <w:vAlign w:val="center"/>
                </w:tcPr>
                <w:p w14:paraId="7ECA4AE4">
                  <w:pPr>
                    <w:pStyle w:val="2"/>
                    <w:adjustRightInd w:val="0"/>
                    <w:spacing w:before="0" w:after="0" w:line="240" w:lineRule="auto"/>
                    <w:ind w:right="0"/>
                    <w:jc w:val="center"/>
                    <w:rPr>
                      <w:color w:val="auto"/>
                      <w:sz w:val="21"/>
                      <w:szCs w:val="21"/>
                    </w:rPr>
                  </w:pPr>
                  <w:r>
                    <w:rPr>
                      <w:color w:val="auto"/>
                      <w:sz w:val="21"/>
                      <w:szCs w:val="21"/>
                    </w:rPr>
                    <w:t>/</w:t>
                  </w:r>
                </w:p>
              </w:tc>
              <w:tc>
                <w:tcPr>
                  <w:tcW w:w="1284" w:type="dxa"/>
                  <w:vAlign w:val="center"/>
                </w:tcPr>
                <w:p w14:paraId="31A8132D">
                  <w:pPr>
                    <w:pStyle w:val="2"/>
                    <w:adjustRightInd w:val="0"/>
                    <w:spacing w:before="0" w:after="0" w:line="240" w:lineRule="auto"/>
                    <w:ind w:right="0"/>
                    <w:jc w:val="center"/>
                    <w:rPr>
                      <w:color w:val="auto"/>
                      <w:sz w:val="21"/>
                      <w:szCs w:val="21"/>
                    </w:rPr>
                  </w:pPr>
                  <w:r>
                    <w:rPr>
                      <w:color w:val="auto"/>
                      <w:sz w:val="21"/>
                      <w:szCs w:val="21"/>
                    </w:rPr>
                    <w:t>/</w:t>
                  </w:r>
                </w:p>
              </w:tc>
            </w:tr>
          </w:tbl>
          <w:p w14:paraId="17EE7B10">
            <w:pPr>
              <w:pStyle w:val="6"/>
              <w:ind w:left="0" w:leftChars="0" w:firstLine="480" w:firstLineChars="200"/>
              <w:rPr>
                <w:color w:val="auto"/>
                <w:sz w:val="24"/>
              </w:rPr>
            </w:pPr>
            <w:r>
              <w:rPr>
                <w:color w:val="auto"/>
                <w:kern w:val="0"/>
                <w:sz w:val="24"/>
                <w:lang w:bidi="ar"/>
              </w:rPr>
              <w:t>本项目水平衡图如下图所示</w:t>
            </w:r>
          </w:p>
          <w:p w14:paraId="32F3D746">
            <w:pPr>
              <w:pStyle w:val="2"/>
              <w:rPr>
                <w:color w:val="auto"/>
              </w:rPr>
            </w:pPr>
            <w:r>
              <w:rPr>
                <w:color w:val="auto"/>
              </w:rPr>
              <w:object>
                <v:shape id="_x0000_i1026" o:spt="75" type="#_x0000_t75" style="height:439.25pt;width:493.85pt;" o:ole="t" filled="f" o:preferrelative="t" stroked="f" coordsize="21600,21600">
                  <v:path/>
                  <v:fill on="f" focussize="0,0"/>
                  <v:stroke on="f"/>
                  <v:imagedata r:id="rId19" o:title=""/>
                  <o:lock v:ext="edit" aspectratio="f"/>
                  <w10:wrap type="none"/>
                  <w10:anchorlock/>
                </v:shape>
                <o:OLEObject Type="Embed" ProgID="Visio.Drawing.15" ShapeID="_x0000_i1026" DrawAspect="Content" ObjectID="_1468075726" r:id="rId18">
                  <o:LockedField>false</o:LockedField>
                </o:OLEObject>
              </w:object>
            </w:r>
          </w:p>
          <w:p w14:paraId="4F9676B0">
            <w:pPr>
              <w:numPr>
                <w:ilvl w:val="0"/>
                <w:numId w:val="12"/>
              </w:numPr>
              <w:ind w:firstLine="422" w:firstLineChars="200"/>
              <w:jc w:val="center"/>
              <w:rPr>
                <w:b/>
                <w:bCs/>
                <w:color w:val="auto"/>
              </w:rPr>
            </w:pPr>
            <w:r>
              <w:rPr>
                <w:rFonts w:hint="eastAsia"/>
                <w:b/>
                <w:bCs/>
                <w:color w:val="auto"/>
              </w:rPr>
              <w:t xml:space="preserve"> </w:t>
            </w:r>
            <w:r>
              <w:rPr>
                <w:b/>
                <w:bCs/>
                <w:color w:val="auto"/>
              </w:rPr>
              <w:t>本项目给排水情况一览表（单位：t/d）</w:t>
            </w:r>
          </w:p>
          <w:p w14:paraId="5A542B1B">
            <w:pPr>
              <w:pStyle w:val="43"/>
              <w:ind w:firstLine="482"/>
              <w:rPr>
                <w:b/>
                <w:color w:val="auto"/>
              </w:rPr>
            </w:pPr>
            <w:r>
              <w:rPr>
                <w:b/>
                <w:color w:val="auto"/>
              </w:rPr>
              <w:t>8、清洁生产水平分析</w:t>
            </w:r>
          </w:p>
          <w:p w14:paraId="6A069D99">
            <w:pPr>
              <w:pStyle w:val="6"/>
              <w:ind w:left="0" w:leftChars="0" w:firstLine="480" w:firstLineChars="200"/>
              <w:rPr>
                <w:color w:val="auto"/>
                <w:sz w:val="24"/>
              </w:rPr>
            </w:pPr>
            <w:r>
              <w:rPr>
                <w:bCs/>
                <w:color w:val="auto"/>
                <w:sz w:val="24"/>
              </w:rPr>
              <w:t>参考《涂装行业清洁生产评价指标体系》表2 化学前处理评价指标项目、权重及基准值，单位面积取水量：</w:t>
            </w:r>
            <w:r>
              <w:rPr>
                <w:rFonts w:hint="eastAsia" w:ascii="宋体" w:hAnsi="宋体" w:cs="宋体"/>
                <w:bCs/>
                <w:color w:val="auto"/>
                <w:sz w:val="24"/>
              </w:rPr>
              <w:t>Ⅰ</w:t>
            </w:r>
            <w:r>
              <w:rPr>
                <w:bCs/>
                <w:color w:val="auto"/>
                <w:sz w:val="24"/>
              </w:rPr>
              <w:t>级基准值≤10L/m</w:t>
            </w:r>
            <w:r>
              <w:rPr>
                <w:bCs/>
                <w:color w:val="auto"/>
                <w:sz w:val="24"/>
                <w:vertAlign w:val="superscript"/>
              </w:rPr>
              <w:t>2</w:t>
            </w:r>
            <w:r>
              <w:rPr>
                <w:bCs/>
                <w:color w:val="auto"/>
                <w:sz w:val="24"/>
              </w:rPr>
              <w:t>，</w:t>
            </w:r>
            <w:r>
              <w:rPr>
                <w:rFonts w:hint="eastAsia" w:ascii="宋体" w:hAnsi="宋体" w:cs="宋体"/>
                <w:bCs/>
                <w:color w:val="auto"/>
                <w:sz w:val="24"/>
              </w:rPr>
              <w:t>Ⅱ</w:t>
            </w:r>
            <w:r>
              <w:rPr>
                <w:bCs/>
                <w:color w:val="auto"/>
                <w:sz w:val="24"/>
              </w:rPr>
              <w:t>级基准值≤13L/m</w:t>
            </w:r>
            <w:r>
              <w:rPr>
                <w:bCs/>
                <w:color w:val="auto"/>
                <w:sz w:val="24"/>
                <w:vertAlign w:val="superscript"/>
              </w:rPr>
              <w:t>2</w:t>
            </w:r>
            <w:r>
              <w:rPr>
                <w:bCs/>
                <w:color w:val="auto"/>
                <w:sz w:val="24"/>
              </w:rPr>
              <w:t>，</w:t>
            </w:r>
            <w:r>
              <w:rPr>
                <w:rFonts w:hint="eastAsia" w:ascii="宋体" w:hAnsi="宋体" w:cs="宋体"/>
                <w:bCs/>
                <w:color w:val="auto"/>
                <w:sz w:val="24"/>
              </w:rPr>
              <w:t>Ⅲ</w:t>
            </w:r>
            <w:r>
              <w:rPr>
                <w:bCs/>
                <w:color w:val="auto"/>
                <w:sz w:val="24"/>
              </w:rPr>
              <w:t>级基准值≤20L/m</w:t>
            </w:r>
            <w:r>
              <w:rPr>
                <w:bCs/>
                <w:color w:val="auto"/>
                <w:sz w:val="24"/>
                <w:vertAlign w:val="superscript"/>
              </w:rPr>
              <w:t>2</w:t>
            </w:r>
            <w:r>
              <w:rPr>
                <w:bCs/>
                <w:color w:val="auto"/>
                <w:sz w:val="24"/>
              </w:rPr>
              <w:t>。根据水平衡分析，</w:t>
            </w:r>
            <w:r>
              <w:rPr>
                <w:color w:val="auto"/>
                <w:sz w:val="24"/>
              </w:rPr>
              <w:t>本项目前处理线用水量为</w:t>
            </w:r>
            <w:r>
              <w:rPr>
                <w:rFonts w:hint="eastAsia"/>
                <w:color w:val="auto"/>
                <w:sz w:val="24"/>
              </w:rPr>
              <w:t>1885.94</w:t>
            </w:r>
            <w:r>
              <w:rPr>
                <w:color w:val="auto"/>
                <w:sz w:val="24"/>
              </w:rPr>
              <w:t>m</w:t>
            </w:r>
            <w:r>
              <w:rPr>
                <w:color w:val="auto"/>
                <w:sz w:val="24"/>
                <w:vertAlign w:val="superscript"/>
              </w:rPr>
              <w:t>3</w:t>
            </w:r>
            <w:r>
              <w:rPr>
                <w:color w:val="auto"/>
                <w:sz w:val="24"/>
              </w:rPr>
              <w:t>/a，前处理面积为</w:t>
            </w:r>
            <w:r>
              <w:rPr>
                <w:rFonts w:hint="eastAsia"/>
                <w:color w:val="auto"/>
                <w:sz w:val="24"/>
              </w:rPr>
              <w:t>297171</w:t>
            </w:r>
            <w:r>
              <w:rPr>
                <w:color w:val="auto"/>
                <w:sz w:val="24"/>
              </w:rPr>
              <w:t>m</w:t>
            </w:r>
            <w:r>
              <w:rPr>
                <w:color w:val="auto"/>
                <w:sz w:val="24"/>
                <w:vertAlign w:val="superscript"/>
              </w:rPr>
              <w:t>2</w:t>
            </w:r>
            <w:r>
              <w:rPr>
                <w:color w:val="auto"/>
                <w:sz w:val="24"/>
              </w:rPr>
              <w:t>/a，则</w:t>
            </w:r>
            <w:r>
              <w:rPr>
                <w:bCs/>
                <w:color w:val="auto"/>
                <w:sz w:val="24"/>
              </w:rPr>
              <w:t>本项目单位面积取水量为</w:t>
            </w:r>
            <w:r>
              <w:rPr>
                <w:rFonts w:hint="eastAsia"/>
                <w:bCs/>
                <w:color w:val="auto"/>
                <w:sz w:val="24"/>
              </w:rPr>
              <w:t>6.35</w:t>
            </w:r>
            <w:r>
              <w:rPr>
                <w:bCs/>
                <w:color w:val="auto"/>
                <w:sz w:val="24"/>
              </w:rPr>
              <w:t>L/m</w:t>
            </w:r>
            <w:r>
              <w:rPr>
                <w:bCs/>
                <w:color w:val="auto"/>
                <w:sz w:val="24"/>
                <w:vertAlign w:val="superscript"/>
              </w:rPr>
              <w:t>2</w:t>
            </w:r>
            <w:r>
              <w:rPr>
                <w:bCs/>
                <w:color w:val="auto"/>
                <w:sz w:val="24"/>
              </w:rPr>
              <w:t>，符合《涂装行业清洁生产评价指标体系》表2中Ⅰ级基准值的要求，达到国内清洁生产先进水平。</w:t>
            </w:r>
          </w:p>
          <w:p w14:paraId="1AD8DAEA">
            <w:pPr>
              <w:adjustRightInd w:val="0"/>
              <w:snapToGrid w:val="0"/>
              <w:spacing w:line="360" w:lineRule="auto"/>
              <w:ind w:left="-62" w:firstLine="482"/>
              <w:rPr>
                <w:b/>
                <w:color w:val="auto"/>
                <w:sz w:val="24"/>
              </w:rPr>
            </w:pPr>
            <w:r>
              <w:rPr>
                <w:b/>
                <w:color w:val="auto"/>
                <w:sz w:val="24"/>
              </w:rPr>
              <w:t>9、</w:t>
            </w:r>
            <w:r>
              <w:rPr>
                <w:rFonts w:hint="eastAsia"/>
                <w:b/>
                <w:color w:val="auto"/>
                <w:sz w:val="24"/>
              </w:rPr>
              <w:t>VOCs</w:t>
            </w:r>
            <w:r>
              <w:rPr>
                <w:b/>
                <w:color w:val="auto"/>
                <w:sz w:val="24"/>
              </w:rPr>
              <w:t>平衡</w:t>
            </w:r>
          </w:p>
          <w:p w14:paraId="0C52FECE">
            <w:pPr>
              <w:adjustRightInd w:val="0"/>
              <w:snapToGrid w:val="0"/>
              <w:spacing w:line="360" w:lineRule="auto"/>
              <w:ind w:firstLine="480"/>
              <w:rPr>
                <w:bCs/>
                <w:color w:val="auto"/>
                <w:sz w:val="24"/>
              </w:rPr>
            </w:pPr>
            <w:r>
              <w:rPr>
                <w:bCs/>
                <w:color w:val="auto"/>
                <w:sz w:val="24"/>
              </w:rPr>
              <w:t>项目VOCs平衡表所如下表所示：</w:t>
            </w:r>
          </w:p>
          <w:p w14:paraId="6705D65D">
            <w:pPr>
              <w:numPr>
                <w:ilvl w:val="0"/>
                <w:numId w:val="10"/>
              </w:numPr>
              <w:adjustRightInd w:val="0"/>
              <w:snapToGrid w:val="0"/>
              <w:jc w:val="center"/>
              <w:rPr>
                <w:b/>
                <w:color w:val="auto"/>
                <w:szCs w:val="21"/>
              </w:rPr>
            </w:pPr>
            <w:r>
              <w:rPr>
                <w:b/>
                <w:color w:val="auto"/>
                <w:szCs w:val="21"/>
              </w:rPr>
              <w:t xml:space="preserve">  项目VOCs平衡表</w:t>
            </w:r>
          </w:p>
          <w:tbl>
            <w:tblPr>
              <w:tblStyle w:val="35"/>
              <w:tblW w:w="10013" w:type="dxa"/>
              <w:tblInd w:w="5" w:type="dxa"/>
              <w:tblLayout w:type="fixed"/>
              <w:tblCellMar>
                <w:top w:w="0" w:type="dxa"/>
                <w:left w:w="108" w:type="dxa"/>
                <w:bottom w:w="0" w:type="dxa"/>
                <w:right w:w="108" w:type="dxa"/>
              </w:tblCellMar>
            </w:tblPr>
            <w:tblGrid>
              <w:gridCol w:w="2288"/>
              <w:gridCol w:w="2297"/>
              <w:gridCol w:w="3139"/>
              <w:gridCol w:w="2289"/>
            </w:tblGrid>
            <w:tr w14:paraId="1BCC386B">
              <w:tblPrEx>
                <w:tblCellMar>
                  <w:top w:w="0" w:type="dxa"/>
                  <w:left w:w="108" w:type="dxa"/>
                  <w:bottom w:w="0" w:type="dxa"/>
                  <w:right w:w="108" w:type="dxa"/>
                </w:tblCellMar>
              </w:tblPrEx>
              <w:trPr>
                <w:trHeight w:val="283" w:hRule="atLeast"/>
              </w:trPr>
              <w:tc>
                <w:tcPr>
                  <w:tcW w:w="2288" w:type="dxa"/>
                  <w:tcBorders>
                    <w:top w:val="single" w:color="auto" w:sz="4" w:space="0"/>
                    <w:left w:val="single" w:color="000000" w:sz="4" w:space="0"/>
                    <w:bottom w:val="single" w:color="auto" w:sz="4" w:space="0"/>
                    <w:right w:val="single" w:color="auto" w:sz="4" w:space="0"/>
                  </w:tcBorders>
                  <w:vAlign w:val="center"/>
                </w:tcPr>
                <w:p w14:paraId="65FD8A18">
                  <w:pPr>
                    <w:widowControl/>
                    <w:jc w:val="center"/>
                    <w:textAlignment w:val="center"/>
                    <w:rPr>
                      <w:b/>
                      <w:bCs/>
                      <w:color w:val="auto"/>
                      <w:kern w:val="0"/>
                      <w:szCs w:val="21"/>
                      <w:lang w:bidi="ar"/>
                    </w:rPr>
                  </w:pPr>
                  <w:r>
                    <w:rPr>
                      <w:rFonts w:hint="eastAsia"/>
                      <w:b/>
                      <w:bCs/>
                      <w:color w:val="auto"/>
                      <w:kern w:val="0"/>
                      <w:szCs w:val="21"/>
                      <w:lang w:bidi="ar"/>
                    </w:rPr>
                    <w:t>工序名称</w:t>
                  </w:r>
                </w:p>
              </w:tc>
              <w:tc>
                <w:tcPr>
                  <w:tcW w:w="2297" w:type="dxa"/>
                  <w:tcBorders>
                    <w:top w:val="single" w:color="auto" w:sz="4" w:space="0"/>
                    <w:left w:val="single" w:color="auto" w:sz="4" w:space="0"/>
                    <w:bottom w:val="single" w:color="auto" w:sz="4" w:space="0"/>
                    <w:right w:val="single" w:color="auto" w:sz="4" w:space="0"/>
                  </w:tcBorders>
                  <w:vAlign w:val="center"/>
                </w:tcPr>
                <w:p w14:paraId="4AA7B287">
                  <w:pPr>
                    <w:widowControl/>
                    <w:jc w:val="center"/>
                    <w:textAlignment w:val="center"/>
                    <w:rPr>
                      <w:b/>
                      <w:bCs/>
                      <w:color w:val="auto"/>
                      <w:kern w:val="0"/>
                      <w:szCs w:val="21"/>
                      <w:lang w:bidi="ar"/>
                    </w:rPr>
                  </w:pPr>
                  <w:r>
                    <w:rPr>
                      <w:rFonts w:hint="eastAsia"/>
                      <w:b/>
                      <w:bCs/>
                      <w:color w:val="auto"/>
                      <w:kern w:val="0"/>
                      <w:szCs w:val="21"/>
                      <w:lang w:bidi="ar"/>
                    </w:rPr>
                    <w:t>投入项t/a</w:t>
                  </w:r>
                </w:p>
              </w:tc>
              <w:tc>
                <w:tcPr>
                  <w:tcW w:w="5428" w:type="dxa"/>
                  <w:gridSpan w:val="2"/>
                  <w:tcBorders>
                    <w:top w:val="single" w:color="auto" w:sz="4" w:space="0"/>
                    <w:left w:val="single" w:color="auto" w:sz="4" w:space="0"/>
                    <w:bottom w:val="single" w:color="auto" w:sz="4" w:space="0"/>
                    <w:right w:val="single" w:color="auto" w:sz="4" w:space="0"/>
                  </w:tcBorders>
                  <w:vAlign w:val="center"/>
                </w:tcPr>
                <w:p w14:paraId="1E78CFE5">
                  <w:pPr>
                    <w:widowControl/>
                    <w:jc w:val="center"/>
                    <w:textAlignment w:val="center"/>
                    <w:rPr>
                      <w:b/>
                      <w:bCs/>
                      <w:color w:val="auto"/>
                      <w:szCs w:val="21"/>
                    </w:rPr>
                  </w:pPr>
                  <w:r>
                    <w:rPr>
                      <w:b/>
                      <w:bCs/>
                      <w:color w:val="auto"/>
                      <w:kern w:val="0"/>
                      <w:szCs w:val="21"/>
                      <w:lang w:bidi="ar"/>
                    </w:rPr>
                    <w:t>产出项t/a</w:t>
                  </w:r>
                </w:p>
              </w:tc>
            </w:tr>
            <w:tr w14:paraId="2785AF74">
              <w:tblPrEx>
                <w:tblCellMar>
                  <w:top w:w="0" w:type="dxa"/>
                  <w:left w:w="108" w:type="dxa"/>
                  <w:bottom w:w="0" w:type="dxa"/>
                  <w:right w:w="108" w:type="dxa"/>
                </w:tblCellMar>
              </w:tblPrEx>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049D2B81">
                  <w:pPr>
                    <w:widowControl/>
                    <w:jc w:val="center"/>
                    <w:textAlignment w:val="center"/>
                    <w:rPr>
                      <w:color w:val="auto"/>
                      <w:kern w:val="0"/>
                      <w:szCs w:val="21"/>
                      <w:lang w:bidi="ar"/>
                    </w:rPr>
                  </w:pPr>
                  <w:r>
                    <w:rPr>
                      <w:rFonts w:hint="eastAsia"/>
                      <w:color w:val="auto"/>
                      <w:kern w:val="0"/>
                      <w:szCs w:val="21"/>
                      <w:lang w:bidi="ar"/>
                    </w:rPr>
                    <w:t>固化</w:t>
                  </w:r>
                </w:p>
              </w:tc>
              <w:tc>
                <w:tcPr>
                  <w:tcW w:w="2297" w:type="dxa"/>
                  <w:tcBorders>
                    <w:top w:val="single" w:color="auto" w:sz="4" w:space="0"/>
                    <w:left w:val="single" w:color="auto" w:sz="4" w:space="0"/>
                    <w:bottom w:val="single" w:color="auto" w:sz="4" w:space="0"/>
                    <w:right w:val="single" w:color="auto" w:sz="4" w:space="0"/>
                  </w:tcBorders>
                  <w:vAlign w:val="center"/>
                </w:tcPr>
                <w:p w14:paraId="1C9AA40B">
                  <w:pPr>
                    <w:widowControl/>
                    <w:jc w:val="center"/>
                    <w:textAlignment w:val="center"/>
                    <w:rPr>
                      <w:color w:val="auto"/>
                      <w:kern w:val="0"/>
                      <w:szCs w:val="21"/>
                      <w:lang w:bidi="ar"/>
                    </w:rPr>
                  </w:pPr>
                  <w:r>
                    <w:rPr>
                      <w:color w:val="auto"/>
                      <w:kern w:val="0"/>
                      <w:szCs w:val="21"/>
                      <w:lang w:bidi="ar"/>
                    </w:rPr>
                    <w:t>0.0428</w:t>
                  </w:r>
                </w:p>
              </w:tc>
              <w:tc>
                <w:tcPr>
                  <w:tcW w:w="3139" w:type="dxa"/>
                  <w:tcBorders>
                    <w:top w:val="single" w:color="auto" w:sz="4" w:space="0"/>
                    <w:left w:val="single" w:color="auto" w:sz="4" w:space="0"/>
                    <w:bottom w:val="single" w:color="auto" w:sz="4" w:space="0"/>
                    <w:right w:val="single" w:color="auto" w:sz="4" w:space="0"/>
                  </w:tcBorders>
                  <w:vAlign w:val="center"/>
                </w:tcPr>
                <w:p w14:paraId="73940BF7">
                  <w:pPr>
                    <w:widowControl/>
                    <w:jc w:val="center"/>
                    <w:textAlignment w:val="center"/>
                    <w:rPr>
                      <w:color w:val="auto"/>
                      <w:szCs w:val="21"/>
                    </w:rPr>
                  </w:pPr>
                  <w:r>
                    <w:rPr>
                      <w:rFonts w:hint="eastAsia"/>
                      <w:color w:val="auto"/>
                      <w:kern w:val="0"/>
                      <w:szCs w:val="21"/>
                      <w:lang w:bidi="ar"/>
                    </w:rPr>
                    <w:t>有组织排放</w:t>
                  </w:r>
                </w:p>
              </w:tc>
              <w:tc>
                <w:tcPr>
                  <w:tcW w:w="2289" w:type="dxa"/>
                  <w:tcBorders>
                    <w:top w:val="single" w:color="auto" w:sz="4" w:space="0"/>
                    <w:left w:val="single" w:color="auto" w:sz="4" w:space="0"/>
                    <w:bottom w:val="single" w:color="auto" w:sz="4" w:space="0"/>
                    <w:right w:val="single" w:color="auto" w:sz="4" w:space="0"/>
                  </w:tcBorders>
                  <w:vAlign w:val="center"/>
                </w:tcPr>
                <w:p w14:paraId="119BF7FF">
                  <w:pPr>
                    <w:jc w:val="center"/>
                    <w:rPr>
                      <w:color w:val="auto"/>
                      <w:szCs w:val="22"/>
                    </w:rPr>
                  </w:pPr>
                  <w:r>
                    <w:rPr>
                      <w:rFonts w:hint="eastAsia"/>
                      <w:color w:val="auto"/>
                      <w:szCs w:val="22"/>
                    </w:rPr>
                    <w:t>0.1824</w:t>
                  </w:r>
                </w:p>
              </w:tc>
            </w:tr>
            <w:tr w14:paraId="372D2DF1">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4EA8C95C">
                  <w:pPr>
                    <w:widowControl/>
                    <w:jc w:val="center"/>
                    <w:textAlignment w:val="center"/>
                    <w:rPr>
                      <w:color w:val="auto"/>
                      <w:kern w:val="0"/>
                      <w:szCs w:val="21"/>
                      <w:lang w:bidi="ar"/>
                    </w:rPr>
                  </w:pPr>
                  <w:r>
                    <w:rPr>
                      <w:rFonts w:hint="eastAsia"/>
                      <w:color w:val="auto"/>
                      <w:kern w:val="0"/>
                      <w:szCs w:val="21"/>
                      <w:lang w:bidi="ar"/>
                    </w:rPr>
                    <w:t>喷底漆</w:t>
                  </w:r>
                </w:p>
              </w:tc>
              <w:tc>
                <w:tcPr>
                  <w:tcW w:w="2297" w:type="dxa"/>
                  <w:tcBorders>
                    <w:top w:val="single" w:color="auto" w:sz="4" w:space="0"/>
                    <w:left w:val="single" w:color="auto" w:sz="4" w:space="0"/>
                    <w:bottom w:val="single" w:color="auto" w:sz="4" w:space="0"/>
                    <w:right w:val="single" w:color="auto" w:sz="4" w:space="0"/>
                  </w:tcBorders>
                  <w:vAlign w:val="center"/>
                </w:tcPr>
                <w:p w14:paraId="3C41AE8E">
                  <w:pPr>
                    <w:widowControl/>
                    <w:jc w:val="center"/>
                    <w:textAlignment w:val="center"/>
                    <w:rPr>
                      <w:color w:val="auto"/>
                      <w:kern w:val="0"/>
                      <w:szCs w:val="21"/>
                      <w:lang w:bidi="ar"/>
                    </w:rPr>
                  </w:pPr>
                  <w:r>
                    <w:rPr>
                      <w:color w:val="auto"/>
                      <w:kern w:val="0"/>
                      <w:szCs w:val="21"/>
                      <w:lang w:bidi="ar"/>
                    </w:rPr>
                    <w:t>0.18</w:t>
                  </w:r>
                  <w:r>
                    <w:rPr>
                      <w:rFonts w:hint="eastAsia"/>
                      <w:color w:val="auto"/>
                      <w:kern w:val="0"/>
                      <w:szCs w:val="21"/>
                      <w:lang w:bidi="ar"/>
                    </w:rPr>
                    <w:t>68</w:t>
                  </w:r>
                </w:p>
              </w:tc>
              <w:tc>
                <w:tcPr>
                  <w:tcW w:w="3139" w:type="dxa"/>
                  <w:tcBorders>
                    <w:top w:val="single" w:color="auto" w:sz="4" w:space="0"/>
                    <w:left w:val="single" w:color="auto" w:sz="4" w:space="0"/>
                    <w:bottom w:val="single" w:color="auto" w:sz="4" w:space="0"/>
                    <w:right w:val="single" w:color="auto" w:sz="4" w:space="0"/>
                  </w:tcBorders>
                  <w:vAlign w:val="center"/>
                </w:tcPr>
                <w:p w14:paraId="3ED25926">
                  <w:pPr>
                    <w:widowControl/>
                    <w:jc w:val="center"/>
                    <w:textAlignment w:val="center"/>
                    <w:rPr>
                      <w:color w:val="auto"/>
                      <w:kern w:val="0"/>
                      <w:szCs w:val="21"/>
                      <w:lang w:bidi="ar"/>
                    </w:rPr>
                  </w:pPr>
                  <w:r>
                    <w:rPr>
                      <w:rFonts w:hint="eastAsia"/>
                      <w:color w:val="auto"/>
                      <w:kern w:val="0"/>
                      <w:szCs w:val="21"/>
                      <w:lang w:bidi="ar"/>
                    </w:rPr>
                    <w:t>二级活性炭吸附</w:t>
                  </w:r>
                </w:p>
              </w:tc>
              <w:tc>
                <w:tcPr>
                  <w:tcW w:w="2289" w:type="dxa"/>
                  <w:tcBorders>
                    <w:top w:val="single" w:color="auto" w:sz="4" w:space="0"/>
                    <w:left w:val="single" w:color="auto" w:sz="4" w:space="0"/>
                    <w:bottom w:val="single" w:color="auto" w:sz="4" w:space="0"/>
                    <w:right w:val="single" w:color="auto" w:sz="4" w:space="0"/>
                  </w:tcBorders>
                  <w:vAlign w:val="center"/>
                </w:tcPr>
                <w:p w14:paraId="26B2DF4C">
                  <w:pPr>
                    <w:jc w:val="center"/>
                    <w:rPr>
                      <w:color w:val="auto"/>
                      <w:szCs w:val="22"/>
                    </w:rPr>
                  </w:pPr>
                  <w:r>
                    <w:rPr>
                      <w:rFonts w:hint="eastAsia"/>
                      <w:color w:val="auto"/>
                      <w:szCs w:val="22"/>
                    </w:rPr>
                    <w:t>0.4239</w:t>
                  </w:r>
                </w:p>
              </w:tc>
            </w:tr>
            <w:tr w14:paraId="54176573">
              <w:tblPrEx>
                <w:tblCellMar>
                  <w:top w:w="0" w:type="dxa"/>
                  <w:left w:w="108" w:type="dxa"/>
                  <w:bottom w:w="0" w:type="dxa"/>
                  <w:right w:w="108" w:type="dxa"/>
                </w:tblCellMar>
              </w:tblPrEx>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5B484D64">
                  <w:pPr>
                    <w:widowControl/>
                    <w:jc w:val="center"/>
                    <w:textAlignment w:val="center"/>
                    <w:rPr>
                      <w:color w:val="auto"/>
                      <w:kern w:val="0"/>
                      <w:szCs w:val="21"/>
                      <w:lang w:bidi="ar"/>
                    </w:rPr>
                  </w:pPr>
                  <w:r>
                    <w:rPr>
                      <w:rFonts w:hint="eastAsia"/>
                      <w:color w:val="auto"/>
                      <w:kern w:val="0"/>
                      <w:szCs w:val="21"/>
                      <w:lang w:bidi="ar"/>
                    </w:rPr>
                    <w:t>烘烤底漆</w:t>
                  </w:r>
                </w:p>
              </w:tc>
              <w:tc>
                <w:tcPr>
                  <w:tcW w:w="2297" w:type="dxa"/>
                  <w:tcBorders>
                    <w:top w:val="single" w:color="auto" w:sz="4" w:space="0"/>
                    <w:left w:val="single" w:color="auto" w:sz="4" w:space="0"/>
                    <w:bottom w:val="single" w:color="auto" w:sz="4" w:space="0"/>
                    <w:right w:val="single" w:color="auto" w:sz="4" w:space="0"/>
                  </w:tcBorders>
                  <w:vAlign w:val="center"/>
                </w:tcPr>
                <w:p w14:paraId="7FCDE32B">
                  <w:pPr>
                    <w:widowControl/>
                    <w:jc w:val="center"/>
                    <w:textAlignment w:val="center"/>
                    <w:rPr>
                      <w:color w:val="auto"/>
                      <w:kern w:val="0"/>
                      <w:szCs w:val="21"/>
                      <w:lang w:bidi="ar"/>
                    </w:rPr>
                  </w:pPr>
                  <w:r>
                    <w:rPr>
                      <w:rFonts w:hint="eastAsia"/>
                      <w:color w:val="auto"/>
                      <w:kern w:val="0"/>
                      <w:szCs w:val="21"/>
                      <w:lang w:bidi="ar"/>
                    </w:rPr>
                    <w:t>0.03293</w:t>
                  </w:r>
                </w:p>
              </w:tc>
              <w:tc>
                <w:tcPr>
                  <w:tcW w:w="3139" w:type="dxa"/>
                  <w:tcBorders>
                    <w:top w:val="single" w:color="auto" w:sz="4" w:space="0"/>
                    <w:left w:val="single" w:color="auto" w:sz="4" w:space="0"/>
                    <w:bottom w:val="single" w:color="auto" w:sz="4" w:space="0"/>
                    <w:right w:val="single" w:color="auto" w:sz="4" w:space="0"/>
                  </w:tcBorders>
                  <w:vAlign w:val="center"/>
                </w:tcPr>
                <w:p w14:paraId="1890F3C4">
                  <w:pPr>
                    <w:widowControl/>
                    <w:jc w:val="center"/>
                    <w:textAlignment w:val="center"/>
                    <w:rPr>
                      <w:color w:val="auto"/>
                      <w:kern w:val="0"/>
                      <w:szCs w:val="21"/>
                      <w:lang w:bidi="ar"/>
                    </w:rPr>
                  </w:pPr>
                  <w:r>
                    <w:rPr>
                      <w:rFonts w:hint="eastAsia"/>
                      <w:color w:val="auto"/>
                      <w:kern w:val="0"/>
                      <w:szCs w:val="21"/>
                      <w:lang w:bidi="ar"/>
                    </w:rPr>
                    <w:t>无组织排放</w:t>
                  </w:r>
                </w:p>
              </w:tc>
              <w:tc>
                <w:tcPr>
                  <w:tcW w:w="2289" w:type="dxa"/>
                  <w:tcBorders>
                    <w:top w:val="single" w:color="auto" w:sz="4" w:space="0"/>
                    <w:left w:val="single" w:color="auto" w:sz="4" w:space="0"/>
                    <w:bottom w:val="single" w:color="auto" w:sz="4" w:space="0"/>
                    <w:right w:val="single" w:color="auto" w:sz="4" w:space="0"/>
                  </w:tcBorders>
                  <w:vAlign w:val="center"/>
                </w:tcPr>
                <w:p w14:paraId="0BE46585">
                  <w:pPr>
                    <w:jc w:val="center"/>
                    <w:rPr>
                      <w:color w:val="auto"/>
                      <w:szCs w:val="22"/>
                    </w:rPr>
                  </w:pPr>
                  <w:r>
                    <w:rPr>
                      <w:color w:val="auto"/>
                      <w:kern w:val="0"/>
                      <w:szCs w:val="21"/>
                      <w:lang w:bidi="ar"/>
                    </w:rPr>
                    <w:t>0.06023</w:t>
                  </w:r>
                </w:p>
              </w:tc>
            </w:tr>
            <w:tr w14:paraId="1431C2A5">
              <w:tblPrEx>
                <w:tblCellMar>
                  <w:top w:w="0" w:type="dxa"/>
                  <w:left w:w="108" w:type="dxa"/>
                  <w:bottom w:w="0" w:type="dxa"/>
                  <w:right w:w="108" w:type="dxa"/>
                </w:tblCellMar>
              </w:tblPrEx>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209BC738">
                  <w:pPr>
                    <w:widowControl/>
                    <w:jc w:val="center"/>
                    <w:textAlignment w:val="center"/>
                    <w:rPr>
                      <w:color w:val="auto"/>
                      <w:kern w:val="0"/>
                      <w:szCs w:val="21"/>
                      <w:lang w:bidi="ar"/>
                    </w:rPr>
                  </w:pPr>
                  <w:r>
                    <w:rPr>
                      <w:rFonts w:hint="eastAsia"/>
                      <w:color w:val="auto"/>
                      <w:kern w:val="0"/>
                      <w:szCs w:val="21"/>
                      <w:lang w:bidi="ar"/>
                    </w:rPr>
                    <w:t>喷面漆</w:t>
                  </w:r>
                </w:p>
              </w:tc>
              <w:tc>
                <w:tcPr>
                  <w:tcW w:w="2297" w:type="dxa"/>
                  <w:tcBorders>
                    <w:top w:val="single" w:color="auto" w:sz="4" w:space="0"/>
                    <w:left w:val="single" w:color="auto" w:sz="4" w:space="0"/>
                    <w:bottom w:val="single" w:color="auto" w:sz="4" w:space="0"/>
                    <w:right w:val="single" w:color="auto" w:sz="4" w:space="0"/>
                  </w:tcBorders>
                  <w:vAlign w:val="center"/>
                </w:tcPr>
                <w:p w14:paraId="13366C0A">
                  <w:pPr>
                    <w:widowControl/>
                    <w:jc w:val="center"/>
                    <w:textAlignment w:val="center"/>
                    <w:rPr>
                      <w:color w:val="auto"/>
                      <w:kern w:val="0"/>
                      <w:szCs w:val="21"/>
                      <w:lang w:bidi="ar"/>
                    </w:rPr>
                  </w:pPr>
                  <w:r>
                    <w:rPr>
                      <w:rFonts w:hint="eastAsia"/>
                      <w:color w:val="auto"/>
                      <w:kern w:val="0"/>
                      <w:szCs w:val="21"/>
                      <w:lang w:bidi="ar"/>
                    </w:rPr>
                    <w:t>0.1929</w:t>
                  </w:r>
                </w:p>
              </w:tc>
              <w:tc>
                <w:tcPr>
                  <w:tcW w:w="3139" w:type="dxa"/>
                  <w:tcBorders>
                    <w:top w:val="single" w:color="auto" w:sz="4" w:space="0"/>
                    <w:left w:val="single" w:color="auto" w:sz="4" w:space="0"/>
                    <w:bottom w:val="single" w:color="auto" w:sz="4" w:space="0"/>
                    <w:right w:val="single" w:color="auto" w:sz="4" w:space="0"/>
                  </w:tcBorders>
                  <w:vAlign w:val="center"/>
                </w:tcPr>
                <w:p w14:paraId="29DB740E">
                  <w:pPr>
                    <w:widowControl/>
                    <w:jc w:val="center"/>
                    <w:textAlignment w:val="center"/>
                    <w:rPr>
                      <w:color w:val="auto"/>
                      <w:kern w:val="0"/>
                      <w:szCs w:val="21"/>
                      <w:lang w:bidi="ar"/>
                    </w:rPr>
                  </w:pPr>
                </w:p>
              </w:tc>
              <w:tc>
                <w:tcPr>
                  <w:tcW w:w="2289" w:type="dxa"/>
                  <w:tcBorders>
                    <w:top w:val="single" w:color="auto" w:sz="4" w:space="0"/>
                    <w:left w:val="single" w:color="auto" w:sz="4" w:space="0"/>
                    <w:bottom w:val="single" w:color="auto" w:sz="4" w:space="0"/>
                    <w:right w:val="single" w:color="auto" w:sz="4" w:space="0"/>
                  </w:tcBorders>
                  <w:vAlign w:val="center"/>
                </w:tcPr>
                <w:p w14:paraId="63000E4E">
                  <w:pPr>
                    <w:jc w:val="center"/>
                    <w:rPr>
                      <w:color w:val="auto"/>
                      <w:szCs w:val="22"/>
                    </w:rPr>
                  </w:pPr>
                </w:p>
              </w:tc>
            </w:tr>
            <w:tr w14:paraId="644483A0">
              <w:tblPrEx>
                <w:tblCellMar>
                  <w:top w:w="0" w:type="dxa"/>
                  <w:left w:w="108" w:type="dxa"/>
                  <w:bottom w:w="0" w:type="dxa"/>
                  <w:right w:w="108" w:type="dxa"/>
                </w:tblCellMar>
              </w:tblPrEx>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5404F487">
                  <w:pPr>
                    <w:widowControl/>
                    <w:jc w:val="center"/>
                    <w:textAlignment w:val="center"/>
                    <w:rPr>
                      <w:color w:val="auto"/>
                      <w:kern w:val="0"/>
                      <w:szCs w:val="21"/>
                      <w:lang w:bidi="ar"/>
                    </w:rPr>
                  </w:pPr>
                  <w:r>
                    <w:rPr>
                      <w:rFonts w:hint="eastAsia"/>
                      <w:color w:val="auto"/>
                      <w:kern w:val="0"/>
                      <w:szCs w:val="21"/>
                      <w:lang w:bidi="ar"/>
                    </w:rPr>
                    <w:t>烘烤面漆</w:t>
                  </w:r>
                </w:p>
              </w:tc>
              <w:tc>
                <w:tcPr>
                  <w:tcW w:w="2297" w:type="dxa"/>
                  <w:tcBorders>
                    <w:top w:val="single" w:color="auto" w:sz="4" w:space="0"/>
                    <w:left w:val="single" w:color="auto" w:sz="4" w:space="0"/>
                    <w:bottom w:val="single" w:color="auto" w:sz="4" w:space="0"/>
                    <w:right w:val="single" w:color="auto" w:sz="4" w:space="0"/>
                  </w:tcBorders>
                  <w:vAlign w:val="center"/>
                </w:tcPr>
                <w:p w14:paraId="5D25CEE9">
                  <w:pPr>
                    <w:widowControl/>
                    <w:jc w:val="center"/>
                    <w:textAlignment w:val="center"/>
                    <w:rPr>
                      <w:color w:val="auto"/>
                      <w:kern w:val="0"/>
                      <w:szCs w:val="21"/>
                      <w:lang w:bidi="ar"/>
                    </w:rPr>
                  </w:pPr>
                  <w:r>
                    <w:rPr>
                      <w:rFonts w:hint="eastAsia"/>
                      <w:color w:val="auto"/>
                      <w:kern w:val="0"/>
                      <w:szCs w:val="21"/>
                      <w:lang w:bidi="ar"/>
                    </w:rPr>
                    <w:t>0.03404</w:t>
                  </w:r>
                </w:p>
              </w:tc>
              <w:tc>
                <w:tcPr>
                  <w:tcW w:w="3139" w:type="dxa"/>
                  <w:tcBorders>
                    <w:top w:val="single" w:color="auto" w:sz="4" w:space="0"/>
                    <w:left w:val="single" w:color="auto" w:sz="4" w:space="0"/>
                    <w:bottom w:val="single" w:color="auto" w:sz="4" w:space="0"/>
                    <w:right w:val="single" w:color="auto" w:sz="4" w:space="0"/>
                  </w:tcBorders>
                  <w:vAlign w:val="center"/>
                </w:tcPr>
                <w:p w14:paraId="0E7FA1C1">
                  <w:pPr>
                    <w:widowControl/>
                    <w:jc w:val="center"/>
                    <w:textAlignment w:val="center"/>
                    <w:rPr>
                      <w:color w:val="auto"/>
                      <w:kern w:val="0"/>
                      <w:szCs w:val="21"/>
                      <w:lang w:bidi="ar"/>
                    </w:rPr>
                  </w:pPr>
                </w:p>
              </w:tc>
              <w:tc>
                <w:tcPr>
                  <w:tcW w:w="2289" w:type="dxa"/>
                  <w:tcBorders>
                    <w:top w:val="single" w:color="auto" w:sz="4" w:space="0"/>
                    <w:left w:val="single" w:color="auto" w:sz="4" w:space="0"/>
                    <w:bottom w:val="single" w:color="auto" w:sz="4" w:space="0"/>
                    <w:right w:val="single" w:color="auto" w:sz="4" w:space="0"/>
                  </w:tcBorders>
                  <w:vAlign w:val="center"/>
                </w:tcPr>
                <w:p w14:paraId="516D2C2C">
                  <w:pPr>
                    <w:jc w:val="center"/>
                    <w:rPr>
                      <w:color w:val="auto"/>
                      <w:szCs w:val="22"/>
                    </w:rPr>
                  </w:pPr>
                </w:p>
              </w:tc>
            </w:tr>
            <w:tr w14:paraId="760782FD">
              <w:tblPrEx>
                <w:tblCellMar>
                  <w:top w:w="0" w:type="dxa"/>
                  <w:left w:w="108" w:type="dxa"/>
                  <w:bottom w:w="0" w:type="dxa"/>
                  <w:right w:w="108" w:type="dxa"/>
                </w:tblCellMar>
              </w:tblPrEx>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337A83B1">
                  <w:pPr>
                    <w:widowControl/>
                    <w:jc w:val="center"/>
                    <w:textAlignment w:val="center"/>
                    <w:rPr>
                      <w:color w:val="auto"/>
                      <w:kern w:val="0"/>
                      <w:szCs w:val="21"/>
                      <w:lang w:bidi="ar"/>
                    </w:rPr>
                  </w:pPr>
                  <w:r>
                    <w:rPr>
                      <w:rFonts w:hint="eastAsia"/>
                      <w:color w:val="auto"/>
                      <w:kern w:val="0"/>
                      <w:szCs w:val="21"/>
                      <w:lang w:bidi="ar"/>
                    </w:rPr>
                    <w:t>喷清漆</w:t>
                  </w:r>
                </w:p>
              </w:tc>
              <w:tc>
                <w:tcPr>
                  <w:tcW w:w="2297" w:type="dxa"/>
                  <w:tcBorders>
                    <w:top w:val="single" w:color="auto" w:sz="4" w:space="0"/>
                    <w:left w:val="single" w:color="auto" w:sz="4" w:space="0"/>
                    <w:bottom w:val="single" w:color="auto" w:sz="4" w:space="0"/>
                    <w:right w:val="single" w:color="auto" w:sz="4" w:space="0"/>
                  </w:tcBorders>
                  <w:vAlign w:val="center"/>
                </w:tcPr>
                <w:p w14:paraId="7E1AECB9">
                  <w:pPr>
                    <w:widowControl/>
                    <w:jc w:val="center"/>
                    <w:textAlignment w:val="center"/>
                    <w:rPr>
                      <w:color w:val="auto"/>
                      <w:kern w:val="0"/>
                      <w:szCs w:val="21"/>
                      <w:lang w:bidi="ar"/>
                    </w:rPr>
                  </w:pPr>
                  <w:r>
                    <w:rPr>
                      <w:rFonts w:hint="eastAsia"/>
                      <w:color w:val="auto"/>
                      <w:kern w:val="0"/>
                      <w:szCs w:val="21"/>
                      <w:lang w:bidi="ar"/>
                    </w:rPr>
                    <w:t>0.1505</w:t>
                  </w:r>
                </w:p>
              </w:tc>
              <w:tc>
                <w:tcPr>
                  <w:tcW w:w="3139" w:type="dxa"/>
                  <w:tcBorders>
                    <w:top w:val="single" w:color="auto" w:sz="4" w:space="0"/>
                    <w:left w:val="single" w:color="auto" w:sz="4" w:space="0"/>
                    <w:bottom w:val="single" w:color="auto" w:sz="4" w:space="0"/>
                    <w:right w:val="single" w:color="auto" w:sz="4" w:space="0"/>
                  </w:tcBorders>
                  <w:vAlign w:val="center"/>
                </w:tcPr>
                <w:p w14:paraId="69F863B9">
                  <w:pPr>
                    <w:widowControl/>
                    <w:jc w:val="center"/>
                    <w:textAlignment w:val="center"/>
                    <w:rPr>
                      <w:color w:val="auto"/>
                      <w:kern w:val="0"/>
                      <w:szCs w:val="21"/>
                      <w:highlight w:val="yellow"/>
                      <w:lang w:bidi="ar"/>
                    </w:rPr>
                  </w:pPr>
                </w:p>
              </w:tc>
              <w:tc>
                <w:tcPr>
                  <w:tcW w:w="2289" w:type="dxa"/>
                  <w:tcBorders>
                    <w:top w:val="single" w:color="auto" w:sz="4" w:space="0"/>
                    <w:left w:val="single" w:color="auto" w:sz="4" w:space="0"/>
                    <w:bottom w:val="single" w:color="auto" w:sz="4" w:space="0"/>
                    <w:right w:val="single" w:color="auto" w:sz="4" w:space="0"/>
                  </w:tcBorders>
                  <w:vAlign w:val="center"/>
                </w:tcPr>
                <w:p w14:paraId="7916AD69">
                  <w:pPr>
                    <w:jc w:val="center"/>
                    <w:rPr>
                      <w:color w:val="auto"/>
                      <w:szCs w:val="22"/>
                      <w:highlight w:val="yellow"/>
                    </w:rPr>
                  </w:pPr>
                </w:p>
              </w:tc>
            </w:tr>
            <w:tr w14:paraId="163C8B44">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193908D7">
                  <w:pPr>
                    <w:widowControl/>
                    <w:jc w:val="center"/>
                    <w:textAlignment w:val="center"/>
                    <w:rPr>
                      <w:color w:val="auto"/>
                      <w:kern w:val="0"/>
                      <w:szCs w:val="21"/>
                      <w:lang w:bidi="ar"/>
                    </w:rPr>
                  </w:pPr>
                  <w:r>
                    <w:rPr>
                      <w:rFonts w:hint="eastAsia"/>
                      <w:color w:val="auto"/>
                      <w:kern w:val="0"/>
                      <w:szCs w:val="21"/>
                      <w:lang w:bidi="ar"/>
                    </w:rPr>
                    <w:t>烘烤清漆</w:t>
                  </w:r>
                </w:p>
              </w:tc>
              <w:tc>
                <w:tcPr>
                  <w:tcW w:w="2297" w:type="dxa"/>
                  <w:tcBorders>
                    <w:top w:val="single" w:color="auto" w:sz="4" w:space="0"/>
                    <w:left w:val="single" w:color="auto" w:sz="4" w:space="0"/>
                    <w:bottom w:val="single" w:color="auto" w:sz="4" w:space="0"/>
                    <w:right w:val="single" w:color="auto" w:sz="4" w:space="0"/>
                  </w:tcBorders>
                  <w:vAlign w:val="center"/>
                </w:tcPr>
                <w:p w14:paraId="3C14ED5B">
                  <w:pPr>
                    <w:widowControl/>
                    <w:jc w:val="center"/>
                    <w:textAlignment w:val="center"/>
                    <w:rPr>
                      <w:color w:val="auto"/>
                      <w:kern w:val="0"/>
                      <w:szCs w:val="21"/>
                      <w:lang w:bidi="ar"/>
                    </w:rPr>
                  </w:pPr>
                  <w:r>
                    <w:rPr>
                      <w:rFonts w:hint="eastAsia"/>
                      <w:color w:val="auto"/>
                      <w:kern w:val="0"/>
                      <w:szCs w:val="21"/>
                      <w:lang w:bidi="ar"/>
                    </w:rPr>
                    <w:t>0.02656</w:t>
                  </w:r>
                </w:p>
              </w:tc>
              <w:tc>
                <w:tcPr>
                  <w:tcW w:w="3139" w:type="dxa"/>
                  <w:tcBorders>
                    <w:top w:val="single" w:color="auto" w:sz="4" w:space="0"/>
                    <w:left w:val="single" w:color="auto" w:sz="4" w:space="0"/>
                    <w:bottom w:val="single" w:color="auto" w:sz="4" w:space="0"/>
                    <w:right w:val="single" w:color="auto" w:sz="4" w:space="0"/>
                  </w:tcBorders>
                  <w:vAlign w:val="center"/>
                </w:tcPr>
                <w:p w14:paraId="09E2A051">
                  <w:pPr>
                    <w:widowControl/>
                    <w:jc w:val="center"/>
                    <w:textAlignment w:val="center"/>
                    <w:rPr>
                      <w:color w:val="auto"/>
                      <w:kern w:val="0"/>
                      <w:szCs w:val="21"/>
                      <w:highlight w:val="yellow"/>
                      <w:lang w:bidi="ar"/>
                    </w:rPr>
                  </w:pPr>
                </w:p>
              </w:tc>
              <w:tc>
                <w:tcPr>
                  <w:tcW w:w="2289" w:type="dxa"/>
                  <w:tcBorders>
                    <w:top w:val="single" w:color="auto" w:sz="4" w:space="0"/>
                    <w:left w:val="single" w:color="auto" w:sz="4" w:space="0"/>
                    <w:bottom w:val="single" w:color="auto" w:sz="4" w:space="0"/>
                    <w:right w:val="single" w:color="auto" w:sz="4" w:space="0"/>
                  </w:tcBorders>
                  <w:vAlign w:val="center"/>
                </w:tcPr>
                <w:p w14:paraId="562CF840">
                  <w:pPr>
                    <w:jc w:val="center"/>
                    <w:rPr>
                      <w:color w:val="auto"/>
                      <w:szCs w:val="22"/>
                      <w:highlight w:val="yellow"/>
                    </w:rPr>
                  </w:pPr>
                </w:p>
              </w:tc>
            </w:tr>
            <w:tr w14:paraId="204B5797">
              <w:trPr>
                <w:trHeight w:val="283" w:hRule="atLeast"/>
              </w:trPr>
              <w:tc>
                <w:tcPr>
                  <w:tcW w:w="2288" w:type="dxa"/>
                  <w:tcBorders>
                    <w:top w:val="single" w:color="auto" w:sz="4" w:space="0"/>
                    <w:left w:val="single" w:color="auto" w:sz="4" w:space="0"/>
                    <w:bottom w:val="single" w:color="auto" w:sz="4" w:space="0"/>
                    <w:right w:val="single" w:color="auto" w:sz="4" w:space="0"/>
                  </w:tcBorders>
                  <w:vAlign w:val="center"/>
                </w:tcPr>
                <w:p w14:paraId="2BB76547">
                  <w:pPr>
                    <w:widowControl/>
                    <w:jc w:val="center"/>
                    <w:textAlignment w:val="center"/>
                    <w:rPr>
                      <w:color w:val="auto"/>
                      <w:szCs w:val="21"/>
                    </w:rPr>
                  </w:pPr>
                  <w:r>
                    <w:rPr>
                      <w:color w:val="auto"/>
                      <w:kern w:val="0"/>
                      <w:szCs w:val="21"/>
                      <w:lang w:bidi="ar"/>
                    </w:rPr>
                    <w:t>合计</w:t>
                  </w:r>
                </w:p>
              </w:tc>
              <w:tc>
                <w:tcPr>
                  <w:tcW w:w="2297" w:type="dxa"/>
                  <w:tcBorders>
                    <w:top w:val="single" w:color="auto" w:sz="4" w:space="0"/>
                    <w:left w:val="single" w:color="auto" w:sz="4" w:space="0"/>
                    <w:bottom w:val="single" w:color="auto" w:sz="4" w:space="0"/>
                    <w:right w:val="single" w:color="auto" w:sz="4" w:space="0"/>
                  </w:tcBorders>
                  <w:vAlign w:val="center"/>
                </w:tcPr>
                <w:p w14:paraId="35B529C3">
                  <w:pPr>
                    <w:widowControl/>
                    <w:jc w:val="center"/>
                    <w:textAlignment w:val="center"/>
                    <w:rPr>
                      <w:color w:val="auto"/>
                      <w:szCs w:val="21"/>
                    </w:rPr>
                  </w:pPr>
                  <w:r>
                    <w:rPr>
                      <w:color w:val="auto"/>
                      <w:kern w:val="0"/>
                      <w:szCs w:val="21"/>
                      <w:lang w:bidi="ar"/>
                    </w:rPr>
                    <w:t>0.66653</w:t>
                  </w:r>
                </w:p>
              </w:tc>
              <w:tc>
                <w:tcPr>
                  <w:tcW w:w="3139" w:type="dxa"/>
                  <w:tcBorders>
                    <w:top w:val="single" w:color="auto" w:sz="4" w:space="0"/>
                    <w:left w:val="single" w:color="auto" w:sz="4" w:space="0"/>
                    <w:bottom w:val="single" w:color="auto" w:sz="4" w:space="0"/>
                    <w:right w:val="single" w:color="auto" w:sz="4" w:space="0"/>
                  </w:tcBorders>
                  <w:vAlign w:val="center"/>
                </w:tcPr>
                <w:p w14:paraId="020FF6EF">
                  <w:pPr>
                    <w:widowControl/>
                    <w:jc w:val="center"/>
                    <w:textAlignment w:val="center"/>
                    <w:rPr>
                      <w:color w:val="auto"/>
                      <w:szCs w:val="21"/>
                    </w:rPr>
                  </w:pPr>
                  <w:r>
                    <w:rPr>
                      <w:color w:val="auto"/>
                      <w:kern w:val="0"/>
                      <w:szCs w:val="21"/>
                      <w:lang w:bidi="ar"/>
                    </w:rPr>
                    <w:t>合计</w:t>
                  </w:r>
                </w:p>
              </w:tc>
              <w:tc>
                <w:tcPr>
                  <w:tcW w:w="2289" w:type="dxa"/>
                  <w:tcBorders>
                    <w:top w:val="single" w:color="auto" w:sz="4" w:space="0"/>
                    <w:left w:val="single" w:color="auto" w:sz="4" w:space="0"/>
                    <w:bottom w:val="single" w:color="auto" w:sz="4" w:space="0"/>
                    <w:right w:val="single" w:color="auto" w:sz="4" w:space="0"/>
                  </w:tcBorders>
                  <w:vAlign w:val="center"/>
                </w:tcPr>
                <w:p w14:paraId="3980E12D">
                  <w:pPr>
                    <w:widowControl/>
                    <w:jc w:val="center"/>
                    <w:textAlignment w:val="center"/>
                    <w:rPr>
                      <w:color w:val="auto"/>
                      <w:szCs w:val="21"/>
                      <w:highlight w:val="yellow"/>
                    </w:rPr>
                  </w:pPr>
                  <w:r>
                    <w:rPr>
                      <w:color w:val="auto"/>
                      <w:kern w:val="0"/>
                      <w:szCs w:val="21"/>
                      <w:lang w:bidi="ar"/>
                    </w:rPr>
                    <w:t>0.66653</w:t>
                  </w:r>
                </w:p>
              </w:tc>
            </w:tr>
          </w:tbl>
          <w:p w14:paraId="056BF6FA">
            <w:pPr>
              <w:rPr>
                <w:color w:val="auto"/>
              </w:rPr>
            </w:pPr>
          </w:p>
          <w:p w14:paraId="19EE945D">
            <w:pPr>
              <w:jc w:val="center"/>
              <w:rPr>
                <w:color w:val="auto"/>
              </w:rPr>
            </w:pPr>
            <w:r>
              <w:rPr>
                <w:color w:val="auto"/>
              </w:rPr>
              <w:object>
                <v:shape id="_x0000_i1027" o:spt="75" type="#_x0000_t75" style="height:194pt;width:367.45pt;" o:ole="t" filled="f" o:preferrelative="t" stroked="f" coordsize="21600,21600">
                  <v:path/>
                  <v:fill on="f" focussize="0,0"/>
                  <v:stroke on="f" joinstyle="miter"/>
                  <v:imagedata r:id="rId21" o:title=""/>
                  <o:lock v:ext="edit" aspectratio="f"/>
                  <w10:wrap type="none"/>
                  <w10:anchorlock/>
                </v:shape>
                <o:OLEObject Type="Embed" ProgID="Visio.Drawing.15" ShapeID="_x0000_i1027" DrawAspect="Content" ObjectID="_1468075727" r:id="rId20">
                  <o:LockedField>false</o:LockedField>
                </o:OLEObject>
              </w:object>
            </w:r>
          </w:p>
          <w:p w14:paraId="70BE6875">
            <w:pPr>
              <w:numPr>
                <w:ilvl w:val="0"/>
                <w:numId w:val="12"/>
              </w:numPr>
              <w:ind w:firstLine="422" w:firstLineChars="200"/>
              <w:jc w:val="center"/>
              <w:rPr>
                <w:b/>
                <w:bCs/>
                <w:color w:val="auto"/>
              </w:rPr>
            </w:pPr>
            <w:r>
              <w:rPr>
                <w:b/>
                <w:bCs/>
                <w:color w:val="auto"/>
              </w:rPr>
              <w:t>项目VOCs物料平衡单位：t/a</w:t>
            </w:r>
          </w:p>
          <w:p w14:paraId="53BA44F1">
            <w:pPr>
              <w:pStyle w:val="43"/>
              <w:rPr>
                <w:color w:val="auto"/>
              </w:rPr>
            </w:pPr>
          </w:p>
          <w:p w14:paraId="2BF3B5E2">
            <w:pPr>
              <w:rPr>
                <w:color w:val="auto"/>
              </w:rPr>
            </w:pPr>
          </w:p>
          <w:p w14:paraId="3F955AE5">
            <w:pPr>
              <w:pStyle w:val="43"/>
              <w:rPr>
                <w:color w:val="auto"/>
              </w:rPr>
            </w:pPr>
          </w:p>
          <w:p w14:paraId="5FCCDB15">
            <w:pPr>
              <w:rPr>
                <w:color w:val="auto"/>
              </w:rPr>
            </w:pPr>
          </w:p>
          <w:p w14:paraId="50FD90F1">
            <w:pPr>
              <w:pStyle w:val="43"/>
              <w:rPr>
                <w:color w:val="auto"/>
              </w:rPr>
            </w:pPr>
          </w:p>
          <w:p w14:paraId="2AAE3F00">
            <w:pPr>
              <w:rPr>
                <w:color w:val="auto"/>
              </w:rPr>
            </w:pPr>
          </w:p>
          <w:p w14:paraId="79B3A77B">
            <w:pPr>
              <w:pStyle w:val="43"/>
              <w:rPr>
                <w:color w:val="auto"/>
              </w:rPr>
            </w:pPr>
          </w:p>
          <w:p w14:paraId="7C2D1AA2">
            <w:pPr>
              <w:rPr>
                <w:color w:val="auto"/>
              </w:rPr>
            </w:pPr>
          </w:p>
          <w:p w14:paraId="6963A9EB">
            <w:pPr>
              <w:pStyle w:val="43"/>
              <w:ind w:firstLine="0" w:firstLineChars="0"/>
              <w:rPr>
                <w:color w:val="auto"/>
              </w:rPr>
            </w:pPr>
          </w:p>
        </w:tc>
      </w:tr>
      <w:tr w14:paraId="3E2FF6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1" w:hRule="atLeast"/>
          <w:jc w:val="center"/>
        </w:trPr>
        <w:tc>
          <w:tcPr>
            <w:tcW w:w="212" w:type="pct"/>
            <w:vAlign w:val="center"/>
          </w:tcPr>
          <w:p w14:paraId="08A580D4">
            <w:pPr>
              <w:pStyle w:val="31"/>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工艺流程和产排污环节</w:t>
            </w:r>
          </w:p>
        </w:tc>
        <w:tc>
          <w:tcPr>
            <w:tcW w:w="4787" w:type="pct"/>
          </w:tcPr>
          <w:p w14:paraId="504BE9CE">
            <w:pPr>
              <w:adjustRightInd w:val="0"/>
              <w:snapToGrid w:val="0"/>
              <w:spacing w:before="120" w:beforeLines="50" w:line="360" w:lineRule="auto"/>
              <w:ind w:firstLine="480" w:firstLineChars="200"/>
              <w:jc w:val="left"/>
              <w:rPr>
                <w:color w:val="auto"/>
                <w:sz w:val="24"/>
              </w:rPr>
            </w:pPr>
            <w:r>
              <w:rPr>
                <w:bCs/>
                <w:color w:val="auto"/>
                <w:sz w:val="24"/>
              </w:rPr>
              <w:t>本项目主要从事</w:t>
            </w:r>
            <w:r>
              <w:rPr>
                <w:rFonts w:hint="eastAsia"/>
                <w:color w:val="auto"/>
                <w:sz w:val="24"/>
              </w:rPr>
              <w:t>自行车车架、电动助力车车架、家私配件等金属配件</w:t>
            </w:r>
            <w:r>
              <w:rPr>
                <w:color w:val="auto"/>
                <w:sz w:val="24"/>
                <w:shd w:val="clear" w:color="auto" w:fill="FFFFFF"/>
              </w:rPr>
              <w:t>的</w:t>
            </w:r>
            <w:r>
              <w:rPr>
                <w:rFonts w:hint="eastAsia"/>
                <w:color w:val="auto"/>
                <w:sz w:val="24"/>
                <w:shd w:val="clear" w:color="auto" w:fill="FFFFFF"/>
              </w:rPr>
              <w:t>表面加工</w:t>
            </w:r>
            <w:r>
              <w:rPr>
                <w:bCs/>
                <w:color w:val="auto"/>
                <w:sz w:val="24"/>
              </w:rPr>
              <w:t>，</w:t>
            </w:r>
            <w:r>
              <w:rPr>
                <w:rFonts w:hint="eastAsia"/>
                <w:bCs/>
                <w:color w:val="auto"/>
                <w:sz w:val="24"/>
              </w:rPr>
              <w:t>各种产品均有碳钢、铝材2种材质，同一材质产品的前处理工艺和后续的表面涂装工艺一致，则</w:t>
            </w:r>
            <w:r>
              <w:rPr>
                <w:rFonts w:hint="eastAsia"/>
                <w:color w:val="auto"/>
                <w:sz w:val="24"/>
              </w:rPr>
              <w:t>各类产品的</w:t>
            </w:r>
            <w:r>
              <w:rPr>
                <w:color w:val="auto"/>
                <w:sz w:val="24"/>
              </w:rPr>
              <w:t>生产工艺流程图如下：</w:t>
            </w:r>
          </w:p>
          <w:p w14:paraId="0B5564CC">
            <w:pPr>
              <w:pStyle w:val="43"/>
              <w:ind w:firstLine="482"/>
              <w:rPr>
                <w:b/>
                <w:bCs/>
                <w:color w:val="auto"/>
              </w:rPr>
            </w:pPr>
            <w:r>
              <w:rPr>
                <w:rFonts w:hint="eastAsia"/>
                <w:b/>
                <w:bCs/>
                <w:color w:val="auto"/>
              </w:rPr>
              <w:t>（1）整体生产工艺</w:t>
            </w:r>
          </w:p>
          <w:p w14:paraId="66089B3B">
            <w:pPr>
              <w:pStyle w:val="43"/>
              <w:ind w:firstLine="482"/>
              <w:rPr>
                <w:b/>
                <w:bCs/>
                <w:color w:val="auto"/>
              </w:rPr>
            </w:pPr>
            <w:r>
              <w:rPr>
                <w:rFonts w:hint="eastAsia"/>
                <w:b/>
                <w:bCs/>
                <w:color w:val="auto"/>
              </w:rPr>
              <w:t>1）碳钢产品</w:t>
            </w:r>
          </w:p>
          <w:p w14:paraId="73381E51">
            <w:pPr>
              <w:jc w:val="center"/>
              <w:rPr>
                <w:b/>
                <w:bCs/>
                <w:color w:val="auto"/>
                <w:sz w:val="8"/>
                <w:szCs w:val="8"/>
              </w:rPr>
            </w:pPr>
            <w:r>
              <w:rPr>
                <w:b/>
                <w:bCs/>
                <w:color w:val="auto"/>
                <w:sz w:val="8"/>
                <w:szCs w:val="8"/>
              </w:rPr>
              <w:object>
                <v:shape id="_x0000_i1028" o:spt="75" type="#_x0000_t75" style="height:383.6pt;width:411.95pt;" o:ole="t" filled="f" o:preferrelative="t" stroked="f" coordsize="21600,21600">
                  <v:path/>
                  <v:fill on="f" focussize="0,0"/>
                  <v:stroke on="f" joinstyle="miter"/>
                  <v:imagedata r:id="rId23" cropbottom="6723f" o:title=""/>
                  <o:lock v:ext="edit" aspectratio="f"/>
                  <w10:wrap type="none"/>
                  <w10:anchorlock/>
                </v:shape>
                <o:OLEObject Type="Embed" ProgID="Visio.Drawing.15" ShapeID="_x0000_i1028" DrawAspect="Content" ObjectID="_1468075728" r:id="rId22">
                  <o:LockedField>false</o:LockedField>
                </o:OLEObject>
              </w:object>
            </w:r>
          </w:p>
          <w:p w14:paraId="4AEFFB3E">
            <w:pPr>
              <w:numPr>
                <w:ilvl w:val="0"/>
                <w:numId w:val="12"/>
              </w:numPr>
              <w:spacing w:line="360" w:lineRule="auto"/>
              <w:ind w:firstLine="422" w:firstLineChars="200"/>
              <w:jc w:val="center"/>
              <w:rPr>
                <w:b/>
                <w:bCs/>
                <w:color w:val="auto"/>
              </w:rPr>
            </w:pPr>
            <w:r>
              <w:rPr>
                <w:b/>
                <w:bCs/>
                <w:color w:val="auto"/>
              </w:rPr>
              <w:t xml:space="preserve"> </w:t>
            </w:r>
            <w:r>
              <w:rPr>
                <w:rFonts w:hint="eastAsia"/>
                <w:b/>
                <w:bCs/>
                <w:color w:val="auto"/>
              </w:rPr>
              <w:t>碳钢产品</w:t>
            </w:r>
            <w:r>
              <w:rPr>
                <w:b/>
                <w:bCs/>
                <w:color w:val="auto"/>
              </w:rPr>
              <w:t>生产工艺流程及产污节点图</w:t>
            </w:r>
          </w:p>
          <w:p w14:paraId="73865010">
            <w:pPr>
              <w:spacing w:line="360" w:lineRule="auto"/>
              <w:ind w:firstLine="489" w:firstLineChars="203"/>
              <w:rPr>
                <w:b/>
                <w:bCs/>
                <w:color w:val="auto"/>
                <w:sz w:val="24"/>
              </w:rPr>
            </w:pPr>
            <w:r>
              <w:rPr>
                <w:b/>
                <w:bCs/>
                <w:color w:val="auto"/>
                <w:sz w:val="24"/>
              </w:rPr>
              <w:t>工艺流程说明：</w:t>
            </w:r>
          </w:p>
          <w:p w14:paraId="02BA6E27">
            <w:pPr>
              <w:spacing w:line="360" w:lineRule="auto"/>
              <w:ind w:firstLine="489" w:firstLineChars="203"/>
              <w:rPr>
                <w:color w:val="auto"/>
                <w:sz w:val="24"/>
              </w:rPr>
            </w:pPr>
            <w:r>
              <w:rPr>
                <w:rFonts w:hint="eastAsia"/>
                <w:b/>
                <w:bCs/>
                <w:color w:val="auto"/>
                <w:sz w:val="24"/>
              </w:rPr>
              <w:t>钻孔</w:t>
            </w:r>
            <w:r>
              <w:rPr>
                <w:b/>
                <w:bCs/>
                <w:color w:val="auto"/>
                <w:sz w:val="24"/>
              </w:rPr>
              <w:t>：</w:t>
            </w:r>
            <w:r>
              <w:rPr>
                <w:rFonts w:hint="eastAsia"/>
                <w:color w:val="auto"/>
                <w:sz w:val="24"/>
              </w:rPr>
              <w:t>利用台钻对碳钢材质的自行车车架、电动助力车车架、家私配件进行钻孔</w:t>
            </w:r>
            <w:r>
              <w:rPr>
                <w:color w:val="auto"/>
                <w:sz w:val="24"/>
              </w:rPr>
              <w:t>，此过程产生噪声及边角料</w:t>
            </w:r>
            <w:r>
              <w:rPr>
                <w:rFonts w:hint="eastAsia"/>
                <w:color w:val="auto"/>
                <w:sz w:val="24"/>
              </w:rPr>
              <w:t>。</w:t>
            </w:r>
          </w:p>
          <w:p w14:paraId="452076DB">
            <w:pPr>
              <w:spacing w:line="360" w:lineRule="auto"/>
              <w:ind w:firstLine="489" w:firstLineChars="203"/>
              <w:rPr>
                <w:color w:val="auto"/>
                <w:sz w:val="24"/>
              </w:rPr>
            </w:pPr>
            <w:r>
              <w:rPr>
                <w:rFonts w:hint="eastAsia"/>
                <w:b/>
                <w:bCs/>
                <w:color w:val="auto"/>
                <w:sz w:val="24"/>
              </w:rPr>
              <w:t>抛丸</w:t>
            </w:r>
            <w:r>
              <w:rPr>
                <w:b/>
                <w:bCs/>
                <w:color w:val="auto"/>
                <w:sz w:val="24"/>
              </w:rPr>
              <w:t>：</w:t>
            </w:r>
            <w:r>
              <w:rPr>
                <w:rFonts w:hint="eastAsia"/>
                <w:color w:val="auto"/>
                <w:sz w:val="24"/>
              </w:rPr>
              <w:t>将毛坯工件放置在抛丸清理机内</w:t>
            </w:r>
            <w:r>
              <w:rPr>
                <w:color w:val="auto"/>
                <w:sz w:val="24"/>
              </w:rPr>
              <w:t>进行</w:t>
            </w:r>
            <w:r>
              <w:rPr>
                <w:rFonts w:hint="eastAsia"/>
                <w:color w:val="auto"/>
                <w:sz w:val="24"/>
              </w:rPr>
              <w:t>抛丸处理</w:t>
            </w:r>
            <w:r>
              <w:rPr>
                <w:color w:val="auto"/>
                <w:sz w:val="24"/>
              </w:rPr>
              <w:t>，以使</w:t>
            </w:r>
            <w:r>
              <w:rPr>
                <w:rFonts w:hint="eastAsia"/>
                <w:color w:val="auto"/>
                <w:sz w:val="24"/>
              </w:rPr>
              <w:t>毛坯工件表面</w:t>
            </w:r>
            <w:r>
              <w:rPr>
                <w:color w:val="auto"/>
                <w:sz w:val="24"/>
              </w:rPr>
              <w:t>光滑、平整，以利于后续喷粉等</w:t>
            </w:r>
            <w:r>
              <w:rPr>
                <w:rFonts w:hint="eastAsia"/>
                <w:color w:val="auto"/>
                <w:sz w:val="24"/>
              </w:rPr>
              <w:t>，抛丸清理机作业时机舱加盖密闭</w:t>
            </w:r>
            <w:r>
              <w:rPr>
                <w:color w:val="auto"/>
                <w:sz w:val="24"/>
              </w:rPr>
              <w:t>。该过程主要产生</w:t>
            </w:r>
            <w:r>
              <w:rPr>
                <w:rFonts w:hint="eastAsia"/>
                <w:color w:val="auto"/>
                <w:sz w:val="24"/>
              </w:rPr>
              <w:t>抛丸</w:t>
            </w:r>
            <w:r>
              <w:rPr>
                <w:color w:val="auto"/>
                <w:sz w:val="24"/>
              </w:rPr>
              <w:t>粉尘和噪声。</w:t>
            </w:r>
          </w:p>
          <w:p w14:paraId="097C7B3E">
            <w:pPr>
              <w:spacing w:line="360" w:lineRule="auto"/>
              <w:ind w:firstLine="482" w:firstLineChars="200"/>
              <w:rPr>
                <w:bCs/>
                <w:color w:val="auto"/>
                <w:sz w:val="24"/>
              </w:rPr>
            </w:pPr>
            <w:r>
              <w:rPr>
                <w:b/>
                <w:color w:val="auto"/>
                <w:sz w:val="24"/>
              </w:rPr>
              <w:t>前处理</w:t>
            </w:r>
            <w:r>
              <w:rPr>
                <w:bCs/>
                <w:color w:val="auto"/>
                <w:sz w:val="24"/>
              </w:rPr>
              <w:t>：</w:t>
            </w:r>
            <w:r>
              <w:rPr>
                <w:rFonts w:hint="eastAsia"/>
                <w:color w:val="auto"/>
                <w:sz w:val="24"/>
              </w:rPr>
              <w:t>抛丸</w:t>
            </w:r>
            <w:r>
              <w:rPr>
                <w:color w:val="auto"/>
                <w:sz w:val="24"/>
              </w:rPr>
              <w:t>后的工件进入</w:t>
            </w:r>
            <w:r>
              <w:rPr>
                <w:rFonts w:hint="eastAsia"/>
                <w:color w:val="auto"/>
                <w:sz w:val="24"/>
              </w:rPr>
              <w:t>前</w:t>
            </w:r>
            <w:r>
              <w:rPr>
                <w:color w:val="auto"/>
                <w:sz w:val="24"/>
              </w:rPr>
              <w:t>处理线进行</w:t>
            </w:r>
            <w:r>
              <w:rPr>
                <w:rFonts w:hint="eastAsia"/>
                <w:color w:val="auto"/>
                <w:sz w:val="24"/>
              </w:rPr>
              <w:t>毛坯工件的表面除油、除锈、磷化等加工，以利于后续喷粉</w:t>
            </w:r>
            <w:r>
              <w:rPr>
                <w:color w:val="auto"/>
                <w:sz w:val="24"/>
              </w:rPr>
              <w:t>，详细工艺流程见</w:t>
            </w:r>
            <w:r>
              <w:rPr>
                <w:rFonts w:hint="eastAsia"/>
                <w:color w:val="auto"/>
                <w:sz w:val="24"/>
              </w:rPr>
              <w:t>前处理生产工艺</w:t>
            </w:r>
            <w:r>
              <w:rPr>
                <w:color w:val="auto"/>
                <w:sz w:val="24"/>
              </w:rPr>
              <w:t>，该过程会产生</w:t>
            </w:r>
            <w:r>
              <w:rPr>
                <w:rFonts w:hint="eastAsia"/>
                <w:color w:val="auto"/>
                <w:sz w:val="24"/>
              </w:rPr>
              <w:t>酸性废气</w:t>
            </w:r>
            <w:r>
              <w:rPr>
                <w:color w:val="auto"/>
                <w:sz w:val="24"/>
                <w:lang w:val="zh-CN"/>
              </w:rPr>
              <w:t>、</w:t>
            </w:r>
            <w:r>
              <w:rPr>
                <w:rFonts w:hint="eastAsia"/>
                <w:color w:val="auto"/>
                <w:sz w:val="24"/>
              </w:rPr>
              <w:t>前处理</w:t>
            </w:r>
            <w:r>
              <w:rPr>
                <w:color w:val="auto"/>
                <w:sz w:val="24"/>
                <w:lang w:val="zh-CN"/>
              </w:rPr>
              <w:t>废水、噪声、废槽渣、废原料空桶。</w:t>
            </w:r>
          </w:p>
          <w:p w14:paraId="0790AF2D">
            <w:pPr>
              <w:spacing w:line="360" w:lineRule="auto"/>
              <w:ind w:firstLine="489" w:firstLineChars="203"/>
              <w:rPr>
                <w:b/>
                <w:bCs/>
                <w:color w:val="auto"/>
                <w:sz w:val="24"/>
              </w:rPr>
            </w:pPr>
            <w:r>
              <w:rPr>
                <w:b/>
                <w:bCs/>
                <w:color w:val="auto"/>
                <w:sz w:val="24"/>
              </w:rPr>
              <w:t>烘干：</w:t>
            </w:r>
            <w:r>
              <w:rPr>
                <w:color w:val="auto"/>
                <w:sz w:val="24"/>
              </w:rPr>
              <w:t>将工件送至</w:t>
            </w:r>
            <w:r>
              <w:rPr>
                <w:rFonts w:hint="eastAsia"/>
                <w:color w:val="auto"/>
                <w:sz w:val="24"/>
              </w:rPr>
              <w:t>烘烤柜炉</w:t>
            </w:r>
            <w:r>
              <w:rPr>
                <w:color w:val="auto"/>
                <w:sz w:val="24"/>
              </w:rPr>
              <w:t>进行烘干，燃料为天然气，采用直接加热方式（天然气燃烧机燃烧产生的热风通过管道直接引入</w:t>
            </w:r>
            <w:r>
              <w:rPr>
                <w:rFonts w:hint="eastAsia"/>
                <w:color w:val="auto"/>
                <w:sz w:val="24"/>
              </w:rPr>
              <w:t>烘烤柜炉</w:t>
            </w:r>
            <w:r>
              <w:rPr>
                <w:color w:val="auto"/>
                <w:sz w:val="24"/>
              </w:rPr>
              <w:t>），控制炉内温度为1</w:t>
            </w:r>
            <w:r>
              <w:rPr>
                <w:rFonts w:hint="eastAsia"/>
                <w:color w:val="auto"/>
                <w:sz w:val="24"/>
              </w:rPr>
              <w:t>5</w:t>
            </w:r>
            <w:r>
              <w:rPr>
                <w:color w:val="auto"/>
                <w:sz w:val="24"/>
              </w:rPr>
              <w:t>0</w:t>
            </w:r>
            <w:r>
              <w:rPr>
                <w:rFonts w:hint="eastAsia" w:ascii="宋体" w:hAnsi="宋体" w:cs="宋体"/>
                <w:color w:val="auto"/>
                <w:sz w:val="24"/>
              </w:rPr>
              <w:t>℃</w:t>
            </w:r>
            <w:r>
              <w:rPr>
                <w:color w:val="auto"/>
                <w:sz w:val="24"/>
              </w:rPr>
              <w:t>左右，</w:t>
            </w:r>
            <w:r>
              <w:rPr>
                <w:rFonts w:hint="eastAsia"/>
                <w:color w:val="auto"/>
                <w:sz w:val="24"/>
              </w:rPr>
              <w:t>烘烤柜炉</w:t>
            </w:r>
            <w:r>
              <w:rPr>
                <w:color w:val="auto"/>
                <w:sz w:val="24"/>
              </w:rPr>
              <w:t>烘干时间约1</w:t>
            </w:r>
            <w:r>
              <w:rPr>
                <w:rFonts w:hint="eastAsia"/>
                <w:color w:val="auto"/>
                <w:sz w:val="24"/>
              </w:rPr>
              <w:t>5</w:t>
            </w:r>
            <w:r>
              <w:rPr>
                <w:color w:val="auto"/>
                <w:sz w:val="24"/>
              </w:rPr>
              <w:t>min，可烘干工件表面水分。天然气燃烧过程会产生燃烧废气及噪声。</w:t>
            </w:r>
          </w:p>
          <w:p w14:paraId="549D06EC">
            <w:pPr>
              <w:adjustRightInd w:val="0"/>
              <w:snapToGrid w:val="0"/>
              <w:spacing w:line="360" w:lineRule="auto"/>
              <w:ind w:firstLine="482" w:firstLineChars="200"/>
              <w:rPr>
                <w:color w:val="auto"/>
                <w:sz w:val="24"/>
              </w:rPr>
            </w:pPr>
            <w:r>
              <w:rPr>
                <w:b/>
                <w:bCs/>
                <w:color w:val="auto"/>
                <w:sz w:val="24"/>
              </w:rPr>
              <w:t>喷粉：</w:t>
            </w:r>
            <w:r>
              <w:rPr>
                <w:color w:val="auto"/>
                <w:sz w:val="24"/>
              </w:rPr>
              <w:t>烘干后的工件均需进行喷粉处理，</w:t>
            </w:r>
            <w:r>
              <w:rPr>
                <w:rFonts w:hint="eastAsia"/>
                <w:color w:val="auto"/>
                <w:sz w:val="24"/>
              </w:rPr>
              <w:t>喷涂工艺在密闭的粉线房内进行，项目设置一条半自动静电喷粉线，喷粉线是一个环形设备，工件在喷粉线的移动由输送链系统完成，工件加工处理均由人工在生产线单侧操作，输送链长度为260m。喷粉线上的基本流程为：工件→上挂→打磨→吹灰→喷粉→固化→冷却下架。其中打磨为人工使用气动打磨机清除表面毛刺；再由人工使用吹灰枪吹扫表面灰尘；</w:t>
            </w:r>
            <w:r>
              <w:rPr>
                <w:color w:val="auto"/>
                <w:sz w:val="24"/>
              </w:rPr>
              <w:t>喷粉工序拟采用静电粉末喷涂工艺，即将粉末涂料通过静电作用涂敷在被涂物体上，并通过一定时间温度的烘烤形成涂层的过程。粉末涂料以其完全不含溶剂，且涂装效率高、保护和装饰综合性能好的特点，适应涂料工业对节约资源和能源、减轻环境污染及提高工效等方面要求，已替代传统阳极氧化工艺，成为五金工件表面涂装精饰的主要方法。具体原理为：利用喷粉枪与工件之间形成一个高压电晕放电电场，当粉末粒子由喷枪口喷出经过放电区时，便补集了大量的电子，成为带负电的微粒，在静电吸引的作用下，被吸附到带正电荷的工件上去。当粉末附着到一定厚度时，则会发生“同性相斥”的作用，不能再吸附粉末，从而使各部分的粉层厚度均匀，然后经加温烘烤固化后粉层流平成为均匀的膜层。项目喷粉厚度为0.08mm。</w:t>
            </w:r>
          </w:p>
          <w:p w14:paraId="271F60B4">
            <w:pPr>
              <w:adjustRightInd w:val="0"/>
              <w:snapToGrid w:val="0"/>
              <w:spacing w:line="360" w:lineRule="auto"/>
              <w:ind w:firstLine="480" w:firstLineChars="200"/>
              <w:rPr>
                <w:color w:val="auto"/>
                <w:sz w:val="24"/>
              </w:rPr>
            </w:pPr>
            <w:r>
              <w:rPr>
                <w:rFonts w:hint="eastAsia"/>
                <w:color w:val="auto"/>
                <w:sz w:val="24"/>
              </w:rPr>
              <w:t>喷粉线上</w:t>
            </w:r>
            <w:r>
              <w:rPr>
                <w:color w:val="auto"/>
                <w:sz w:val="24"/>
              </w:rPr>
              <w:t>设</w:t>
            </w:r>
            <w:r>
              <w:rPr>
                <w:rFonts w:hint="eastAsia"/>
                <w:color w:val="auto"/>
                <w:sz w:val="24"/>
              </w:rPr>
              <w:t>白色喷粉柜和杂色喷粉柜</w:t>
            </w:r>
            <w:r>
              <w:rPr>
                <w:color w:val="auto"/>
                <w:sz w:val="24"/>
              </w:rPr>
              <w:t>，单个喷粉</w:t>
            </w:r>
            <w:r>
              <w:rPr>
                <w:rFonts w:hint="eastAsia"/>
                <w:color w:val="auto"/>
                <w:sz w:val="24"/>
              </w:rPr>
              <w:t>柜</w:t>
            </w:r>
            <w:r>
              <w:rPr>
                <w:color w:val="auto"/>
                <w:sz w:val="24"/>
              </w:rPr>
              <w:t>设置1套（</w:t>
            </w:r>
            <w:r>
              <w:rPr>
                <w:rFonts w:hint="eastAsia"/>
                <w:color w:val="auto"/>
                <w:sz w:val="24"/>
              </w:rPr>
              <w:t>2</w:t>
            </w:r>
            <w:r>
              <w:rPr>
                <w:color w:val="auto"/>
                <w:sz w:val="24"/>
              </w:rPr>
              <w:t>把）静电喷枪，每个喷粉柜均自带</w:t>
            </w:r>
            <w:r>
              <w:rPr>
                <w:rFonts w:hint="eastAsia"/>
                <w:color w:val="auto"/>
                <w:sz w:val="24"/>
              </w:rPr>
              <w:t>滤筒</w:t>
            </w:r>
            <w:r>
              <w:rPr>
                <w:color w:val="auto"/>
                <w:sz w:val="24"/>
              </w:rPr>
              <w:t>回收装置，用于回收未附着的粉末涂料</w:t>
            </w:r>
            <w:r>
              <w:rPr>
                <w:rFonts w:hint="eastAsia"/>
                <w:color w:val="auto"/>
                <w:sz w:val="24"/>
              </w:rPr>
              <w:t>，此过程会产生打磨粉尘、喷粉粉尘和噪声</w:t>
            </w:r>
            <w:r>
              <w:rPr>
                <w:color w:val="auto"/>
                <w:sz w:val="24"/>
              </w:rPr>
              <w:t>。</w:t>
            </w:r>
          </w:p>
          <w:p w14:paraId="79CDB27A">
            <w:pPr>
              <w:adjustRightInd w:val="0"/>
              <w:snapToGrid w:val="0"/>
              <w:spacing w:line="360" w:lineRule="auto"/>
              <w:ind w:firstLine="482" w:firstLineChars="200"/>
              <w:rPr>
                <w:color w:val="auto"/>
                <w:sz w:val="24"/>
              </w:rPr>
            </w:pPr>
            <w:r>
              <w:rPr>
                <w:b/>
                <w:bCs/>
                <w:color w:val="auto"/>
                <w:sz w:val="24"/>
              </w:rPr>
              <w:t>固化：</w:t>
            </w:r>
            <w:r>
              <w:rPr>
                <w:color w:val="auto"/>
                <w:sz w:val="24"/>
              </w:rPr>
              <w:t>喷涂好的工件</w:t>
            </w:r>
            <w:r>
              <w:rPr>
                <w:rFonts w:hint="eastAsia"/>
                <w:color w:val="auto"/>
                <w:sz w:val="24"/>
              </w:rPr>
              <w:t>在输送链系统的传送下</w:t>
            </w:r>
            <w:r>
              <w:rPr>
                <w:color w:val="auto"/>
                <w:sz w:val="24"/>
              </w:rPr>
              <w:t>进入</w:t>
            </w:r>
            <w:r>
              <w:rPr>
                <w:rFonts w:hint="eastAsia"/>
                <w:color w:val="auto"/>
                <w:sz w:val="24"/>
              </w:rPr>
              <w:t>固化隧道炉内加热固化</w:t>
            </w:r>
            <w:r>
              <w:rPr>
                <w:color w:val="auto"/>
                <w:sz w:val="24"/>
              </w:rPr>
              <w:t>，加热到一定温度（2</w:t>
            </w:r>
            <w:r>
              <w:rPr>
                <w:rFonts w:hint="eastAsia"/>
                <w:color w:val="auto"/>
                <w:sz w:val="24"/>
              </w:rPr>
              <w:t>0</w:t>
            </w:r>
            <w:r>
              <w:rPr>
                <w:color w:val="auto"/>
                <w:sz w:val="24"/>
              </w:rPr>
              <w:t>0</w:t>
            </w:r>
            <w:r>
              <w:rPr>
                <w:rFonts w:hint="eastAsia" w:ascii="宋体" w:hAnsi="宋体" w:cs="宋体"/>
                <w:color w:val="auto"/>
                <w:sz w:val="24"/>
              </w:rPr>
              <w:t>℃</w:t>
            </w:r>
            <w:r>
              <w:rPr>
                <w:color w:val="auto"/>
                <w:sz w:val="24"/>
              </w:rPr>
              <w:t>），并保温相应的时间（固化时间为</w:t>
            </w:r>
            <w:r>
              <w:rPr>
                <w:rFonts w:hint="eastAsia"/>
                <w:color w:val="auto"/>
                <w:sz w:val="24"/>
              </w:rPr>
              <w:t>30</w:t>
            </w:r>
            <w:r>
              <w:rPr>
                <w:color w:val="auto"/>
                <w:sz w:val="24"/>
              </w:rPr>
              <w:t>min），使金属表面的粉末熔化、流平、固化。项目固化采用天然气能作为能源，加热方式为直接加热</w:t>
            </w:r>
            <w:r>
              <w:rPr>
                <w:rStyle w:val="42"/>
                <w:color w:val="auto"/>
                <w:kern w:val="0"/>
                <w:sz w:val="24"/>
              </w:rPr>
              <w:t>（</w:t>
            </w:r>
            <w:r>
              <w:rPr>
                <w:color w:val="auto"/>
                <w:sz w:val="24"/>
              </w:rPr>
              <w:t>天然气燃烧机燃烧产生的热风通过管道直接引入隧道式固化炉），该工序会产生</w:t>
            </w:r>
            <w:r>
              <w:rPr>
                <w:rFonts w:hint="eastAsia"/>
                <w:color w:val="auto"/>
                <w:sz w:val="24"/>
              </w:rPr>
              <w:t>固化废气</w:t>
            </w:r>
            <w:r>
              <w:rPr>
                <w:color w:val="auto"/>
                <w:sz w:val="24"/>
              </w:rPr>
              <w:t>、天然气燃烧废气及噪声。</w:t>
            </w:r>
          </w:p>
          <w:p w14:paraId="6344F166">
            <w:pPr>
              <w:spacing w:line="360" w:lineRule="auto"/>
              <w:ind w:firstLine="489" w:firstLineChars="203"/>
              <w:rPr>
                <w:b/>
                <w:bCs/>
                <w:color w:val="auto"/>
                <w:sz w:val="24"/>
              </w:rPr>
            </w:pPr>
            <w:r>
              <w:rPr>
                <w:rFonts w:hint="eastAsia"/>
                <w:b/>
                <w:bCs/>
                <w:color w:val="auto"/>
                <w:sz w:val="24"/>
              </w:rPr>
              <w:t>外观检验、包装入库：</w:t>
            </w:r>
            <w:r>
              <w:rPr>
                <w:color w:val="auto"/>
                <w:sz w:val="24"/>
              </w:rPr>
              <w:t>固化后的产品进行人工检查产品外观，合格外观的产品进行包装，不合格产品回到</w:t>
            </w:r>
            <w:r>
              <w:rPr>
                <w:rFonts w:hint="eastAsia"/>
                <w:color w:val="auto"/>
                <w:sz w:val="24"/>
              </w:rPr>
              <w:t>抛光区或粉线房进行返工</w:t>
            </w:r>
            <w:r>
              <w:rPr>
                <w:b/>
                <w:bCs/>
                <w:color w:val="auto"/>
                <w:sz w:val="24"/>
              </w:rPr>
              <w:t>，</w:t>
            </w:r>
            <w:r>
              <w:rPr>
                <w:color w:val="auto"/>
                <w:sz w:val="24"/>
              </w:rPr>
              <w:t>将合格产品包装后，即可</w:t>
            </w:r>
            <w:r>
              <w:rPr>
                <w:rFonts w:hint="eastAsia"/>
                <w:color w:val="auto"/>
                <w:sz w:val="24"/>
              </w:rPr>
              <w:t>入库待售</w:t>
            </w:r>
            <w:r>
              <w:rPr>
                <w:color w:val="auto"/>
                <w:sz w:val="24"/>
              </w:rPr>
              <w:t>。</w:t>
            </w:r>
          </w:p>
          <w:p w14:paraId="66EDB24A">
            <w:pPr>
              <w:jc w:val="center"/>
              <w:rPr>
                <w:b/>
                <w:bCs/>
                <w:color w:val="auto"/>
                <w:sz w:val="8"/>
                <w:szCs w:val="8"/>
              </w:rPr>
            </w:pPr>
          </w:p>
          <w:p w14:paraId="47DDB1BA">
            <w:pPr>
              <w:spacing w:line="360" w:lineRule="auto"/>
              <w:ind w:firstLine="489" w:firstLineChars="203"/>
              <w:rPr>
                <w:b/>
                <w:bCs/>
                <w:color w:val="auto"/>
                <w:sz w:val="24"/>
              </w:rPr>
            </w:pPr>
          </w:p>
          <w:p w14:paraId="1EF7F52E">
            <w:pPr>
              <w:spacing w:line="360" w:lineRule="auto"/>
              <w:ind w:firstLine="489" w:firstLineChars="203"/>
              <w:rPr>
                <w:b/>
                <w:bCs/>
                <w:color w:val="auto"/>
                <w:sz w:val="24"/>
              </w:rPr>
            </w:pPr>
          </w:p>
          <w:p w14:paraId="29859990">
            <w:pPr>
              <w:spacing w:line="360" w:lineRule="auto"/>
              <w:ind w:firstLine="489" w:firstLineChars="203"/>
              <w:rPr>
                <w:b/>
                <w:bCs/>
                <w:color w:val="auto"/>
                <w:sz w:val="24"/>
              </w:rPr>
            </w:pPr>
          </w:p>
          <w:p w14:paraId="0560F777">
            <w:pPr>
              <w:spacing w:line="360" w:lineRule="auto"/>
              <w:ind w:firstLine="489" w:firstLineChars="203"/>
              <w:rPr>
                <w:b/>
                <w:bCs/>
                <w:color w:val="auto"/>
                <w:sz w:val="24"/>
              </w:rPr>
            </w:pPr>
          </w:p>
          <w:p w14:paraId="74025503">
            <w:pPr>
              <w:spacing w:line="360" w:lineRule="auto"/>
              <w:ind w:firstLine="489" w:firstLineChars="203"/>
              <w:rPr>
                <w:b/>
                <w:bCs/>
                <w:color w:val="auto"/>
                <w:sz w:val="24"/>
              </w:rPr>
            </w:pPr>
          </w:p>
          <w:p w14:paraId="18844A8E">
            <w:pPr>
              <w:spacing w:line="360" w:lineRule="auto"/>
              <w:ind w:firstLine="489" w:firstLineChars="203"/>
              <w:rPr>
                <w:b/>
                <w:bCs/>
                <w:color w:val="auto"/>
                <w:sz w:val="24"/>
              </w:rPr>
            </w:pPr>
          </w:p>
          <w:p w14:paraId="262CE3CF">
            <w:pPr>
              <w:spacing w:line="360" w:lineRule="auto"/>
              <w:ind w:firstLine="489" w:firstLineChars="203"/>
              <w:rPr>
                <w:b/>
                <w:bCs/>
                <w:color w:val="auto"/>
                <w:sz w:val="24"/>
              </w:rPr>
            </w:pPr>
          </w:p>
          <w:p w14:paraId="232C34D9">
            <w:pPr>
              <w:spacing w:line="360" w:lineRule="auto"/>
              <w:ind w:firstLine="489" w:firstLineChars="203"/>
              <w:rPr>
                <w:b/>
                <w:bCs/>
                <w:color w:val="auto"/>
                <w:sz w:val="24"/>
              </w:rPr>
            </w:pPr>
          </w:p>
          <w:p w14:paraId="71F42898">
            <w:pPr>
              <w:spacing w:line="360" w:lineRule="auto"/>
              <w:ind w:firstLine="489" w:firstLineChars="203"/>
              <w:rPr>
                <w:b/>
                <w:bCs/>
                <w:color w:val="auto"/>
                <w:sz w:val="24"/>
              </w:rPr>
            </w:pPr>
          </w:p>
          <w:p w14:paraId="3EC63F29">
            <w:pPr>
              <w:spacing w:line="360" w:lineRule="auto"/>
              <w:ind w:firstLine="489" w:firstLineChars="203"/>
              <w:rPr>
                <w:b/>
                <w:bCs/>
                <w:color w:val="auto"/>
                <w:sz w:val="24"/>
              </w:rPr>
            </w:pPr>
            <w:r>
              <w:rPr>
                <w:rFonts w:hint="eastAsia"/>
                <w:b/>
                <w:bCs/>
                <w:color w:val="auto"/>
                <w:sz w:val="24"/>
              </w:rPr>
              <w:t>2）铝材产品</w:t>
            </w:r>
          </w:p>
          <w:p w14:paraId="5671F01E">
            <w:pPr>
              <w:jc w:val="center"/>
              <w:rPr>
                <w:b/>
                <w:bCs/>
                <w:color w:val="auto"/>
                <w:sz w:val="8"/>
                <w:szCs w:val="8"/>
              </w:rPr>
            </w:pPr>
            <w:r>
              <w:rPr>
                <w:b/>
                <w:bCs/>
                <w:color w:val="auto"/>
                <w:sz w:val="8"/>
                <w:szCs w:val="8"/>
              </w:rPr>
              <w:object>
                <v:shape id="_x0000_i1029" o:spt="75" type="#_x0000_t75" style="height:563.5pt;width:389pt;" o:ole="t" filled="f" o:preferrelative="t" stroked="f" coordsize="21600,21600">
                  <v:path/>
                  <v:fill on="f" focussize="0,0"/>
                  <v:stroke on="f" joinstyle="miter"/>
                  <v:imagedata r:id="rId25" o:title=""/>
                  <o:lock v:ext="edit" aspectratio="f"/>
                  <w10:wrap type="none"/>
                  <w10:anchorlock/>
                </v:shape>
                <o:OLEObject Type="Embed" ProgID="Visio.Drawing.15" ShapeID="_x0000_i1029" DrawAspect="Content" ObjectID="_1468075729" r:id="rId24">
                  <o:LockedField>false</o:LockedField>
                </o:OLEObject>
              </w:object>
            </w:r>
          </w:p>
          <w:p w14:paraId="6C15A223">
            <w:pPr>
              <w:numPr>
                <w:ilvl w:val="0"/>
                <w:numId w:val="12"/>
              </w:numPr>
              <w:spacing w:line="360" w:lineRule="auto"/>
              <w:ind w:firstLine="422" w:firstLineChars="200"/>
              <w:jc w:val="center"/>
              <w:rPr>
                <w:b/>
                <w:bCs/>
                <w:color w:val="auto"/>
              </w:rPr>
            </w:pPr>
            <w:r>
              <w:rPr>
                <w:b/>
                <w:bCs/>
                <w:color w:val="auto"/>
              </w:rPr>
              <w:t xml:space="preserve"> </w:t>
            </w:r>
            <w:r>
              <w:rPr>
                <w:rFonts w:hint="eastAsia"/>
                <w:b/>
                <w:bCs/>
                <w:color w:val="auto"/>
              </w:rPr>
              <w:t>铝材产品</w:t>
            </w:r>
            <w:r>
              <w:rPr>
                <w:b/>
                <w:bCs/>
                <w:color w:val="auto"/>
              </w:rPr>
              <w:t>生产工艺流程及产污节点图</w:t>
            </w:r>
          </w:p>
          <w:p w14:paraId="14FA007E">
            <w:pPr>
              <w:spacing w:line="360" w:lineRule="auto"/>
              <w:ind w:firstLine="489" w:firstLineChars="203"/>
              <w:rPr>
                <w:b/>
                <w:bCs/>
                <w:color w:val="auto"/>
                <w:sz w:val="24"/>
              </w:rPr>
            </w:pPr>
            <w:r>
              <w:rPr>
                <w:b/>
                <w:bCs/>
                <w:color w:val="auto"/>
                <w:sz w:val="24"/>
              </w:rPr>
              <w:t>工艺流程说明：</w:t>
            </w:r>
          </w:p>
          <w:p w14:paraId="55F1AB47">
            <w:pPr>
              <w:spacing w:line="360" w:lineRule="auto"/>
              <w:ind w:firstLine="489" w:firstLineChars="203"/>
              <w:rPr>
                <w:color w:val="auto"/>
                <w:sz w:val="24"/>
              </w:rPr>
            </w:pPr>
            <w:r>
              <w:rPr>
                <w:rFonts w:hint="eastAsia"/>
                <w:b/>
                <w:bCs/>
                <w:color w:val="auto"/>
                <w:sz w:val="24"/>
              </w:rPr>
              <w:t>钻孔</w:t>
            </w:r>
            <w:r>
              <w:rPr>
                <w:b/>
                <w:bCs/>
                <w:color w:val="auto"/>
                <w:sz w:val="24"/>
              </w:rPr>
              <w:t>：</w:t>
            </w:r>
            <w:r>
              <w:rPr>
                <w:rFonts w:hint="eastAsia"/>
                <w:color w:val="auto"/>
                <w:sz w:val="24"/>
              </w:rPr>
              <w:t>利用台钻对铝材质的自行车车架、电动助力车车架、家私配件进行钻孔</w:t>
            </w:r>
            <w:r>
              <w:rPr>
                <w:color w:val="auto"/>
                <w:sz w:val="24"/>
              </w:rPr>
              <w:t>，此过程产生噪声及边角料；</w:t>
            </w:r>
          </w:p>
          <w:p w14:paraId="3344A3E7">
            <w:pPr>
              <w:spacing w:line="360" w:lineRule="auto"/>
              <w:ind w:firstLine="489" w:firstLineChars="203"/>
              <w:rPr>
                <w:color w:val="auto"/>
                <w:sz w:val="24"/>
              </w:rPr>
            </w:pPr>
            <w:r>
              <w:rPr>
                <w:rFonts w:hint="eastAsia"/>
                <w:b/>
                <w:bCs/>
                <w:color w:val="auto"/>
                <w:sz w:val="24"/>
              </w:rPr>
              <w:t>抛丸</w:t>
            </w:r>
            <w:r>
              <w:rPr>
                <w:b/>
                <w:bCs/>
                <w:color w:val="auto"/>
                <w:sz w:val="24"/>
              </w:rPr>
              <w:t>：</w:t>
            </w:r>
            <w:r>
              <w:rPr>
                <w:rFonts w:hint="eastAsia"/>
                <w:color w:val="auto"/>
                <w:sz w:val="24"/>
              </w:rPr>
              <w:t>将毛坯工件放置在抛丸清理机内</w:t>
            </w:r>
            <w:r>
              <w:rPr>
                <w:color w:val="auto"/>
                <w:sz w:val="24"/>
              </w:rPr>
              <w:t>进行</w:t>
            </w:r>
            <w:r>
              <w:rPr>
                <w:rFonts w:hint="eastAsia"/>
                <w:color w:val="auto"/>
                <w:sz w:val="24"/>
              </w:rPr>
              <w:t>抛丸处理</w:t>
            </w:r>
            <w:r>
              <w:rPr>
                <w:color w:val="auto"/>
                <w:sz w:val="24"/>
              </w:rPr>
              <w:t>，以使</w:t>
            </w:r>
            <w:r>
              <w:rPr>
                <w:rFonts w:hint="eastAsia"/>
                <w:color w:val="auto"/>
                <w:sz w:val="24"/>
              </w:rPr>
              <w:t>毛坯工件表面</w:t>
            </w:r>
            <w:r>
              <w:rPr>
                <w:color w:val="auto"/>
                <w:sz w:val="24"/>
              </w:rPr>
              <w:t>光滑、平整，以利于后续</w:t>
            </w:r>
            <w:r>
              <w:rPr>
                <w:rFonts w:hint="eastAsia"/>
                <w:color w:val="auto"/>
                <w:sz w:val="24"/>
              </w:rPr>
              <w:t>喷涂</w:t>
            </w:r>
            <w:r>
              <w:rPr>
                <w:color w:val="auto"/>
                <w:sz w:val="24"/>
              </w:rPr>
              <w:t>等。该过程主要产生</w:t>
            </w:r>
            <w:r>
              <w:rPr>
                <w:rFonts w:hint="eastAsia"/>
                <w:color w:val="auto"/>
                <w:sz w:val="24"/>
              </w:rPr>
              <w:t>抛丸</w:t>
            </w:r>
            <w:r>
              <w:rPr>
                <w:color w:val="auto"/>
                <w:sz w:val="24"/>
              </w:rPr>
              <w:t>粉尘和噪声。</w:t>
            </w:r>
          </w:p>
          <w:p w14:paraId="6B5097FA">
            <w:pPr>
              <w:spacing w:line="360" w:lineRule="auto"/>
              <w:ind w:firstLine="482" w:firstLineChars="200"/>
              <w:rPr>
                <w:bCs/>
                <w:color w:val="auto"/>
                <w:sz w:val="24"/>
              </w:rPr>
            </w:pPr>
            <w:r>
              <w:rPr>
                <w:b/>
                <w:color w:val="auto"/>
                <w:sz w:val="24"/>
              </w:rPr>
              <w:t>前处理</w:t>
            </w:r>
            <w:r>
              <w:rPr>
                <w:bCs/>
                <w:color w:val="auto"/>
                <w:sz w:val="24"/>
              </w:rPr>
              <w:t>：</w:t>
            </w:r>
            <w:r>
              <w:rPr>
                <w:rFonts w:hint="eastAsia"/>
                <w:color w:val="auto"/>
                <w:sz w:val="24"/>
              </w:rPr>
              <w:t>打砂</w:t>
            </w:r>
            <w:r>
              <w:rPr>
                <w:color w:val="auto"/>
                <w:sz w:val="24"/>
              </w:rPr>
              <w:t>后的工件进入</w:t>
            </w:r>
            <w:r>
              <w:rPr>
                <w:rFonts w:hint="eastAsia"/>
                <w:color w:val="auto"/>
                <w:sz w:val="24"/>
              </w:rPr>
              <w:t>前</w:t>
            </w:r>
            <w:r>
              <w:rPr>
                <w:color w:val="auto"/>
                <w:sz w:val="24"/>
              </w:rPr>
              <w:t>处理线进行</w:t>
            </w:r>
            <w:r>
              <w:rPr>
                <w:rFonts w:hint="eastAsia"/>
                <w:color w:val="auto"/>
                <w:sz w:val="24"/>
              </w:rPr>
              <w:t>毛坯工件的表面脱脂、磷化等加工，以利于后续喷涂</w:t>
            </w:r>
            <w:r>
              <w:rPr>
                <w:color w:val="auto"/>
                <w:sz w:val="24"/>
              </w:rPr>
              <w:t>，详细工艺流程见</w:t>
            </w:r>
            <w:r>
              <w:rPr>
                <w:rFonts w:hint="eastAsia"/>
                <w:color w:val="auto"/>
                <w:sz w:val="24"/>
              </w:rPr>
              <w:t>前处理生产工艺</w:t>
            </w:r>
            <w:r>
              <w:rPr>
                <w:color w:val="auto"/>
                <w:sz w:val="24"/>
              </w:rPr>
              <w:t>，该过程会产生</w:t>
            </w:r>
            <w:r>
              <w:rPr>
                <w:rFonts w:hint="eastAsia"/>
                <w:color w:val="auto"/>
                <w:sz w:val="24"/>
              </w:rPr>
              <w:t>前处理</w:t>
            </w:r>
            <w:r>
              <w:rPr>
                <w:color w:val="auto"/>
                <w:sz w:val="24"/>
                <w:lang w:val="zh-CN"/>
              </w:rPr>
              <w:t>废水、噪声、废槽渣、废原料空桶。</w:t>
            </w:r>
          </w:p>
          <w:p w14:paraId="0DE34178">
            <w:pPr>
              <w:spacing w:line="360" w:lineRule="auto"/>
              <w:ind w:firstLine="489" w:firstLineChars="203"/>
              <w:rPr>
                <w:b/>
                <w:bCs/>
                <w:color w:val="auto"/>
                <w:sz w:val="24"/>
              </w:rPr>
            </w:pPr>
            <w:r>
              <w:rPr>
                <w:b/>
                <w:bCs/>
                <w:color w:val="auto"/>
                <w:sz w:val="24"/>
              </w:rPr>
              <w:t>烘干：</w:t>
            </w:r>
            <w:r>
              <w:rPr>
                <w:color w:val="auto"/>
                <w:sz w:val="24"/>
              </w:rPr>
              <w:t>将工件送至</w:t>
            </w:r>
            <w:r>
              <w:rPr>
                <w:rFonts w:hint="eastAsia"/>
                <w:color w:val="auto"/>
                <w:sz w:val="24"/>
              </w:rPr>
              <w:t>烘烤柜炉</w:t>
            </w:r>
            <w:r>
              <w:rPr>
                <w:color w:val="auto"/>
                <w:sz w:val="24"/>
              </w:rPr>
              <w:t>进行烘干，燃料为天然气，采用直接加热方式（天然气燃烧机燃烧产生的热风通过管道直接引入</w:t>
            </w:r>
            <w:r>
              <w:rPr>
                <w:rFonts w:hint="eastAsia"/>
                <w:color w:val="auto"/>
                <w:sz w:val="24"/>
              </w:rPr>
              <w:t>烘烤柜炉</w:t>
            </w:r>
            <w:r>
              <w:rPr>
                <w:color w:val="auto"/>
                <w:sz w:val="24"/>
              </w:rPr>
              <w:t>），控制炉内温度为1</w:t>
            </w:r>
            <w:r>
              <w:rPr>
                <w:rFonts w:hint="eastAsia"/>
                <w:color w:val="auto"/>
                <w:sz w:val="24"/>
              </w:rPr>
              <w:t>5</w:t>
            </w:r>
            <w:r>
              <w:rPr>
                <w:color w:val="auto"/>
                <w:sz w:val="24"/>
              </w:rPr>
              <w:t>0</w:t>
            </w:r>
            <w:r>
              <w:rPr>
                <w:rFonts w:hint="eastAsia" w:ascii="宋体" w:hAnsi="宋体" w:cs="宋体"/>
                <w:color w:val="auto"/>
                <w:sz w:val="24"/>
              </w:rPr>
              <w:t>℃</w:t>
            </w:r>
            <w:r>
              <w:rPr>
                <w:color w:val="auto"/>
                <w:sz w:val="24"/>
              </w:rPr>
              <w:t>左右，</w:t>
            </w:r>
            <w:r>
              <w:rPr>
                <w:rFonts w:hint="eastAsia"/>
                <w:color w:val="auto"/>
                <w:sz w:val="24"/>
              </w:rPr>
              <w:t>烘烤柜炉</w:t>
            </w:r>
            <w:r>
              <w:rPr>
                <w:color w:val="auto"/>
                <w:sz w:val="24"/>
              </w:rPr>
              <w:t>烘干时间约1</w:t>
            </w:r>
            <w:r>
              <w:rPr>
                <w:rFonts w:hint="eastAsia"/>
                <w:color w:val="auto"/>
                <w:sz w:val="24"/>
              </w:rPr>
              <w:t>5</w:t>
            </w:r>
            <w:r>
              <w:rPr>
                <w:color w:val="auto"/>
                <w:sz w:val="24"/>
              </w:rPr>
              <w:t>min，可烘干工件表面水分。天然气燃烧过程会产生燃烧废气及噪声。</w:t>
            </w:r>
          </w:p>
          <w:p w14:paraId="62533E95">
            <w:pPr>
              <w:adjustRightInd w:val="0"/>
              <w:snapToGrid w:val="0"/>
              <w:spacing w:line="360" w:lineRule="auto"/>
              <w:ind w:firstLine="482" w:firstLineChars="200"/>
              <w:rPr>
                <w:color w:val="auto"/>
                <w:sz w:val="24"/>
                <w:highlight w:val="yellow"/>
              </w:rPr>
            </w:pPr>
            <w:r>
              <w:rPr>
                <w:rFonts w:hint="eastAsia"/>
                <w:b/>
                <w:bCs/>
                <w:color w:val="auto"/>
                <w:sz w:val="24"/>
              </w:rPr>
              <w:t>喷漆、烘烤</w:t>
            </w:r>
            <w:r>
              <w:rPr>
                <w:b/>
                <w:bCs/>
                <w:color w:val="auto"/>
                <w:sz w:val="24"/>
              </w:rPr>
              <w:t>：</w:t>
            </w:r>
            <w:r>
              <w:rPr>
                <w:color w:val="auto"/>
                <w:sz w:val="24"/>
              </w:rPr>
              <w:t>烘干后的工件均需进行</w:t>
            </w:r>
            <w:r>
              <w:rPr>
                <w:rFonts w:hint="eastAsia"/>
                <w:color w:val="auto"/>
                <w:sz w:val="24"/>
              </w:rPr>
              <w:t>喷漆</w:t>
            </w:r>
            <w:r>
              <w:rPr>
                <w:color w:val="auto"/>
                <w:sz w:val="24"/>
              </w:rPr>
              <w:t>处理，</w:t>
            </w:r>
            <w:r>
              <w:rPr>
                <w:rFonts w:hint="eastAsia"/>
                <w:color w:val="auto"/>
                <w:sz w:val="24"/>
              </w:rPr>
              <w:t>共需喷涂底漆、面漆、清漆三层，此过程在密闭的喷漆房内进行，项目共设置2条喷漆线，均为环形设备，工件在喷涂线上的移动由输送链系统完成，工件加工处理均由人工在生产线单侧操作，输送链长度为260m。喷漆线上的基本流程为：工件→上挂→除尘→喷漆→流平→烘烤→冷却下架。其中除尘为人工使用吹灰枪吹扫表面灰尘；</w:t>
            </w:r>
            <w:r>
              <w:rPr>
                <w:rFonts w:hint="eastAsia"/>
                <w:bCs/>
                <w:color w:val="auto"/>
                <w:sz w:val="24"/>
              </w:rPr>
              <w:t>项目外购已调配好的水性底漆、水性面漆和水性清漆</w:t>
            </w:r>
            <w:r>
              <w:rPr>
                <w:color w:val="auto"/>
                <w:sz w:val="24"/>
              </w:rPr>
              <w:t>，拟采用静电喷涂工艺，</w:t>
            </w:r>
            <w:r>
              <w:rPr>
                <w:rFonts w:hint="eastAsia" w:ascii="宋体" w:hAnsi="宋体" w:cs="宋体"/>
                <w:color w:val="auto"/>
                <w:kern w:val="0"/>
                <w:sz w:val="24"/>
                <w:lang w:bidi="ar"/>
              </w:rPr>
              <w:t>即利用</w:t>
            </w:r>
            <w:r>
              <w:rPr>
                <w:color w:val="auto"/>
              </w:rPr>
              <w:fldChar w:fldCharType="begin"/>
            </w:r>
            <w:r>
              <w:rPr>
                <w:color w:val="auto"/>
              </w:rPr>
              <w:instrText xml:space="preserve"> HYPERLINK "https://baike.baidu.com/item/%E7%94%B5%E6%99%95%E6%94%BE%E7%94%B5/8316410" \t "https://baike.baidu.com/item/%E9%9D%99%E7%94%B5%E5%96%B7%E6%B6%82/_blank" </w:instrText>
            </w:r>
            <w:r>
              <w:rPr>
                <w:color w:val="auto"/>
              </w:rPr>
              <w:fldChar w:fldCharType="separate"/>
            </w:r>
            <w:r>
              <w:rPr>
                <w:rFonts w:ascii="宋体" w:hAnsi="宋体" w:cs="宋体"/>
                <w:color w:val="auto"/>
                <w:kern w:val="0"/>
                <w:sz w:val="24"/>
                <w:lang w:bidi="ar"/>
              </w:rPr>
              <w:t>电晕放电</w:t>
            </w:r>
            <w:r>
              <w:rPr>
                <w:rFonts w:ascii="宋体" w:hAnsi="宋体" w:cs="宋体"/>
                <w:color w:val="auto"/>
                <w:kern w:val="0"/>
                <w:sz w:val="24"/>
                <w:lang w:bidi="ar"/>
              </w:rPr>
              <w:fldChar w:fldCharType="end"/>
            </w:r>
            <w:r>
              <w:rPr>
                <w:rFonts w:ascii="宋体" w:hAnsi="宋体" w:cs="宋体"/>
                <w:color w:val="auto"/>
                <w:kern w:val="0"/>
                <w:sz w:val="24"/>
                <w:lang w:bidi="ar"/>
              </w:rPr>
              <w:t>原理使雾化涂料在高压直流电场作用下荷负电，并吸附于荷正电基底表面放电的涂装方法</w:t>
            </w:r>
            <w:r>
              <w:rPr>
                <w:rFonts w:hint="eastAsia" w:ascii="宋体" w:hAnsi="宋体" w:cs="宋体"/>
                <w:color w:val="auto"/>
                <w:kern w:val="0"/>
                <w:sz w:val="24"/>
                <w:lang w:bidi="ar"/>
              </w:rPr>
              <w:t>，喷漆操作在水帘柜区域完成。喷涂后工件</w:t>
            </w:r>
            <w:r>
              <w:rPr>
                <w:rFonts w:hint="eastAsia"/>
                <w:color w:val="auto"/>
                <w:sz w:val="24"/>
              </w:rPr>
              <w:t>由输送链系统传送至流平区</w:t>
            </w:r>
            <w:r>
              <w:rPr>
                <w:color w:val="auto"/>
                <w:sz w:val="24"/>
              </w:rPr>
              <w:t>，</w:t>
            </w:r>
            <w:r>
              <w:rPr>
                <w:rFonts w:hint="eastAsia"/>
                <w:color w:val="auto"/>
                <w:sz w:val="24"/>
              </w:rPr>
              <w:t>此区域的作用是使喷漆后喷在材料表面上的漆滴摊平，并使溶剂挥发一些，以防止在烘烤时漆膜上出现针孔。</w:t>
            </w:r>
            <w:r>
              <w:rPr>
                <w:color w:val="auto"/>
                <w:sz w:val="24"/>
              </w:rPr>
              <w:t>然后经加温烘烤固化成均匀的膜层。</w:t>
            </w:r>
            <w:r>
              <w:rPr>
                <w:rFonts w:hint="eastAsia"/>
                <w:color w:val="auto"/>
                <w:sz w:val="24"/>
              </w:rPr>
              <w:t>每个工件都需要进行三次喷涂，其中底漆、面漆喷涂均在底漆、面漆喷涂线上进行，清漆喷涂在清漆喷涂线上进行。此过程会产生喷漆废气、噪声、水帘柜废水、喷枪清洗废水。</w:t>
            </w:r>
          </w:p>
          <w:p w14:paraId="2E94B77E">
            <w:pPr>
              <w:adjustRightInd w:val="0"/>
              <w:snapToGrid w:val="0"/>
              <w:spacing w:line="360" w:lineRule="auto"/>
              <w:ind w:firstLine="480" w:firstLineChars="200"/>
              <w:rPr>
                <w:color w:val="auto"/>
                <w:sz w:val="24"/>
              </w:rPr>
            </w:pPr>
            <w:r>
              <w:rPr>
                <w:rFonts w:hint="eastAsia"/>
                <w:color w:val="auto"/>
                <w:sz w:val="24"/>
              </w:rPr>
              <w:t>喷漆线上设1个前修水帘柜、1个自动喷涂机和2个后补水帘柜，一般情况下使用自动喷涂机进行整体喷涂，后补水帘柜进行局部补喷，小规格工件在前修水帘柜进行</w:t>
            </w:r>
            <w:r>
              <w:rPr>
                <w:color w:val="auto"/>
                <w:sz w:val="24"/>
              </w:rPr>
              <w:t>。</w:t>
            </w:r>
            <w:r>
              <w:rPr>
                <w:rFonts w:hint="eastAsia"/>
                <w:color w:val="auto"/>
                <w:sz w:val="24"/>
              </w:rPr>
              <w:t>每个水帘柜设置1个手工喷枪，自动喷涂机设置1个自动喷枪</w:t>
            </w:r>
            <w:r>
              <w:rPr>
                <w:color w:val="auto"/>
                <w:sz w:val="24"/>
              </w:rPr>
              <w:t>。</w:t>
            </w:r>
          </w:p>
          <w:p w14:paraId="1A501CB1">
            <w:pPr>
              <w:adjustRightInd w:val="0"/>
              <w:snapToGrid w:val="0"/>
              <w:spacing w:line="360" w:lineRule="auto"/>
              <w:ind w:firstLine="482" w:firstLineChars="200"/>
              <w:rPr>
                <w:color w:val="auto"/>
                <w:sz w:val="24"/>
              </w:rPr>
            </w:pPr>
            <w:r>
              <w:rPr>
                <w:rFonts w:hint="eastAsia"/>
                <w:b/>
                <w:bCs/>
                <w:color w:val="auto"/>
                <w:sz w:val="24"/>
              </w:rPr>
              <w:t>烘烤</w:t>
            </w:r>
            <w:r>
              <w:rPr>
                <w:b/>
                <w:bCs/>
                <w:color w:val="auto"/>
                <w:sz w:val="24"/>
              </w:rPr>
              <w:t>：</w:t>
            </w:r>
            <w:r>
              <w:rPr>
                <w:color w:val="auto"/>
                <w:sz w:val="24"/>
              </w:rPr>
              <w:t>喷涂好的工件</w:t>
            </w:r>
            <w:r>
              <w:rPr>
                <w:rFonts w:hint="eastAsia"/>
                <w:color w:val="auto"/>
                <w:sz w:val="24"/>
              </w:rPr>
              <w:t>在输送链系统的传送下</w:t>
            </w:r>
            <w:r>
              <w:rPr>
                <w:color w:val="auto"/>
                <w:sz w:val="24"/>
              </w:rPr>
              <w:t>进入</w:t>
            </w:r>
            <w:r>
              <w:rPr>
                <w:rFonts w:hint="eastAsia"/>
                <w:color w:val="auto"/>
                <w:sz w:val="24"/>
              </w:rPr>
              <w:t>烘烤隧道炉内加热固化</w:t>
            </w:r>
            <w:r>
              <w:rPr>
                <w:color w:val="auto"/>
                <w:sz w:val="24"/>
              </w:rPr>
              <w:t>，加热到一定温度（</w:t>
            </w:r>
            <w:r>
              <w:rPr>
                <w:rFonts w:hint="eastAsia"/>
                <w:color w:val="auto"/>
                <w:sz w:val="24"/>
              </w:rPr>
              <w:t>底漆、面漆烘烤温度为</w:t>
            </w:r>
            <w:r>
              <w:rPr>
                <w:color w:val="auto"/>
                <w:sz w:val="24"/>
              </w:rPr>
              <w:t>200℃，清漆烘烤温度为150℃），并保温相应的时间（</w:t>
            </w:r>
            <w:r>
              <w:rPr>
                <w:rFonts w:hint="eastAsia"/>
                <w:color w:val="auto"/>
                <w:sz w:val="24"/>
              </w:rPr>
              <w:t>烘烤</w:t>
            </w:r>
            <w:r>
              <w:rPr>
                <w:color w:val="auto"/>
                <w:sz w:val="24"/>
              </w:rPr>
              <w:t>时间为</w:t>
            </w:r>
            <w:r>
              <w:rPr>
                <w:rFonts w:hint="eastAsia"/>
                <w:color w:val="auto"/>
                <w:sz w:val="24"/>
              </w:rPr>
              <w:t>4</w:t>
            </w:r>
            <w:r>
              <w:rPr>
                <w:color w:val="auto"/>
                <w:sz w:val="24"/>
              </w:rPr>
              <w:t>5min），使金属表面的</w:t>
            </w:r>
            <w:r>
              <w:rPr>
                <w:rFonts w:hint="eastAsia"/>
                <w:color w:val="auto"/>
                <w:sz w:val="24"/>
              </w:rPr>
              <w:t>涂料固化</w:t>
            </w:r>
            <w:r>
              <w:rPr>
                <w:color w:val="auto"/>
                <w:sz w:val="24"/>
              </w:rPr>
              <w:t>。项目</w:t>
            </w:r>
            <w:r>
              <w:rPr>
                <w:rFonts w:hint="eastAsia"/>
                <w:color w:val="auto"/>
                <w:sz w:val="24"/>
              </w:rPr>
              <w:t>烘烤</w:t>
            </w:r>
            <w:r>
              <w:rPr>
                <w:color w:val="auto"/>
                <w:sz w:val="24"/>
              </w:rPr>
              <w:t>采用天然气能作为能源，加热方式为直接加热</w:t>
            </w:r>
            <w:r>
              <w:rPr>
                <w:rStyle w:val="42"/>
                <w:color w:val="auto"/>
                <w:kern w:val="0"/>
                <w:sz w:val="24"/>
              </w:rPr>
              <w:t>（</w:t>
            </w:r>
            <w:r>
              <w:rPr>
                <w:color w:val="auto"/>
                <w:sz w:val="24"/>
              </w:rPr>
              <w:t>天然气燃烧机燃烧产生的热风通过管道直接引入隧道式固化炉），该工序会产生</w:t>
            </w:r>
            <w:r>
              <w:rPr>
                <w:rFonts w:hint="eastAsia"/>
                <w:color w:val="auto"/>
                <w:sz w:val="24"/>
              </w:rPr>
              <w:t>烘烤废气</w:t>
            </w:r>
            <w:r>
              <w:rPr>
                <w:color w:val="auto"/>
                <w:sz w:val="24"/>
              </w:rPr>
              <w:t>、天然气燃烧废气及噪声。</w:t>
            </w:r>
          </w:p>
          <w:p w14:paraId="0E696375">
            <w:pPr>
              <w:spacing w:line="360" w:lineRule="auto"/>
              <w:ind w:firstLine="489" w:firstLineChars="203"/>
              <w:rPr>
                <w:b/>
                <w:bCs/>
                <w:color w:val="auto"/>
                <w:sz w:val="24"/>
              </w:rPr>
            </w:pPr>
            <w:r>
              <w:rPr>
                <w:rFonts w:hint="eastAsia"/>
                <w:b/>
                <w:bCs/>
                <w:color w:val="auto"/>
                <w:sz w:val="24"/>
              </w:rPr>
              <w:t>外观检验、包装入库：</w:t>
            </w:r>
            <w:r>
              <w:rPr>
                <w:rFonts w:hint="eastAsia"/>
                <w:color w:val="auto"/>
                <w:sz w:val="24"/>
              </w:rPr>
              <w:t>烘烤</w:t>
            </w:r>
            <w:r>
              <w:rPr>
                <w:color w:val="auto"/>
                <w:sz w:val="24"/>
              </w:rPr>
              <w:t>后的产品进行人工检查产品外观，合格外观的产品进行包装，不合格产品回到</w:t>
            </w:r>
            <w:r>
              <w:rPr>
                <w:rFonts w:hint="eastAsia"/>
                <w:color w:val="auto"/>
                <w:sz w:val="24"/>
              </w:rPr>
              <w:t>抛光区或尾数房进行返工</w:t>
            </w:r>
            <w:r>
              <w:rPr>
                <w:b/>
                <w:bCs/>
                <w:color w:val="auto"/>
                <w:sz w:val="24"/>
              </w:rPr>
              <w:t>，</w:t>
            </w:r>
            <w:r>
              <w:rPr>
                <w:color w:val="auto"/>
                <w:sz w:val="24"/>
              </w:rPr>
              <w:t>将合格产品包装后，即可</w:t>
            </w:r>
            <w:r>
              <w:rPr>
                <w:rFonts w:hint="eastAsia"/>
                <w:color w:val="auto"/>
                <w:sz w:val="24"/>
              </w:rPr>
              <w:t>入库待售</w:t>
            </w:r>
            <w:r>
              <w:rPr>
                <w:color w:val="auto"/>
                <w:sz w:val="24"/>
              </w:rPr>
              <w:t>。</w:t>
            </w:r>
          </w:p>
          <w:p w14:paraId="7C1938F8">
            <w:pPr>
              <w:autoSpaceDE w:val="0"/>
              <w:autoSpaceDN w:val="0"/>
              <w:adjustRightInd w:val="0"/>
              <w:snapToGrid w:val="0"/>
              <w:spacing w:before="120" w:beforeLines="50"/>
              <w:jc w:val="center"/>
              <w:rPr>
                <w:b/>
                <w:color w:val="auto"/>
                <w:sz w:val="24"/>
              </w:rPr>
            </w:pPr>
          </w:p>
          <w:p w14:paraId="6EAB8E82">
            <w:pPr>
              <w:pStyle w:val="2"/>
              <w:rPr>
                <w:b/>
                <w:color w:val="auto"/>
                <w:kern w:val="2"/>
                <w:sz w:val="24"/>
                <w:szCs w:val="24"/>
              </w:rPr>
            </w:pPr>
          </w:p>
          <w:p w14:paraId="4686FA5A">
            <w:pPr>
              <w:rPr>
                <w:b/>
                <w:color w:val="auto"/>
                <w:sz w:val="24"/>
              </w:rPr>
            </w:pPr>
          </w:p>
          <w:p w14:paraId="433F228A">
            <w:pPr>
              <w:pStyle w:val="2"/>
              <w:rPr>
                <w:b/>
                <w:color w:val="auto"/>
                <w:kern w:val="2"/>
                <w:sz w:val="24"/>
                <w:szCs w:val="24"/>
              </w:rPr>
            </w:pPr>
          </w:p>
          <w:p w14:paraId="681CEBC9">
            <w:pPr>
              <w:rPr>
                <w:b/>
                <w:color w:val="auto"/>
                <w:sz w:val="24"/>
              </w:rPr>
            </w:pPr>
          </w:p>
          <w:p w14:paraId="388E6E30">
            <w:pPr>
              <w:pStyle w:val="2"/>
              <w:rPr>
                <w:b/>
                <w:color w:val="auto"/>
                <w:kern w:val="2"/>
                <w:sz w:val="24"/>
                <w:szCs w:val="24"/>
              </w:rPr>
            </w:pPr>
          </w:p>
          <w:p w14:paraId="4B25FE0E">
            <w:pPr>
              <w:pStyle w:val="43"/>
              <w:ind w:firstLine="482"/>
              <w:rPr>
                <w:b/>
                <w:bCs/>
                <w:color w:val="auto"/>
              </w:rPr>
            </w:pPr>
            <w:r>
              <w:rPr>
                <w:rFonts w:hint="eastAsia"/>
                <w:b/>
                <w:bCs/>
                <w:color w:val="auto"/>
              </w:rPr>
              <w:t>（2）前处理生产工艺</w:t>
            </w:r>
          </w:p>
          <w:p w14:paraId="0B903808">
            <w:pPr>
              <w:autoSpaceDE w:val="0"/>
              <w:autoSpaceDN w:val="0"/>
              <w:adjustRightInd w:val="0"/>
              <w:snapToGrid w:val="0"/>
              <w:spacing w:before="120" w:beforeLines="50"/>
              <w:jc w:val="center"/>
              <w:rPr>
                <w:b/>
                <w:color w:val="auto"/>
                <w:sz w:val="24"/>
              </w:rPr>
            </w:pPr>
            <w:r>
              <w:rPr>
                <w:b/>
                <w:color w:val="auto"/>
                <w:sz w:val="24"/>
              </w:rPr>
              <w:object>
                <v:shape id="_x0000_i1030" o:spt="75" type="#_x0000_t75" style="height:285.85pt;width:499.05pt;" o:ole="t" filled="f" o:preferrelative="t" stroked="f" coordsize="21600,21600">
                  <v:path/>
                  <v:fill on="f" focussize="0,0"/>
                  <v:stroke on="f"/>
                  <v:imagedata r:id="rId27" o:title=""/>
                  <o:lock v:ext="edit" aspectratio="f"/>
                  <w10:wrap type="none"/>
                  <w10:anchorlock/>
                </v:shape>
                <o:OLEObject Type="Embed" ProgID="Visio.Drawing.15" ShapeID="_x0000_i1030" DrawAspect="Content" ObjectID="_1468075730" r:id="rId26">
                  <o:LockedField>false</o:LockedField>
                </o:OLEObject>
              </w:object>
            </w:r>
          </w:p>
          <w:p w14:paraId="36C22F53">
            <w:pPr>
              <w:numPr>
                <w:ilvl w:val="0"/>
                <w:numId w:val="12"/>
              </w:numPr>
              <w:spacing w:line="360" w:lineRule="auto"/>
              <w:ind w:firstLine="482" w:firstLineChars="200"/>
              <w:jc w:val="center"/>
              <w:rPr>
                <w:color w:val="auto"/>
                <w:szCs w:val="21"/>
              </w:rPr>
            </w:pPr>
            <w:r>
              <w:rPr>
                <w:b/>
                <w:color w:val="auto"/>
                <w:sz w:val="24"/>
              </w:rPr>
              <w:t xml:space="preserve"> </w:t>
            </w:r>
            <w:r>
              <w:rPr>
                <w:b/>
                <w:color w:val="auto"/>
                <w:szCs w:val="21"/>
              </w:rPr>
              <w:t>前处理</w:t>
            </w:r>
            <w:r>
              <w:rPr>
                <w:b/>
                <w:bCs/>
                <w:color w:val="auto"/>
                <w:szCs w:val="21"/>
              </w:rPr>
              <w:t>工艺流程</w:t>
            </w:r>
            <w:r>
              <w:rPr>
                <w:b/>
                <w:color w:val="auto"/>
                <w:szCs w:val="21"/>
              </w:rPr>
              <w:t>图</w:t>
            </w:r>
          </w:p>
          <w:p w14:paraId="529E4144">
            <w:pPr>
              <w:spacing w:line="360" w:lineRule="auto"/>
              <w:ind w:firstLine="489" w:firstLineChars="203"/>
              <w:rPr>
                <w:b/>
                <w:color w:val="auto"/>
                <w:sz w:val="24"/>
              </w:rPr>
            </w:pPr>
            <w:r>
              <w:rPr>
                <w:b/>
                <w:color w:val="auto"/>
                <w:sz w:val="24"/>
              </w:rPr>
              <w:t>处理线</w:t>
            </w:r>
            <w:r>
              <w:rPr>
                <w:b/>
                <w:bCs/>
                <w:color w:val="auto"/>
                <w:sz w:val="24"/>
              </w:rPr>
              <w:t>工艺流程说明：</w:t>
            </w:r>
          </w:p>
          <w:p w14:paraId="1C3ABDCC">
            <w:pPr>
              <w:spacing w:line="360" w:lineRule="auto"/>
              <w:ind w:firstLine="482" w:firstLineChars="200"/>
              <w:rPr>
                <w:bCs/>
                <w:color w:val="auto"/>
                <w:sz w:val="24"/>
              </w:rPr>
            </w:pPr>
            <w:r>
              <w:rPr>
                <w:rFonts w:hint="eastAsia"/>
                <w:b/>
                <w:color w:val="auto"/>
                <w:sz w:val="24"/>
              </w:rPr>
              <w:t>除油</w:t>
            </w:r>
            <w:r>
              <w:rPr>
                <w:b/>
                <w:color w:val="auto"/>
                <w:sz w:val="24"/>
              </w:rPr>
              <w:t>：</w:t>
            </w:r>
            <w:r>
              <w:rPr>
                <w:bCs/>
                <w:color w:val="auto"/>
                <w:sz w:val="24"/>
              </w:rPr>
              <w:t>采用</w:t>
            </w:r>
            <w:r>
              <w:rPr>
                <w:rFonts w:hint="eastAsia"/>
                <w:bCs/>
                <w:color w:val="auto"/>
                <w:sz w:val="24"/>
              </w:rPr>
              <w:t>浸泡的方式</w:t>
            </w:r>
            <w:r>
              <w:rPr>
                <w:bCs/>
                <w:color w:val="auto"/>
                <w:sz w:val="24"/>
              </w:rPr>
              <w:t>进行，</w:t>
            </w:r>
            <w:r>
              <w:rPr>
                <w:rFonts w:hint="eastAsia"/>
                <w:bCs/>
                <w:color w:val="auto"/>
                <w:sz w:val="24"/>
              </w:rPr>
              <w:t>对碳钢工件进行表面除油，去除工件表面的油脂，提高工件洁净度，工作温度为常温，停留时间为5min。除油</w:t>
            </w:r>
            <w:r>
              <w:rPr>
                <w:bCs/>
                <w:color w:val="auto"/>
                <w:sz w:val="24"/>
              </w:rPr>
              <w:t>槽中的</w:t>
            </w:r>
            <w:r>
              <w:rPr>
                <w:color w:val="auto"/>
                <w:sz w:val="24"/>
              </w:rPr>
              <w:t>药液经滤芯过滤后循环使用，</w:t>
            </w:r>
            <w:r>
              <w:rPr>
                <w:bCs/>
                <w:color w:val="auto"/>
                <w:sz w:val="24"/>
              </w:rPr>
              <w:t>槽液随工件处理及自然蒸发会有损耗，需每天补充，使用除油粉与自来水按比例调配（除油粉5%），</w:t>
            </w:r>
            <w:r>
              <w:rPr>
                <w:rFonts w:hint="eastAsia"/>
                <w:bCs/>
                <w:color w:val="auto"/>
                <w:sz w:val="24"/>
              </w:rPr>
              <w:t>除油</w:t>
            </w:r>
            <w:r>
              <w:rPr>
                <w:bCs/>
                <w:color w:val="auto"/>
                <w:sz w:val="24"/>
              </w:rPr>
              <w:t>槽</w:t>
            </w:r>
            <w:r>
              <w:rPr>
                <w:rFonts w:hint="eastAsia"/>
                <w:bCs/>
                <w:color w:val="auto"/>
                <w:sz w:val="24"/>
              </w:rPr>
              <w:t>的作业时间合计为10h/d，235d/a，</w:t>
            </w:r>
            <w:r>
              <w:rPr>
                <w:bCs/>
                <w:color w:val="auto"/>
                <w:sz w:val="24"/>
              </w:rPr>
              <w:t>槽液约</w:t>
            </w:r>
            <w:r>
              <w:rPr>
                <w:rFonts w:hint="eastAsia"/>
                <w:bCs/>
                <w:color w:val="auto"/>
                <w:sz w:val="24"/>
              </w:rPr>
              <w:t>每季度</w:t>
            </w:r>
            <w:r>
              <w:rPr>
                <w:bCs/>
                <w:color w:val="auto"/>
                <w:sz w:val="24"/>
              </w:rPr>
              <w:t>更换一次，该过程产生</w:t>
            </w:r>
            <w:r>
              <w:rPr>
                <w:rFonts w:hint="eastAsia"/>
                <w:bCs/>
                <w:color w:val="auto"/>
                <w:sz w:val="24"/>
              </w:rPr>
              <w:t>废包装袋、</w:t>
            </w:r>
            <w:r>
              <w:rPr>
                <w:bCs/>
                <w:color w:val="auto"/>
                <w:sz w:val="24"/>
              </w:rPr>
              <w:t>废槽液、废滤芯。</w:t>
            </w:r>
          </w:p>
          <w:p w14:paraId="14900AC3">
            <w:pPr>
              <w:pStyle w:val="3"/>
              <w:spacing w:before="0" w:after="0" w:line="360" w:lineRule="auto"/>
              <w:ind w:left="0" w:firstLine="482" w:firstLineChars="200"/>
              <w:rPr>
                <w:rFonts w:eastAsia="宋体"/>
                <w:b w:val="0"/>
                <w:bCs w:val="0"/>
                <w:color w:val="auto"/>
                <w:sz w:val="24"/>
                <w:szCs w:val="24"/>
              </w:rPr>
            </w:pPr>
            <w:r>
              <w:rPr>
                <w:rFonts w:hint="eastAsia" w:eastAsia="宋体"/>
                <w:color w:val="auto"/>
                <w:sz w:val="24"/>
                <w:szCs w:val="24"/>
              </w:rPr>
              <w:t>除锈</w:t>
            </w:r>
            <w:r>
              <w:rPr>
                <w:rFonts w:eastAsia="宋体"/>
                <w:color w:val="auto"/>
                <w:sz w:val="24"/>
                <w:szCs w:val="24"/>
              </w:rPr>
              <w:t>：</w:t>
            </w:r>
            <w:r>
              <w:rPr>
                <w:rFonts w:eastAsia="宋体"/>
                <w:b w:val="0"/>
                <w:bCs w:val="0"/>
                <w:color w:val="auto"/>
                <w:sz w:val="24"/>
                <w:szCs w:val="24"/>
              </w:rPr>
              <w:t>采用</w:t>
            </w:r>
            <w:r>
              <w:rPr>
                <w:rFonts w:hint="eastAsia" w:eastAsia="宋体"/>
                <w:b w:val="0"/>
                <w:bCs w:val="0"/>
                <w:color w:val="auto"/>
                <w:sz w:val="24"/>
                <w:szCs w:val="24"/>
              </w:rPr>
              <w:t>浸泡的方式</w:t>
            </w:r>
            <w:r>
              <w:rPr>
                <w:rFonts w:eastAsia="宋体"/>
                <w:b w:val="0"/>
                <w:bCs w:val="0"/>
                <w:color w:val="auto"/>
                <w:sz w:val="24"/>
                <w:szCs w:val="24"/>
              </w:rPr>
              <w:t>进行，</w:t>
            </w:r>
            <w:r>
              <w:rPr>
                <w:rFonts w:hint="eastAsia" w:eastAsia="宋体"/>
                <w:b w:val="0"/>
                <w:bCs w:val="0"/>
                <w:color w:val="auto"/>
                <w:sz w:val="24"/>
                <w:szCs w:val="24"/>
              </w:rPr>
              <w:t>对除油后的碳钢工件进行表面除锈，工作温度为常温，停留时间为5min。除锈</w:t>
            </w:r>
            <w:r>
              <w:rPr>
                <w:rFonts w:eastAsia="宋体"/>
                <w:b w:val="0"/>
                <w:bCs w:val="0"/>
                <w:color w:val="auto"/>
                <w:sz w:val="24"/>
                <w:szCs w:val="24"/>
              </w:rPr>
              <w:t>槽中的药液经滤芯过滤后循环使用</w:t>
            </w:r>
            <w:r>
              <w:rPr>
                <w:rFonts w:hint="eastAsia" w:eastAsia="宋体"/>
                <w:b w:val="0"/>
                <w:bCs w:val="0"/>
                <w:color w:val="auto"/>
                <w:sz w:val="24"/>
                <w:szCs w:val="24"/>
              </w:rPr>
              <w:t>，槽液随工件处理及自然蒸发会有损耗，需每天补充，使用硫酸与自来水按比例调配（槽液浓度10%），除锈槽的作业时间合计为10h/d，235d/a，槽液约每季度更换一次</w:t>
            </w:r>
            <w:r>
              <w:rPr>
                <w:rFonts w:eastAsia="宋体"/>
                <w:b w:val="0"/>
                <w:bCs w:val="0"/>
                <w:color w:val="auto"/>
                <w:sz w:val="24"/>
                <w:szCs w:val="24"/>
              </w:rPr>
              <w:t>。该过程会产生</w:t>
            </w:r>
            <w:r>
              <w:rPr>
                <w:rFonts w:eastAsia="宋体"/>
                <w:b w:val="0"/>
                <w:color w:val="auto"/>
                <w:kern w:val="2"/>
                <w:sz w:val="24"/>
                <w:szCs w:val="24"/>
              </w:rPr>
              <w:t>废原料桶</w:t>
            </w:r>
            <w:r>
              <w:rPr>
                <w:rFonts w:hint="eastAsia" w:eastAsia="宋体"/>
                <w:b w:val="0"/>
                <w:color w:val="auto"/>
                <w:kern w:val="2"/>
                <w:sz w:val="24"/>
                <w:szCs w:val="24"/>
              </w:rPr>
              <w:t>、</w:t>
            </w:r>
            <w:r>
              <w:rPr>
                <w:rFonts w:hint="eastAsia" w:eastAsia="宋体"/>
                <w:b w:val="0"/>
                <w:bCs w:val="0"/>
                <w:color w:val="auto"/>
                <w:sz w:val="24"/>
                <w:szCs w:val="24"/>
              </w:rPr>
              <w:t>酸性废气</w:t>
            </w:r>
            <w:r>
              <w:rPr>
                <w:rFonts w:eastAsia="宋体"/>
                <w:b w:val="0"/>
                <w:bCs w:val="0"/>
                <w:color w:val="auto"/>
                <w:sz w:val="24"/>
                <w:szCs w:val="24"/>
              </w:rPr>
              <w:t>、废槽液、废滤芯。</w:t>
            </w:r>
          </w:p>
          <w:p w14:paraId="74F99189">
            <w:pPr>
              <w:pStyle w:val="3"/>
              <w:spacing w:before="0" w:after="0" w:line="360" w:lineRule="auto"/>
              <w:ind w:left="0" w:firstLine="482" w:firstLineChars="200"/>
              <w:rPr>
                <w:rFonts w:eastAsia="宋体"/>
                <w:bCs w:val="0"/>
                <w:color w:val="auto"/>
                <w:kern w:val="2"/>
                <w:sz w:val="24"/>
                <w:szCs w:val="24"/>
              </w:rPr>
            </w:pPr>
            <w:r>
              <w:rPr>
                <w:rFonts w:hint="eastAsia" w:eastAsia="宋体"/>
                <w:bCs w:val="0"/>
                <w:color w:val="auto"/>
                <w:kern w:val="2"/>
                <w:sz w:val="24"/>
                <w:szCs w:val="24"/>
              </w:rPr>
              <w:t>脱脂：</w:t>
            </w:r>
            <w:r>
              <w:rPr>
                <w:rFonts w:eastAsia="宋体"/>
                <w:b w:val="0"/>
                <w:bCs w:val="0"/>
                <w:color w:val="auto"/>
                <w:sz w:val="24"/>
                <w:szCs w:val="24"/>
              </w:rPr>
              <w:t>采用</w:t>
            </w:r>
            <w:r>
              <w:rPr>
                <w:rFonts w:hint="eastAsia" w:eastAsia="宋体"/>
                <w:b w:val="0"/>
                <w:bCs w:val="0"/>
                <w:color w:val="auto"/>
                <w:sz w:val="24"/>
                <w:szCs w:val="24"/>
              </w:rPr>
              <w:t>浸泡</w:t>
            </w:r>
            <w:r>
              <w:rPr>
                <w:rFonts w:eastAsia="宋体"/>
                <w:b w:val="0"/>
                <w:bCs w:val="0"/>
                <w:color w:val="auto"/>
                <w:sz w:val="24"/>
                <w:szCs w:val="24"/>
              </w:rPr>
              <w:t>的方式进行，</w:t>
            </w:r>
            <w:r>
              <w:rPr>
                <w:rFonts w:eastAsia="宋体"/>
                <w:b w:val="0"/>
                <w:color w:val="auto"/>
                <w:kern w:val="2"/>
                <w:sz w:val="24"/>
                <w:szCs w:val="24"/>
              </w:rPr>
              <w:t>对</w:t>
            </w:r>
            <w:r>
              <w:rPr>
                <w:rFonts w:hint="eastAsia" w:eastAsia="宋体"/>
                <w:b w:val="0"/>
                <w:color w:val="auto"/>
                <w:kern w:val="2"/>
                <w:sz w:val="24"/>
                <w:szCs w:val="24"/>
              </w:rPr>
              <w:t>铝制工件</w:t>
            </w:r>
            <w:r>
              <w:rPr>
                <w:rFonts w:eastAsia="宋体"/>
                <w:b w:val="0"/>
                <w:color w:val="auto"/>
                <w:kern w:val="2"/>
                <w:sz w:val="24"/>
                <w:szCs w:val="24"/>
              </w:rPr>
              <w:t>进行</w:t>
            </w:r>
            <w:r>
              <w:rPr>
                <w:rFonts w:hint="eastAsia" w:eastAsia="宋体"/>
                <w:b w:val="0"/>
                <w:color w:val="auto"/>
                <w:kern w:val="2"/>
                <w:sz w:val="24"/>
                <w:szCs w:val="24"/>
              </w:rPr>
              <w:t>表面</w:t>
            </w:r>
            <w:r>
              <w:rPr>
                <w:rFonts w:eastAsia="宋体"/>
                <w:b w:val="0"/>
                <w:color w:val="auto"/>
                <w:kern w:val="2"/>
                <w:sz w:val="24"/>
                <w:szCs w:val="24"/>
              </w:rPr>
              <w:t>脱脂，去除工件表残余的油脂，提高洁净度</w:t>
            </w:r>
            <w:r>
              <w:rPr>
                <w:rFonts w:hint="eastAsia" w:eastAsia="宋体"/>
                <w:b w:val="0"/>
                <w:color w:val="auto"/>
                <w:kern w:val="2"/>
                <w:sz w:val="24"/>
                <w:szCs w:val="24"/>
              </w:rPr>
              <w:t>，</w:t>
            </w:r>
            <w:r>
              <w:rPr>
                <w:rFonts w:eastAsia="宋体"/>
                <w:b w:val="0"/>
                <w:color w:val="auto"/>
                <w:kern w:val="2"/>
                <w:sz w:val="24"/>
                <w:szCs w:val="24"/>
              </w:rPr>
              <w:t>工作</w:t>
            </w:r>
            <w:r>
              <w:rPr>
                <w:rFonts w:eastAsia="宋体"/>
                <w:b w:val="0"/>
                <w:color w:val="auto"/>
                <w:sz w:val="24"/>
              </w:rPr>
              <w:t>温度为常温</w:t>
            </w:r>
            <w:r>
              <w:rPr>
                <w:rFonts w:hint="eastAsia" w:eastAsia="宋体"/>
                <w:b w:val="0"/>
                <w:color w:val="auto"/>
                <w:sz w:val="24"/>
              </w:rPr>
              <w:t>，</w:t>
            </w:r>
            <w:r>
              <w:rPr>
                <w:rFonts w:hint="eastAsia" w:eastAsia="宋体"/>
                <w:b w:val="0"/>
                <w:bCs w:val="0"/>
                <w:color w:val="auto"/>
                <w:sz w:val="24"/>
                <w:szCs w:val="24"/>
              </w:rPr>
              <w:t>停留时间为5min。</w:t>
            </w:r>
            <w:r>
              <w:rPr>
                <w:rFonts w:eastAsia="宋体"/>
                <w:b w:val="0"/>
                <w:color w:val="auto"/>
                <w:kern w:val="2"/>
                <w:sz w:val="24"/>
                <w:szCs w:val="24"/>
              </w:rPr>
              <w:t>脱脂槽中的药液经滤芯过滤后循环使用，槽液随工件处理及自然蒸发会有损耗，需每天补充，使用</w:t>
            </w:r>
            <w:r>
              <w:rPr>
                <w:rFonts w:hint="eastAsia" w:eastAsia="宋体"/>
                <w:b w:val="0"/>
                <w:color w:val="auto"/>
                <w:kern w:val="2"/>
                <w:sz w:val="24"/>
                <w:szCs w:val="24"/>
              </w:rPr>
              <w:t>脱脂剂</w:t>
            </w:r>
            <w:r>
              <w:rPr>
                <w:rFonts w:eastAsia="宋体"/>
                <w:b w:val="0"/>
                <w:color w:val="auto"/>
                <w:kern w:val="2"/>
                <w:sz w:val="24"/>
                <w:szCs w:val="24"/>
              </w:rPr>
              <w:t>与自来水按比例调配（</w:t>
            </w:r>
            <w:r>
              <w:rPr>
                <w:rFonts w:hint="eastAsia" w:eastAsia="宋体"/>
                <w:b w:val="0"/>
                <w:bCs w:val="0"/>
                <w:color w:val="auto"/>
                <w:sz w:val="24"/>
              </w:rPr>
              <w:t>脱脂剂</w:t>
            </w:r>
            <w:r>
              <w:rPr>
                <w:rFonts w:eastAsia="宋体"/>
                <w:b w:val="0"/>
                <w:bCs w:val="0"/>
                <w:color w:val="auto"/>
                <w:sz w:val="24"/>
              </w:rPr>
              <w:t>5%</w:t>
            </w:r>
            <w:r>
              <w:rPr>
                <w:rFonts w:eastAsia="宋体"/>
                <w:b w:val="0"/>
                <w:color w:val="auto"/>
                <w:kern w:val="2"/>
                <w:sz w:val="24"/>
                <w:szCs w:val="24"/>
              </w:rPr>
              <w:t>），</w:t>
            </w:r>
            <w:r>
              <w:rPr>
                <w:rFonts w:eastAsia="宋体"/>
                <w:b w:val="0"/>
                <w:bCs w:val="0"/>
                <w:color w:val="auto"/>
                <w:kern w:val="2"/>
                <w:sz w:val="24"/>
                <w:szCs w:val="24"/>
              </w:rPr>
              <w:t>脱脂槽</w:t>
            </w:r>
            <w:r>
              <w:rPr>
                <w:rFonts w:hint="eastAsia" w:eastAsia="宋体"/>
                <w:b w:val="0"/>
                <w:bCs w:val="0"/>
                <w:color w:val="auto"/>
                <w:sz w:val="24"/>
                <w:szCs w:val="24"/>
              </w:rPr>
              <w:t>的作业时间合计为10h/d，65d/a，槽液约每年更换一次</w:t>
            </w:r>
            <w:r>
              <w:rPr>
                <w:rFonts w:eastAsia="宋体"/>
                <w:b w:val="0"/>
                <w:bCs w:val="0"/>
                <w:color w:val="auto"/>
                <w:kern w:val="2"/>
                <w:sz w:val="24"/>
                <w:szCs w:val="24"/>
              </w:rPr>
              <w:t>，</w:t>
            </w:r>
            <w:r>
              <w:rPr>
                <w:rFonts w:eastAsia="宋体"/>
                <w:b w:val="0"/>
                <w:color w:val="auto"/>
                <w:kern w:val="2"/>
                <w:sz w:val="24"/>
                <w:szCs w:val="24"/>
              </w:rPr>
              <w:t>该过程会产生废原料桶</w:t>
            </w:r>
            <w:r>
              <w:rPr>
                <w:rFonts w:hint="eastAsia" w:eastAsia="宋体"/>
                <w:b w:val="0"/>
                <w:color w:val="auto"/>
                <w:kern w:val="2"/>
                <w:sz w:val="24"/>
                <w:szCs w:val="24"/>
              </w:rPr>
              <w:t>、</w:t>
            </w:r>
            <w:r>
              <w:rPr>
                <w:rFonts w:eastAsia="宋体"/>
                <w:b w:val="0"/>
                <w:bCs w:val="0"/>
                <w:color w:val="auto"/>
                <w:kern w:val="2"/>
                <w:sz w:val="24"/>
                <w:szCs w:val="24"/>
              </w:rPr>
              <w:t>废槽液、废滤芯。</w:t>
            </w:r>
          </w:p>
          <w:p w14:paraId="2551258A">
            <w:pPr>
              <w:pStyle w:val="3"/>
              <w:spacing w:before="0" w:after="0" w:line="360" w:lineRule="auto"/>
              <w:ind w:left="0" w:firstLine="482" w:firstLineChars="200"/>
              <w:rPr>
                <w:rFonts w:eastAsia="宋体"/>
                <w:color w:val="auto"/>
                <w:sz w:val="24"/>
                <w:szCs w:val="24"/>
              </w:rPr>
            </w:pPr>
            <w:r>
              <w:rPr>
                <w:rFonts w:hint="eastAsia" w:eastAsia="宋体"/>
                <w:bCs w:val="0"/>
                <w:color w:val="auto"/>
                <w:kern w:val="2"/>
                <w:sz w:val="24"/>
                <w:szCs w:val="24"/>
              </w:rPr>
              <w:t>清洗</w:t>
            </w:r>
            <w:r>
              <w:rPr>
                <w:rFonts w:eastAsia="宋体"/>
                <w:bCs w:val="0"/>
                <w:color w:val="auto"/>
                <w:kern w:val="2"/>
                <w:sz w:val="24"/>
                <w:szCs w:val="24"/>
              </w:rPr>
              <w:t>1</w:t>
            </w:r>
            <w:r>
              <w:rPr>
                <w:rFonts w:hint="eastAsia" w:eastAsia="宋体"/>
                <w:bCs w:val="0"/>
                <w:color w:val="auto"/>
                <w:kern w:val="2"/>
                <w:sz w:val="24"/>
                <w:szCs w:val="24"/>
              </w:rPr>
              <w:t>、清洗4</w:t>
            </w:r>
            <w:r>
              <w:rPr>
                <w:rFonts w:eastAsia="宋体"/>
                <w:bCs w:val="0"/>
                <w:color w:val="auto"/>
                <w:kern w:val="2"/>
                <w:sz w:val="24"/>
                <w:szCs w:val="24"/>
              </w:rPr>
              <w:t>：</w:t>
            </w:r>
            <w:r>
              <w:rPr>
                <w:rFonts w:hint="eastAsia" w:eastAsia="宋体"/>
                <w:b w:val="0"/>
                <w:color w:val="auto"/>
                <w:kern w:val="2"/>
                <w:sz w:val="24"/>
                <w:szCs w:val="24"/>
              </w:rPr>
              <w:t>除油、脱脂</w:t>
            </w:r>
            <w:r>
              <w:rPr>
                <w:rFonts w:eastAsia="宋体"/>
                <w:b w:val="0"/>
                <w:color w:val="auto"/>
                <w:kern w:val="2"/>
                <w:sz w:val="24"/>
                <w:szCs w:val="24"/>
              </w:rPr>
              <w:t>处理后的工件进入</w:t>
            </w:r>
            <w:r>
              <w:rPr>
                <w:rFonts w:hint="eastAsia" w:eastAsia="宋体"/>
                <w:b w:val="0"/>
                <w:color w:val="auto"/>
                <w:kern w:val="2"/>
                <w:sz w:val="24"/>
                <w:szCs w:val="24"/>
              </w:rPr>
              <w:t>清洗</w:t>
            </w:r>
            <w:r>
              <w:rPr>
                <w:rFonts w:eastAsia="宋体"/>
                <w:b w:val="0"/>
                <w:color w:val="auto"/>
                <w:kern w:val="2"/>
                <w:sz w:val="24"/>
                <w:szCs w:val="24"/>
              </w:rPr>
              <w:t>阶段，</w:t>
            </w:r>
            <w:r>
              <w:rPr>
                <w:rFonts w:hint="eastAsia" w:eastAsia="宋体"/>
                <w:b w:val="0"/>
                <w:color w:val="auto"/>
                <w:kern w:val="2"/>
                <w:sz w:val="24"/>
                <w:szCs w:val="24"/>
              </w:rPr>
              <w:t>此处设一级清洗，</w:t>
            </w:r>
            <w:r>
              <w:rPr>
                <w:rFonts w:eastAsia="宋体"/>
                <w:b w:val="0"/>
                <w:color w:val="auto"/>
                <w:kern w:val="2"/>
                <w:sz w:val="24"/>
                <w:szCs w:val="24"/>
              </w:rPr>
              <w:t>主要是去除工件表面</w:t>
            </w:r>
            <w:r>
              <w:rPr>
                <w:rFonts w:hint="eastAsia" w:eastAsia="宋体"/>
                <w:b w:val="0"/>
                <w:color w:val="auto"/>
                <w:kern w:val="2"/>
                <w:sz w:val="24"/>
                <w:szCs w:val="24"/>
              </w:rPr>
              <w:t>附着的药剂</w:t>
            </w:r>
            <w:r>
              <w:rPr>
                <w:rFonts w:eastAsia="宋体"/>
                <w:b w:val="0"/>
                <w:bCs w:val="0"/>
                <w:color w:val="auto"/>
                <w:sz w:val="24"/>
                <w:szCs w:val="24"/>
              </w:rPr>
              <w:t>，</w:t>
            </w:r>
            <w:r>
              <w:rPr>
                <w:rFonts w:hint="eastAsia" w:eastAsia="宋体"/>
                <w:b w:val="0"/>
                <w:bCs w:val="0"/>
                <w:color w:val="auto"/>
                <w:sz w:val="24"/>
                <w:szCs w:val="24"/>
              </w:rPr>
              <w:t>采用浸泡的方式进行，清洗水随工件处理及自然蒸发会有损耗，需每天补充，清洗</w:t>
            </w:r>
            <w:r>
              <w:rPr>
                <w:rFonts w:eastAsia="宋体"/>
                <w:b w:val="0"/>
                <w:bCs w:val="0"/>
                <w:color w:val="auto"/>
                <w:sz w:val="24"/>
                <w:szCs w:val="24"/>
              </w:rPr>
              <w:t>槽每</w:t>
            </w:r>
            <w:r>
              <w:rPr>
                <w:rFonts w:hint="eastAsia" w:eastAsia="宋体"/>
                <w:b w:val="0"/>
                <w:bCs w:val="0"/>
                <w:color w:val="auto"/>
                <w:sz w:val="24"/>
                <w:szCs w:val="24"/>
              </w:rPr>
              <w:t>10</w:t>
            </w:r>
            <w:r>
              <w:rPr>
                <w:rFonts w:eastAsia="宋体"/>
                <w:b w:val="0"/>
                <w:bCs w:val="0"/>
                <w:color w:val="auto"/>
                <w:sz w:val="24"/>
                <w:szCs w:val="24"/>
              </w:rPr>
              <w:t>天整槽更换一次</w:t>
            </w:r>
            <w:r>
              <w:rPr>
                <w:rFonts w:hint="eastAsia" w:eastAsia="宋体"/>
                <w:b w:val="0"/>
                <w:bCs w:val="0"/>
                <w:color w:val="auto"/>
                <w:sz w:val="24"/>
                <w:szCs w:val="24"/>
              </w:rPr>
              <w:t>，补充用水和换槽用水</w:t>
            </w:r>
            <w:r>
              <w:rPr>
                <w:rFonts w:hint="eastAsia" w:eastAsia="宋体"/>
                <w:b w:val="0"/>
                <w:bCs w:val="0"/>
                <w:color w:val="auto"/>
                <w:sz w:val="24"/>
                <w:szCs w:val="24"/>
                <w:lang w:val="en-US" w:eastAsia="zh-CN"/>
              </w:rPr>
              <w:t>为回用水</w:t>
            </w:r>
            <w:r>
              <w:rPr>
                <w:rFonts w:eastAsia="宋体"/>
                <w:b w:val="0"/>
                <w:color w:val="auto"/>
                <w:kern w:val="2"/>
                <w:sz w:val="24"/>
                <w:szCs w:val="24"/>
              </w:rPr>
              <w:t>。该过程会产生清洗废水。</w:t>
            </w:r>
          </w:p>
          <w:p w14:paraId="3519E0D9">
            <w:pPr>
              <w:pStyle w:val="3"/>
              <w:spacing w:before="0" w:after="0" w:line="360" w:lineRule="auto"/>
              <w:ind w:left="0" w:firstLine="482" w:firstLineChars="200"/>
              <w:rPr>
                <w:rFonts w:eastAsia="宋体"/>
                <w:b w:val="0"/>
                <w:bCs w:val="0"/>
                <w:color w:val="auto"/>
                <w:sz w:val="24"/>
                <w:szCs w:val="24"/>
              </w:rPr>
            </w:pPr>
            <w:r>
              <w:rPr>
                <w:rFonts w:hint="eastAsia" w:eastAsia="宋体"/>
                <w:color w:val="auto"/>
                <w:sz w:val="24"/>
                <w:szCs w:val="24"/>
              </w:rPr>
              <w:t>清洗2、清洗3：</w:t>
            </w:r>
            <w:r>
              <w:rPr>
                <w:rFonts w:hint="eastAsia" w:eastAsia="宋体"/>
                <w:b w:val="0"/>
                <w:bCs w:val="0"/>
                <w:color w:val="auto"/>
                <w:sz w:val="24"/>
                <w:szCs w:val="24"/>
              </w:rPr>
              <w:t>除锈处理后的碳钢工件</w:t>
            </w:r>
            <w:r>
              <w:rPr>
                <w:rFonts w:eastAsia="宋体"/>
                <w:b w:val="0"/>
                <w:color w:val="auto"/>
                <w:kern w:val="2"/>
                <w:sz w:val="24"/>
                <w:szCs w:val="24"/>
              </w:rPr>
              <w:t>进入</w:t>
            </w:r>
            <w:r>
              <w:rPr>
                <w:rFonts w:hint="eastAsia" w:eastAsia="宋体"/>
                <w:b w:val="0"/>
                <w:color w:val="auto"/>
                <w:kern w:val="2"/>
                <w:sz w:val="24"/>
                <w:szCs w:val="24"/>
              </w:rPr>
              <w:t>清洗</w:t>
            </w:r>
            <w:r>
              <w:rPr>
                <w:rFonts w:eastAsia="宋体"/>
                <w:b w:val="0"/>
                <w:color w:val="auto"/>
                <w:kern w:val="2"/>
                <w:sz w:val="24"/>
                <w:szCs w:val="24"/>
              </w:rPr>
              <w:t>阶段，</w:t>
            </w:r>
            <w:r>
              <w:rPr>
                <w:rFonts w:hint="eastAsia" w:eastAsia="宋体"/>
                <w:b w:val="0"/>
                <w:color w:val="auto"/>
                <w:kern w:val="2"/>
                <w:sz w:val="24"/>
                <w:szCs w:val="24"/>
              </w:rPr>
              <w:t>此处设二级清洗，</w:t>
            </w:r>
            <w:r>
              <w:rPr>
                <w:rFonts w:eastAsia="宋体"/>
                <w:b w:val="0"/>
                <w:color w:val="auto"/>
                <w:kern w:val="2"/>
                <w:sz w:val="24"/>
                <w:szCs w:val="24"/>
              </w:rPr>
              <w:t>主要是去除工件表面</w:t>
            </w:r>
            <w:r>
              <w:rPr>
                <w:rFonts w:hint="eastAsia" w:eastAsia="宋体"/>
                <w:b w:val="0"/>
                <w:color w:val="auto"/>
                <w:kern w:val="2"/>
                <w:sz w:val="24"/>
                <w:szCs w:val="24"/>
              </w:rPr>
              <w:t>附着的酸液</w:t>
            </w:r>
            <w:r>
              <w:rPr>
                <w:rFonts w:eastAsia="宋体"/>
                <w:b w:val="0"/>
                <w:bCs w:val="0"/>
                <w:color w:val="auto"/>
                <w:sz w:val="24"/>
                <w:szCs w:val="24"/>
              </w:rPr>
              <w:t>，</w:t>
            </w:r>
            <w:r>
              <w:rPr>
                <w:rFonts w:hint="eastAsia" w:eastAsia="宋体"/>
                <w:b w:val="0"/>
                <w:bCs w:val="0"/>
                <w:color w:val="auto"/>
                <w:sz w:val="24"/>
                <w:szCs w:val="24"/>
              </w:rPr>
              <w:t>采用浸泡的方式进行，清洗水随工件处理及自然蒸发会有损耗，需每天补充，清洗</w:t>
            </w:r>
            <w:r>
              <w:rPr>
                <w:rFonts w:eastAsia="宋体"/>
                <w:b w:val="0"/>
                <w:bCs w:val="0"/>
                <w:color w:val="auto"/>
                <w:sz w:val="24"/>
                <w:szCs w:val="24"/>
              </w:rPr>
              <w:t>槽每</w:t>
            </w:r>
            <w:r>
              <w:rPr>
                <w:rFonts w:hint="eastAsia" w:eastAsia="宋体"/>
                <w:b w:val="0"/>
                <w:bCs w:val="0"/>
                <w:color w:val="auto"/>
                <w:sz w:val="24"/>
                <w:szCs w:val="24"/>
              </w:rPr>
              <w:t>10</w:t>
            </w:r>
            <w:r>
              <w:rPr>
                <w:rFonts w:eastAsia="宋体"/>
                <w:b w:val="0"/>
                <w:bCs w:val="0"/>
                <w:color w:val="auto"/>
                <w:sz w:val="24"/>
                <w:szCs w:val="24"/>
              </w:rPr>
              <w:t>天整槽更换一次</w:t>
            </w:r>
            <w:r>
              <w:rPr>
                <w:rFonts w:hint="eastAsia" w:eastAsia="宋体"/>
                <w:b w:val="0"/>
                <w:bCs w:val="0"/>
                <w:color w:val="auto"/>
                <w:sz w:val="24"/>
                <w:szCs w:val="24"/>
              </w:rPr>
              <w:t>，补充用水和换槽用水均为回用水</w:t>
            </w:r>
            <w:r>
              <w:rPr>
                <w:rFonts w:eastAsia="宋体"/>
                <w:b w:val="0"/>
                <w:color w:val="auto"/>
                <w:kern w:val="2"/>
                <w:sz w:val="24"/>
                <w:szCs w:val="24"/>
              </w:rPr>
              <w:t>。该过程会产生清洗废水。</w:t>
            </w:r>
          </w:p>
          <w:p w14:paraId="3CD3A3C6">
            <w:pPr>
              <w:adjustRightInd w:val="0"/>
              <w:snapToGrid w:val="0"/>
              <w:spacing w:line="360" w:lineRule="auto"/>
              <w:ind w:firstLine="482" w:firstLineChars="200"/>
              <w:rPr>
                <w:color w:val="auto"/>
                <w:sz w:val="24"/>
              </w:rPr>
            </w:pPr>
            <w:r>
              <w:rPr>
                <w:b/>
                <w:bCs/>
                <w:color w:val="auto"/>
                <w:sz w:val="24"/>
                <w:lang w:bidi="ar"/>
              </w:rPr>
              <w:t>表调:</w:t>
            </w:r>
            <w:r>
              <w:rPr>
                <w:color w:val="auto"/>
                <w:szCs w:val="20"/>
                <w:lang w:bidi="ar"/>
              </w:rPr>
              <w:t xml:space="preserve"> </w:t>
            </w:r>
            <w:r>
              <w:rPr>
                <w:color w:val="auto"/>
                <w:sz w:val="24"/>
                <w:lang w:bidi="ar"/>
              </w:rPr>
              <w:t>表调是对金属表面进行化学处理，以形成一层均匀、微小孔隙的薄膜。这层薄膜有助于提高涂层与金属表面的附着力，并确保涂层均匀。主要克服磷化成膜粗化现象，消除金属工件经强碱性脱脂所引起的腐蚀不均等缺陷，提高磷化速度缩短处理时间，使金属工件在磷化过程中产生结晶致密均匀的</w:t>
            </w:r>
            <w:r>
              <w:rPr>
                <w:color w:val="auto"/>
                <w:sz w:val="24"/>
              </w:rPr>
              <w:t>磷酸盐转化膜</w:t>
            </w:r>
            <w:r>
              <w:rPr>
                <w:color w:val="auto"/>
                <w:sz w:val="24"/>
                <w:lang w:bidi="ar"/>
              </w:rPr>
              <w:t>，同时增强耐蚀性能提高涂膜附着力与降低磷化沉渣等。项目采用</w:t>
            </w:r>
            <w:r>
              <w:rPr>
                <w:rFonts w:hint="eastAsia"/>
                <w:color w:val="auto"/>
                <w:sz w:val="24"/>
              </w:rPr>
              <w:t>浸泡</w:t>
            </w:r>
            <w:r>
              <w:rPr>
                <w:color w:val="auto"/>
                <w:sz w:val="24"/>
                <w:lang w:bidi="ar"/>
              </w:rPr>
              <w:t>方式，</w:t>
            </w:r>
            <w:r>
              <w:rPr>
                <w:rFonts w:hint="eastAsia"/>
                <w:color w:val="auto"/>
                <w:sz w:val="24"/>
                <w:lang w:bidi="ar"/>
              </w:rPr>
              <w:t>停留时间为5</w:t>
            </w:r>
            <w:r>
              <w:rPr>
                <w:color w:val="auto"/>
                <w:sz w:val="24"/>
                <w:lang w:bidi="ar"/>
              </w:rPr>
              <w:t>min，操作温度</w:t>
            </w:r>
            <w:r>
              <w:rPr>
                <w:rFonts w:hint="eastAsia"/>
                <w:color w:val="auto"/>
                <w:sz w:val="24"/>
                <w:lang w:bidi="ar"/>
              </w:rPr>
              <w:t>为</w:t>
            </w:r>
            <w:r>
              <w:rPr>
                <w:color w:val="auto"/>
                <w:sz w:val="24"/>
                <w:lang w:bidi="ar"/>
              </w:rPr>
              <w:t>室温。</w:t>
            </w:r>
            <w:r>
              <w:rPr>
                <w:color w:val="auto"/>
                <w:sz w:val="24"/>
              </w:rPr>
              <w:t>药液经滤芯过滤后循环使用，槽液随工件处理及自然蒸发会有损耗，需每天补充，使用</w:t>
            </w:r>
            <w:r>
              <w:rPr>
                <w:rFonts w:hint="eastAsia"/>
                <w:color w:val="auto"/>
                <w:sz w:val="24"/>
              </w:rPr>
              <w:t>表调剂</w:t>
            </w:r>
            <w:r>
              <w:rPr>
                <w:color w:val="auto"/>
                <w:sz w:val="24"/>
              </w:rPr>
              <w:t>与自来水按比例调配（</w:t>
            </w:r>
            <w:r>
              <w:rPr>
                <w:rFonts w:hint="eastAsia"/>
                <w:color w:val="auto"/>
                <w:sz w:val="24"/>
              </w:rPr>
              <w:t>表调剂0.3</w:t>
            </w:r>
            <w:r>
              <w:rPr>
                <w:color w:val="auto"/>
                <w:sz w:val="24"/>
              </w:rPr>
              <w:t>%），</w:t>
            </w:r>
            <w:r>
              <w:rPr>
                <w:rFonts w:hint="eastAsia"/>
                <w:color w:val="auto"/>
                <w:sz w:val="24"/>
              </w:rPr>
              <w:t>表调的作业时间合计为10h/d，65d/a，槽液约每年更换一次</w:t>
            </w:r>
            <w:r>
              <w:rPr>
                <w:color w:val="auto"/>
                <w:sz w:val="24"/>
              </w:rPr>
              <w:t>，该过程会产生废</w:t>
            </w:r>
            <w:r>
              <w:rPr>
                <w:rFonts w:hint="eastAsia"/>
                <w:color w:val="auto"/>
                <w:sz w:val="24"/>
              </w:rPr>
              <w:t>包装袋、</w:t>
            </w:r>
            <w:r>
              <w:rPr>
                <w:color w:val="auto"/>
                <w:sz w:val="24"/>
              </w:rPr>
              <w:t>废槽液、废滤芯</w:t>
            </w:r>
            <w:r>
              <w:rPr>
                <w:bCs/>
                <w:color w:val="auto"/>
                <w:sz w:val="24"/>
              </w:rPr>
              <w:t>。</w:t>
            </w:r>
          </w:p>
          <w:p w14:paraId="1E3EAC96">
            <w:pPr>
              <w:pStyle w:val="3"/>
              <w:spacing w:before="0" w:after="0" w:line="360" w:lineRule="auto"/>
              <w:ind w:left="0" w:firstLine="482" w:firstLineChars="200"/>
              <w:rPr>
                <w:rFonts w:eastAsia="宋体"/>
                <w:b w:val="0"/>
                <w:color w:val="auto"/>
                <w:kern w:val="2"/>
                <w:sz w:val="24"/>
                <w:szCs w:val="24"/>
              </w:rPr>
            </w:pPr>
            <w:r>
              <w:rPr>
                <w:rFonts w:eastAsia="宋体"/>
                <w:bCs w:val="0"/>
                <w:color w:val="auto"/>
                <w:kern w:val="2"/>
                <w:sz w:val="24"/>
                <w:szCs w:val="24"/>
              </w:rPr>
              <w:t>磷化</w:t>
            </w:r>
            <w:r>
              <w:rPr>
                <w:rFonts w:hint="eastAsia" w:eastAsia="宋体"/>
                <w:bCs w:val="0"/>
                <w:color w:val="auto"/>
                <w:kern w:val="2"/>
                <w:sz w:val="24"/>
                <w:szCs w:val="24"/>
              </w:rPr>
              <w:t>1、磷化2</w:t>
            </w:r>
            <w:r>
              <w:rPr>
                <w:rFonts w:eastAsia="宋体"/>
                <w:bCs w:val="0"/>
                <w:color w:val="auto"/>
                <w:kern w:val="2"/>
                <w:sz w:val="24"/>
                <w:szCs w:val="24"/>
              </w:rPr>
              <w:t>：</w:t>
            </w:r>
            <w:r>
              <w:rPr>
                <w:rFonts w:eastAsia="宋体"/>
                <w:b w:val="0"/>
                <w:color w:val="auto"/>
                <w:kern w:val="2"/>
                <w:sz w:val="24"/>
                <w:szCs w:val="24"/>
              </w:rPr>
              <w:t>磷化是将金属表面浸泡在含有磷酸盐的溶液中，通过化学反应在金属表面形成一层不溶于水的磷酸盐转化膜。这种转化膜具有微观多孔结构，能够提高金属与涂料等材料的附着力，同时提供一定的防腐蚀保护。项目采用</w:t>
            </w:r>
            <w:r>
              <w:rPr>
                <w:rFonts w:hint="eastAsia" w:eastAsia="宋体"/>
                <w:b w:val="0"/>
                <w:bCs w:val="0"/>
                <w:color w:val="auto"/>
                <w:sz w:val="24"/>
                <w:szCs w:val="24"/>
              </w:rPr>
              <w:t>浸泡</w:t>
            </w:r>
            <w:r>
              <w:rPr>
                <w:rFonts w:eastAsia="宋体"/>
                <w:b w:val="0"/>
                <w:color w:val="auto"/>
                <w:kern w:val="2"/>
                <w:sz w:val="24"/>
                <w:szCs w:val="24"/>
              </w:rPr>
              <w:t>方式，</w:t>
            </w:r>
            <w:r>
              <w:rPr>
                <w:rFonts w:hint="eastAsia" w:eastAsia="宋体"/>
                <w:b w:val="0"/>
                <w:color w:val="auto"/>
                <w:kern w:val="2"/>
                <w:sz w:val="24"/>
                <w:szCs w:val="24"/>
              </w:rPr>
              <w:t>停留时间为15</w:t>
            </w:r>
            <w:r>
              <w:rPr>
                <w:rFonts w:eastAsia="宋体"/>
                <w:b w:val="0"/>
                <w:color w:val="auto"/>
                <w:kern w:val="2"/>
                <w:sz w:val="24"/>
                <w:szCs w:val="24"/>
              </w:rPr>
              <w:t>min，操作温度</w:t>
            </w:r>
            <w:r>
              <w:rPr>
                <w:rFonts w:hint="eastAsia" w:eastAsia="宋体"/>
                <w:b w:val="0"/>
                <w:color w:val="auto"/>
                <w:kern w:val="2"/>
                <w:sz w:val="24"/>
                <w:szCs w:val="24"/>
              </w:rPr>
              <w:t>为</w:t>
            </w:r>
            <w:r>
              <w:rPr>
                <w:rFonts w:eastAsia="宋体"/>
                <w:b w:val="0"/>
                <w:color w:val="auto"/>
                <w:kern w:val="2"/>
                <w:sz w:val="24"/>
                <w:szCs w:val="24"/>
              </w:rPr>
              <w:t>室温。药液经滤芯过滤后循环使用，槽液随工件处理及自然蒸发会有损耗，需每天补充，使用</w:t>
            </w:r>
            <w:r>
              <w:rPr>
                <w:rFonts w:hint="eastAsia" w:eastAsia="宋体"/>
                <w:b w:val="0"/>
                <w:color w:val="auto"/>
                <w:kern w:val="2"/>
                <w:sz w:val="24"/>
                <w:szCs w:val="24"/>
              </w:rPr>
              <w:t>磷化剂、促进剂</w:t>
            </w:r>
            <w:r>
              <w:rPr>
                <w:rFonts w:eastAsia="宋体"/>
                <w:b w:val="0"/>
                <w:color w:val="auto"/>
                <w:kern w:val="2"/>
                <w:sz w:val="24"/>
                <w:szCs w:val="24"/>
              </w:rPr>
              <w:t>与自来水按比例调配（</w:t>
            </w:r>
            <w:r>
              <w:rPr>
                <w:rFonts w:hint="eastAsia" w:eastAsia="宋体"/>
                <w:b w:val="0"/>
                <w:color w:val="auto"/>
                <w:kern w:val="2"/>
                <w:sz w:val="24"/>
                <w:szCs w:val="24"/>
              </w:rPr>
              <w:t>磷化剂5</w:t>
            </w:r>
            <w:r>
              <w:rPr>
                <w:rFonts w:eastAsia="宋体"/>
                <w:b w:val="0"/>
                <w:color w:val="auto"/>
                <w:kern w:val="2"/>
                <w:sz w:val="24"/>
                <w:szCs w:val="24"/>
              </w:rPr>
              <w:t>%</w:t>
            </w:r>
            <w:r>
              <w:rPr>
                <w:rFonts w:hint="eastAsia" w:eastAsia="宋体"/>
                <w:b w:val="0"/>
                <w:color w:val="auto"/>
                <w:kern w:val="2"/>
                <w:sz w:val="24"/>
                <w:szCs w:val="24"/>
              </w:rPr>
              <w:t>、促进剂1.2%</w:t>
            </w:r>
            <w:r>
              <w:rPr>
                <w:rFonts w:eastAsia="宋体"/>
                <w:b w:val="0"/>
                <w:color w:val="auto"/>
                <w:kern w:val="2"/>
                <w:sz w:val="24"/>
                <w:szCs w:val="24"/>
              </w:rPr>
              <w:t>），磷化槽的槽液每个月捞渣过滤后循环使用，该过程会产生</w:t>
            </w:r>
            <w:r>
              <w:rPr>
                <w:rFonts w:hint="eastAsia" w:eastAsia="宋体"/>
                <w:b w:val="0"/>
                <w:color w:val="auto"/>
                <w:kern w:val="2"/>
                <w:sz w:val="24"/>
                <w:szCs w:val="24"/>
              </w:rPr>
              <w:t>废原料桶、废槽渣、</w:t>
            </w:r>
            <w:r>
              <w:rPr>
                <w:rFonts w:eastAsia="宋体"/>
                <w:b w:val="0"/>
                <w:color w:val="auto"/>
                <w:kern w:val="2"/>
                <w:sz w:val="24"/>
                <w:szCs w:val="24"/>
              </w:rPr>
              <w:t>废滤芯。</w:t>
            </w:r>
          </w:p>
          <w:p w14:paraId="656FBF2C">
            <w:pPr>
              <w:pStyle w:val="3"/>
              <w:spacing w:before="0" w:after="0" w:line="360" w:lineRule="auto"/>
              <w:ind w:left="0" w:firstLine="482" w:firstLineChars="200"/>
              <w:rPr>
                <w:rFonts w:eastAsia="宋体"/>
                <w:bCs w:val="0"/>
                <w:color w:val="auto"/>
                <w:kern w:val="2"/>
                <w:sz w:val="24"/>
                <w:szCs w:val="24"/>
              </w:rPr>
            </w:pPr>
            <w:r>
              <w:rPr>
                <w:rFonts w:hint="eastAsia" w:eastAsia="宋体"/>
                <w:bCs w:val="0"/>
                <w:color w:val="auto"/>
                <w:kern w:val="2"/>
                <w:sz w:val="24"/>
                <w:szCs w:val="24"/>
              </w:rPr>
              <w:t>清洗5</w:t>
            </w:r>
            <w:r>
              <w:rPr>
                <w:rFonts w:eastAsia="宋体"/>
                <w:bCs w:val="0"/>
                <w:color w:val="auto"/>
                <w:kern w:val="2"/>
                <w:sz w:val="24"/>
                <w:szCs w:val="24"/>
              </w:rPr>
              <w:t>、</w:t>
            </w:r>
            <w:r>
              <w:rPr>
                <w:rFonts w:hint="eastAsia" w:eastAsia="宋体"/>
                <w:bCs w:val="0"/>
                <w:color w:val="auto"/>
                <w:kern w:val="2"/>
                <w:sz w:val="24"/>
                <w:szCs w:val="24"/>
              </w:rPr>
              <w:t>清洗</w:t>
            </w:r>
            <w:r>
              <w:rPr>
                <w:rFonts w:eastAsia="宋体"/>
                <w:bCs w:val="0"/>
                <w:color w:val="auto"/>
                <w:kern w:val="2"/>
                <w:sz w:val="24"/>
                <w:szCs w:val="24"/>
              </w:rPr>
              <w:t>槽6：</w:t>
            </w:r>
            <w:r>
              <w:rPr>
                <w:rFonts w:hint="eastAsia" w:eastAsia="宋体"/>
                <w:b w:val="0"/>
                <w:color w:val="auto"/>
                <w:kern w:val="2"/>
                <w:sz w:val="24"/>
                <w:szCs w:val="24"/>
              </w:rPr>
              <w:t>磷化</w:t>
            </w:r>
            <w:r>
              <w:rPr>
                <w:rFonts w:eastAsia="宋体"/>
                <w:b w:val="0"/>
                <w:color w:val="auto"/>
                <w:kern w:val="2"/>
                <w:sz w:val="24"/>
                <w:szCs w:val="24"/>
              </w:rPr>
              <w:t>后的工件进入</w:t>
            </w:r>
            <w:r>
              <w:rPr>
                <w:rFonts w:hint="eastAsia" w:eastAsia="宋体"/>
                <w:b w:val="0"/>
                <w:color w:val="auto"/>
                <w:kern w:val="2"/>
                <w:sz w:val="24"/>
                <w:szCs w:val="24"/>
              </w:rPr>
              <w:t>清洗</w:t>
            </w:r>
            <w:r>
              <w:rPr>
                <w:rFonts w:eastAsia="宋体"/>
                <w:b w:val="0"/>
                <w:color w:val="auto"/>
                <w:kern w:val="2"/>
                <w:sz w:val="24"/>
                <w:szCs w:val="24"/>
              </w:rPr>
              <w:t>阶段，此处设</w:t>
            </w:r>
            <w:r>
              <w:rPr>
                <w:rFonts w:hint="eastAsia" w:eastAsia="宋体"/>
                <w:b w:val="0"/>
                <w:color w:val="auto"/>
                <w:kern w:val="2"/>
                <w:sz w:val="24"/>
                <w:szCs w:val="24"/>
              </w:rPr>
              <w:t>一</w:t>
            </w:r>
            <w:r>
              <w:rPr>
                <w:rFonts w:eastAsia="宋体"/>
                <w:b w:val="0"/>
                <w:color w:val="auto"/>
                <w:kern w:val="2"/>
                <w:sz w:val="24"/>
                <w:szCs w:val="24"/>
              </w:rPr>
              <w:t>级</w:t>
            </w:r>
            <w:r>
              <w:rPr>
                <w:rFonts w:hint="eastAsia" w:eastAsia="宋体"/>
                <w:b w:val="0"/>
                <w:color w:val="auto"/>
                <w:kern w:val="2"/>
                <w:sz w:val="24"/>
                <w:szCs w:val="24"/>
              </w:rPr>
              <w:t>清洗</w:t>
            </w:r>
            <w:r>
              <w:rPr>
                <w:rFonts w:eastAsia="宋体"/>
                <w:b w:val="0"/>
                <w:color w:val="auto"/>
                <w:kern w:val="2"/>
                <w:sz w:val="24"/>
                <w:szCs w:val="24"/>
              </w:rPr>
              <w:t>，采用的是</w:t>
            </w:r>
            <w:r>
              <w:rPr>
                <w:rFonts w:hint="eastAsia" w:eastAsia="宋体"/>
                <w:b w:val="0"/>
                <w:bCs w:val="0"/>
                <w:color w:val="auto"/>
                <w:sz w:val="24"/>
                <w:szCs w:val="24"/>
              </w:rPr>
              <w:t>浸泡</w:t>
            </w:r>
            <w:r>
              <w:rPr>
                <w:rFonts w:eastAsia="宋体"/>
                <w:b w:val="0"/>
                <w:color w:val="auto"/>
                <w:kern w:val="2"/>
                <w:sz w:val="24"/>
                <w:szCs w:val="24"/>
              </w:rPr>
              <w:t>的方式清洗，主要是去除工件表面的</w:t>
            </w:r>
            <w:r>
              <w:rPr>
                <w:rFonts w:hint="eastAsia" w:eastAsia="宋体"/>
                <w:b w:val="0"/>
                <w:color w:val="auto"/>
                <w:kern w:val="2"/>
                <w:sz w:val="24"/>
                <w:szCs w:val="24"/>
              </w:rPr>
              <w:t>磷化槽液</w:t>
            </w:r>
            <w:r>
              <w:rPr>
                <w:rFonts w:eastAsia="宋体"/>
                <w:b w:val="0"/>
                <w:color w:val="auto"/>
                <w:kern w:val="2"/>
                <w:sz w:val="24"/>
                <w:szCs w:val="24"/>
              </w:rPr>
              <w:t>，</w:t>
            </w:r>
            <w:r>
              <w:rPr>
                <w:rFonts w:hint="eastAsia" w:eastAsia="宋体"/>
                <w:b w:val="0"/>
                <w:bCs w:val="0"/>
                <w:color w:val="auto"/>
                <w:sz w:val="24"/>
                <w:szCs w:val="24"/>
              </w:rPr>
              <w:t>浸泡</w:t>
            </w:r>
            <w:r>
              <w:rPr>
                <w:rFonts w:eastAsia="宋体"/>
                <w:b w:val="0"/>
                <w:color w:val="auto"/>
                <w:kern w:val="2"/>
                <w:sz w:val="24"/>
                <w:szCs w:val="24"/>
              </w:rPr>
              <w:t>时间为</w:t>
            </w:r>
            <w:r>
              <w:rPr>
                <w:rFonts w:hint="eastAsia" w:eastAsia="宋体"/>
                <w:b w:val="0"/>
                <w:color w:val="auto"/>
                <w:kern w:val="2"/>
                <w:sz w:val="24"/>
                <w:szCs w:val="24"/>
              </w:rPr>
              <w:t>1</w:t>
            </w:r>
            <w:r>
              <w:rPr>
                <w:rFonts w:eastAsia="宋体"/>
                <w:b w:val="0"/>
                <w:color w:val="auto"/>
                <w:kern w:val="2"/>
                <w:sz w:val="24"/>
                <w:szCs w:val="24"/>
              </w:rPr>
              <w:t>min，</w:t>
            </w:r>
            <w:r>
              <w:rPr>
                <w:rFonts w:hint="eastAsia" w:eastAsia="宋体"/>
                <w:b w:val="0"/>
                <w:color w:val="auto"/>
                <w:kern w:val="2"/>
                <w:sz w:val="24"/>
                <w:szCs w:val="24"/>
              </w:rPr>
              <w:t>操作温度为</w:t>
            </w:r>
            <w:r>
              <w:rPr>
                <w:rFonts w:eastAsia="宋体"/>
                <w:b w:val="0"/>
                <w:color w:val="auto"/>
                <w:kern w:val="2"/>
                <w:sz w:val="24"/>
                <w:szCs w:val="24"/>
              </w:rPr>
              <w:t>常温</w:t>
            </w:r>
            <w:r>
              <w:rPr>
                <w:rFonts w:hint="eastAsia" w:eastAsia="宋体"/>
                <w:b w:val="0"/>
                <w:color w:val="auto"/>
                <w:kern w:val="2"/>
                <w:sz w:val="24"/>
                <w:szCs w:val="24"/>
              </w:rPr>
              <w:t>，</w:t>
            </w:r>
            <w:r>
              <w:rPr>
                <w:rFonts w:hint="eastAsia" w:eastAsia="宋体"/>
                <w:b w:val="0"/>
                <w:bCs w:val="0"/>
                <w:color w:val="auto"/>
                <w:sz w:val="24"/>
                <w:szCs w:val="24"/>
              </w:rPr>
              <w:t>清洗水随工件处理及自然蒸发会有损耗，需每天补充，清洗</w:t>
            </w:r>
            <w:r>
              <w:rPr>
                <w:rFonts w:eastAsia="宋体"/>
                <w:b w:val="0"/>
                <w:bCs w:val="0"/>
                <w:color w:val="auto"/>
                <w:sz w:val="24"/>
                <w:szCs w:val="24"/>
              </w:rPr>
              <w:t>槽每</w:t>
            </w:r>
            <w:r>
              <w:rPr>
                <w:rFonts w:hint="eastAsia" w:eastAsia="宋体"/>
                <w:b w:val="0"/>
                <w:bCs w:val="0"/>
                <w:color w:val="auto"/>
                <w:sz w:val="24"/>
                <w:szCs w:val="24"/>
              </w:rPr>
              <w:t>10</w:t>
            </w:r>
            <w:r>
              <w:rPr>
                <w:rFonts w:eastAsia="宋体"/>
                <w:b w:val="0"/>
                <w:bCs w:val="0"/>
                <w:color w:val="auto"/>
                <w:sz w:val="24"/>
                <w:szCs w:val="24"/>
              </w:rPr>
              <w:t>天整槽更换一次</w:t>
            </w:r>
            <w:r>
              <w:rPr>
                <w:rFonts w:hint="eastAsia" w:eastAsia="宋体"/>
                <w:b w:val="0"/>
                <w:bCs w:val="0"/>
                <w:color w:val="auto"/>
                <w:sz w:val="24"/>
                <w:szCs w:val="24"/>
              </w:rPr>
              <w:t>，补充用水和换槽用水均为自来水</w:t>
            </w:r>
            <w:r>
              <w:rPr>
                <w:rFonts w:eastAsia="宋体"/>
                <w:b w:val="0"/>
                <w:color w:val="auto"/>
                <w:kern w:val="2"/>
                <w:sz w:val="24"/>
                <w:szCs w:val="24"/>
              </w:rPr>
              <w:t>。该过程会产生清洗废水。</w:t>
            </w:r>
          </w:p>
          <w:p w14:paraId="0B05DC2C">
            <w:pPr>
              <w:adjustRightInd w:val="0"/>
              <w:snapToGrid w:val="0"/>
              <w:spacing w:line="360" w:lineRule="auto"/>
              <w:ind w:firstLine="440"/>
              <w:rPr>
                <w:color w:val="auto"/>
                <w:sz w:val="24"/>
              </w:rPr>
            </w:pPr>
            <w:r>
              <w:rPr>
                <w:b/>
                <w:bCs/>
                <w:color w:val="auto"/>
                <w:sz w:val="24"/>
              </w:rPr>
              <w:t>烘干：</w:t>
            </w:r>
            <w:r>
              <w:rPr>
                <w:color w:val="auto"/>
                <w:sz w:val="24"/>
              </w:rPr>
              <w:t>将工件送至</w:t>
            </w:r>
            <w:r>
              <w:rPr>
                <w:rFonts w:hint="eastAsia"/>
                <w:color w:val="auto"/>
                <w:sz w:val="24"/>
              </w:rPr>
              <w:t>烘烤柜</w:t>
            </w:r>
            <w:r>
              <w:rPr>
                <w:color w:val="auto"/>
                <w:sz w:val="24"/>
              </w:rPr>
              <w:t>炉进行烘干，燃料为天然气，采用直接加热方式（天然气燃烧机燃烧产生的热风通过管道直接引入烘干炉），控制炉内温度为1</w:t>
            </w:r>
            <w:r>
              <w:rPr>
                <w:rFonts w:hint="eastAsia"/>
                <w:color w:val="auto"/>
                <w:sz w:val="24"/>
              </w:rPr>
              <w:t>5</w:t>
            </w:r>
            <w:r>
              <w:rPr>
                <w:color w:val="auto"/>
                <w:sz w:val="24"/>
              </w:rPr>
              <w:t>0</w:t>
            </w:r>
            <w:r>
              <w:rPr>
                <w:rFonts w:hint="eastAsia" w:ascii="宋体" w:hAnsi="宋体" w:cs="宋体"/>
                <w:color w:val="auto"/>
                <w:sz w:val="24"/>
              </w:rPr>
              <w:t>℃</w:t>
            </w:r>
            <w:r>
              <w:rPr>
                <w:color w:val="auto"/>
                <w:sz w:val="24"/>
              </w:rPr>
              <w:t>左右，烘干时间约1</w:t>
            </w:r>
            <w:r>
              <w:rPr>
                <w:rFonts w:hint="eastAsia"/>
                <w:color w:val="auto"/>
                <w:sz w:val="24"/>
              </w:rPr>
              <w:t>5</w:t>
            </w:r>
            <w:r>
              <w:rPr>
                <w:color w:val="auto"/>
                <w:sz w:val="24"/>
              </w:rPr>
              <w:t>min，可烘干工件表面水分。天然气燃烧过程会产生燃烧废气及噪声。</w:t>
            </w:r>
          </w:p>
          <w:p w14:paraId="7ADC27A6">
            <w:pPr>
              <w:pStyle w:val="43"/>
              <w:rPr>
                <w:color w:val="auto"/>
              </w:rPr>
            </w:pPr>
          </w:p>
          <w:p w14:paraId="6AE9F6D3">
            <w:pPr>
              <w:rPr>
                <w:color w:val="auto"/>
                <w:sz w:val="24"/>
              </w:rPr>
            </w:pPr>
          </w:p>
          <w:p w14:paraId="2CAEEFAB">
            <w:pPr>
              <w:pStyle w:val="43"/>
              <w:rPr>
                <w:color w:val="auto"/>
              </w:rPr>
            </w:pPr>
          </w:p>
          <w:p w14:paraId="4E2D4611">
            <w:pPr>
              <w:rPr>
                <w:color w:val="auto"/>
                <w:sz w:val="24"/>
              </w:rPr>
            </w:pPr>
          </w:p>
          <w:p w14:paraId="5BE650F0">
            <w:pPr>
              <w:rPr>
                <w:color w:val="auto"/>
                <w:sz w:val="24"/>
              </w:rPr>
            </w:pPr>
          </w:p>
          <w:p w14:paraId="39E5D6F0">
            <w:pPr>
              <w:pStyle w:val="43"/>
              <w:rPr>
                <w:color w:val="auto"/>
              </w:rPr>
            </w:pPr>
          </w:p>
          <w:p w14:paraId="41738A15">
            <w:pPr>
              <w:rPr>
                <w:color w:val="auto"/>
                <w:sz w:val="24"/>
              </w:rPr>
            </w:pPr>
          </w:p>
          <w:p w14:paraId="088519C1">
            <w:pPr>
              <w:rPr>
                <w:color w:val="auto"/>
                <w:sz w:val="24"/>
              </w:rPr>
            </w:pPr>
          </w:p>
          <w:p w14:paraId="7539B795">
            <w:pPr>
              <w:pStyle w:val="43"/>
              <w:ind w:firstLine="482"/>
              <w:rPr>
                <w:b/>
                <w:bCs/>
                <w:color w:val="auto"/>
              </w:rPr>
            </w:pPr>
            <w:r>
              <w:rPr>
                <w:rFonts w:hint="eastAsia"/>
                <w:b/>
                <w:bCs/>
                <w:color w:val="auto"/>
              </w:rPr>
              <w:t>（2）返工生产工艺</w:t>
            </w:r>
          </w:p>
          <w:p w14:paraId="4244D15B">
            <w:pPr>
              <w:pStyle w:val="43"/>
              <w:rPr>
                <w:color w:val="auto"/>
              </w:rPr>
            </w:pPr>
            <w:r>
              <w:rPr>
                <w:rFonts w:hint="eastAsia"/>
                <w:color w:val="auto"/>
              </w:rPr>
              <w:t>外观检验不合格产品需进行返工检修，返工工艺如下：</w:t>
            </w:r>
          </w:p>
          <w:p w14:paraId="65205E35">
            <w:pPr>
              <w:jc w:val="center"/>
              <w:rPr>
                <w:color w:val="auto"/>
              </w:rPr>
            </w:pPr>
            <w:r>
              <w:rPr>
                <w:b/>
                <w:bCs/>
                <w:color w:val="auto"/>
                <w:sz w:val="8"/>
                <w:szCs w:val="8"/>
              </w:rPr>
              <w:object>
                <v:shape id="_x0000_i1031" o:spt="75" type="#_x0000_t75" style="height:251.85pt;width:389pt;" o:ole="t" filled="f" o:preferrelative="t" stroked="f" coordsize="21600,21600">
                  <v:path/>
                  <v:fill on="f" focussize="0,0"/>
                  <v:stroke on="f" joinstyle="miter"/>
                  <v:imagedata r:id="rId29" cropbottom="36245f" o:title=""/>
                  <o:lock v:ext="edit" aspectratio="f"/>
                  <w10:wrap type="none"/>
                  <w10:anchorlock/>
                </v:shape>
                <o:OLEObject Type="Embed" ProgID="Visio.Drawing.15" ShapeID="_x0000_i1031" DrawAspect="Content" ObjectID="_1468075731" r:id="rId28">
                  <o:LockedField>false</o:LockedField>
                </o:OLEObject>
              </w:object>
            </w:r>
          </w:p>
          <w:p w14:paraId="25CB0267">
            <w:pPr>
              <w:numPr>
                <w:ilvl w:val="0"/>
                <w:numId w:val="12"/>
              </w:numPr>
              <w:spacing w:line="360" w:lineRule="auto"/>
              <w:ind w:firstLine="422" w:firstLineChars="200"/>
              <w:jc w:val="center"/>
              <w:rPr>
                <w:b/>
                <w:bCs/>
                <w:color w:val="auto"/>
              </w:rPr>
            </w:pPr>
            <w:r>
              <w:rPr>
                <w:b/>
                <w:bCs/>
                <w:color w:val="auto"/>
              </w:rPr>
              <w:t xml:space="preserve"> </w:t>
            </w:r>
            <w:r>
              <w:rPr>
                <w:rFonts w:hint="eastAsia"/>
                <w:b/>
                <w:bCs/>
                <w:color w:val="auto"/>
              </w:rPr>
              <w:t>返工</w:t>
            </w:r>
            <w:r>
              <w:rPr>
                <w:b/>
                <w:bCs/>
                <w:color w:val="auto"/>
              </w:rPr>
              <w:t>生产工艺流程及产污节点图</w:t>
            </w:r>
          </w:p>
          <w:p w14:paraId="7827F983">
            <w:pPr>
              <w:spacing w:line="360" w:lineRule="auto"/>
              <w:ind w:firstLine="489" w:firstLineChars="203"/>
              <w:rPr>
                <w:b/>
                <w:bCs/>
                <w:color w:val="auto"/>
                <w:sz w:val="24"/>
              </w:rPr>
            </w:pPr>
            <w:r>
              <w:rPr>
                <w:b/>
                <w:bCs/>
                <w:color w:val="auto"/>
                <w:sz w:val="24"/>
              </w:rPr>
              <w:t>工艺流程说明：</w:t>
            </w:r>
          </w:p>
          <w:p w14:paraId="309C1D76">
            <w:pPr>
              <w:spacing w:line="360" w:lineRule="auto"/>
              <w:ind w:firstLine="489" w:firstLineChars="203"/>
              <w:rPr>
                <w:color w:val="auto"/>
                <w:sz w:val="24"/>
              </w:rPr>
            </w:pPr>
            <w:r>
              <w:rPr>
                <w:rFonts w:hint="eastAsia"/>
                <w:b/>
                <w:bCs/>
                <w:color w:val="auto"/>
                <w:sz w:val="24"/>
              </w:rPr>
              <w:t>打磨</w:t>
            </w:r>
            <w:r>
              <w:rPr>
                <w:b/>
                <w:bCs/>
                <w:color w:val="auto"/>
                <w:sz w:val="24"/>
              </w:rPr>
              <w:t>：</w:t>
            </w:r>
            <w:r>
              <w:rPr>
                <w:rFonts w:hint="eastAsia"/>
                <w:color w:val="auto"/>
                <w:sz w:val="24"/>
              </w:rPr>
              <w:t>利用打砂机或者抛光机对不合格工件进行表面打磨，瑕疵小的不合格品在此工序即可完成检修进入包装工序。</w:t>
            </w:r>
            <w:r>
              <w:rPr>
                <w:color w:val="auto"/>
                <w:sz w:val="24"/>
              </w:rPr>
              <w:t>此过程产生</w:t>
            </w:r>
            <w:r>
              <w:rPr>
                <w:rFonts w:hint="eastAsia"/>
                <w:color w:val="auto"/>
                <w:sz w:val="24"/>
              </w:rPr>
              <w:t>打磨废气、</w:t>
            </w:r>
            <w:r>
              <w:rPr>
                <w:color w:val="auto"/>
                <w:sz w:val="24"/>
              </w:rPr>
              <w:t>噪声</w:t>
            </w:r>
            <w:r>
              <w:rPr>
                <w:rFonts w:hint="eastAsia"/>
                <w:color w:val="auto"/>
                <w:sz w:val="24"/>
              </w:rPr>
              <w:t>。</w:t>
            </w:r>
          </w:p>
          <w:p w14:paraId="70230FE8">
            <w:pPr>
              <w:spacing w:line="360" w:lineRule="auto"/>
              <w:ind w:firstLine="489" w:firstLineChars="203"/>
              <w:rPr>
                <w:color w:val="auto"/>
                <w:sz w:val="24"/>
              </w:rPr>
            </w:pPr>
            <w:r>
              <w:rPr>
                <w:rFonts w:hint="eastAsia"/>
                <w:b/>
                <w:bCs/>
                <w:color w:val="auto"/>
                <w:sz w:val="24"/>
              </w:rPr>
              <w:t>喷涂</w:t>
            </w:r>
            <w:r>
              <w:rPr>
                <w:b/>
                <w:bCs/>
                <w:color w:val="auto"/>
                <w:sz w:val="24"/>
              </w:rPr>
              <w:t>：</w:t>
            </w:r>
            <w:r>
              <w:rPr>
                <w:rFonts w:hint="eastAsia"/>
                <w:color w:val="auto"/>
                <w:sz w:val="24"/>
              </w:rPr>
              <w:t>瑕疵大的不合格品需重新进行喷涂，需进行喷粉的工件返回粉线房处理，进行喷漆的工件返回尾数房处理</w:t>
            </w:r>
            <w:r>
              <w:rPr>
                <w:color w:val="auto"/>
                <w:sz w:val="24"/>
              </w:rPr>
              <w:t>。</w:t>
            </w:r>
            <w:r>
              <w:rPr>
                <w:rFonts w:hint="eastAsia"/>
                <w:color w:val="auto"/>
                <w:sz w:val="24"/>
              </w:rPr>
              <w:t>此过程会产生喷漆废气、噪声、水帘柜废水、喷枪清洗废水。</w:t>
            </w:r>
          </w:p>
          <w:p w14:paraId="0C262188">
            <w:pPr>
              <w:spacing w:line="360" w:lineRule="auto"/>
              <w:ind w:firstLine="489" w:firstLineChars="203"/>
              <w:rPr>
                <w:color w:val="auto"/>
                <w:sz w:val="24"/>
              </w:rPr>
            </w:pPr>
            <w:r>
              <w:rPr>
                <w:rFonts w:hint="eastAsia"/>
                <w:b/>
                <w:bCs/>
                <w:color w:val="auto"/>
                <w:sz w:val="24"/>
              </w:rPr>
              <w:t>烘烤</w:t>
            </w:r>
            <w:r>
              <w:rPr>
                <w:b/>
                <w:bCs/>
                <w:color w:val="auto"/>
                <w:sz w:val="24"/>
              </w:rPr>
              <w:t>：</w:t>
            </w:r>
            <w:r>
              <w:rPr>
                <w:rFonts w:hint="eastAsia"/>
                <w:color w:val="auto"/>
                <w:sz w:val="24"/>
              </w:rPr>
              <w:t>此工序在烘烤柜炉内加热固化</w:t>
            </w:r>
            <w:r>
              <w:rPr>
                <w:color w:val="auto"/>
                <w:sz w:val="24"/>
              </w:rPr>
              <w:t>，加热到一定温度（</w:t>
            </w:r>
            <w:r>
              <w:rPr>
                <w:rFonts w:hint="eastAsia"/>
                <w:color w:val="auto"/>
                <w:sz w:val="24"/>
              </w:rPr>
              <w:t>底漆、面漆烘烤温度为</w:t>
            </w:r>
            <w:r>
              <w:rPr>
                <w:color w:val="auto"/>
                <w:sz w:val="24"/>
              </w:rPr>
              <w:t>200℃，清漆烘烤温度为150℃），并保温相应的时间（</w:t>
            </w:r>
            <w:r>
              <w:rPr>
                <w:rFonts w:hint="eastAsia"/>
                <w:color w:val="auto"/>
                <w:sz w:val="24"/>
              </w:rPr>
              <w:t>烘烤</w:t>
            </w:r>
            <w:r>
              <w:rPr>
                <w:color w:val="auto"/>
                <w:sz w:val="24"/>
              </w:rPr>
              <w:t>时间为15min），使金属表面的</w:t>
            </w:r>
            <w:r>
              <w:rPr>
                <w:rFonts w:hint="eastAsia"/>
                <w:color w:val="auto"/>
                <w:sz w:val="24"/>
              </w:rPr>
              <w:t>涂料固化</w:t>
            </w:r>
            <w:r>
              <w:rPr>
                <w:color w:val="auto"/>
                <w:sz w:val="24"/>
              </w:rPr>
              <w:t>。项目</w:t>
            </w:r>
            <w:r>
              <w:rPr>
                <w:rFonts w:hint="eastAsia"/>
                <w:color w:val="auto"/>
                <w:sz w:val="24"/>
              </w:rPr>
              <w:t>烘烤</w:t>
            </w:r>
            <w:r>
              <w:rPr>
                <w:color w:val="auto"/>
                <w:sz w:val="24"/>
              </w:rPr>
              <w:t>采用天然气能作为能源，加热方式为直接加热</w:t>
            </w:r>
            <w:r>
              <w:rPr>
                <w:rStyle w:val="42"/>
                <w:color w:val="auto"/>
                <w:kern w:val="0"/>
                <w:sz w:val="24"/>
              </w:rPr>
              <w:t>（</w:t>
            </w:r>
            <w:r>
              <w:rPr>
                <w:color w:val="auto"/>
                <w:sz w:val="24"/>
              </w:rPr>
              <w:t>天然气燃烧机燃烧产生的热风通过管道直接引入</w:t>
            </w:r>
            <w:r>
              <w:rPr>
                <w:rFonts w:hint="eastAsia"/>
                <w:color w:val="auto"/>
                <w:sz w:val="24"/>
              </w:rPr>
              <w:t>烘烤柜炉</w:t>
            </w:r>
            <w:r>
              <w:rPr>
                <w:color w:val="auto"/>
                <w:sz w:val="24"/>
              </w:rPr>
              <w:t>），该工序会产生</w:t>
            </w:r>
            <w:r>
              <w:rPr>
                <w:rFonts w:hint="eastAsia"/>
                <w:color w:val="auto"/>
                <w:sz w:val="24"/>
              </w:rPr>
              <w:t>烘烤废气</w:t>
            </w:r>
            <w:r>
              <w:rPr>
                <w:color w:val="auto"/>
                <w:sz w:val="24"/>
              </w:rPr>
              <w:t>、天然气燃烧废气及噪声。</w:t>
            </w:r>
          </w:p>
          <w:p w14:paraId="2DE127C3">
            <w:pPr>
              <w:pStyle w:val="43"/>
              <w:ind w:firstLine="482"/>
              <w:rPr>
                <w:color w:val="auto"/>
              </w:rPr>
            </w:pPr>
            <w:r>
              <w:rPr>
                <w:rFonts w:hint="eastAsia"/>
                <w:b/>
                <w:bCs/>
                <w:color w:val="auto"/>
              </w:rPr>
              <w:t>外观检验、包装入库：</w:t>
            </w:r>
            <w:r>
              <w:rPr>
                <w:rFonts w:hint="eastAsia"/>
                <w:color w:val="auto"/>
              </w:rPr>
              <w:t>烘烤</w:t>
            </w:r>
            <w:r>
              <w:rPr>
                <w:color w:val="auto"/>
              </w:rPr>
              <w:t>后的产品进行人工检查产品外观，合格外观的产品进行包装</w:t>
            </w:r>
            <w:r>
              <w:rPr>
                <w:rFonts w:hint="eastAsia"/>
                <w:color w:val="auto"/>
              </w:rPr>
              <w:t>。</w:t>
            </w:r>
          </w:p>
          <w:p w14:paraId="31BF3703">
            <w:pPr>
              <w:numPr>
                <w:ilvl w:val="0"/>
                <w:numId w:val="10"/>
              </w:numPr>
              <w:adjustRightInd w:val="0"/>
              <w:snapToGrid w:val="0"/>
              <w:jc w:val="center"/>
              <w:rPr>
                <w:b/>
                <w:color w:val="auto"/>
                <w:szCs w:val="21"/>
              </w:rPr>
            </w:pPr>
            <w:r>
              <w:rPr>
                <w:rFonts w:hint="eastAsia"/>
                <w:b/>
                <w:color w:val="auto"/>
                <w:szCs w:val="21"/>
              </w:rPr>
              <w:t>项目运</w:t>
            </w:r>
            <w:r>
              <w:rPr>
                <w:b/>
                <w:color w:val="auto"/>
                <w:szCs w:val="21"/>
              </w:rPr>
              <w:t>营期主要污染物产生环节及污染因子汇总一览表</w:t>
            </w:r>
          </w:p>
          <w:tbl>
            <w:tblPr>
              <w:tblStyle w:val="35"/>
              <w:tblW w:w="100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731"/>
              <w:gridCol w:w="1786"/>
              <w:gridCol w:w="1686"/>
              <w:gridCol w:w="721"/>
              <w:gridCol w:w="3285"/>
            </w:tblGrid>
            <w:tr w14:paraId="0F35D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04" w:type="dxa"/>
                  <w:vAlign w:val="center"/>
                </w:tcPr>
                <w:p w14:paraId="0FAE3965">
                  <w:pPr>
                    <w:pStyle w:val="6"/>
                    <w:spacing w:line="240" w:lineRule="auto"/>
                    <w:ind w:left="0" w:leftChars="0" w:firstLine="0" w:firstLineChars="0"/>
                    <w:jc w:val="center"/>
                    <w:rPr>
                      <w:b/>
                      <w:bCs/>
                      <w:color w:val="auto"/>
                    </w:rPr>
                  </w:pPr>
                  <w:r>
                    <w:rPr>
                      <w:b/>
                      <w:bCs/>
                      <w:color w:val="auto"/>
                    </w:rPr>
                    <w:t>污染类别</w:t>
                  </w:r>
                </w:p>
              </w:tc>
              <w:tc>
                <w:tcPr>
                  <w:tcW w:w="1731" w:type="dxa"/>
                  <w:vAlign w:val="center"/>
                </w:tcPr>
                <w:p w14:paraId="29DCA039">
                  <w:pPr>
                    <w:pStyle w:val="6"/>
                    <w:spacing w:line="240" w:lineRule="auto"/>
                    <w:ind w:left="0" w:leftChars="0" w:firstLine="0" w:firstLineChars="0"/>
                    <w:jc w:val="center"/>
                    <w:rPr>
                      <w:b/>
                      <w:bCs/>
                      <w:color w:val="auto"/>
                    </w:rPr>
                  </w:pPr>
                  <w:r>
                    <w:rPr>
                      <w:b/>
                      <w:bCs/>
                      <w:color w:val="auto"/>
                    </w:rPr>
                    <w:t>污染源名称</w:t>
                  </w:r>
                </w:p>
              </w:tc>
              <w:tc>
                <w:tcPr>
                  <w:tcW w:w="1786" w:type="dxa"/>
                  <w:vAlign w:val="center"/>
                </w:tcPr>
                <w:p w14:paraId="0FFB7DF5">
                  <w:pPr>
                    <w:pStyle w:val="6"/>
                    <w:spacing w:line="240" w:lineRule="auto"/>
                    <w:ind w:left="0" w:leftChars="0" w:firstLine="0" w:firstLineChars="0"/>
                    <w:jc w:val="center"/>
                    <w:rPr>
                      <w:b/>
                      <w:bCs/>
                      <w:color w:val="auto"/>
                    </w:rPr>
                  </w:pPr>
                  <w:r>
                    <w:rPr>
                      <w:b/>
                      <w:bCs/>
                      <w:color w:val="auto"/>
                    </w:rPr>
                    <w:t>产生环节</w:t>
                  </w:r>
                </w:p>
              </w:tc>
              <w:tc>
                <w:tcPr>
                  <w:tcW w:w="1686" w:type="dxa"/>
                  <w:vAlign w:val="center"/>
                </w:tcPr>
                <w:p w14:paraId="3E1BCBEA">
                  <w:pPr>
                    <w:pStyle w:val="6"/>
                    <w:spacing w:line="240" w:lineRule="auto"/>
                    <w:ind w:left="0" w:leftChars="0" w:firstLine="0" w:firstLineChars="0"/>
                    <w:jc w:val="center"/>
                    <w:rPr>
                      <w:b/>
                      <w:bCs/>
                      <w:color w:val="auto"/>
                    </w:rPr>
                  </w:pPr>
                  <w:r>
                    <w:rPr>
                      <w:b/>
                      <w:bCs/>
                      <w:color w:val="auto"/>
                    </w:rPr>
                    <w:t>主要污染因子</w:t>
                  </w:r>
                </w:p>
              </w:tc>
              <w:tc>
                <w:tcPr>
                  <w:tcW w:w="721" w:type="dxa"/>
                  <w:vAlign w:val="center"/>
                </w:tcPr>
                <w:p w14:paraId="4B6A946B">
                  <w:pPr>
                    <w:pStyle w:val="6"/>
                    <w:spacing w:line="240" w:lineRule="auto"/>
                    <w:ind w:left="0" w:leftChars="0" w:firstLine="0" w:firstLineChars="0"/>
                    <w:jc w:val="center"/>
                    <w:rPr>
                      <w:b/>
                      <w:bCs/>
                      <w:color w:val="auto"/>
                    </w:rPr>
                  </w:pPr>
                  <w:r>
                    <w:rPr>
                      <w:b/>
                      <w:bCs/>
                      <w:color w:val="auto"/>
                    </w:rPr>
                    <w:t>排放特征</w:t>
                  </w:r>
                </w:p>
              </w:tc>
              <w:tc>
                <w:tcPr>
                  <w:tcW w:w="3285" w:type="dxa"/>
                  <w:vAlign w:val="center"/>
                </w:tcPr>
                <w:p w14:paraId="52CCA07E">
                  <w:pPr>
                    <w:pStyle w:val="6"/>
                    <w:spacing w:line="240" w:lineRule="auto"/>
                    <w:ind w:left="0" w:leftChars="0" w:firstLine="0" w:firstLineChars="0"/>
                    <w:jc w:val="center"/>
                    <w:rPr>
                      <w:b/>
                      <w:bCs/>
                      <w:color w:val="auto"/>
                    </w:rPr>
                  </w:pPr>
                  <w:r>
                    <w:rPr>
                      <w:b/>
                      <w:bCs/>
                      <w:color w:val="auto"/>
                    </w:rPr>
                    <w:t>拟采取措施</w:t>
                  </w:r>
                </w:p>
              </w:tc>
            </w:tr>
            <w:tr w14:paraId="4690A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04" w:type="dxa"/>
                  <w:vMerge w:val="restart"/>
                  <w:vAlign w:val="center"/>
                </w:tcPr>
                <w:p w14:paraId="1E8D7AD9">
                  <w:pPr>
                    <w:pStyle w:val="6"/>
                    <w:spacing w:line="240" w:lineRule="auto"/>
                    <w:ind w:left="0" w:leftChars="0" w:firstLine="0" w:firstLineChars="0"/>
                    <w:jc w:val="center"/>
                    <w:rPr>
                      <w:color w:val="auto"/>
                    </w:rPr>
                  </w:pPr>
                  <w:r>
                    <w:rPr>
                      <w:color w:val="auto"/>
                    </w:rPr>
                    <w:t>废气</w:t>
                  </w:r>
                </w:p>
              </w:tc>
              <w:tc>
                <w:tcPr>
                  <w:tcW w:w="1731" w:type="dxa"/>
                  <w:vAlign w:val="center"/>
                </w:tcPr>
                <w:p w14:paraId="34AEAC54">
                  <w:pPr>
                    <w:pStyle w:val="6"/>
                    <w:spacing w:line="240" w:lineRule="auto"/>
                    <w:ind w:left="0" w:leftChars="0" w:firstLine="0" w:firstLineChars="0"/>
                    <w:jc w:val="center"/>
                    <w:rPr>
                      <w:color w:val="auto"/>
                    </w:rPr>
                  </w:pPr>
                  <w:r>
                    <w:rPr>
                      <w:rFonts w:hint="eastAsia"/>
                      <w:color w:val="auto"/>
                    </w:rPr>
                    <w:t>抛丸粉尘</w:t>
                  </w:r>
                </w:p>
              </w:tc>
              <w:tc>
                <w:tcPr>
                  <w:tcW w:w="1786" w:type="dxa"/>
                  <w:vAlign w:val="center"/>
                </w:tcPr>
                <w:p w14:paraId="2C15CFA9">
                  <w:pPr>
                    <w:pStyle w:val="6"/>
                    <w:spacing w:line="240" w:lineRule="auto"/>
                    <w:ind w:left="0" w:leftChars="0" w:firstLine="0" w:firstLineChars="0"/>
                    <w:jc w:val="center"/>
                    <w:rPr>
                      <w:color w:val="auto"/>
                    </w:rPr>
                  </w:pPr>
                  <w:r>
                    <w:rPr>
                      <w:rFonts w:hint="eastAsia"/>
                      <w:color w:val="auto"/>
                    </w:rPr>
                    <w:t>抛丸</w:t>
                  </w:r>
                </w:p>
              </w:tc>
              <w:tc>
                <w:tcPr>
                  <w:tcW w:w="1686" w:type="dxa"/>
                  <w:vAlign w:val="center"/>
                </w:tcPr>
                <w:p w14:paraId="5BCC4243">
                  <w:pPr>
                    <w:pStyle w:val="6"/>
                    <w:spacing w:line="240" w:lineRule="auto"/>
                    <w:ind w:left="0" w:leftChars="0" w:firstLine="0" w:firstLineChars="0"/>
                    <w:jc w:val="center"/>
                    <w:rPr>
                      <w:color w:val="auto"/>
                    </w:rPr>
                  </w:pPr>
                  <w:r>
                    <w:rPr>
                      <w:color w:val="auto"/>
                    </w:rPr>
                    <w:t>颗粒物</w:t>
                  </w:r>
                </w:p>
              </w:tc>
              <w:tc>
                <w:tcPr>
                  <w:tcW w:w="721" w:type="dxa"/>
                  <w:vAlign w:val="center"/>
                </w:tcPr>
                <w:p w14:paraId="4616E333">
                  <w:pPr>
                    <w:pStyle w:val="6"/>
                    <w:spacing w:line="240" w:lineRule="auto"/>
                    <w:ind w:left="0" w:leftChars="0" w:firstLine="0" w:firstLineChars="0"/>
                    <w:jc w:val="center"/>
                    <w:rPr>
                      <w:color w:val="auto"/>
                    </w:rPr>
                  </w:pPr>
                  <w:r>
                    <w:rPr>
                      <w:color w:val="auto"/>
                    </w:rPr>
                    <w:t>间断</w:t>
                  </w:r>
                </w:p>
              </w:tc>
              <w:tc>
                <w:tcPr>
                  <w:tcW w:w="3285" w:type="dxa"/>
                  <w:vAlign w:val="center"/>
                </w:tcPr>
                <w:p w14:paraId="7716F3B7">
                  <w:pPr>
                    <w:pStyle w:val="6"/>
                    <w:spacing w:line="240" w:lineRule="auto"/>
                    <w:ind w:left="0" w:leftChars="0" w:firstLine="0" w:firstLineChars="0"/>
                    <w:jc w:val="center"/>
                    <w:rPr>
                      <w:color w:val="auto"/>
                    </w:rPr>
                  </w:pPr>
                  <w:r>
                    <w:rPr>
                      <w:rFonts w:hint="eastAsia"/>
                      <w:color w:val="auto"/>
                      <w:szCs w:val="21"/>
                    </w:rPr>
                    <w:t>设备密闭，粉尘在设备内沉降</w:t>
                  </w:r>
                </w:p>
              </w:tc>
            </w:tr>
            <w:tr w14:paraId="4D80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04" w:type="dxa"/>
                  <w:vMerge w:val="continue"/>
                  <w:vAlign w:val="center"/>
                </w:tcPr>
                <w:p w14:paraId="37168016">
                  <w:pPr>
                    <w:pStyle w:val="6"/>
                    <w:spacing w:line="240" w:lineRule="auto"/>
                    <w:ind w:left="0" w:leftChars="0" w:firstLine="0" w:firstLineChars="0"/>
                    <w:jc w:val="center"/>
                    <w:rPr>
                      <w:color w:val="auto"/>
                    </w:rPr>
                  </w:pPr>
                </w:p>
              </w:tc>
              <w:tc>
                <w:tcPr>
                  <w:tcW w:w="1731" w:type="dxa"/>
                  <w:vAlign w:val="center"/>
                </w:tcPr>
                <w:p w14:paraId="753C91F9">
                  <w:pPr>
                    <w:pStyle w:val="6"/>
                    <w:spacing w:line="240" w:lineRule="auto"/>
                    <w:ind w:left="0" w:leftChars="0" w:firstLine="0" w:firstLineChars="0"/>
                    <w:jc w:val="center"/>
                    <w:rPr>
                      <w:color w:val="auto"/>
                    </w:rPr>
                  </w:pPr>
                  <w:r>
                    <w:rPr>
                      <w:rFonts w:hint="eastAsia"/>
                      <w:color w:val="auto"/>
                    </w:rPr>
                    <w:t>打磨粉尘</w:t>
                  </w:r>
                </w:p>
              </w:tc>
              <w:tc>
                <w:tcPr>
                  <w:tcW w:w="1786" w:type="dxa"/>
                  <w:vAlign w:val="center"/>
                </w:tcPr>
                <w:p w14:paraId="2FB8F053">
                  <w:pPr>
                    <w:pStyle w:val="6"/>
                    <w:spacing w:line="240" w:lineRule="auto"/>
                    <w:ind w:left="0" w:leftChars="0" w:firstLine="0" w:firstLineChars="0"/>
                    <w:jc w:val="center"/>
                    <w:rPr>
                      <w:color w:val="auto"/>
                    </w:rPr>
                  </w:pPr>
                  <w:r>
                    <w:rPr>
                      <w:rFonts w:hint="eastAsia"/>
                      <w:color w:val="auto"/>
                    </w:rPr>
                    <w:t>打磨</w:t>
                  </w:r>
                </w:p>
              </w:tc>
              <w:tc>
                <w:tcPr>
                  <w:tcW w:w="1686" w:type="dxa"/>
                  <w:vAlign w:val="center"/>
                </w:tcPr>
                <w:p w14:paraId="64E86529">
                  <w:pPr>
                    <w:pStyle w:val="6"/>
                    <w:spacing w:line="240" w:lineRule="auto"/>
                    <w:ind w:left="0" w:leftChars="0" w:firstLine="0" w:firstLineChars="0"/>
                    <w:jc w:val="center"/>
                    <w:rPr>
                      <w:color w:val="auto"/>
                    </w:rPr>
                  </w:pPr>
                  <w:r>
                    <w:rPr>
                      <w:color w:val="auto"/>
                    </w:rPr>
                    <w:t>颗粒物</w:t>
                  </w:r>
                </w:p>
              </w:tc>
              <w:tc>
                <w:tcPr>
                  <w:tcW w:w="721" w:type="dxa"/>
                  <w:vAlign w:val="center"/>
                </w:tcPr>
                <w:p w14:paraId="427DBAE6">
                  <w:pPr>
                    <w:pStyle w:val="6"/>
                    <w:spacing w:line="240" w:lineRule="auto"/>
                    <w:ind w:left="0" w:leftChars="0" w:firstLine="0" w:firstLineChars="0"/>
                    <w:jc w:val="center"/>
                    <w:rPr>
                      <w:color w:val="auto"/>
                    </w:rPr>
                  </w:pPr>
                  <w:r>
                    <w:rPr>
                      <w:color w:val="auto"/>
                    </w:rPr>
                    <w:t>间断</w:t>
                  </w:r>
                </w:p>
              </w:tc>
              <w:tc>
                <w:tcPr>
                  <w:tcW w:w="3285" w:type="dxa"/>
                  <w:vAlign w:val="center"/>
                </w:tcPr>
                <w:p w14:paraId="6C77DDB2">
                  <w:pPr>
                    <w:pStyle w:val="6"/>
                    <w:spacing w:line="240" w:lineRule="auto"/>
                    <w:ind w:left="0" w:leftChars="0" w:firstLine="0" w:firstLineChars="0"/>
                    <w:jc w:val="center"/>
                    <w:rPr>
                      <w:color w:val="auto"/>
                    </w:rPr>
                  </w:pPr>
                  <w:r>
                    <w:rPr>
                      <w:rFonts w:hint="eastAsia"/>
                      <w:color w:val="auto"/>
                    </w:rPr>
                    <w:t>无组织排放</w:t>
                  </w:r>
                </w:p>
              </w:tc>
            </w:tr>
            <w:tr w14:paraId="5100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674B38A2">
                  <w:pPr>
                    <w:pStyle w:val="6"/>
                    <w:spacing w:line="240" w:lineRule="auto"/>
                    <w:ind w:left="0" w:leftChars="0" w:firstLine="0" w:firstLineChars="0"/>
                    <w:jc w:val="center"/>
                    <w:rPr>
                      <w:color w:val="auto"/>
                    </w:rPr>
                  </w:pPr>
                </w:p>
              </w:tc>
              <w:tc>
                <w:tcPr>
                  <w:tcW w:w="1731" w:type="dxa"/>
                  <w:vAlign w:val="center"/>
                </w:tcPr>
                <w:p w14:paraId="4BC884E7">
                  <w:pPr>
                    <w:pStyle w:val="6"/>
                    <w:spacing w:line="240" w:lineRule="auto"/>
                    <w:ind w:left="0" w:leftChars="0" w:firstLine="0" w:firstLineChars="0"/>
                    <w:jc w:val="center"/>
                    <w:rPr>
                      <w:color w:val="auto"/>
                    </w:rPr>
                  </w:pPr>
                  <w:r>
                    <w:rPr>
                      <w:color w:val="auto"/>
                    </w:rPr>
                    <w:t>喷粉粉尘</w:t>
                  </w:r>
                </w:p>
              </w:tc>
              <w:tc>
                <w:tcPr>
                  <w:tcW w:w="1786" w:type="dxa"/>
                  <w:vAlign w:val="center"/>
                </w:tcPr>
                <w:p w14:paraId="669F7AE4">
                  <w:pPr>
                    <w:pStyle w:val="6"/>
                    <w:spacing w:line="240" w:lineRule="auto"/>
                    <w:ind w:left="0" w:leftChars="0" w:firstLine="0" w:firstLineChars="0"/>
                    <w:jc w:val="center"/>
                    <w:rPr>
                      <w:color w:val="auto"/>
                    </w:rPr>
                  </w:pPr>
                  <w:r>
                    <w:rPr>
                      <w:color w:val="auto"/>
                    </w:rPr>
                    <w:t>喷粉</w:t>
                  </w:r>
                </w:p>
              </w:tc>
              <w:tc>
                <w:tcPr>
                  <w:tcW w:w="1686" w:type="dxa"/>
                  <w:vAlign w:val="center"/>
                </w:tcPr>
                <w:p w14:paraId="0F3A6907">
                  <w:pPr>
                    <w:pStyle w:val="6"/>
                    <w:spacing w:line="240" w:lineRule="auto"/>
                    <w:ind w:left="0" w:leftChars="0" w:firstLine="0" w:firstLineChars="0"/>
                    <w:jc w:val="center"/>
                    <w:rPr>
                      <w:color w:val="auto"/>
                    </w:rPr>
                  </w:pPr>
                  <w:r>
                    <w:rPr>
                      <w:color w:val="auto"/>
                    </w:rPr>
                    <w:t>颗粒物</w:t>
                  </w:r>
                </w:p>
              </w:tc>
              <w:tc>
                <w:tcPr>
                  <w:tcW w:w="721" w:type="dxa"/>
                  <w:vAlign w:val="center"/>
                </w:tcPr>
                <w:p w14:paraId="4EDBF01C">
                  <w:pPr>
                    <w:jc w:val="center"/>
                    <w:rPr>
                      <w:color w:val="auto"/>
                    </w:rPr>
                  </w:pPr>
                  <w:r>
                    <w:rPr>
                      <w:color w:val="auto"/>
                    </w:rPr>
                    <w:t>间断</w:t>
                  </w:r>
                </w:p>
              </w:tc>
              <w:tc>
                <w:tcPr>
                  <w:tcW w:w="3285" w:type="dxa"/>
                  <w:vAlign w:val="center"/>
                </w:tcPr>
                <w:p w14:paraId="66972F59">
                  <w:pPr>
                    <w:jc w:val="center"/>
                    <w:rPr>
                      <w:color w:val="auto"/>
                    </w:rPr>
                  </w:pPr>
                  <w:r>
                    <w:rPr>
                      <w:rFonts w:hint="eastAsia"/>
                      <w:color w:val="auto"/>
                    </w:rPr>
                    <w:t>分别经2套</w:t>
                  </w:r>
                  <w:r>
                    <w:rPr>
                      <w:color w:val="auto"/>
                    </w:rPr>
                    <w:t>布袋</w:t>
                  </w:r>
                  <w:r>
                    <w:rPr>
                      <w:rFonts w:hint="eastAsia"/>
                      <w:color w:val="auto"/>
                    </w:rPr>
                    <w:t>除尘器</w:t>
                  </w:r>
                  <w:r>
                    <w:rPr>
                      <w:color w:val="auto"/>
                    </w:rPr>
                    <w:t>处理后</w:t>
                  </w:r>
                  <w:r>
                    <w:rPr>
                      <w:rFonts w:hint="eastAsia"/>
                      <w:color w:val="auto"/>
                    </w:rPr>
                    <w:t>高空</w:t>
                  </w:r>
                  <w:r>
                    <w:rPr>
                      <w:color w:val="auto"/>
                    </w:rPr>
                    <w:t>排放</w:t>
                  </w:r>
                  <w:r>
                    <w:rPr>
                      <w:rFonts w:hint="eastAsia"/>
                      <w:color w:val="auto"/>
                    </w:rPr>
                    <w:t>（DA001/DA002）</w:t>
                  </w:r>
                </w:p>
              </w:tc>
            </w:tr>
            <w:tr w14:paraId="3919F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12A1FAB6">
                  <w:pPr>
                    <w:pStyle w:val="6"/>
                    <w:spacing w:line="240" w:lineRule="auto"/>
                    <w:ind w:left="0" w:leftChars="0" w:firstLine="0" w:firstLineChars="0"/>
                    <w:jc w:val="center"/>
                    <w:rPr>
                      <w:color w:val="auto"/>
                    </w:rPr>
                  </w:pPr>
                </w:p>
              </w:tc>
              <w:tc>
                <w:tcPr>
                  <w:tcW w:w="1731" w:type="dxa"/>
                  <w:vAlign w:val="center"/>
                </w:tcPr>
                <w:p w14:paraId="6B1BCD64">
                  <w:pPr>
                    <w:pStyle w:val="6"/>
                    <w:spacing w:line="240" w:lineRule="auto"/>
                    <w:ind w:left="0" w:leftChars="0" w:firstLine="0" w:firstLineChars="0"/>
                    <w:jc w:val="center"/>
                    <w:rPr>
                      <w:color w:val="auto"/>
                    </w:rPr>
                  </w:pPr>
                  <w:r>
                    <w:rPr>
                      <w:rFonts w:hint="eastAsia"/>
                      <w:color w:val="auto"/>
                    </w:rPr>
                    <w:t>喷漆、烘烤、固化废气</w:t>
                  </w:r>
                </w:p>
              </w:tc>
              <w:tc>
                <w:tcPr>
                  <w:tcW w:w="1786" w:type="dxa"/>
                  <w:vAlign w:val="center"/>
                </w:tcPr>
                <w:p w14:paraId="24A354CA">
                  <w:pPr>
                    <w:pStyle w:val="6"/>
                    <w:spacing w:line="240" w:lineRule="auto"/>
                    <w:ind w:left="0" w:leftChars="0" w:firstLine="0" w:firstLineChars="0"/>
                    <w:jc w:val="center"/>
                    <w:rPr>
                      <w:color w:val="auto"/>
                    </w:rPr>
                  </w:pPr>
                  <w:r>
                    <w:rPr>
                      <w:rFonts w:hint="eastAsia"/>
                      <w:color w:val="auto"/>
                    </w:rPr>
                    <w:t>喷涂底漆、喷涂面漆、烘烤、固化</w:t>
                  </w:r>
                </w:p>
              </w:tc>
              <w:tc>
                <w:tcPr>
                  <w:tcW w:w="1686" w:type="dxa"/>
                  <w:vAlign w:val="center"/>
                </w:tcPr>
                <w:p w14:paraId="28F88CBF">
                  <w:pPr>
                    <w:pStyle w:val="6"/>
                    <w:spacing w:line="240" w:lineRule="auto"/>
                    <w:ind w:left="0" w:leftChars="0" w:firstLine="0" w:firstLineChars="0"/>
                    <w:jc w:val="center"/>
                    <w:rPr>
                      <w:color w:val="auto"/>
                    </w:rPr>
                  </w:pPr>
                  <w:r>
                    <w:rPr>
                      <w:rFonts w:hint="eastAsia"/>
                      <w:color w:val="auto"/>
                    </w:rPr>
                    <w:t>T</w:t>
                  </w:r>
                  <w:r>
                    <w:rPr>
                      <w:color w:val="auto"/>
                    </w:rPr>
                    <w:t>VOC、颗粒物、</w:t>
                  </w:r>
                  <w:r>
                    <w:rPr>
                      <w:rFonts w:hint="eastAsia"/>
                      <w:color w:val="auto"/>
                    </w:rPr>
                    <w:t>臭气浓度</w:t>
                  </w:r>
                </w:p>
              </w:tc>
              <w:tc>
                <w:tcPr>
                  <w:tcW w:w="721" w:type="dxa"/>
                  <w:vAlign w:val="center"/>
                </w:tcPr>
                <w:p w14:paraId="623C3A2D">
                  <w:pPr>
                    <w:jc w:val="center"/>
                    <w:rPr>
                      <w:color w:val="auto"/>
                    </w:rPr>
                  </w:pPr>
                  <w:r>
                    <w:rPr>
                      <w:color w:val="auto"/>
                    </w:rPr>
                    <w:t>间断</w:t>
                  </w:r>
                </w:p>
              </w:tc>
              <w:tc>
                <w:tcPr>
                  <w:tcW w:w="3285" w:type="dxa"/>
                  <w:vAlign w:val="center"/>
                </w:tcPr>
                <w:p w14:paraId="3B90B26E">
                  <w:pPr>
                    <w:jc w:val="center"/>
                    <w:rPr>
                      <w:color w:val="auto"/>
                    </w:rPr>
                  </w:pPr>
                  <w:r>
                    <w:rPr>
                      <w:color w:val="auto"/>
                    </w:rPr>
                    <w:t>通过</w:t>
                  </w:r>
                  <w:r>
                    <w:rPr>
                      <w:rFonts w:hint="eastAsia"/>
                      <w:color w:val="auto"/>
                      <w:szCs w:val="21"/>
                    </w:rPr>
                    <w:t>水帘柜+喷淋塔+除湿装置+二级活性炭吸附装置</w:t>
                  </w:r>
                  <w:r>
                    <w:rPr>
                      <w:color w:val="auto"/>
                    </w:rPr>
                    <w:t>处理后高空排放</w:t>
                  </w:r>
                  <w:r>
                    <w:rPr>
                      <w:rFonts w:hint="eastAsia"/>
                      <w:color w:val="auto"/>
                    </w:rPr>
                    <w:t>（DA003）</w:t>
                  </w:r>
                </w:p>
              </w:tc>
            </w:tr>
            <w:tr w14:paraId="69855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34211C89">
                  <w:pPr>
                    <w:pStyle w:val="6"/>
                    <w:spacing w:line="240" w:lineRule="auto"/>
                    <w:ind w:left="0" w:leftChars="0" w:firstLine="0" w:firstLineChars="0"/>
                    <w:jc w:val="center"/>
                    <w:rPr>
                      <w:color w:val="auto"/>
                    </w:rPr>
                  </w:pPr>
                </w:p>
              </w:tc>
              <w:tc>
                <w:tcPr>
                  <w:tcW w:w="1731" w:type="dxa"/>
                  <w:vAlign w:val="center"/>
                </w:tcPr>
                <w:p w14:paraId="755084D7">
                  <w:pPr>
                    <w:pStyle w:val="6"/>
                    <w:spacing w:line="240" w:lineRule="auto"/>
                    <w:ind w:left="0" w:leftChars="0" w:firstLine="0" w:firstLineChars="0"/>
                    <w:jc w:val="center"/>
                    <w:rPr>
                      <w:color w:val="auto"/>
                    </w:rPr>
                  </w:pPr>
                  <w:r>
                    <w:rPr>
                      <w:rFonts w:hint="eastAsia"/>
                      <w:color w:val="auto"/>
                    </w:rPr>
                    <w:t>喷漆、烘烤废气</w:t>
                  </w:r>
                </w:p>
              </w:tc>
              <w:tc>
                <w:tcPr>
                  <w:tcW w:w="1786" w:type="dxa"/>
                  <w:vAlign w:val="center"/>
                </w:tcPr>
                <w:p w14:paraId="2D051A7A">
                  <w:pPr>
                    <w:pStyle w:val="6"/>
                    <w:spacing w:line="240" w:lineRule="auto"/>
                    <w:ind w:left="0" w:leftChars="0" w:firstLine="0" w:firstLineChars="0"/>
                    <w:jc w:val="center"/>
                    <w:rPr>
                      <w:color w:val="auto"/>
                    </w:rPr>
                  </w:pPr>
                  <w:r>
                    <w:rPr>
                      <w:rFonts w:hint="eastAsia"/>
                      <w:color w:val="auto"/>
                    </w:rPr>
                    <w:t>喷涂清漆、烘烤</w:t>
                  </w:r>
                </w:p>
              </w:tc>
              <w:tc>
                <w:tcPr>
                  <w:tcW w:w="1686" w:type="dxa"/>
                  <w:vAlign w:val="center"/>
                </w:tcPr>
                <w:p w14:paraId="37D5833A">
                  <w:pPr>
                    <w:pStyle w:val="6"/>
                    <w:spacing w:line="240" w:lineRule="auto"/>
                    <w:ind w:left="0" w:leftChars="0" w:firstLine="0" w:firstLineChars="0"/>
                    <w:jc w:val="center"/>
                    <w:rPr>
                      <w:color w:val="auto"/>
                    </w:rPr>
                  </w:pPr>
                  <w:r>
                    <w:rPr>
                      <w:rFonts w:hint="eastAsia"/>
                      <w:color w:val="auto"/>
                    </w:rPr>
                    <w:t>T</w:t>
                  </w:r>
                  <w:r>
                    <w:rPr>
                      <w:color w:val="auto"/>
                    </w:rPr>
                    <w:t>VOC、颗粒物、</w:t>
                  </w:r>
                  <w:r>
                    <w:rPr>
                      <w:rFonts w:hint="eastAsia"/>
                      <w:color w:val="auto"/>
                    </w:rPr>
                    <w:t>臭气浓度</w:t>
                  </w:r>
                </w:p>
              </w:tc>
              <w:tc>
                <w:tcPr>
                  <w:tcW w:w="721" w:type="dxa"/>
                  <w:vAlign w:val="center"/>
                </w:tcPr>
                <w:p w14:paraId="151817CC">
                  <w:pPr>
                    <w:jc w:val="center"/>
                    <w:rPr>
                      <w:color w:val="auto"/>
                    </w:rPr>
                  </w:pPr>
                  <w:r>
                    <w:rPr>
                      <w:color w:val="auto"/>
                    </w:rPr>
                    <w:t>间断</w:t>
                  </w:r>
                </w:p>
              </w:tc>
              <w:tc>
                <w:tcPr>
                  <w:tcW w:w="3285" w:type="dxa"/>
                  <w:vAlign w:val="center"/>
                </w:tcPr>
                <w:p w14:paraId="5855AAC6">
                  <w:pPr>
                    <w:jc w:val="center"/>
                    <w:rPr>
                      <w:color w:val="auto"/>
                    </w:rPr>
                  </w:pPr>
                  <w:r>
                    <w:rPr>
                      <w:color w:val="auto"/>
                    </w:rPr>
                    <w:t>通过</w:t>
                  </w:r>
                  <w:r>
                    <w:rPr>
                      <w:rFonts w:hint="eastAsia"/>
                      <w:color w:val="auto"/>
                      <w:szCs w:val="21"/>
                    </w:rPr>
                    <w:t>水帘柜+喷淋塔+除湿装置+二级活性炭吸附装置</w:t>
                  </w:r>
                  <w:r>
                    <w:rPr>
                      <w:color w:val="auto"/>
                    </w:rPr>
                    <w:t>处理后高空排放</w:t>
                  </w:r>
                  <w:r>
                    <w:rPr>
                      <w:rFonts w:hint="eastAsia"/>
                      <w:color w:val="auto"/>
                    </w:rPr>
                    <w:t>（DA004）</w:t>
                  </w:r>
                </w:p>
              </w:tc>
            </w:tr>
            <w:tr w14:paraId="2AE36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3BF0A1C7">
                  <w:pPr>
                    <w:pStyle w:val="6"/>
                    <w:spacing w:line="240" w:lineRule="auto"/>
                    <w:ind w:left="0" w:leftChars="0" w:firstLine="0" w:firstLineChars="0"/>
                    <w:jc w:val="center"/>
                    <w:rPr>
                      <w:color w:val="auto"/>
                    </w:rPr>
                  </w:pPr>
                </w:p>
              </w:tc>
              <w:tc>
                <w:tcPr>
                  <w:tcW w:w="1731" w:type="dxa"/>
                  <w:vAlign w:val="center"/>
                </w:tcPr>
                <w:p w14:paraId="197B2A1C">
                  <w:pPr>
                    <w:pStyle w:val="6"/>
                    <w:spacing w:line="240" w:lineRule="auto"/>
                    <w:ind w:left="0" w:leftChars="0" w:firstLine="0" w:firstLineChars="0"/>
                    <w:jc w:val="center"/>
                    <w:rPr>
                      <w:color w:val="auto"/>
                    </w:rPr>
                  </w:pPr>
                  <w:r>
                    <w:rPr>
                      <w:rFonts w:hint="eastAsia"/>
                      <w:color w:val="auto"/>
                    </w:rPr>
                    <w:t>喷漆、烘烤废气</w:t>
                  </w:r>
                </w:p>
              </w:tc>
              <w:tc>
                <w:tcPr>
                  <w:tcW w:w="1786" w:type="dxa"/>
                  <w:vAlign w:val="center"/>
                </w:tcPr>
                <w:p w14:paraId="250B2D58">
                  <w:pPr>
                    <w:pStyle w:val="6"/>
                    <w:spacing w:line="240" w:lineRule="auto"/>
                    <w:ind w:left="0" w:leftChars="0" w:firstLine="0" w:firstLineChars="0"/>
                    <w:jc w:val="center"/>
                    <w:rPr>
                      <w:color w:val="auto"/>
                    </w:rPr>
                  </w:pPr>
                  <w:r>
                    <w:rPr>
                      <w:rFonts w:hint="eastAsia"/>
                      <w:color w:val="auto"/>
                    </w:rPr>
                    <w:t>返工检修</w:t>
                  </w:r>
                </w:p>
              </w:tc>
              <w:tc>
                <w:tcPr>
                  <w:tcW w:w="1686" w:type="dxa"/>
                  <w:vAlign w:val="center"/>
                </w:tcPr>
                <w:p w14:paraId="38D75326">
                  <w:pPr>
                    <w:pStyle w:val="6"/>
                    <w:spacing w:line="240" w:lineRule="auto"/>
                    <w:ind w:left="0" w:leftChars="0" w:firstLine="0" w:firstLineChars="0"/>
                    <w:jc w:val="center"/>
                    <w:rPr>
                      <w:color w:val="auto"/>
                    </w:rPr>
                  </w:pPr>
                  <w:r>
                    <w:rPr>
                      <w:rFonts w:hint="eastAsia"/>
                      <w:color w:val="auto"/>
                    </w:rPr>
                    <w:t>T</w:t>
                  </w:r>
                  <w:r>
                    <w:rPr>
                      <w:color w:val="auto"/>
                    </w:rPr>
                    <w:t>VOC、颗粒物、</w:t>
                  </w:r>
                  <w:r>
                    <w:rPr>
                      <w:rFonts w:hint="eastAsia"/>
                      <w:color w:val="auto"/>
                    </w:rPr>
                    <w:t>臭气浓度</w:t>
                  </w:r>
                </w:p>
              </w:tc>
              <w:tc>
                <w:tcPr>
                  <w:tcW w:w="721" w:type="dxa"/>
                  <w:vAlign w:val="center"/>
                </w:tcPr>
                <w:p w14:paraId="379DABE7">
                  <w:pPr>
                    <w:jc w:val="center"/>
                    <w:rPr>
                      <w:color w:val="auto"/>
                    </w:rPr>
                  </w:pPr>
                  <w:r>
                    <w:rPr>
                      <w:color w:val="auto"/>
                    </w:rPr>
                    <w:t>间断</w:t>
                  </w:r>
                </w:p>
              </w:tc>
              <w:tc>
                <w:tcPr>
                  <w:tcW w:w="3285" w:type="dxa"/>
                  <w:vAlign w:val="center"/>
                </w:tcPr>
                <w:p w14:paraId="36D88141">
                  <w:pPr>
                    <w:jc w:val="center"/>
                    <w:rPr>
                      <w:color w:val="auto"/>
                    </w:rPr>
                  </w:pPr>
                  <w:r>
                    <w:rPr>
                      <w:color w:val="auto"/>
                    </w:rPr>
                    <w:t>通过</w:t>
                  </w:r>
                  <w:r>
                    <w:rPr>
                      <w:rFonts w:hint="eastAsia"/>
                      <w:color w:val="auto"/>
                      <w:szCs w:val="21"/>
                    </w:rPr>
                    <w:t>水帘柜+喷淋塔+除湿装置+二级活性炭吸附装置</w:t>
                  </w:r>
                  <w:r>
                    <w:rPr>
                      <w:color w:val="auto"/>
                    </w:rPr>
                    <w:t>处理后高空排放</w:t>
                  </w:r>
                  <w:r>
                    <w:rPr>
                      <w:rFonts w:hint="eastAsia"/>
                      <w:color w:val="auto"/>
                    </w:rPr>
                    <w:t>（DA005）</w:t>
                  </w:r>
                </w:p>
              </w:tc>
            </w:tr>
            <w:tr w14:paraId="49627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70FD6E92">
                  <w:pPr>
                    <w:pStyle w:val="6"/>
                    <w:spacing w:line="240" w:lineRule="auto"/>
                    <w:ind w:left="0" w:leftChars="0" w:firstLine="0" w:firstLineChars="0"/>
                    <w:jc w:val="center"/>
                    <w:rPr>
                      <w:color w:val="auto"/>
                    </w:rPr>
                  </w:pPr>
                </w:p>
              </w:tc>
              <w:tc>
                <w:tcPr>
                  <w:tcW w:w="1731" w:type="dxa"/>
                  <w:vAlign w:val="center"/>
                </w:tcPr>
                <w:p w14:paraId="4587D332">
                  <w:pPr>
                    <w:pStyle w:val="6"/>
                    <w:spacing w:line="240" w:lineRule="auto"/>
                    <w:ind w:left="0" w:leftChars="0" w:firstLine="0" w:firstLineChars="0"/>
                    <w:jc w:val="center"/>
                    <w:rPr>
                      <w:color w:val="auto"/>
                    </w:rPr>
                  </w:pPr>
                  <w:r>
                    <w:rPr>
                      <w:color w:val="auto"/>
                    </w:rPr>
                    <w:t>天然气燃烧废气</w:t>
                  </w:r>
                </w:p>
              </w:tc>
              <w:tc>
                <w:tcPr>
                  <w:tcW w:w="1786" w:type="dxa"/>
                  <w:vAlign w:val="center"/>
                </w:tcPr>
                <w:p w14:paraId="06BDFE42">
                  <w:pPr>
                    <w:pStyle w:val="6"/>
                    <w:spacing w:line="240" w:lineRule="auto"/>
                    <w:ind w:left="0" w:leftChars="0" w:firstLine="0" w:firstLineChars="0"/>
                    <w:jc w:val="center"/>
                    <w:rPr>
                      <w:color w:val="auto"/>
                    </w:rPr>
                  </w:pPr>
                  <w:r>
                    <w:rPr>
                      <w:color w:val="auto"/>
                    </w:rPr>
                    <w:t>天然气燃烧</w:t>
                  </w:r>
                </w:p>
              </w:tc>
              <w:tc>
                <w:tcPr>
                  <w:tcW w:w="1686" w:type="dxa"/>
                  <w:vAlign w:val="center"/>
                </w:tcPr>
                <w:p w14:paraId="41CFDC54">
                  <w:pPr>
                    <w:pStyle w:val="6"/>
                    <w:spacing w:line="240" w:lineRule="auto"/>
                    <w:ind w:left="0" w:leftChars="0" w:firstLine="0" w:firstLineChars="0"/>
                    <w:jc w:val="center"/>
                    <w:rPr>
                      <w:color w:val="auto"/>
                    </w:rPr>
                  </w:pPr>
                  <w:r>
                    <w:rPr>
                      <w:color w:val="auto"/>
                    </w:rPr>
                    <w:t>颗粒物、二氧化硫、氮氧化物</w:t>
                  </w:r>
                </w:p>
              </w:tc>
              <w:tc>
                <w:tcPr>
                  <w:tcW w:w="721" w:type="dxa"/>
                  <w:vAlign w:val="center"/>
                </w:tcPr>
                <w:p w14:paraId="5E445EC0">
                  <w:pPr>
                    <w:jc w:val="center"/>
                    <w:rPr>
                      <w:color w:val="auto"/>
                    </w:rPr>
                  </w:pPr>
                  <w:r>
                    <w:rPr>
                      <w:color w:val="auto"/>
                    </w:rPr>
                    <w:t>间断</w:t>
                  </w:r>
                </w:p>
              </w:tc>
              <w:tc>
                <w:tcPr>
                  <w:tcW w:w="3285" w:type="dxa"/>
                  <w:vAlign w:val="center"/>
                </w:tcPr>
                <w:p w14:paraId="7FF3DC97">
                  <w:pPr>
                    <w:jc w:val="center"/>
                    <w:rPr>
                      <w:color w:val="auto"/>
                    </w:rPr>
                  </w:pPr>
                  <w:r>
                    <w:rPr>
                      <w:color w:val="auto"/>
                    </w:rPr>
                    <w:t>使用低氮燃烧器</w:t>
                  </w:r>
                  <w:r>
                    <w:rPr>
                      <w:rFonts w:hint="eastAsia"/>
                      <w:color w:val="auto"/>
                    </w:rPr>
                    <w:t>（DA003/DA004/DA005/DA006）</w:t>
                  </w:r>
                </w:p>
              </w:tc>
            </w:tr>
            <w:tr w14:paraId="420CC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623527F0">
                  <w:pPr>
                    <w:pStyle w:val="6"/>
                    <w:spacing w:line="240" w:lineRule="auto"/>
                    <w:ind w:left="0" w:leftChars="0" w:firstLine="0" w:firstLineChars="0"/>
                    <w:jc w:val="center"/>
                    <w:rPr>
                      <w:color w:val="auto"/>
                    </w:rPr>
                  </w:pPr>
                </w:p>
              </w:tc>
              <w:tc>
                <w:tcPr>
                  <w:tcW w:w="1731" w:type="dxa"/>
                  <w:vAlign w:val="center"/>
                </w:tcPr>
                <w:p w14:paraId="2C4A1DAC">
                  <w:pPr>
                    <w:pStyle w:val="6"/>
                    <w:spacing w:line="240" w:lineRule="auto"/>
                    <w:ind w:left="0" w:leftChars="0" w:firstLine="0" w:firstLineChars="0"/>
                    <w:jc w:val="center"/>
                    <w:rPr>
                      <w:color w:val="auto"/>
                    </w:rPr>
                  </w:pPr>
                  <w:r>
                    <w:rPr>
                      <w:color w:val="auto"/>
                    </w:rPr>
                    <w:t>酸性废气</w:t>
                  </w:r>
                </w:p>
              </w:tc>
              <w:tc>
                <w:tcPr>
                  <w:tcW w:w="1786" w:type="dxa"/>
                  <w:vAlign w:val="center"/>
                </w:tcPr>
                <w:p w14:paraId="32611026">
                  <w:pPr>
                    <w:pStyle w:val="6"/>
                    <w:spacing w:line="240" w:lineRule="auto"/>
                    <w:ind w:left="0" w:leftChars="0" w:firstLine="0" w:firstLineChars="0"/>
                    <w:jc w:val="center"/>
                    <w:rPr>
                      <w:color w:val="auto"/>
                    </w:rPr>
                  </w:pPr>
                  <w:r>
                    <w:rPr>
                      <w:rFonts w:hint="eastAsia"/>
                      <w:color w:val="auto"/>
                    </w:rPr>
                    <w:t>除锈</w:t>
                  </w:r>
                </w:p>
              </w:tc>
              <w:tc>
                <w:tcPr>
                  <w:tcW w:w="1686" w:type="dxa"/>
                  <w:vAlign w:val="center"/>
                </w:tcPr>
                <w:p w14:paraId="50B55247">
                  <w:pPr>
                    <w:pStyle w:val="6"/>
                    <w:spacing w:line="240" w:lineRule="auto"/>
                    <w:ind w:left="0" w:leftChars="0" w:firstLine="0" w:firstLineChars="0"/>
                    <w:jc w:val="center"/>
                    <w:rPr>
                      <w:color w:val="auto"/>
                    </w:rPr>
                  </w:pPr>
                  <w:r>
                    <w:rPr>
                      <w:color w:val="auto"/>
                    </w:rPr>
                    <w:t>硫酸雾</w:t>
                  </w:r>
                </w:p>
              </w:tc>
              <w:tc>
                <w:tcPr>
                  <w:tcW w:w="721" w:type="dxa"/>
                  <w:vAlign w:val="center"/>
                </w:tcPr>
                <w:p w14:paraId="57224AC7">
                  <w:pPr>
                    <w:jc w:val="center"/>
                    <w:rPr>
                      <w:color w:val="auto"/>
                    </w:rPr>
                  </w:pPr>
                  <w:r>
                    <w:rPr>
                      <w:color w:val="auto"/>
                    </w:rPr>
                    <w:t>间断</w:t>
                  </w:r>
                </w:p>
              </w:tc>
              <w:tc>
                <w:tcPr>
                  <w:tcW w:w="3285" w:type="dxa"/>
                  <w:vAlign w:val="center"/>
                </w:tcPr>
                <w:p w14:paraId="599B9E17">
                  <w:pPr>
                    <w:jc w:val="center"/>
                    <w:rPr>
                      <w:color w:val="auto"/>
                    </w:rPr>
                  </w:pPr>
                  <w:r>
                    <w:rPr>
                      <w:color w:val="auto"/>
                    </w:rPr>
                    <w:t>通过碱液</w:t>
                  </w:r>
                  <w:r>
                    <w:rPr>
                      <w:color w:val="auto"/>
                      <w:kern w:val="0"/>
                      <w:szCs w:val="21"/>
                      <w:lang w:bidi="ar"/>
                    </w:rPr>
                    <w:t>喷淋塔处理后高空排放</w:t>
                  </w:r>
                  <w:r>
                    <w:rPr>
                      <w:rFonts w:hint="eastAsia"/>
                      <w:color w:val="auto"/>
                      <w:kern w:val="0"/>
                      <w:szCs w:val="21"/>
                      <w:lang w:bidi="ar"/>
                    </w:rPr>
                    <w:t>（DA006）</w:t>
                  </w:r>
                </w:p>
              </w:tc>
            </w:tr>
            <w:tr w14:paraId="5C89E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804" w:type="dxa"/>
                  <w:vMerge w:val="restart"/>
                  <w:vAlign w:val="center"/>
                </w:tcPr>
                <w:p w14:paraId="7EDA5A47">
                  <w:pPr>
                    <w:pStyle w:val="6"/>
                    <w:spacing w:line="240" w:lineRule="auto"/>
                    <w:ind w:left="0" w:leftChars="0" w:firstLine="0" w:firstLineChars="0"/>
                    <w:jc w:val="center"/>
                    <w:rPr>
                      <w:color w:val="auto"/>
                    </w:rPr>
                  </w:pPr>
                  <w:r>
                    <w:rPr>
                      <w:color w:val="auto"/>
                    </w:rPr>
                    <w:t>废水</w:t>
                  </w:r>
                </w:p>
              </w:tc>
              <w:tc>
                <w:tcPr>
                  <w:tcW w:w="1731" w:type="dxa"/>
                  <w:vAlign w:val="center"/>
                </w:tcPr>
                <w:p w14:paraId="19C64D75">
                  <w:pPr>
                    <w:pStyle w:val="6"/>
                    <w:spacing w:line="240" w:lineRule="auto"/>
                    <w:ind w:left="0" w:leftChars="0" w:firstLine="0" w:firstLineChars="0"/>
                    <w:jc w:val="center"/>
                    <w:rPr>
                      <w:color w:val="auto"/>
                    </w:rPr>
                  </w:pPr>
                  <w:r>
                    <w:rPr>
                      <w:rFonts w:hint="eastAsia"/>
                      <w:color w:val="auto"/>
                    </w:rPr>
                    <w:t>废槽液</w:t>
                  </w:r>
                </w:p>
              </w:tc>
              <w:tc>
                <w:tcPr>
                  <w:tcW w:w="1786" w:type="dxa"/>
                  <w:vAlign w:val="center"/>
                </w:tcPr>
                <w:p w14:paraId="67963820">
                  <w:pPr>
                    <w:pStyle w:val="6"/>
                    <w:spacing w:line="240" w:lineRule="auto"/>
                    <w:ind w:left="0" w:leftChars="0" w:firstLine="0" w:firstLineChars="0"/>
                    <w:jc w:val="center"/>
                    <w:rPr>
                      <w:color w:val="auto"/>
                    </w:rPr>
                  </w:pPr>
                  <w:r>
                    <w:rPr>
                      <w:rFonts w:hint="eastAsia"/>
                      <w:color w:val="auto"/>
                    </w:rPr>
                    <w:t>除油、除锈、</w:t>
                  </w:r>
                  <w:r>
                    <w:rPr>
                      <w:color w:val="auto"/>
                    </w:rPr>
                    <w:t>脱脂</w:t>
                  </w:r>
                  <w:r>
                    <w:rPr>
                      <w:rFonts w:hint="eastAsia"/>
                      <w:color w:val="auto"/>
                    </w:rPr>
                    <w:t>、表调</w:t>
                  </w:r>
                </w:p>
              </w:tc>
              <w:tc>
                <w:tcPr>
                  <w:tcW w:w="1686" w:type="dxa"/>
                  <w:vMerge w:val="restart"/>
                  <w:vAlign w:val="center"/>
                </w:tcPr>
                <w:p w14:paraId="08F40D6D">
                  <w:pPr>
                    <w:pStyle w:val="6"/>
                    <w:spacing w:line="240" w:lineRule="auto"/>
                    <w:ind w:left="0" w:leftChars="0" w:firstLine="0" w:firstLineChars="0"/>
                    <w:jc w:val="center"/>
                    <w:rPr>
                      <w:rFonts w:hint="default" w:eastAsia="宋体"/>
                      <w:color w:val="auto"/>
                      <w:lang w:val="en-US" w:eastAsia="zh-CN"/>
                    </w:rPr>
                  </w:pPr>
                  <w:r>
                    <w:rPr>
                      <w:color w:val="auto"/>
                    </w:rPr>
                    <w:t>pH、COD</w:t>
                  </w:r>
                  <w:r>
                    <w:rPr>
                      <w:rFonts w:hint="eastAsia"/>
                      <w:color w:val="auto"/>
                      <w:vertAlign w:val="subscript"/>
                    </w:rPr>
                    <w:t>C</w:t>
                  </w:r>
                  <w:r>
                    <w:rPr>
                      <w:color w:val="auto"/>
                      <w:vertAlign w:val="subscript"/>
                    </w:rPr>
                    <w:t>r</w:t>
                  </w:r>
                  <w:r>
                    <w:rPr>
                      <w:color w:val="auto"/>
                    </w:rPr>
                    <w:t>、BOD</w:t>
                  </w:r>
                  <w:r>
                    <w:rPr>
                      <w:color w:val="auto"/>
                      <w:vertAlign w:val="subscript"/>
                    </w:rPr>
                    <w:t>5</w:t>
                  </w:r>
                  <w:r>
                    <w:rPr>
                      <w:color w:val="auto"/>
                    </w:rPr>
                    <w:t>、SS、石油类、氨氮、总铁、总锌、总磷</w:t>
                  </w:r>
                  <w:r>
                    <w:rPr>
                      <w:rFonts w:hint="eastAsia"/>
                      <w:color w:val="auto"/>
                      <w:lang w:eastAsia="zh-CN"/>
                    </w:rPr>
                    <w:t>、</w:t>
                  </w:r>
                  <w:r>
                    <w:rPr>
                      <w:rFonts w:hint="eastAsia"/>
                      <w:color w:val="auto"/>
                      <w:lang w:val="en-US" w:eastAsia="zh-CN"/>
                    </w:rPr>
                    <w:t>总铝</w:t>
                  </w:r>
                </w:p>
              </w:tc>
              <w:tc>
                <w:tcPr>
                  <w:tcW w:w="721" w:type="dxa"/>
                  <w:vAlign w:val="center"/>
                </w:tcPr>
                <w:p w14:paraId="15B3D45C">
                  <w:pPr>
                    <w:pStyle w:val="6"/>
                    <w:spacing w:line="240" w:lineRule="auto"/>
                    <w:ind w:left="0" w:leftChars="0" w:firstLine="0" w:firstLineChars="0"/>
                    <w:jc w:val="center"/>
                    <w:rPr>
                      <w:color w:val="auto"/>
                    </w:rPr>
                  </w:pPr>
                  <w:r>
                    <w:rPr>
                      <w:color w:val="auto"/>
                    </w:rPr>
                    <w:t>间断</w:t>
                  </w:r>
                </w:p>
              </w:tc>
              <w:tc>
                <w:tcPr>
                  <w:tcW w:w="3285" w:type="dxa"/>
                  <w:vMerge w:val="restart"/>
                  <w:vAlign w:val="center"/>
                </w:tcPr>
                <w:p w14:paraId="2EE68505">
                  <w:pPr>
                    <w:pStyle w:val="6"/>
                    <w:spacing w:line="240" w:lineRule="auto"/>
                    <w:ind w:left="0" w:leftChars="0" w:firstLine="0" w:firstLineChars="0"/>
                    <w:jc w:val="center"/>
                    <w:rPr>
                      <w:color w:val="auto"/>
                    </w:rPr>
                  </w:pPr>
                  <w:r>
                    <w:rPr>
                      <w:color w:val="auto"/>
                    </w:rPr>
                    <w:t>自建</w:t>
                  </w:r>
                  <w:r>
                    <w:rPr>
                      <w:rFonts w:hint="eastAsia"/>
                      <w:color w:val="auto"/>
                    </w:rPr>
                    <w:t>废水处理设施</w:t>
                  </w:r>
                  <w:r>
                    <w:rPr>
                      <w:color w:val="auto"/>
                    </w:rPr>
                    <w:t>处理后回用于清洗，不外排</w:t>
                  </w:r>
                </w:p>
              </w:tc>
            </w:tr>
            <w:tr w14:paraId="4FAF4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30B44F73">
                  <w:pPr>
                    <w:pStyle w:val="6"/>
                    <w:spacing w:line="240" w:lineRule="auto"/>
                    <w:ind w:left="0" w:leftChars="0" w:firstLine="0" w:firstLineChars="0"/>
                    <w:jc w:val="center"/>
                    <w:rPr>
                      <w:color w:val="auto"/>
                    </w:rPr>
                  </w:pPr>
                </w:p>
              </w:tc>
              <w:tc>
                <w:tcPr>
                  <w:tcW w:w="1731" w:type="dxa"/>
                  <w:vAlign w:val="center"/>
                </w:tcPr>
                <w:p w14:paraId="1058AB3F">
                  <w:pPr>
                    <w:pStyle w:val="6"/>
                    <w:spacing w:line="240" w:lineRule="auto"/>
                    <w:ind w:left="0" w:leftChars="0" w:firstLine="0" w:firstLineChars="0"/>
                    <w:jc w:val="center"/>
                    <w:rPr>
                      <w:color w:val="auto"/>
                    </w:rPr>
                  </w:pPr>
                  <w:r>
                    <w:rPr>
                      <w:color w:val="auto"/>
                    </w:rPr>
                    <w:t>清洗废水</w:t>
                  </w:r>
                </w:p>
              </w:tc>
              <w:tc>
                <w:tcPr>
                  <w:tcW w:w="1786" w:type="dxa"/>
                  <w:vAlign w:val="center"/>
                </w:tcPr>
                <w:p w14:paraId="34AE59C4">
                  <w:pPr>
                    <w:pStyle w:val="6"/>
                    <w:spacing w:line="240" w:lineRule="auto"/>
                    <w:ind w:left="0" w:leftChars="0" w:firstLine="0" w:firstLineChars="0"/>
                    <w:jc w:val="center"/>
                    <w:rPr>
                      <w:color w:val="auto"/>
                    </w:rPr>
                  </w:pPr>
                  <w:r>
                    <w:rPr>
                      <w:rFonts w:hint="eastAsia"/>
                      <w:color w:val="auto"/>
                    </w:rPr>
                    <w:t>清洗</w:t>
                  </w:r>
                </w:p>
              </w:tc>
              <w:tc>
                <w:tcPr>
                  <w:tcW w:w="1686" w:type="dxa"/>
                  <w:vMerge w:val="continue"/>
                  <w:vAlign w:val="center"/>
                </w:tcPr>
                <w:p w14:paraId="1FB691CA">
                  <w:pPr>
                    <w:pStyle w:val="6"/>
                    <w:spacing w:line="240" w:lineRule="auto"/>
                    <w:ind w:left="0" w:leftChars="0" w:firstLine="0" w:firstLineChars="0"/>
                    <w:jc w:val="center"/>
                    <w:rPr>
                      <w:color w:val="auto"/>
                    </w:rPr>
                  </w:pPr>
                </w:p>
              </w:tc>
              <w:tc>
                <w:tcPr>
                  <w:tcW w:w="721" w:type="dxa"/>
                  <w:vAlign w:val="center"/>
                </w:tcPr>
                <w:p w14:paraId="3A03C734">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3DFDE10B">
                  <w:pPr>
                    <w:pStyle w:val="6"/>
                    <w:spacing w:line="240" w:lineRule="auto"/>
                    <w:ind w:left="0" w:leftChars="0" w:firstLine="0" w:firstLineChars="0"/>
                    <w:jc w:val="center"/>
                    <w:rPr>
                      <w:color w:val="auto"/>
                    </w:rPr>
                  </w:pPr>
                </w:p>
              </w:tc>
            </w:tr>
            <w:tr w14:paraId="02E76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11CEC322">
                  <w:pPr>
                    <w:pStyle w:val="6"/>
                    <w:spacing w:line="240" w:lineRule="auto"/>
                    <w:ind w:left="0" w:leftChars="0" w:firstLine="0" w:firstLineChars="0"/>
                    <w:jc w:val="center"/>
                    <w:rPr>
                      <w:color w:val="auto"/>
                    </w:rPr>
                  </w:pPr>
                </w:p>
              </w:tc>
              <w:tc>
                <w:tcPr>
                  <w:tcW w:w="1731" w:type="dxa"/>
                  <w:vAlign w:val="center"/>
                </w:tcPr>
                <w:p w14:paraId="44209A83">
                  <w:pPr>
                    <w:pStyle w:val="6"/>
                    <w:spacing w:line="240" w:lineRule="auto"/>
                    <w:ind w:left="0" w:leftChars="0" w:firstLine="0" w:firstLineChars="0"/>
                    <w:jc w:val="center"/>
                    <w:rPr>
                      <w:color w:val="auto"/>
                    </w:rPr>
                  </w:pPr>
                  <w:r>
                    <w:rPr>
                      <w:rFonts w:hint="eastAsia"/>
                      <w:color w:val="auto"/>
                    </w:rPr>
                    <w:t>喷淋柜废水</w:t>
                  </w:r>
                </w:p>
              </w:tc>
              <w:tc>
                <w:tcPr>
                  <w:tcW w:w="1786" w:type="dxa"/>
                  <w:vAlign w:val="center"/>
                </w:tcPr>
                <w:p w14:paraId="31D45F0B">
                  <w:pPr>
                    <w:pStyle w:val="6"/>
                    <w:spacing w:line="240" w:lineRule="auto"/>
                    <w:ind w:left="0" w:leftChars="0" w:firstLine="0" w:firstLineChars="0"/>
                    <w:jc w:val="center"/>
                    <w:rPr>
                      <w:color w:val="auto"/>
                    </w:rPr>
                  </w:pPr>
                  <w:r>
                    <w:rPr>
                      <w:rFonts w:hint="eastAsia"/>
                      <w:color w:val="auto"/>
                    </w:rPr>
                    <w:t>贴标</w:t>
                  </w:r>
                </w:p>
              </w:tc>
              <w:tc>
                <w:tcPr>
                  <w:tcW w:w="1686" w:type="dxa"/>
                  <w:vAlign w:val="center"/>
                </w:tcPr>
                <w:p w14:paraId="3B4EFF77">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rPr>
                    <w:t>、SS</w:t>
                  </w:r>
                </w:p>
              </w:tc>
              <w:tc>
                <w:tcPr>
                  <w:tcW w:w="721" w:type="dxa"/>
                  <w:vAlign w:val="center"/>
                </w:tcPr>
                <w:p w14:paraId="60AB433B">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253F27D2">
                  <w:pPr>
                    <w:pStyle w:val="6"/>
                    <w:spacing w:line="240" w:lineRule="auto"/>
                    <w:ind w:left="0" w:leftChars="0" w:firstLine="0" w:firstLineChars="0"/>
                    <w:jc w:val="center"/>
                    <w:rPr>
                      <w:color w:val="auto"/>
                    </w:rPr>
                  </w:pPr>
                </w:p>
              </w:tc>
            </w:tr>
            <w:tr w14:paraId="0603E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0173DDCF">
                  <w:pPr>
                    <w:pStyle w:val="6"/>
                    <w:spacing w:line="240" w:lineRule="auto"/>
                    <w:ind w:left="0" w:leftChars="0" w:firstLine="0" w:firstLineChars="0"/>
                    <w:jc w:val="center"/>
                    <w:rPr>
                      <w:color w:val="auto"/>
                    </w:rPr>
                  </w:pPr>
                </w:p>
              </w:tc>
              <w:tc>
                <w:tcPr>
                  <w:tcW w:w="1731" w:type="dxa"/>
                  <w:vAlign w:val="center"/>
                </w:tcPr>
                <w:p w14:paraId="5510FA55">
                  <w:pPr>
                    <w:pStyle w:val="6"/>
                    <w:spacing w:line="240" w:lineRule="auto"/>
                    <w:ind w:left="0" w:leftChars="0" w:firstLine="0" w:firstLineChars="0"/>
                    <w:jc w:val="center"/>
                    <w:rPr>
                      <w:color w:val="auto"/>
                    </w:rPr>
                  </w:pPr>
                  <w:r>
                    <w:rPr>
                      <w:color w:val="auto"/>
                    </w:rPr>
                    <w:t>喷淋</w:t>
                  </w:r>
                  <w:r>
                    <w:rPr>
                      <w:rFonts w:hint="eastAsia"/>
                      <w:color w:val="auto"/>
                    </w:rPr>
                    <w:t>塔</w:t>
                  </w:r>
                  <w:r>
                    <w:rPr>
                      <w:color w:val="auto"/>
                    </w:rPr>
                    <w:t>废水</w:t>
                  </w:r>
                </w:p>
              </w:tc>
              <w:tc>
                <w:tcPr>
                  <w:tcW w:w="1786" w:type="dxa"/>
                  <w:vAlign w:val="center"/>
                </w:tcPr>
                <w:p w14:paraId="07607F32">
                  <w:pPr>
                    <w:pStyle w:val="6"/>
                    <w:spacing w:line="240" w:lineRule="auto"/>
                    <w:ind w:left="0" w:leftChars="0" w:firstLine="0" w:firstLineChars="0"/>
                    <w:jc w:val="center"/>
                    <w:rPr>
                      <w:color w:val="auto"/>
                    </w:rPr>
                  </w:pPr>
                  <w:r>
                    <w:rPr>
                      <w:color w:val="auto"/>
                    </w:rPr>
                    <w:t>废气处理</w:t>
                  </w:r>
                </w:p>
              </w:tc>
              <w:tc>
                <w:tcPr>
                  <w:tcW w:w="1686" w:type="dxa"/>
                  <w:vAlign w:val="center"/>
                </w:tcPr>
                <w:p w14:paraId="1BFC4C40">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rPr>
                    <w:t>、SS</w:t>
                  </w:r>
                </w:p>
              </w:tc>
              <w:tc>
                <w:tcPr>
                  <w:tcW w:w="721" w:type="dxa"/>
                  <w:vAlign w:val="center"/>
                </w:tcPr>
                <w:p w14:paraId="3905F7BC">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34FDC1E3">
                  <w:pPr>
                    <w:pStyle w:val="6"/>
                    <w:spacing w:line="240" w:lineRule="auto"/>
                    <w:ind w:left="0" w:leftChars="0" w:firstLine="0" w:firstLineChars="0"/>
                    <w:jc w:val="center"/>
                    <w:rPr>
                      <w:color w:val="auto"/>
                    </w:rPr>
                  </w:pPr>
                </w:p>
              </w:tc>
            </w:tr>
            <w:tr w14:paraId="3262B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5F852B42">
                  <w:pPr>
                    <w:pStyle w:val="6"/>
                    <w:spacing w:line="240" w:lineRule="auto"/>
                    <w:ind w:left="0" w:leftChars="0" w:firstLine="0" w:firstLineChars="0"/>
                    <w:jc w:val="center"/>
                    <w:rPr>
                      <w:color w:val="auto"/>
                    </w:rPr>
                  </w:pPr>
                </w:p>
              </w:tc>
              <w:tc>
                <w:tcPr>
                  <w:tcW w:w="1731" w:type="dxa"/>
                  <w:vAlign w:val="center"/>
                </w:tcPr>
                <w:p w14:paraId="12D97B51">
                  <w:pPr>
                    <w:pStyle w:val="2"/>
                    <w:adjustRightInd w:val="0"/>
                    <w:spacing w:before="0" w:after="0" w:line="240" w:lineRule="auto"/>
                    <w:ind w:right="0"/>
                    <w:jc w:val="center"/>
                    <w:rPr>
                      <w:color w:val="auto"/>
                      <w:sz w:val="21"/>
                      <w:szCs w:val="21"/>
                    </w:rPr>
                  </w:pPr>
                  <w:r>
                    <w:rPr>
                      <w:rFonts w:hint="eastAsia"/>
                      <w:color w:val="auto"/>
                      <w:sz w:val="21"/>
                      <w:szCs w:val="21"/>
                    </w:rPr>
                    <w:t>反冲洗废水</w:t>
                  </w:r>
                </w:p>
              </w:tc>
              <w:tc>
                <w:tcPr>
                  <w:tcW w:w="1786" w:type="dxa"/>
                  <w:vAlign w:val="center"/>
                </w:tcPr>
                <w:p w14:paraId="3C5C7AF6">
                  <w:pPr>
                    <w:pStyle w:val="2"/>
                    <w:adjustRightInd w:val="0"/>
                    <w:spacing w:before="0" w:after="0" w:line="240" w:lineRule="auto"/>
                    <w:ind w:right="0"/>
                    <w:jc w:val="center"/>
                    <w:rPr>
                      <w:color w:val="auto"/>
                      <w:sz w:val="21"/>
                      <w:szCs w:val="21"/>
                    </w:rPr>
                  </w:pPr>
                  <w:r>
                    <w:rPr>
                      <w:rFonts w:hint="eastAsia"/>
                      <w:color w:val="auto"/>
                      <w:sz w:val="21"/>
                      <w:szCs w:val="21"/>
                    </w:rPr>
                    <w:t>反冲洗</w:t>
                  </w:r>
                </w:p>
              </w:tc>
              <w:tc>
                <w:tcPr>
                  <w:tcW w:w="1686" w:type="dxa"/>
                  <w:vAlign w:val="center"/>
                </w:tcPr>
                <w:p w14:paraId="42E61379">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szCs w:val="21"/>
                    </w:rPr>
                    <w:t>、SS</w:t>
                  </w:r>
                </w:p>
              </w:tc>
              <w:tc>
                <w:tcPr>
                  <w:tcW w:w="721" w:type="dxa"/>
                  <w:vAlign w:val="center"/>
                </w:tcPr>
                <w:p w14:paraId="0F85D636">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1C779383">
                  <w:pPr>
                    <w:pStyle w:val="6"/>
                    <w:spacing w:line="240" w:lineRule="auto"/>
                    <w:ind w:left="0" w:leftChars="0" w:firstLine="0" w:firstLineChars="0"/>
                    <w:jc w:val="center"/>
                    <w:rPr>
                      <w:color w:val="auto"/>
                    </w:rPr>
                  </w:pPr>
                </w:p>
              </w:tc>
            </w:tr>
            <w:tr w14:paraId="6AF36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11096786">
                  <w:pPr>
                    <w:pStyle w:val="6"/>
                    <w:spacing w:line="240" w:lineRule="auto"/>
                    <w:ind w:left="0" w:leftChars="0" w:firstLine="0" w:firstLineChars="0"/>
                    <w:jc w:val="center"/>
                    <w:rPr>
                      <w:color w:val="auto"/>
                    </w:rPr>
                  </w:pPr>
                </w:p>
              </w:tc>
              <w:tc>
                <w:tcPr>
                  <w:tcW w:w="1731" w:type="dxa"/>
                  <w:vAlign w:val="center"/>
                </w:tcPr>
                <w:p w14:paraId="30D53541">
                  <w:pPr>
                    <w:pStyle w:val="2"/>
                    <w:adjustRightInd w:val="0"/>
                    <w:spacing w:before="0" w:after="0" w:line="240" w:lineRule="auto"/>
                    <w:ind w:right="0"/>
                    <w:jc w:val="center"/>
                    <w:rPr>
                      <w:color w:val="auto"/>
                      <w:sz w:val="21"/>
                      <w:szCs w:val="21"/>
                    </w:rPr>
                  </w:pPr>
                  <w:r>
                    <w:rPr>
                      <w:rFonts w:hint="eastAsia"/>
                      <w:color w:val="auto"/>
                      <w:sz w:val="21"/>
                      <w:szCs w:val="21"/>
                    </w:rPr>
                    <w:t>水帘柜废水</w:t>
                  </w:r>
                </w:p>
              </w:tc>
              <w:tc>
                <w:tcPr>
                  <w:tcW w:w="1786" w:type="dxa"/>
                  <w:vAlign w:val="center"/>
                </w:tcPr>
                <w:p w14:paraId="7E68D394">
                  <w:pPr>
                    <w:pStyle w:val="2"/>
                    <w:adjustRightInd w:val="0"/>
                    <w:spacing w:before="0" w:after="0" w:line="240" w:lineRule="auto"/>
                    <w:ind w:right="0"/>
                    <w:jc w:val="center"/>
                    <w:rPr>
                      <w:color w:val="auto"/>
                      <w:sz w:val="21"/>
                      <w:szCs w:val="21"/>
                    </w:rPr>
                  </w:pPr>
                  <w:r>
                    <w:rPr>
                      <w:rFonts w:hint="eastAsia"/>
                      <w:color w:val="auto"/>
                      <w:sz w:val="21"/>
                      <w:szCs w:val="21"/>
                    </w:rPr>
                    <w:t>喷漆</w:t>
                  </w:r>
                </w:p>
              </w:tc>
              <w:tc>
                <w:tcPr>
                  <w:tcW w:w="1686" w:type="dxa"/>
                  <w:vAlign w:val="center"/>
                </w:tcPr>
                <w:p w14:paraId="1689D439">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rPr>
                    <w:t>、石油类、SS</w:t>
                  </w:r>
                </w:p>
              </w:tc>
              <w:tc>
                <w:tcPr>
                  <w:tcW w:w="721" w:type="dxa"/>
                  <w:vAlign w:val="center"/>
                </w:tcPr>
                <w:p w14:paraId="409F4122">
                  <w:pPr>
                    <w:pStyle w:val="6"/>
                    <w:spacing w:line="240" w:lineRule="auto"/>
                    <w:ind w:left="0" w:leftChars="0" w:firstLine="0" w:firstLineChars="0"/>
                    <w:jc w:val="center"/>
                    <w:rPr>
                      <w:color w:val="auto"/>
                    </w:rPr>
                  </w:pPr>
                  <w:r>
                    <w:rPr>
                      <w:color w:val="auto"/>
                    </w:rPr>
                    <w:t>间断</w:t>
                  </w:r>
                </w:p>
              </w:tc>
              <w:tc>
                <w:tcPr>
                  <w:tcW w:w="3285" w:type="dxa"/>
                  <w:vAlign w:val="center"/>
                </w:tcPr>
                <w:p w14:paraId="3892988F">
                  <w:pPr>
                    <w:pStyle w:val="6"/>
                    <w:spacing w:line="240" w:lineRule="auto"/>
                    <w:ind w:left="0" w:leftChars="0" w:firstLine="0" w:firstLineChars="0"/>
                    <w:jc w:val="center"/>
                    <w:rPr>
                      <w:color w:val="auto"/>
                    </w:rPr>
                  </w:pPr>
                  <w:r>
                    <w:rPr>
                      <w:rFonts w:hint="eastAsia"/>
                      <w:color w:val="auto"/>
                    </w:rPr>
                    <w:t>委托有危险废物处理资质的单位处理</w:t>
                  </w:r>
                </w:p>
              </w:tc>
            </w:tr>
            <w:tr w14:paraId="5839E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178EDBAF">
                  <w:pPr>
                    <w:pStyle w:val="6"/>
                    <w:spacing w:line="240" w:lineRule="auto"/>
                    <w:ind w:left="0" w:leftChars="0" w:firstLine="0" w:firstLineChars="0"/>
                    <w:jc w:val="center"/>
                    <w:rPr>
                      <w:color w:val="auto"/>
                    </w:rPr>
                  </w:pPr>
                </w:p>
              </w:tc>
              <w:tc>
                <w:tcPr>
                  <w:tcW w:w="1731" w:type="dxa"/>
                  <w:vAlign w:val="center"/>
                </w:tcPr>
                <w:p w14:paraId="5E8E790D">
                  <w:pPr>
                    <w:pStyle w:val="2"/>
                    <w:adjustRightInd w:val="0"/>
                    <w:spacing w:before="0" w:after="0" w:line="240" w:lineRule="auto"/>
                    <w:ind w:right="0"/>
                    <w:jc w:val="center"/>
                    <w:rPr>
                      <w:color w:val="auto"/>
                      <w:sz w:val="21"/>
                      <w:szCs w:val="21"/>
                    </w:rPr>
                  </w:pPr>
                  <w:r>
                    <w:rPr>
                      <w:rFonts w:hint="eastAsia"/>
                      <w:color w:val="auto"/>
                      <w:sz w:val="21"/>
                      <w:szCs w:val="21"/>
                    </w:rPr>
                    <w:t>喷枪清洗废水</w:t>
                  </w:r>
                </w:p>
              </w:tc>
              <w:tc>
                <w:tcPr>
                  <w:tcW w:w="1786" w:type="dxa"/>
                  <w:vAlign w:val="center"/>
                </w:tcPr>
                <w:p w14:paraId="1AC6D592">
                  <w:pPr>
                    <w:pStyle w:val="2"/>
                    <w:adjustRightInd w:val="0"/>
                    <w:spacing w:before="0" w:after="0" w:line="240" w:lineRule="auto"/>
                    <w:ind w:right="0"/>
                    <w:jc w:val="center"/>
                    <w:rPr>
                      <w:color w:val="auto"/>
                      <w:sz w:val="21"/>
                      <w:szCs w:val="21"/>
                    </w:rPr>
                  </w:pPr>
                  <w:r>
                    <w:rPr>
                      <w:rFonts w:hint="eastAsia"/>
                      <w:color w:val="auto"/>
                      <w:sz w:val="21"/>
                      <w:szCs w:val="21"/>
                    </w:rPr>
                    <w:t>喷漆</w:t>
                  </w:r>
                </w:p>
              </w:tc>
              <w:tc>
                <w:tcPr>
                  <w:tcW w:w="1686" w:type="dxa"/>
                  <w:vAlign w:val="center"/>
                </w:tcPr>
                <w:p w14:paraId="58FC0074">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rPr>
                    <w:t>、石油类、SS</w:t>
                  </w:r>
                </w:p>
              </w:tc>
              <w:tc>
                <w:tcPr>
                  <w:tcW w:w="721" w:type="dxa"/>
                  <w:vAlign w:val="center"/>
                </w:tcPr>
                <w:p w14:paraId="56AA47BE">
                  <w:pPr>
                    <w:pStyle w:val="6"/>
                    <w:spacing w:line="240" w:lineRule="auto"/>
                    <w:ind w:left="0" w:leftChars="0" w:firstLine="0" w:firstLineChars="0"/>
                    <w:jc w:val="center"/>
                    <w:rPr>
                      <w:color w:val="auto"/>
                    </w:rPr>
                  </w:pPr>
                  <w:r>
                    <w:rPr>
                      <w:color w:val="auto"/>
                    </w:rPr>
                    <w:t>间断</w:t>
                  </w:r>
                </w:p>
              </w:tc>
              <w:tc>
                <w:tcPr>
                  <w:tcW w:w="3285" w:type="dxa"/>
                  <w:vAlign w:val="center"/>
                </w:tcPr>
                <w:p w14:paraId="5D8F298D">
                  <w:pPr>
                    <w:pStyle w:val="6"/>
                    <w:spacing w:line="240" w:lineRule="auto"/>
                    <w:ind w:left="0" w:leftChars="0" w:firstLine="0" w:firstLineChars="0"/>
                    <w:jc w:val="center"/>
                    <w:rPr>
                      <w:color w:val="auto"/>
                    </w:rPr>
                  </w:pPr>
                  <w:r>
                    <w:rPr>
                      <w:rFonts w:hint="eastAsia"/>
                      <w:color w:val="auto"/>
                    </w:rPr>
                    <w:t>直接倒入水帘柜内进行二次利用，不另外处理。</w:t>
                  </w:r>
                </w:p>
              </w:tc>
            </w:tr>
            <w:tr w14:paraId="0A6ED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400AAF56">
                  <w:pPr>
                    <w:pStyle w:val="6"/>
                    <w:spacing w:line="240" w:lineRule="auto"/>
                    <w:ind w:left="0" w:leftChars="0" w:firstLine="0" w:firstLineChars="0"/>
                    <w:jc w:val="center"/>
                    <w:rPr>
                      <w:color w:val="auto"/>
                    </w:rPr>
                  </w:pPr>
                </w:p>
              </w:tc>
              <w:tc>
                <w:tcPr>
                  <w:tcW w:w="1731" w:type="dxa"/>
                  <w:vAlign w:val="center"/>
                </w:tcPr>
                <w:p w14:paraId="74F5588C">
                  <w:pPr>
                    <w:pStyle w:val="6"/>
                    <w:spacing w:line="240" w:lineRule="auto"/>
                    <w:ind w:left="0" w:leftChars="0" w:firstLine="0" w:firstLineChars="0"/>
                    <w:jc w:val="center"/>
                    <w:rPr>
                      <w:color w:val="auto"/>
                    </w:rPr>
                  </w:pPr>
                  <w:r>
                    <w:rPr>
                      <w:color w:val="auto"/>
                    </w:rPr>
                    <w:t>生活污水</w:t>
                  </w:r>
                </w:p>
              </w:tc>
              <w:tc>
                <w:tcPr>
                  <w:tcW w:w="1786" w:type="dxa"/>
                  <w:vAlign w:val="center"/>
                </w:tcPr>
                <w:p w14:paraId="0352D8B1">
                  <w:pPr>
                    <w:pStyle w:val="6"/>
                    <w:spacing w:line="240" w:lineRule="auto"/>
                    <w:ind w:left="0" w:leftChars="0" w:firstLine="0" w:firstLineChars="0"/>
                    <w:jc w:val="center"/>
                    <w:rPr>
                      <w:color w:val="auto"/>
                    </w:rPr>
                  </w:pPr>
                  <w:r>
                    <w:rPr>
                      <w:color w:val="auto"/>
                    </w:rPr>
                    <w:t>员工生活</w:t>
                  </w:r>
                </w:p>
              </w:tc>
              <w:tc>
                <w:tcPr>
                  <w:tcW w:w="1686" w:type="dxa"/>
                  <w:vAlign w:val="center"/>
                </w:tcPr>
                <w:p w14:paraId="1C4FAC16">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rPr>
                    <w:t>、BOD</w:t>
                  </w:r>
                  <w:r>
                    <w:rPr>
                      <w:color w:val="auto"/>
                      <w:vertAlign w:val="subscript"/>
                    </w:rPr>
                    <w:t>5</w:t>
                  </w:r>
                  <w:r>
                    <w:rPr>
                      <w:color w:val="auto"/>
                    </w:rPr>
                    <w:t>、SS、NH</w:t>
                  </w:r>
                  <w:r>
                    <w:rPr>
                      <w:color w:val="auto"/>
                      <w:vertAlign w:val="subscript"/>
                    </w:rPr>
                    <w:t>3</w:t>
                  </w:r>
                  <w:r>
                    <w:rPr>
                      <w:color w:val="auto"/>
                    </w:rPr>
                    <w:t>-N、</w:t>
                  </w:r>
                  <w:r>
                    <w:rPr>
                      <w:rFonts w:hint="eastAsia"/>
                      <w:color w:val="auto"/>
                    </w:rPr>
                    <w:t>TN、</w:t>
                  </w:r>
                  <w:r>
                    <w:rPr>
                      <w:color w:val="auto"/>
                    </w:rPr>
                    <w:t>TP</w:t>
                  </w:r>
                </w:p>
              </w:tc>
              <w:tc>
                <w:tcPr>
                  <w:tcW w:w="721" w:type="dxa"/>
                  <w:vAlign w:val="center"/>
                </w:tcPr>
                <w:p w14:paraId="37897ACC">
                  <w:pPr>
                    <w:pStyle w:val="6"/>
                    <w:spacing w:line="240" w:lineRule="auto"/>
                    <w:ind w:left="0" w:leftChars="0" w:firstLine="0" w:firstLineChars="0"/>
                    <w:jc w:val="center"/>
                    <w:rPr>
                      <w:color w:val="auto"/>
                    </w:rPr>
                  </w:pPr>
                  <w:r>
                    <w:rPr>
                      <w:color w:val="auto"/>
                    </w:rPr>
                    <w:t>间断</w:t>
                  </w:r>
                </w:p>
              </w:tc>
              <w:tc>
                <w:tcPr>
                  <w:tcW w:w="3285" w:type="dxa"/>
                  <w:vAlign w:val="center"/>
                </w:tcPr>
                <w:p w14:paraId="3038B46F">
                  <w:pPr>
                    <w:pStyle w:val="6"/>
                    <w:spacing w:line="240" w:lineRule="auto"/>
                    <w:ind w:left="0" w:leftChars="0" w:firstLine="0" w:firstLineChars="0"/>
                    <w:jc w:val="center"/>
                    <w:rPr>
                      <w:color w:val="auto"/>
                    </w:rPr>
                  </w:pPr>
                  <w:r>
                    <w:rPr>
                      <w:color w:val="auto"/>
                      <w:szCs w:val="21"/>
                    </w:rPr>
                    <w:t>纳入</w:t>
                  </w:r>
                  <w:r>
                    <w:rPr>
                      <w:rFonts w:hint="eastAsia"/>
                      <w:color w:val="auto"/>
                      <w:szCs w:val="21"/>
                    </w:rPr>
                    <w:t>石湾镇西基生活污水厂</w:t>
                  </w:r>
                </w:p>
              </w:tc>
            </w:tr>
            <w:tr w14:paraId="02644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dxa"/>
                  <w:vAlign w:val="center"/>
                </w:tcPr>
                <w:p w14:paraId="58FC8F8D">
                  <w:pPr>
                    <w:pStyle w:val="6"/>
                    <w:spacing w:line="240" w:lineRule="auto"/>
                    <w:ind w:left="0" w:leftChars="0" w:firstLine="0" w:firstLineChars="0"/>
                    <w:jc w:val="center"/>
                    <w:rPr>
                      <w:color w:val="auto"/>
                    </w:rPr>
                  </w:pPr>
                  <w:r>
                    <w:rPr>
                      <w:color w:val="auto"/>
                    </w:rPr>
                    <w:t>噪声</w:t>
                  </w:r>
                </w:p>
              </w:tc>
              <w:tc>
                <w:tcPr>
                  <w:tcW w:w="1731" w:type="dxa"/>
                  <w:vAlign w:val="center"/>
                </w:tcPr>
                <w:p w14:paraId="6C1BFF98">
                  <w:pPr>
                    <w:pStyle w:val="6"/>
                    <w:spacing w:line="240" w:lineRule="auto"/>
                    <w:ind w:left="0" w:leftChars="0" w:firstLine="0" w:firstLineChars="0"/>
                    <w:jc w:val="center"/>
                    <w:rPr>
                      <w:color w:val="auto"/>
                    </w:rPr>
                  </w:pPr>
                  <w:r>
                    <w:rPr>
                      <w:color w:val="auto"/>
                    </w:rPr>
                    <w:t>生产设备噪声</w:t>
                  </w:r>
                </w:p>
              </w:tc>
              <w:tc>
                <w:tcPr>
                  <w:tcW w:w="1786" w:type="dxa"/>
                  <w:vAlign w:val="center"/>
                </w:tcPr>
                <w:p w14:paraId="09294F3A">
                  <w:pPr>
                    <w:pStyle w:val="6"/>
                    <w:spacing w:line="240" w:lineRule="auto"/>
                    <w:ind w:left="0" w:leftChars="0" w:firstLine="0" w:firstLineChars="0"/>
                    <w:jc w:val="center"/>
                    <w:rPr>
                      <w:color w:val="auto"/>
                    </w:rPr>
                  </w:pPr>
                  <w:r>
                    <w:rPr>
                      <w:color w:val="auto"/>
                    </w:rPr>
                    <w:t>各类生产设备运行过程</w:t>
                  </w:r>
                </w:p>
              </w:tc>
              <w:tc>
                <w:tcPr>
                  <w:tcW w:w="1686" w:type="dxa"/>
                  <w:vAlign w:val="center"/>
                </w:tcPr>
                <w:p w14:paraId="10D111DB">
                  <w:pPr>
                    <w:pStyle w:val="6"/>
                    <w:spacing w:line="240" w:lineRule="auto"/>
                    <w:ind w:left="0" w:leftChars="0" w:firstLine="0" w:firstLineChars="0"/>
                    <w:jc w:val="center"/>
                    <w:rPr>
                      <w:color w:val="auto"/>
                    </w:rPr>
                  </w:pPr>
                  <w:r>
                    <w:rPr>
                      <w:color w:val="auto"/>
                    </w:rPr>
                    <w:t>噪声</w:t>
                  </w:r>
                </w:p>
              </w:tc>
              <w:tc>
                <w:tcPr>
                  <w:tcW w:w="721" w:type="dxa"/>
                  <w:vAlign w:val="center"/>
                </w:tcPr>
                <w:p w14:paraId="3FA6B15C">
                  <w:pPr>
                    <w:pStyle w:val="6"/>
                    <w:spacing w:line="240" w:lineRule="auto"/>
                    <w:ind w:left="0" w:leftChars="0" w:firstLine="0" w:firstLineChars="0"/>
                    <w:jc w:val="center"/>
                    <w:rPr>
                      <w:color w:val="auto"/>
                    </w:rPr>
                  </w:pPr>
                  <w:r>
                    <w:rPr>
                      <w:color w:val="auto"/>
                    </w:rPr>
                    <w:t>连续</w:t>
                  </w:r>
                </w:p>
              </w:tc>
              <w:tc>
                <w:tcPr>
                  <w:tcW w:w="3285" w:type="dxa"/>
                  <w:vAlign w:val="center"/>
                </w:tcPr>
                <w:p w14:paraId="78EEF61A">
                  <w:pPr>
                    <w:pStyle w:val="6"/>
                    <w:spacing w:line="240" w:lineRule="auto"/>
                    <w:ind w:left="0" w:leftChars="0" w:firstLine="0" w:firstLineChars="0"/>
                    <w:jc w:val="center"/>
                    <w:rPr>
                      <w:color w:val="auto"/>
                    </w:rPr>
                  </w:pPr>
                  <w:r>
                    <w:rPr>
                      <w:color w:val="auto"/>
                      <w:szCs w:val="21"/>
                    </w:rPr>
                    <w:t>使用低噪声设备，基础减震</w:t>
                  </w:r>
                </w:p>
              </w:tc>
            </w:tr>
            <w:tr w14:paraId="08CA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dxa"/>
                  <w:vMerge w:val="restart"/>
                  <w:vAlign w:val="center"/>
                </w:tcPr>
                <w:p w14:paraId="5B41EBF3">
                  <w:pPr>
                    <w:pStyle w:val="6"/>
                    <w:spacing w:line="240" w:lineRule="auto"/>
                    <w:ind w:left="0" w:leftChars="0" w:firstLine="0" w:firstLineChars="0"/>
                    <w:jc w:val="center"/>
                    <w:rPr>
                      <w:color w:val="auto"/>
                    </w:rPr>
                  </w:pPr>
                  <w:r>
                    <w:rPr>
                      <w:color w:val="auto"/>
                    </w:rPr>
                    <w:t>固废</w:t>
                  </w:r>
                </w:p>
              </w:tc>
              <w:tc>
                <w:tcPr>
                  <w:tcW w:w="1731" w:type="dxa"/>
                  <w:vAlign w:val="center"/>
                </w:tcPr>
                <w:p w14:paraId="0B05B4BB">
                  <w:pPr>
                    <w:pStyle w:val="6"/>
                    <w:spacing w:line="240" w:lineRule="auto"/>
                    <w:ind w:left="0" w:leftChars="0" w:firstLine="0" w:firstLineChars="0"/>
                    <w:jc w:val="center"/>
                    <w:rPr>
                      <w:color w:val="auto"/>
                    </w:rPr>
                  </w:pPr>
                  <w:r>
                    <w:rPr>
                      <w:bCs/>
                      <w:color w:val="auto"/>
                      <w:kern w:val="0"/>
                      <w:szCs w:val="21"/>
                    </w:rPr>
                    <w:t>员工生活</w:t>
                  </w:r>
                </w:p>
              </w:tc>
              <w:tc>
                <w:tcPr>
                  <w:tcW w:w="1786" w:type="dxa"/>
                  <w:vAlign w:val="center"/>
                </w:tcPr>
                <w:p w14:paraId="74F3202E">
                  <w:pPr>
                    <w:pStyle w:val="6"/>
                    <w:spacing w:line="240" w:lineRule="auto"/>
                    <w:ind w:left="0" w:leftChars="0" w:firstLine="0" w:firstLineChars="0"/>
                    <w:jc w:val="center"/>
                    <w:rPr>
                      <w:color w:val="auto"/>
                    </w:rPr>
                  </w:pPr>
                  <w:r>
                    <w:rPr>
                      <w:bCs/>
                      <w:color w:val="auto"/>
                      <w:kern w:val="0"/>
                      <w:szCs w:val="21"/>
                    </w:rPr>
                    <w:t>生活垃圾</w:t>
                  </w:r>
                </w:p>
              </w:tc>
              <w:tc>
                <w:tcPr>
                  <w:tcW w:w="1686" w:type="dxa"/>
                  <w:vAlign w:val="center"/>
                </w:tcPr>
                <w:p w14:paraId="2E267208">
                  <w:pPr>
                    <w:pStyle w:val="6"/>
                    <w:spacing w:line="240" w:lineRule="auto"/>
                    <w:ind w:left="0" w:leftChars="0" w:firstLine="0" w:firstLineChars="0"/>
                    <w:jc w:val="center"/>
                    <w:rPr>
                      <w:color w:val="auto"/>
                    </w:rPr>
                  </w:pPr>
                  <w:r>
                    <w:rPr>
                      <w:color w:val="auto"/>
                    </w:rPr>
                    <w:t>/</w:t>
                  </w:r>
                </w:p>
              </w:tc>
              <w:tc>
                <w:tcPr>
                  <w:tcW w:w="721" w:type="dxa"/>
                  <w:vAlign w:val="center"/>
                </w:tcPr>
                <w:p w14:paraId="13F17759">
                  <w:pPr>
                    <w:pStyle w:val="6"/>
                    <w:spacing w:line="240" w:lineRule="auto"/>
                    <w:ind w:left="0" w:leftChars="0" w:firstLine="0" w:firstLineChars="0"/>
                    <w:jc w:val="center"/>
                    <w:rPr>
                      <w:color w:val="auto"/>
                    </w:rPr>
                  </w:pPr>
                  <w:r>
                    <w:rPr>
                      <w:color w:val="auto"/>
                    </w:rPr>
                    <w:t>间断</w:t>
                  </w:r>
                </w:p>
              </w:tc>
              <w:tc>
                <w:tcPr>
                  <w:tcW w:w="3285" w:type="dxa"/>
                  <w:vAlign w:val="center"/>
                </w:tcPr>
                <w:p w14:paraId="317C4E06">
                  <w:pPr>
                    <w:pStyle w:val="6"/>
                    <w:spacing w:line="240" w:lineRule="auto"/>
                    <w:ind w:left="0" w:leftChars="0" w:firstLine="0" w:firstLineChars="0"/>
                    <w:jc w:val="center"/>
                    <w:rPr>
                      <w:color w:val="auto"/>
                      <w:szCs w:val="21"/>
                    </w:rPr>
                  </w:pPr>
                  <w:r>
                    <w:rPr>
                      <w:color w:val="auto"/>
                      <w:szCs w:val="21"/>
                    </w:rPr>
                    <w:t>交由环卫部门处理</w:t>
                  </w:r>
                </w:p>
              </w:tc>
            </w:tr>
            <w:tr w14:paraId="18DA1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4C7946F4">
                  <w:pPr>
                    <w:pStyle w:val="6"/>
                    <w:spacing w:line="240" w:lineRule="auto"/>
                    <w:ind w:left="0" w:leftChars="0" w:firstLine="0" w:firstLineChars="0"/>
                    <w:jc w:val="center"/>
                    <w:rPr>
                      <w:color w:val="auto"/>
                    </w:rPr>
                  </w:pPr>
                </w:p>
              </w:tc>
              <w:tc>
                <w:tcPr>
                  <w:tcW w:w="1731" w:type="dxa"/>
                  <w:vAlign w:val="center"/>
                </w:tcPr>
                <w:p w14:paraId="63A3D495">
                  <w:pPr>
                    <w:keepNext/>
                    <w:adjustRightInd w:val="0"/>
                    <w:snapToGrid w:val="0"/>
                    <w:jc w:val="center"/>
                    <w:rPr>
                      <w:color w:val="auto"/>
                      <w:szCs w:val="21"/>
                      <w:lang w:bidi="ar"/>
                    </w:rPr>
                  </w:pPr>
                  <w:r>
                    <w:rPr>
                      <w:color w:val="auto"/>
                      <w:szCs w:val="21"/>
                      <w:lang w:bidi="ar"/>
                    </w:rPr>
                    <w:t>边角料</w:t>
                  </w:r>
                </w:p>
              </w:tc>
              <w:tc>
                <w:tcPr>
                  <w:tcW w:w="1786" w:type="dxa"/>
                  <w:vAlign w:val="center"/>
                </w:tcPr>
                <w:p w14:paraId="1F1F3F15">
                  <w:pPr>
                    <w:pStyle w:val="6"/>
                    <w:spacing w:line="240" w:lineRule="auto"/>
                    <w:ind w:left="0" w:leftChars="0" w:firstLine="0" w:firstLineChars="0"/>
                    <w:jc w:val="center"/>
                    <w:rPr>
                      <w:color w:val="auto"/>
                    </w:rPr>
                  </w:pPr>
                  <w:r>
                    <w:rPr>
                      <w:rFonts w:hint="eastAsia"/>
                      <w:color w:val="auto"/>
                    </w:rPr>
                    <w:t>钻孔</w:t>
                  </w:r>
                </w:p>
              </w:tc>
              <w:tc>
                <w:tcPr>
                  <w:tcW w:w="1686" w:type="dxa"/>
                  <w:vAlign w:val="center"/>
                </w:tcPr>
                <w:p w14:paraId="0CC3D223">
                  <w:pPr>
                    <w:pStyle w:val="6"/>
                    <w:spacing w:line="240" w:lineRule="auto"/>
                    <w:ind w:left="0" w:leftChars="0" w:firstLine="0" w:firstLineChars="0"/>
                    <w:jc w:val="center"/>
                    <w:rPr>
                      <w:color w:val="auto"/>
                    </w:rPr>
                  </w:pPr>
                  <w:r>
                    <w:rPr>
                      <w:color w:val="auto"/>
                    </w:rPr>
                    <w:t>金属屑</w:t>
                  </w:r>
                </w:p>
              </w:tc>
              <w:tc>
                <w:tcPr>
                  <w:tcW w:w="721" w:type="dxa"/>
                  <w:vAlign w:val="center"/>
                </w:tcPr>
                <w:p w14:paraId="4F614375">
                  <w:pPr>
                    <w:pStyle w:val="6"/>
                    <w:spacing w:line="240" w:lineRule="auto"/>
                    <w:ind w:left="0" w:leftChars="0" w:firstLine="0" w:firstLineChars="0"/>
                    <w:jc w:val="center"/>
                    <w:rPr>
                      <w:color w:val="auto"/>
                    </w:rPr>
                  </w:pPr>
                  <w:r>
                    <w:rPr>
                      <w:color w:val="auto"/>
                    </w:rPr>
                    <w:t>连续</w:t>
                  </w:r>
                </w:p>
              </w:tc>
              <w:tc>
                <w:tcPr>
                  <w:tcW w:w="3285" w:type="dxa"/>
                  <w:vAlign w:val="center"/>
                </w:tcPr>
                <w:p w14:paraId="6165C8ED">
                  <w:pPr>
                    <w:pStyle w:val="6"/>
                    <w:spacing w:line="240" w:lineRule="auto"/>
                    <w:ind w:left="0" w:leftChars="0" w:firstLine="0" w:firstLineChars="0"/>
                    <w:jc w:val="center"/>
                    <w:rPr>
                      <w:color w:val="auto"/>
                    </w:rPr>
                  </w:pPr>
                  <w:r>
                    <w:rPr>
                      <w:color w:val="auto"/>
                      <w:szCs w:val="21"/>
                    </w:rPr>
                    <w:t>交由一般固废回收利用/处置单位处理</w:t>
                  </w:r>
                </w:p>
              </w:tc>
            </w:tr>
            <w:tr w14:paraId="5AFD7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dxa"/>
                  <w:vMerge w:val="continue"/>
                  <w:vAlign w:val="center"/>
                </w:tcPr>
                <w:p w14:paraId="0267143B">
                  <w:pPr>
                    <w:pStyle w:val="6"/>
                    <w:spacing w:line="240" w:lineRule="auto"/>
                    <w:ind w:left="0" w:leftChars="0" w:firstLine="0" w:firstLineChars="0"/>
                    <w:jc w:val="center"/>
                    <w:rPr>
                      <w:color w:val="auto"/>
                    </w:rPr>
                  </w:pPr>
                </w:p>
              </w:tc>
              <w:tc>
                <w:tcPr>
                  <w:tcW w:w="1731" w:type="dxa"/>
                  <w:vAlign w:val="center"/>
                </w:tcPr>
                <w:p w14:paraId="477FC47F">
                  <w:pPr>
                    <w:keepNext/>
                    <w:adjustRightInd w:val="0"/>
                    <w:snapToGrid w:val="0"/>
                    <w:jc w:val="center"/>
                    <w:rPr>
                      <w:color w:val="auto"/>
                      <w:szCs w:val="21"/>
                      <w:lang w:bidi="ar"/>
                    </w:rPr>
                  </w:pPr>
                  <w:r>
                    <w:rPr>
                      <w:rFonts w:hint="eastAsia"/>
                      <w:color w:val="auto"/>
                      <w:szCs w:val="21"/>
                      <w:lang w:bidi="ar"/>
                    </w:rPr>
                    <w:t>包装固废</w:t>
                  </w:r>
                </w:p>
              </w:tc>
              <w:tc>
                <w:tcPr>
                  <w:tcW w:w="1786" w:type="dxa"/>
                  <w:vAlign w:val="center"/>
                </w:tcPr>
                <w:p w14:paraId="0BA2044C">
                  <w:pPr>
                    <w:pStyle w:val="6"/>
                    <w:spacing w:line="240" w:lineRule="auto"/>
                    <w:ind w:left="0" w:leftChars="0" w:firstLine="0" w:firstLineChars="0"/>
                    <w:jc w:val="center"/>
                    <w:rPr>
                      <w:color w:val="auto"/>
                    </w:rPr>
                  </w:pPr>
                  <w:r>
                    <w:rPr>
                      <w:color w:val="auto"/>
                    </w:rPr>
                    <w:t>原料储存</w:t>
                  </w:r>
                </w:p>
              </w:tc>
              <w:tc>
                <w:tcPr>
                  <w:tcW w:w="1686" w:type="dxa"/>
                  <w:vAlign w:val="center"/>
                </w:tcPr>
                <w:p w14:paraId="618B9F04">
                  <w:pPr>
                    <w:pStyle w:val="6"/>
                    <w:spacing w:line="240" w:lineRule="auto"/>
                    <w:ind w:left="0" w:leftChars="0" w:firstLine="0" w:firstLineChars="0"/>
                    <w:jc w:val="center"/>
                    <w:rPr>
                      <w:color w:val="auto"/>
                    </w:rPr>
                  </w:pPr>
                  <w:r>
                    <w:rPr>
                      <w:rFonts w:hint="eastAsia"/>
                      <w:color w:val="auto"/>
                    </w:rPr>
                    <w:t>废包装材料、废包装袋</w:t>
                  </w:r>
                </w:p>
              </w:tc>
              <w:tc>
                <w:tcPr>
                  <w:tcW w:w="721" w:type="dxa"/>
                  <w:vAlign w:val="center"/>
                </w:tcPr>
                <w:p w14:paraId="44603A43">
                  <w:pPr>
                    <w:pStyle w:val="6"/>
                    <w:spacing w:line="240" w:lineRule="auto"/>
                    <w:ind w:left="0" w:leftChars="0" w:firstLine="0" w:firstLineChars="0"/>
                    <w:jc w:val="center"/>
                    <w:rPr>
                      <w:color w:val="auto"/>
                    </w:rPr>
                  </w:pPr>
                  <w:r>
                    <w:rPr>
                      <w:color w:val="auto"/>
                    </w:rPr>
                    <w:t>间断</w:t>
                  </w:r>
                </w:p>
              </w:tc>
              <w:tc>
                <w:tcPr>
                  <w:tcW w:w="3285" w:type="dxa"/>
                  <w:vMerge w:val="restart"/>
                  <w:vAlign w:val="center"/>
                </w:tcPr>
                <w:p w14:paraId="3AA80610">
                  <w:pPr>
                    <w:pStyle w:val="6"/>
                    <w:spacing w:line="240" w:lineRule="auto"/>
                    <w:ind w:left="0" w:leftChars="0" w:firstLine="0" w:firstLineChars="0"/>
                    <w:jc w:val="center"/>
                    <w:rPr>
                      <w:color w:val="auto"/>
                    </w:rPr>
                  </w:pPr>
                  <w:r>
                    <w:rPr>
                      <w:color w:val="auto"/>
                      <w:szCs w:val="21"/>
                    </w:rPr>
                    <w:t>交由一般固废回收利用/处置单位处理</w:t>
                  </w:r>
                </w:p>
              </w:tc>
            </w:tr>
            <w:tr w14:paraId="61A1C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04" w:type="dxa"/>
                  <w:vMerge w:val="continue"/>
                  <w:vAlign w:val="center"/>
                </w:tcPr>
                <w:p w14:paraId="49167DD0">
                  <w:pPr>
                    <w:pStyle w:val="6"/>
                    <w:spacing w:line="240" w:lineRule="auto"/>
                    <w:ind w:left="0" w:leftChars="0" w:firstLine="0" w:firstLineChars="0"/>
                    <w:jc w:val="center"/>
                    <w:rPr>
                      <w:color w:val="auto"/>
                    </w:rPr>
                  </w:pPr>
                </w:p>
              </w:tc>
              <w:tc>
                <w:tcPr>
                  <w:tcW w:w="1731" w:type="dxa"/>
                  <w:vAlign w:val="center"/>
                </w:tcPr>
                <w:p w14:paraId="7EE5657B">
                  <w:pPr>
                    <w:keepNext/>
                    <w:adjustRightInd w:val="0"/>
                    <w:snapToGrid w:val="0"/>
                    <w:jc w:val="center"/>
                    <w:rPr>
                      <w:color w:val="auto"/>
                      <w:szCs w:val="21"/>
                      <w:lang w:bidi="ar"/>
                    </w:rPr>
                  </w:pPr>
                  <w:r>
                    <w:rPr>
                      <w:color w:val="auto"/>
                      <w:szCs w:val="21"/>
                      <w:lang w:bidi="ar"/>
                    </w:rPr>
                    <w:t>金属粉尘</w:t>
                  </w:r>
                </w:p>
              </w:tc>
              <w:tc>
                <w:tcPr>
                  <w:tcW w:w="1786" w:type="dxa"/>
                  <w:vAlign w:val="center"/>
                </w:tcPr>
                <w:p w14:paraId="4173267B">
                  <w:pPr>
                    <w:pStyle w:val="6"/>
                    <w:spacing w:line="240" w:lineRule="auto"/>
                    <w:ind w:left="0" w:leftChars="0" w:firstLine="0" w:firstLineChars="0"/>
                    <w:jc w:val="center"/>
                    <w:rPr>
                      <w:color w:val="auto"/>
                    </w:rPr>
                  </w:pPr>
                  <w:r>
                    <w:rPr>
                      <w:rFonts w:hint="eastAsia"/>
                      <w:color w:val="auto"/>
                    </w:rPr>
                    <w:t>地面洒扫</w:t>
                  </w:r>
                </w:p>
              </w:tc>
              <w:tc>
                <w:tcPr>
                  <w:tcW w:w="1686" w:type="dxa"/>
                  <w:vAlign w:val="center"/>
                </w:tcPr>
                <w:p w14:paraId="79980DD4">
                  <w:pPr>
                    <w:pStyle w:val="6"/>
                    <w:spacing w:line="240" w:lineRule="auto"/>
                    <w:ind w:left="0" w:leftChars="0" w:firstLine="0" w:firstLineChars="0"/>
                    <w:jc w:val="center"/>
                    <w:rPr>
                      <w:color w:val="auto"/>
                    </w:rPr>
                  </w:pPr>
                  <w:r>
                    <w:rPr>
                      <w:color w:val="auto"/>
                    </w:rPr>
                    <w:t>金属渣等</w:t>
                  </w:r>
                </w:p>
              </w:tc>
              <w:tc>
                <w:tcPr>
                  <w:tcW w:w="721" w:type="dxa"/>
                  <w:vAlign w:val="center"/>
                </w:tcPr>
                <w:p w14:paraId="5957735A">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0AF12EEC">
                  <w:pPr>
                    <w:pStyle w:val="6"/>
                    <w:spacing w:line="240" w:lineRule="auto"/>
                    <w:ind w:left="0" w:leftChars="0" w:firstLine="0" w:firstLineChars="0"/>
                    <w:jc w:val="center"/>
                    <w:rPr>
                      <w:color w:val="auto"/>
                    </w:rPr>
                  </w:pPr>
                </w:p>
              </w:tc>
            </w:tr>
            <w:tr w14:paraId="306B3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04" w:type="dxa"/>
                  <w:vMerge w:val="continue"/>
                  <w:vAlign w:val="center"/>
                </w:tcPr>
                <w:p w14:paraId="15F9D914">
                  <w:pPr>
                    <w:pStyle w:val="6"/>
                    <w:spacing w:line="240" w:lineRule="auto"/>
                    <w:ind w:left="0" w:leftChars="0" w:firstLine="0" w:firstLineChars="0"/>
                    <w:jc w:val="center"/>
                    <w:rPr>
                      <w:color w:val="auto"/>
                    </w:rPr>
                  </w:pPr>
                </w:p>
              </w:tc>
              <w:tc>
                <w:tcPr>
                  <w:tcW w:w="1731" w:type="dxa"/>
                  <w:vAlign w:val="center"/>
                </w:tcPr>
                <w:p w14:paraId="2D098652">
                  <w:pPr>
                    <w:pStyle w:val="43"/>
                    <w:wordWrap/>
                    <w:spacing w:line="240" w:lineRule="auto"/>
                    <w:ind w:firstLine="0" w:firstLineChars="0"/>
                    <w:jc w:val="center"/>
                    <w:rPr>
                      <w:color w:val="auto"/>
                      <w:sz w:val="21"/>
                      <w:szCs w:val="21"/>
                    </w:rPr>
                  </w:pPr>
                  <w:r>
                    <w:rPr>
                      <w:color w:val="auto"/>
                      <w:sz w:val="21"/>
                      <w:szCs w:val="21"/>
                    </w:rPr>
                    <w:t>废布袋</w:t>
                  </w:r>
                </w:p>
              </w:tc>
              <w:tc>
                <w:tcPr>
                  <w:tcW w:w="1786" w:type="dxa"/>
                  <w:vAlign w:val="center"/>
                </w:tcPr>
                <w:p w14:paraId="6172B827">
                  <w:pPr>
                    <w:pStyle w:val="6"/>
                    <w:spacing w:line="240" w:lineRule="auto"/>
                    <w:ind w:left="0" w:leftChars="0" w:firstLine="0" w:firstLineChars="0"/>
                    <w:jc w:val="center"/>
                    <w:rPr>
                      <w:color w:val="auto"/>
                    </w:rPr>
                  </w:pPr>
                  <w:r>
                    <w:rPr>
                      <w:color w:val="auto"/>
                    </w:rPr>
                    <w:t>喷粉过程</w:t>
                  </w:r>
                </w:p>
              </w:tc>
              <w:tc>
                <w:tcPr>
                  <w:tcW w:w="1686" w:type="dxa"/>
                  <w:vAlign w:val="center"/>
                </w:tcPr>
                <w:p w14:paraId="090F8B22">
                  <w:pPr>
                    <w:pStyle w:val="6"/>
                    <w:spacing w:line="240" w:lineRule="auto"/>
                    <w:ind w:left="0" w:leftChars="0" w:firstLine="0" w:firstLineChars="0"/>
                    <w:jc w:val="center"/>
                    <w:rPr>
                      <w:color w:val="auto"/>
                    </w:rPr>
                  </w:pPr>
                  <w:r>
                    <w:rPr>
                      <w:color w:val="auto"/>
                    </w:rPr>
                    <w:t>粉末涂料</w:t>
                  </w:r>
                </w:p>
              </w:tc>
              <w:tc>
                <w:tcPr>
                  <w:tcW w:w="721" w:type="dxa"/>
                  <w:vAlign w:val="center"/>
                </w:tcPr>
                <w:p w14:paraId="34595E76">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638996CD">
                  <w:pPr>
                    <w:pStyle w:val="6"/>
                    <w:spacing w:line="240" w:lineRule="auto"/>
                    <w:ind w:left="0" w:leftChars="0" w:firstLine="0" w:firstLineChars="0"/>
                    <w:jc w:val="center"/>
                    <w:rPr>
                      <w:color w:val="auto"/>
                    </w:rPr>
                  </w:pPr>
                </w:p>
              </w:tc>
            </w:tr>
            <w:tr w14:paraId="7F35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04" w:type="dxa"/>
                  <w:vMerge w:val="continue"/>
                  <w:vAlign w:val="center"/>
                </w:tcPr>
                <w:p w14:paraId="1B3766DE">
                  <w:pPr>
                    <w:pStyle w:val="6"/>
                    <w:spacing w:line="240" w:lineRule="auto"/>
                    <w:ind w:left="0" w:leftChars="0" w:firstLine="0" w:firstLineChars="0"/>
                    <w:jc w:val="center"/>
                    <w:rPr>
                      <w:color w:val="auto"/>
                    </w:rPr>
                  </w:pPr>
                </w:p>
              </w:tc>
              <w:tc>
                <w:tcPr>
                  <w:tcW w:w="1731" w:type="dxa"/>
                  <w:vAlign w:val="center"/>
                </w:tcPr>
                <w:p w14:paraId="37721C74">
                  <w:pPr>
                    <w:pStyle w:val="43"/>
                    <w:wordWrap/>
                    <w:spacing w:line="240" w:lineRule="auto"/>
                    <w:ind w:firstLine="0" w:firstLineChars="0"/>
                    <w:jc w:val="center"/>
                    <w:rPr>
                      <w:color w:val="auto"/>
                      <w:sz w:val="21"/>
                      <w:szCs w:val="21"/>
                    </w:rPr>
                  </w:pPr>
                  <w:r>
                    <w:rPr>
                      <w:color w:val="auto"/>
                      <w:sz w:val="21"/>
                      <w:szCs w:val="21"/>
                    </w:rPr>
                    <w:t>废滤筒</w:t>
                  </w:r>
                </w:p>
              </w:tc>
              <w:tc>
                <w:tcPr>
                  <w:tcW w:w="1786" w:type="dxa"/>
                  <w:vAlign w:val="center"/>
                </w:tcPr>
                <w:p w14:paraId="2FBA64C2">
                  <w:pPr>
                    <w:pStyle w:val="6"/>
                    <w:spacing w:line="240" w:lineRule="auto"/>
                    <w:ind w:left="0" w:leftChars="0" w:firstLine="0" w:firstLineChars="0"/>
                    <w:jc w:val="center"/>
                    <w:rPr>
                      <w:color w:val="auto"/>
                    </w:rPr>
                  </w:pPr>
                  <w:r>
                    <w:rPr>
                      <w:color w:val="auto"/>
                    </w:rPr>
                    <w:t>喷粉过程</w:t>
                  </w:r>
                </w:p>
              </w:tc>
              <w:tc>
                <w:tcPr>
                  <w:tcW w:w="1686" w:type="dxa"/>
                  <w:vAlign w:val="center"/>
                </w:tcPr>
                <w:p w14:paraId="1CB83F6B">
                  <w:pPr>
                    <w:pStyle w:val="6"/>
                    <w:spacing w:line="240" w:lineRule="auto"/>
                    <w:ind w:left="0" w:leftChars="0" w:firstLine="0" w:firstLineChars="0"/>
                    <w:jc w:val="center"/>
                    <w:rPr>
                      <w:color w:val="auto"/>
                    </w:rPr>
                  </w:pPr>
                  <w:r>
                    <w:rPr>
                      <w:color w:val="auto"/>
                    </w:rPr>
                    <w:t>粉末涂料</w:t>
                  </w:r>
                </w:p>
              </w:tc>
              <w:tc>
                <w:tcPr>
                  <w:tcW w:w="721" w:type="dxa"/>
                  <w:vAlign w:val="center"/>
                </w:tcPr>
                <w:p w14:paraId="6365B6A6">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501CE2C8">
                  <w:pPr>
                    <w:pStyle w:val="6"/>
                    <w:spacing w:line="240" w:lineRule="auto"/>
                    <w:ind w:left="0" w:leftChars="0" w:firstLine="0" w:firstLineChars="0"/>
                    <w:jc w:val="center"/>
                    <w:rPr>
                      <w:color w:val="auto"/>
                    </w:rPr>
                  </w:pPr>
                </w:p>
              </w:tc>
            </w:tr>
            <w:tr w14:paraId="1258A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04" w:type="dxa"/>
                  <w:vMerge w:val="continue"/>
                  <w:vAlign w:val="center"/>
                </w:tcPr>
                <w:p w14:paraId="2FB74F66">
                  <w:pPr>
                    <w:pStyle w:val="6"/>
                    <w:spacing w:line="240" w:lineRule="auto"/>
                    <w:ind w:left="0" w:leftChars="0" w:firstLine="0" w:firstLineChars="0"/>
                    <w:jc w:val="center"/>
                    <w:rPr>
                      <w:color w:val="auto"/>
                    </w:rPr>
                  </w:pPr>
                </w:p>
              </w:tc>
              <w:tc>
                <w:tcPr>
                  <w:tcW w:w="1731" w:type="dxa"/>
                  <w:vAlign w:val="center"/>
                </w:tcPr>
                <w:p w14:paraId="266DD931">
                  <w:pPr>
                    <w:pStyle w:val="43"/>
                    <w:wordWrap/>
                    <w:spacing w:line="240" w:lineRule="auto"/>
                    <w:ind w:firstLine="0" w:firstLineChars="0"/>
                    <w:jc w:val="center"/>
                    <w:rPr>
                      <w:color w:val="auto"/>
                      <w:sz w:val="21"/>
                      <w:szCs w:val="21"/>
                    </w:rPr>
                  </w:pPr>
                  <w:r>
                    <w:rPr>
                      <w:color w:val="auto"/>
                      <w:sz w:val="21"/>
                      <w:szCs w:val="21"/>
                    </w:rPr>
                    <w:t>废砂纸、废砂轮</w:t>
                  </w:r>
                </w:p>
              </w:tc>
              <w:tc>
                <w:tcPr>
                  <w:tcW w:w="1786" w:type="dxa"/>
                  <w:vAlign w:val="center"/>
                </w:tcPr>
                <w:p w14:paraId="5F31FE2C">
                  <w:pPr>
                    <w:pStyle w:val="6"/>
                    <w:spacing w:line="240" w:lineRule="auto"/>
                    <w:ind w:left="0" w:leftChars="0" w:firstLine="0" w:firstLineChars="0"/>
                    <w:jc w:val="center"/>
                    <w:rPr>
                      <w:color w:val="auto"/>
                    </w:rPr>
                  </w:pPr>
                  <w:r>
                    <w:rPr>
                      <w:color w:val="auto"/>
                    </w:rPr>
                    <w:t>打磨</w:t>
                  </w:r>
                </w:p>
              </w:tc>
              <w:tc>
                <w:tcPr>
                  <w:tcW w:w="1686" w:type="dxa"/>
                  <w:vAlign w:val="center"/>
                </w:tcPr>
                <w:p w14:paraId="1BF0C1DE">
                  <w:pPr>
                    <w:pStyle w:val="6"/>
                    <w:spacing w:line="240" w:lineRule="auto"/>
                    <w:ind w:left="0" w:leftChars="0" w:firstLine="0" w:firstLineChars="0"/>
                    <w:jc w:val="center"/>
                    <w:rPr>
                      <w:color w:val="auto"/>
                    </w:rPr>
                  </w:pPr>
                  <w:r>
                    <w:rPr>
                      <w:color w:val="auto"/>
                    </w:rPr>
                    <w:t>颗粒物</w:t>
                  </w:r>
                </w:p>
              </w:tc>
              <w:tc>
                <w:tcPr>
                  <w:tcW w:w="721" w:type="dxa"/>
                  <w:vAlign w:val="center"/>
                </w:tcPr>
                <w:p w14:paraId="7E4A19FE">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7BD415E3">
                  <w:pPr>
                    <w:pStyle w:val="6"/>
                    <w:spacing w:line="240" w:lineRule="auto"/>
                    <w:ind w:left="0" w:leftChars="0" w:firstLine="0" w:firstLineChars="0"/>
                    <w:jc w:val="center"/>
                    <w:rPr>
                      <w:color w:val="auto"/>
                    </w:rPr>
                  </w:pPr>
                </w:p>
              </w:tc>
            </w:tr>
            <w:tr w14:paraId="7FFA5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6DE3E259">
                  <w:pPr>
                    <w:pStyle w:val="6"/>
                    <w:spacing w:line="240" w:lineRule="auto"/>
                    <w:ind w:left="0" w:leftChars="0" w:firstLine="0" w:firstLineChars="0"/>
                    <w:jc w:val="center"/>
                    <w:rPr>
                      <w:color w:val="auto"/>
                    </w:rPr>
                  </w:pPr>
                </w:p>
              </w:tc>
              <w:tc>
                <w:tcPr>
                  <w:tcW w:w="1731" w:type="dxa"/>
                  <w:vAlign w:val="center"/>
                </w:tcPr>
                <w:p w14:paraId="5A6F6691">
                  <w:pPr>
                    <w:keepNext/>
                    <w:adjustRightInd w:val="0"/>
                    <w:snapToGrid w:val="0"/>
                    <w:jc w:val="center"/>
                    <w:rPr>
                      <w:color w:val="auto"/>
                      <w:szCs w:val="21"/>
                      <w:lang w:bidi="ar"/>
                    </w:rPr>
                  </w:pPr>
                  <w:r>
                    <w:rPr>
                      <w:rFonts w:hint="eastAsia"/>
                      <w:color w:val="auto"/>
                      <w:szCs w:val="21"/>
                      <w:lang w:bidi="ar"/>
                    </w:rPr>
                    <w:t>废塑粉</w:t>
                  </w:r>
                </w:p>
              </w:tc>
              <w:tc>
                <w:tcPr>
                  <w:tcW w:w="1786" w:type="dxa"/>
                  <w:vAlign w:val="center"/>
                </w:tcPr>
                <w:p w14:paraId="7EBEBACA">
                  <w:pPr>
                    <w:pStyle w:val="6"/>
                    <w:spacing w:line="240" w:lineRule="auto"/>
                    <w:ind w:left="0" w:leftChars="0" w:firstLine="0" w:firstLineChars="0"/>
                    <w:jc w:val="center"/>
                    <w:rPr>
                      <w:color w:val="auto"/>
                    </w:rPr>
                  </w:pPr>
                  <w:r>
                    <w:rPr>
                      <w:color w:val="auto"/>
                    </w:rPr>
                    <w:t>喷粉</w:t>
                  </w:r>
                </w:p>
              </w:tc>
              <w:tc>
                <w:tcPr>
                  <w:tcW w:w="1686" w:type="dxa"/>
                  <w:vAlign w:val="center"/>
                </w:tcPr>
                <w:p w14:paraId="7610C9B8">
                  <w:pPr>
                    <w:pStyle w:val="6"/>
                    <w:spacing w:line="240" w:lineRule="auto"/>
                    <w:ind w:left="0" w:leftChars="0" w:firstLine="0" w:firstLineChars="0"/>
                    <w:jc w:val="center"/>
                    <w:rPr>
                      <w:color w:val="auto"/>
                    </w:rPr>
                  </w:pPr>
                  <w:r>
                    <w:rPr>
                      <w:color w:val="auto"/>
                      <w:szCs w:val="21"/>
                      <w:lang w:bidi="ar"/>
                    </w:rPr>
                    <w:t>粉末</w:t>
                  </w:r>
                  <w:r>
                    <w:rPr>
                      <w:rFonts w:hint="eastAsia"/>
                      <w:color w:val="auto"/>
                      <w:szCs w:val="21"/>
                      <w:lang w:bidi="ar"/>
                    </w:rPr>
                    <w:t>涂料</w:t>
                  </w:r>
                </w:p>
              </w:tc>
              <w:tc>
                <w:tcPr>
                  <w:tcW w:w="721" w:type="dxa"/>
                  <w:vAlign w:val="center"/>
                </w:tcPr>
                <w:p w14:paraId="7D179F3C">
                  <w:pPr>
                    <w:jc w:val="center"/>
                    <w:rPr>
                      <w:color w:val="auto"/>
                    </w:rPr>
                  </w:pPr>
                  <w:r>
                    <w:rPr>
                      <w:color w:val="auto"/>
                    </w:rPr>
                    <w:t>间断</w:t>
                  </w:r>
                </w:p>
              </w:tc>
              <w:tc>
                <w:tcPr>
                  <w:tcW w:w="3285" w:type="dxa"/>
                  <w:vMerge w:val="continue"/>
                  <w:vAlign w:val="center"/>
                </w:tcPr>
                <w:p w14:paraId="0E44C9B2">
                  <w:pPr>
                    <w:jc w:val="center"/>
                    <w:rPr>
                      <w:color w:val="auto"/>
                    </w:rPr>
                  </w:pPr>
                </w:p>
              </w:tc>
            </w:tr>
            <w:tr w14:paraId="69147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4337F110">
                  <w:pPr>
                    <w:pStyle w:val="6"/>
                    <w:spacing w:line="240" w:lineRule="auto"/>
                    <w:ind w:left="0" w:leftChars="0" w:firstLine="0" w:firstLineChars="0"/>
                    <w:jc w:val="center"/>
                    <w:rPr>
                      <w:color w:val="auto"/>
                    </w:rPr>
                  </w:pPr>
                </w:p>
              </w:tc>
              <w:tc>
                <w:tcPr>
                  <w:tcW w:w="1731" w:type="dxa"/>
                  <w:vAlign w:val="center"/>
                </w:tcPr>
                <w:p w14:paraId="5427C229">
                  <w:pPr>
                    <w:keepNext/>
                    <w:adjustRightInd w:val="0"/>
                    <w:snapToGrid w:val="0"/>
                    <w:jc w:val="center"/>
                    <w:rPr>
                      <w:color w:val="auto"/>
                      <w:szCs w:val="21"/>
                      <w:lang w:bidi="ar"/>
                    </w:rPr>
                  </w:pPr>
                  <w:r>
                    <w:rPr>
                      <w:color w:val="auto"/>
                      <w:szCs w:val="21"/>
                      <w:lang w:bidi="ar"/>
                    </w:rPr>
                    <w:t>废活性炭</w:t>
                  </w:r>
                </w:p>
              </w:tc>
              <w:tc>
                <w:tcPr>
                  <w:tcW w:w="1786" w:type="dxa"/>
                  <w:vAlign w:val="center"/>
                </w:tcPr>
                <w:p w14:paraId="14508673">
                  <w:pPr>
                    <w:pStyle w:val="6"/>
                    <w:spacing w:line="240" w:lineRule="auto"/>
                    <w:ind w:left="0" w:leftChars="0" w:firstLine="0" w:firstLineChars="0"/>
                    <w:jc w:val="center"/>
                    <w:rPr>
                      <w:color w:val="auto"/>
                    </w:rPr>
                  </w:pPr>
                  <w:r>
                    <w:rPr>
                      <w:color w:val="auto"/>
                    </w:rPr>
                    <w:t>活性炭吸附装置</w:t>
                  </w:r>
                </w:p>
              </w:tc>
              <w:tc>
                <w:tcPr>
                  <w:tcW w:w="1686" w:type="dxa"/>
                  <w:vAlign w:val="center"/>
                </w:tcPr>
                <w:p w14:paraId="70429E4D">
                  <w:pPr>
                    <w:pStyle w:val="6"/>
                    <w:spacing w:line="240" w:lineRule="auto"/>
                    <w:ind w:left="0" w:leftChars="0" w:firstLine="0" w:firstLineChars="0"/>
                    <w:jc w:val="center"/>
                    <w:rPr>
                      <w:color w:val="auto"/>
                    </w:rPr>
                  </w:pPr>
                  <w:r>
                    <w:rPr>
                      <w:color w:val="auto"/>
                    </w:rPr>
                    <w:t>有机废气</w:t>
                  </w:r>
                </w:p>
              </w:tc>
              <w:tc>
                <w:tcPr>
                  <w:tcW w:w="721" w:type="dxa"/>
                  <w:vAlign w:val="center"/>
                </w:tcPr>
                <w:p w14:paraId="46BFD679">
                  <w:pPr>
                    <w:jc w:val="center"/>
                    <w:rPr>
                      <w:color w:val="auto"/>
                    </w:rPr>
                  </w:pPr>
                  <w:r>
                    <w:rPr>
                      <w:color w:val="auto"/>
                    </w:rPr>
                    <w:t>间断</w:t>
                  </w:r>
                </w:p>
              </w:tc>
              <w:tc>
                <w:tcPr>
                  <w:tcW w:w="3285" w:type="dxa"/>
                  <w:vMerge w:val="restart"/>
                  <w:vAlign w:val="center"/>
                </w:tcPr>
                <w:p w14:paraId="4893CC61">
                  <w:pPr>
                    <w:jc w:val="center"/>
                    <w:rPr>
                      <w:color w:val="auto"/>
                    </w:rPr>
                  </w:pPr>
                  <w:r>
                    <w:rPr>
                      <w:rFonts w:hint="eastAsia"/>
                      <w:color w:val="auto"/>
                    </w:rPr>
                    <w:t>委托有</w:t>
                  </w:r>
                  <w:r>
                    <w:rPr>
                      <w:color w:val="auto"/>
                    </w:rPr>
                    <w:t>危险废物资质单位处置</w:t>
                  </w:r>
                </w:p>
              </w:tc>
            </w:tr>
            <w:tr w14:paraId="7A2E2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51679EEE">
                  <w:pPr>
                    <w:pStyle w:val="6"/>
                    <w:spacing w:line="240" w:lineRule="auto"/>
                    <w:ind w:left="0" w:leftChars="0" w:firstLine="0" w:firstLineChars="0"/>
                    <w:jc w:val="center"/>
                    <w:rPr>
                      <w:color w:val="auto"/>
                    </w:rPr>
                  </w:pPr>
                </w:p>
              </w:tc>
              <w:tc>
                <w:tcPr>
                  <w:tcW w:w="1731" w:type="dxa"/>
                  <w:vAlign w:val="center"/>
                </w:tcPr>
                <w:p w14:paraId="0F48EEE0">
                  <w:pPr>
                    <w:adjustRightInd w:val="0"/>
                    <w:snapToGrid w:val="0"/>
                    <w:jc w:val="center"/>
                    <w:rPr>
                      <w:bCs/>
                      <w:color w:val="auto"/>
                      <w:szCs w:val="21"/>
                    </w:rPr>
                  </w:pPr>
                  <w:r>
                    <w:rPr>
                      <w:bCs/>
                      <w:color w:val="auto"/>
                      <w:szCs w:val="21"/>
                    </w:rPr>
                    <w:t>自建</w:t>
                  </w:r>
                  <w:r>
                    <w:rPr>
                      <w:rFonts w:hint="eastAsia"/>
                      <w:bCs/>
                      <w:color w:val="auto"/>
                      <w:szCs w:val="21"/>
                    </w:rPr>
                    <w:t>废水处理设施</w:t>
                  </w:r>
                  <w:r>
                    <w:rPr>
                      <w:bCs/>
                      <w:color w:val="auto"/>
                      <w:szCs w:val="21"/>
                    </w:rPr>
                    <w:t>污泥</w:t>
                  </w:r>
                </w:p>
              </w:tc>
              <w:tc>
                <w:tcPr>
                  <w:tcW w:w="1786" w:type="dxa"/>
                  <w:vAlign w:val="center"/>
                </w:tcPr>
                <w:p w14:paraId="7C00B5C1">
                  <w:pPr>
                    <w:pStyle w:val="6"/>
                    <w:spacing w:line="240" w:lineRule="auto"/>
                    <w:ind w:left="0" w:leftChars="0" w:firstLine="0" w:firstLineChars="0"/>
                    <w:jc w:val="center"/>
                    <w:rPr>
                      <w:color w:val="auto"/>
                    </w:rPr>
                  </w:pPr>
                  <w:r>
                    <w:rPr>
                      <w:color w:val="auto"/>
                    </w:rPr>
                    <w:t>前处理</w:t>
                  </w:r>
                </w:p>
              </w:tc>
              <w:tc>
                <w:tcPr>
                  <w:tcW w:w="1686" w:type="dxa"/>
                  <w:vMerge w:val="restart"/>
                  <w:vAlign w:val="center"/>
                </w:tcPr>
                <w:p w14:paraId="424997A9">
                  <w:pPr>
                    <w:pStyle w:val="6"/>
                    <w:spacing w:line="240" w:lineRule="auto"/>
                    <w:ind w:left="0" w:leftChars="0" w:firstLine="0" w:firstLineChars="0"/>
                    <w:jc w:val="center"/>
                    <w:rPr>
                      <w:color w:val="auto"/>
                    </w:rPr>
                  </w:pPr>
                  <w:r>
                    <w:rPr>
                      <w:color w:val="auto"/>
                    </w:rPr>
                    <w:t>铁及其他杂质、除油粉、表调剂等</w:t>
                  </w:r>
                </w:p>
              </w:tc>
              <w:tc>
                <w:tcPr>
                  <w:tcW w:w="721" w:type="dxa"/>
                  <w:vAlign w:val="center"/>
                </w:tcPr>
                <w:p w14:paraId="1C4C13A0">
                  <w:pPr>
                    <w:jc w:val="center"/>
                    <w:rPr>
                      <w:color w:val="auto"/>
                    </w:rPr>
                  </w:pPr>
                  <w:r>
                    <w:rPr>
                      <w:color w:val="auto"/>
                    </w:rPr>
                    <w:t>间断</w:t>
                  </w:r>
                </w:p>
              </w:tc>
              <w:tc>
                <w:tcPr>
                  <w:tcW w:w="3285" w:type="dxa"/>
                  <w:vMerge w:val="continue"/>
                  <w:vAlign w:val="center"/>
                </w:tcPr>
                <w:p w14:paraId="2D99A3D0">
                  <w:pPr>
                    <w:jc w:val="center"/>
                    <w:rPr>
                      <w:color w:val="auto"/>
                    </w:rPr>
                  </w:pPr>
                </w:p>
              </w:tc>
            </w:tr>
            <w:tr w14:paraId="52376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58DBE397">
                  <w:pPr>
                    <w:pStyle w:val="6"/>
                    <w:spacing w:line="240" w:lineRule="auto"/>
                    <w:ind w:left="0" w:leftChars="0" w:firstLine="0" w:firstLineChars="0"/>
                    <w:jc w:val="center"/>
                    <w:rPr>
                      <w:color w:val="auto"/>
                    </w:rPr>
                  </w:pPr>
                </w:p>
              </w:tc>
              <w:tc>
                <w:tcPr>
                  <w:tcW w:w="1731" w:type="dxa"/>
                  <w:vAlign w:val="center"/>
                </w:tcPr>
                <w:p w14:paraId="06B70BC6">
                  <w:pPr>
                    <w:adjustRightInd w:val="0"/>
                    <w:snapToGrid w:val="0"/>
                    <w:jc w:val="center"/>
                    <w:rPr>
                      <w:bCs/>
                      <w:color w:val="auto"/>
                      <w:szCs w:val="21"/>
                    </w:rPr>
                  </w:pPr>
                  <w:r>
                    <w:rPr>
                      <w:bCs/>
                      <w:color w:val="auto"/>
                      <w:szCs w:val="21"/>
                    </w:rPr>
                    <w:t>废槽渣</w:t>
                  </w:r>
                </w:p>
              </w:tc>
              <w:tc>
                <w:tcPr>
                  <w:tcW w:w="1786" w:type="dxa"/>
                  <w:vAlign w:val="center"/>
                </w:tcPr>
                <w:p w14:paraId="374B5E55">
                  <w:pPr>
                    <w:pStyle w:val="6"/>
                    <w:spacing w:line="240" w:lineRule="auto"/>
                    <w:ind w:left="0" w:leftChars="0" w:firstLine="0" w:firstLineChars="0"/>
                    <w:jc w:val="center"/>
                    <w:rPr>
                      <w:color w:val="auto"/>
                    </w:rPr>
                  </w:pPr>
                  <w:r>
                    <w:rPr>
                      <w:color w:val="auto"/>
                    </w:rPr>
                    <w:t>前处理</w:t>
                  </w:r>
                </w:p>
              </w:tc>
              <w:tc>
                <w:tcPr>
                  <w:tcW w:w="1686" w:type="dxa"/>
                  <w:vMerge w:val="continue"/>
                  <w:vAlign w:val="center"/>
                </w:tcPr>
                <w:p w14:paraId="616EAD95">
                  <w:pPr>
                    <w:pStyle w:val="6"/>
                    <w:spacing w:line="240" w:lineRule="auto"/>
                    <w:ind w:left="0" w:leftChars="0" w:firstLine="0" w:firstLineChars="0"/>
                    <w:jc w:val="center"/>
                    <w:rPr>
                      <w:color w:val="auto"/>
                    </w:rPr>
                  </w:pPr>
                </w:p>
              </w:tc>
              <w:tc>
                <w:tcPr>
                  <w:tcW w:w="721" w:type="dxa"/>
                  <w:vAlign w:val="center"/>
                </w:tcPr>
                <w:p w14:paraId="6E060AA3">
                  <w:pPr>
                    <w:jc w:val="center"/>
                    <w:rPr>
                      <w:color w:val="auto"/>
                    </w:rPr>
                  </w:pPr>
                  <w:r>
                    <w:rPr>
                      <w:color w:val="auto"/>
                    </w:rPr>
                    <w:t>间断</w:t>
                  </w:r>
                </w:p>
              </w:tc>
              <w:tc>
                <w:tcPr>
                  <w:tcW w:w="3285" w:type="dxa"/>
                  <w:vMerge w:val="continue"/>
                  <w:vAlign w:val="center"/>
                </w:tcPr>
                <w:p w14:paraId="78D3036D">
                  <w:pPr>
                    <w:jc w:val="center"/>
                    <w:rPr>
                      <w:color w:val="auto"/>
                    </w:rPr>
                  </w:pPr>
                </w:p>
              </w:tc>
            </w:tr>
            <w:tr w14:paraId="5D118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31C35854">
                  <w:pPr>
                    <w:pStyle w:val="6"/>
                    <w:spacing w:line="240" w:lineRule="auto"/>
                    <w:ind w:left="0" w:leftChars="0" w:firstLine="0" w:firstLineChars="0"/>
                    <w:jc w:val="center"/>
                    <w:rPr>
                      <w:color w:val="auto"/>
                    </w:rPr>
                  </w:pPr>
                </w:p>
              </w:tc>
              <w:tc>
                <w:tcPr>
                  <w:tcW w:w="1731" w:type="dxa"/>
                  <w:vAlign w:val="center"/>
                </w:tcPr>
                <w:p w14:paraId="2E204A03">
                  <w:pPr>
                    <w:adjustRightInd w:val="0"/>
                    <w:snapToGrid w:val="0"/>
                    <w:jc w:val="center"/>
                    <w:rPr>
                      <w:bCs/>
                      <w:color w:val="auto"/>
                      <w:szCs w:val="21"/>
                    </w:rPr>
                  </w:pPr>
                  <w:r>
                    <w:rPr>
                      <w:bCs/>
                      <w:color w:val="auto"/>
                      <w:szCs w:val="21"/>
                    </w:rPr>
                    <w:t>废滤芯</w:t>
                  </w:r>
                </w:p>
              </w:tc>
              <w:tc>
                <w:tcPr>
                  <w:tcW w:w="1786" w:type="dxa"/>
                  <w:vAlign w:val="center"/>
                </w:tcPr>
                <w:p w14:paraId="27C4111C">
                  <w:pPr>
                    <w:jc w:val="center"/>
                    <w:rPr>
                      <w:color w:val="auto"/>
                    </w:rPr>
                  </w:pPr>
                  <w:r>
                    <w:rPr>
                      <w:color w:val="auto"/>
                    </w:rPr>
                    <w:t>前处理</w:t>
                  </w:r>
                </w:p>
              </w:tc>
              <w:tc>
                <w:tcPr>
                  <w:tcW w:w="1686" w:type="dxa"/>
                  <w:vMerge w:val="continue"/>
                  <w:vAlign w:val="center"/>
                </w:tcPr>
                <w:p w14:paraId="27D1259B">
                  <w:pPr>
                    <w:pStyle w:val="6"/>
                    <w:spacing w:line="240" w:lineRule="auto"/>
                    <w:ind w:left="0" w:leftChars="0" w:firstLine="0" w:firstLineChars="0"/>
                    <w:jc w:val="center"/>
                    <w:rPr>
                      <w:color w:val="auto"/>
                    </w:rPr>
                  </w:pPr>
                </w:p>
              </w:tc>
              <w:tc>
                <w:tcPr>
                  <w:tcW w:w="721" w:type="dxa"/>
                  <w:vAlign w:val="center"/>
                </w:tcPr>
                <w:p w14:paraId="1D9C7B42">
                  <w:pPr>
                    <w:jc w:val="center"/>
                    <w:rPr>
                      <w:color w:val="auto"/>
                    </w:rPr>
                  </w:pPr>
                  <w:r>
                    <w:rPr>
                      <w:color w:val="auto"/>
                    </w:rPr>
                    <w:t>间断</w:t>
                  </w:r>
                </w:p>
              </w:tc>
              <w:tc>
                <w:tcPr>
                  <w:tcW w:w="3285" w:type="dxa"/>
                  <w:vMerge w:val="continue"/>
                  <w:vAlign w:val="center"/>
                </w:tcPr>
                <w:p w14:paraId="1731658D">
                  <w:pPr>
                    <w:jc w:val="center"/>
                    <w:rPr>
                      <w:color w:val="auto"/>
                    </w:rPr>
                  </w:pPr>
                </w:p>
              </w:tc>
            </w:tr>
            <w:tr w14:paraId="20667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053A2A95">
                  <w:pPr>
                    <w:pStyle w:val="6"/>
                    <w:spacing w:line="240" w:lineRule="auto"/>
                    <w:ind w:left="0" w:leftChars="0" w:firstLine="0" w:firstLineChars="0"/>
                    <w:jc w:val="center"/>
                    <w:rPr>
                      <w:color w:val="auto"/>
                    </w:rPr>
                  </w:pPr>
                </w:p>
              </w:tc>
              <w:tc>
                <w:tcPr>
                  <w:tcW w:w="1731" w:type="dxa"/>
                  <w:vAlign w:val="center"/>
                </w:tcPr>
                <w:p w14:paraId="23804004">
                  <w:pPr>
                    <w:keepNext/>
                    <w:adjustRightInd w:val="0"/>
                    <w:snapToGrid w:val="0"/>
                    <w:jc w:val="center"/>
                    <w:rPr>
                      <w:color w:val="auto"/>
                      <w:szCs w:val="21"/>
                      <w:lang w:bidi="ar"/>
                    </w:rPr>
                  </w:pPr>
                  <w:r>
                    <w:rPr>
                      <w:color w:val="auto"/>
                      <w:szCs w:val="21"/>
                      <w:lang w:bidi="ar"/>
                    </w:rPr>
                    <w:t>废原料空桶（磷化剂、促进剂、</w:t>
                  </w:r>
                  <w:r>
                    <w:rPr>
                      <w:rFonts w:hint="eastAsia"/>
                      <w:color w:val="auto"/>
                      <w:szCs w:val="21"/>
                      <w:lang w:bidi="ar"/>
                    </w:rPr>
                    <w:t>脱脂剂</w:t>
                  </w:r>
                  <w:r>
                    <w:rPr>
                      <w:color w:val="auto"/>
                      <w:szCs w:val="21"/>
                      <w:lang w:bidi="ar"/>
                    </w:rPr>
                    <w:t>、硫酸</w:t>
                  </w:r>
                  <w:r>
                    <w:rPr>
                      <w:rFonts w:hint="eastAsia"/>
                      <w:color w:val="auto"/>
                      <w:szCs w:val="21"/>
                      <w:lang w:bidi="ar"/>
                    </w:rPr>
                    <w:t>、废水性涂料</w:t>
                  </w:r>
                  <w:r>
                    <w:rPr>
                      <w:color w:val="auto"/>
                      <w:szCs w:val="21"/>
                      <w:lang w:bidi="ar"/>
                    </w:rPr>
                    <w:t>等）</w:t>
                  </w:r>
                </w:p>
              </w:tc>
              <w:tc>
                <w:tcPr>
                  <w:tcW w:w="1786" w:type="dxa"/>
                  <w:vAlign w:val="center"/>
                </w:tcPr>
                <w:p w14:paraId="0A24A18A">
                  <w:pPr>
                    <w:pStyle w:val="6"/>
                    <w:spacing w:line="240" w:lineRule="auto"/>
                    <w:ind w:left="0" w:leftChars="0" w:firstLine="0" w:firstLineChars="0"/>
                    <w:jc w:val="center"/>
                    <w:rPr>
                      <w:color w:val="auto"/>
                    </w:rPr>
                  </w:pPr>
                  <w:r>
                    <w:rPr>
                      <w:color w:val="auto"/>
                    </w:rPr>
                    <w:t>原辅材料包装</w:t>
                  </w:r>
                </w:p>
              </w:tc>
              <w:tc>
                <w:tcPr>
                  <w:tcW w:w="1686" w:type="dxa"/>
                  <w:vAlign w:val="center"/>
                </w:tcPr>
                <w:p w14:paraId="3A55D492">
                  <w:pPr>
                    <w:jc w:val="center"/>
                    <w:rPr>
                      <w:color w:val="auto"/>
                    </w:rPr>
                  </w:pPr>
                  <w:r>
                    <w:rPr>
                      <w:color w:val="auto"/>
                      <w:szCs w:val="21"/>
                      <w:lang w:bidi="ar"/>
                    </w:rPr>
                    <w:t>磷化剂、促进剂、</w:t>
                  </w:r>
                  <w:r>
                    <w:rPr>
                      <w:rFonts w:hint="eastAsia"/>
                      <w:color w:val="auto"/>
                      <w:szCs w:val="21"/>
                      <w:lang w:bidi="ar"/>
                    </w:rPr>
                    <w:t>脱脂剂</w:t>
                  </w:r>
                  <w:r>
                    <w:rPr>
                      <w:color w:val="auto"/>
                      <w:szCs w:val="21"/>
                      <w:lang w:bidi="ar"/>
                    </w:rPr>
                    <w:t>、硫酸</w:t>
                  </w:r>
                  <w:r>
                    <w:rPr>
                      <w:rFonts w:hint="eastAsia"/>
                      <w:color w:val="auto"/>
                      <w:szCs w:val="21"/>
                      <w:lang w:bidi="ar"/>
                    </w:rPr>
                    <w:t>、废水性涂料</w:t>
                  </w:r>
                  <w:r>
                    <w:rPr>
                      <w:color w:val="auto"/>
                      <w:szCs w:val="21"/>
                      <w:lang w:bidi="ar"/>
                    </w:rPr>
                    <w:t>等</w:t>
                  </w:r>
                </w:p>
              </w:tc>
              <w:tc>
                <w:tcPr>
                  <w:tcW w:w="721" w:type="dxa"/>
                  <w:vAlign w:val="center"/>
                </w:tcPr>
                <w:p w14:paraId="09C8A9AD">
                  <w:pPr>
                    <w:jc w:val="center"/>
                    <w:rPr>
                      <w:color w:val="auto"/>
                    </w:rPr>
                  </w:pPr>
                  <w:r>
                    <w:rPr>
                      <w:color w:val="auto"/>
                    </w:rPr>
                    <w:t>间断</w:t>
                  </w:r>
                </w:p>
              </w:tc>
              <w:tc>
                <w:tcPr>
                  <w:tcW w:w="3285" w:type="dxa"/>
                  <w:vMerge w:val="continue"/>
                  <w:vAlign w:val="center"/>
                </w:tcPr>
                <w:p w14:paraId="72221402">
                  <w:pPr>
                    <w:jc w:val="center"/>
                    <w:rPr>
                      <w:color w:val="auto"/>
                    </w:rPr>
                  </w:pPr>
                </w:p>
              </w:tc>
            </w:tr>
            <w:tr w14:paraId="715EE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164F14C4">
                  <w:pPr>
                    <w:pStyle w:val="6"/>
                    <w:spacing w:line="240" w:lineRule="auto"/>
                    <w:ind w:left="0" w:leftChars="0" w:firstLine="0" w:firstLineChars="0"/>
                    <w:jc w:val="center"/>
                    <w:rPr>
                      <w:color w:val="auto"/>
                    </w:rPr>
                  </w:pPr>
                </w:p>
              </w:tc>
              <w:tc>
                <w:tcPr>
                  <w:tcW w:w="1731" w:type="dxa"/>
                  <w:vAlign w:val="center"/>
                </w:tcPr>
                <w:p w14:paraId="72DC55B4">
                  <w:pPr>
                    <w:pStyle w:val="2"/>
                    <w:adjustRightInd w:val="0"/>
                    <w:spacing w:before="0" w:after="0" w:line="240" w:lineRule="auto"/>
                    <w:ind w:right="0"/>
                    <w:jc w:val="center"/>
                    <w:rPr>
                      <w:color w:val="auto"/>
                      <w:sz w:val="21"/>
                      <w:szCs w:val="21"/>
                    </w:rPr>
                  </w:pPr>
                  <w:r>
                    <w:rPr>
                      <w:rFonts w:hint="eastAsia"/>
                      <w:color w:val="auto"/>
                      <w:sz w:val="21"/>
                      <w:szCs w:val="21"/>
                    </w:rPr>
                    <w:t>水帘柜废水</w:t>
                  </w:r>
                </w:p>
              </w:tc>
              <w:tc>
                <w:tcPr>
                  <w:tcW w:w="1786" w:type="dxa"/>
                  <w:vAlign w:val="center"/>
                </w:tcPr>
                <w:p w14:paraId="09D0C491">
                  <w:pPr>
                    <w:pStyle w:val="2"/>
                    <w:adjustRightInd w:val="0"/>
                    <w:spacing w:before="0" w:after="0" w:line="240" w:lineRule="auto"/>
                    <w:ind w:right="0"/>
                    <w:jc w:val="center"/>
                    <w:rPr>
                      <w:color w:val="auto"/>
                      <w:sz w:val="21"/>
                      <w:szCs w:val="21"/>
                    </w:rPr>
                  </w:pPr>
                  <w:r>
                    <w:rPr>
                      <w:rFonts w:hint="eastAsia"/>
                      <w:color w:val="auto"/>
                      <w:sz w:val="21"/>
                      <w:szCs w:val="21"/>
                    </w:rPr>
                    <w:t>喷漆</w:t>
                  </w:r>
                </w:p>
              </w:tc>
              <w:tc>
                <w:tcPr>
                  <w:tcW w:w="1686" w:type="dxa"/>
                  <w:vAlign w:val="center"/>
                </w:tcPr>
                <w:p w14:paraId="2911B0FD">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rPr>
                    <w:t>、石油类、SS</w:t>
                  </w:r>
                </w:p>
              </w:tc>
              <w:tc>
                <w:tcPr>
                  <w:tcW w:w="721" w:type="dxa"/>
                  <w:vAlign w:val="center"/>
                </w:tcPr>
                <w:p w14:paraId="26BFAA3C">
                  <w:pPr>
                    <w:jc w:val="center"/>
                    <w:rPr>
                      <w:color w:val="auto"/>
                    </w:rPr>
                  </w:pPr>
                  <w:r>
                    <w:rPr>
                      <w:color w:val="auto"/>
                    </w:rPr>
                    <w:t>间断</w:t>
                  </w:r>
                </w:p>
              </w:tc>
              <w:tc>
                <w:tcPr>
                  <w:tcW w:w="3285" w:type="dxa"/>
                  <w:vMerge w:val="continue"/>
                  <w:vAlign w:val="center"/>
                </w:tcPr>
                <w:p w14:paraId="21F28ED9">
                  <w:pPr>
                    <w:jc w:val="center"/>
                    <w:rPr>
                      <w:color w:val="auto"/>
                    </w:rPr>
                  </w:pPr>
                </w:p>
              </w:tc>
            </w:tr>
            <w:tr w14:paraId="3414A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60BDF499">
                  <w:pPr>
                    <w:pStyle w:val="6"/>
                    <w:spacing w:line="240" w:lineRule="auto"/>
                    <w:ind w:left="0" w:leftChars="0" w:firstLine="0" w:firstLineChars="0"/>
                    <w:jc w:val="center"/>
                    <w:rPr>
                      <w:color w:val="auto"/>
                    </w:rPr>
                  </w:pPr>
                </w:p>
              </w:tc>
              <w:tc>
                <w:tcPr>
                  <w:tcW w:w="1731" w:type="dxa"/>
                  <w:vAlign w:val="center"/>
                </w:tcPr>
                <w:p w14:paraId="725D76A8">
                  <w:pPr>
                    <w:pStyle w:val="2"/>
                    <w:adjustRightInd w:val="0"/>
                    <w:spacing w:before="0" w:after="0" w:line="240" w:lineRule="auto"/>
                    <w:ind w:right="0"/>
                    <w:jc w:val="center"/>
                    <w:rPr>
                      <w:color w:val="auto"/>
                      <w:sz w:val="21"/>
                      <w:szCs w:val="21"/>
                    </w:rPr>
                  </w:pPr>
                  <w:r>
                    <w:rPr>
                      <w:rFonts w:hint="eastAsia"/>
                      <w:color w:val="auto"/>
                      <w:sz w:val="21"/>
                      <w:szCs w:val="21"/>
                    </w:rPr>
                    <w:t>浓缩废液</w:t>
                  </w:r>
                </w:p>
              </w:tc>
              <w:tc>
                <w:tcPr>
                  <w:tcW w:w="1786" w:type="dxa"/>
                  <w:vAlign w:val="center"/>
                </w:tcPr>
                <w:p w14:paraId="069E0C83">
                  <w:pPr>
                    <w:pStyle w:val="2"/>
                    <w:adjustRightInd w:val="0"/>
                    <w:spacing w:before="0" w:after="0" w:line="240" w:lineRule="auto"/>
                    <w:ind w:right="0"/>
                    <w:jc w:val="center"/>
                    <w:rPr>
                      <w:color w:val="auto"/>
                      <w:sz w:val="21"/>
                      <w:szCs w:val="21"/>
                    </w:rPr>
                  </w:pPr>
                  <w:r>
                    <w:rPr>
                      <w:rFonts w:hint="eastAsia"/>
                      <w:color w:val="auto"/>
                      <w:sz w:val="21"/>
                      <w:szCs w:val="21"/>
                    </w:rPr>
                    <w:t>废水处理设施</w:t>
                  </w:r>
                </w:p>
              </w:tc>
              <w:tc>
                <w:tcPr>
                  <w:tcW w:w="1686" w:type="dxa"/>
                  <w:vAlign w:val="center"/>
                </w:tcPr>
                <w:p w14:paraId="7852AC44">
                  <w:pPr>
                    <w:pStyle w:val="6"/>
                    <w:spacing w:line="240" w:lineRule="auto"/>
                    <w:ind w:left="0" w:leftChars="0" w:firstLine="0" w:firstLineChars="0"/>
                    <w:jc w:val="center"/>
                    <w:rPr>
                      <w:color w:val="auto"/>
                    </w:rPr>
                  </w:pPr>
                  <w:r>
                    <w:rPr>
                      <w:color w:val="auto"/>
                    </w:rPr>
                    <w:t>COD</w:t>
                  </w:r>
                  <w:r>
                    <w:rPr>
                      <w:rFonts w:hint="eastAsia"/>
                      <w:color w:val="auto"/>
                      <w:vertAlign w:val="subscript"/>
                    </w:rPr>
                    <w:t>C</w:t>
                  </w:r>
                  <w:r>
                    <w:rPr>
                      <w:color w:val="auto"/>
                      <w:vertAlign w:val="subscript"/>
                    </w:rPr>
                    <w:t>r</w:t>
                  </w:r>
                  <w:r>
                    <w:rPr>
                      <w:color w:val="auto"/>
                      <w:szCs w:val="21"/>
                    </w:rPr>
                    <w:t>、SS</w:t>
                  </w:r>
                </w:p>
              </w:tc>
              <w:tc>
                <w:tcPr>
                  <w:tcW w:w="721" w:type="dxa"/>
                  <w:vAlign w:val="center"/>
                </w:tcPr>
                <w:p w14:paraId="16A7B321">
                  <w:pPr>
                    <w:pStyle w:val="6"/>
                    <w:spacing w:line="240" w:lineRule="auto"/>
                    <w:ind w:left="0" w:leftChars="0" w:firstLine="0" w:firstLineChars="0"/>
                    <w:jc w:val="center"/>
                    <w:rPr>
                      <w:color w:val="auto"/>
                    </w:rPr>
                  </w:pPr>
                  <w:r>
                    <w:rPr>
                      <w:color w:val="auto"/>
                    </w:rPr>
                    <w:t>间断</w:t>
                  </w:r>
                </w:p>
              </w:tc>
              <w:tc>
                <w:tcPr>
                  <w:tcW w:w="3285" w:type="dxa"/>
                  <w:vMerge w:val="continue"/>
                  <w:vAlign w:val="center"/>
                </w:tcPr>
                <w:p w14:paraId="3A8FA75F">
                  <w:pPr>
                    <w:jc w:val="center"/>
                    <w:rPr>
                      <w:color w:val="auto"/>
                    </w:rPr>
                  </w:pPr>
                </w:p>
              </w:tc>
            </w:tr>
            <w:tr w14:paraId="3E296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4" w:type="dxa"/>
                  <w:vMerge w:val="continue"/>
                  <w:vAlign w:val="center"/>
                </w:tcPr>
                <w:p w14:paraId="180BB0BF">
                  <w:pPr>
                    <w:pStyle w:val="6"/>
                    <w:spacing w:line="240" w:lineRule="auto"/>
                    <w:ind w:left="0" w:leftChars="0" w:firstLine="0" w:firstLineChars="0"/>
                    <w:jc w:val="center"/>
                    <w:rPr>
                      <w:color w:val="auto"/>
                    </w:rPr>
                  </w:pPr>
                </w:p>
              </w:tc>
              <w:tc>
                <w:tcPr>
                  <w:tcW w:w="1731" w:type="dxa"/>
                  <w:vAlign w:val="center"/>
                </w:tcPr>
                <w:p w14:paraId="13884424">
                  <w:pPr>
                    <w:pStyle w:val="2"/>
                    <w:adjustRightInd w:val="0"/>
                    <w:spacing w:before="0" w:after="0" w:line="240" w:lineRule="auto"/>
                    <w:ind w:right="0"/>
                    <w:jc w:val="center"/>
                    <w:rPr>
                      <w:color w:val="auto"/>
                      <w:sz w:val="21"/>
                      <w:szCs w:val="21"/>
                    </w:rPr>
                  </w:pPr>
                  <w:r>
                    <w:rPr>
                      <w:rFonts w:hint="eastAsia"/>
                      <w:color w:val="auto"/>
                      <w:sz w:val="21"/>
                      <w:szCs w:val="21"/>
                    </w:rPr>
                    <w:t>废漆渣</w:t>
                  </w:r>
                </w:p>
              </w:tc>
              <w:tc>
                <w:tcPr>
                  <w:tcW w:w="1786" w:type="dxa"/>
                  <w:vAlign w:val="center"/>
                </w:tcPr>
                <w:p w14:paraId="6DAAC7C2">
                  <w:pPr>
                    <w:pStyle w:val="2"/>
                    <w:adjustRightInd w:val="0"/>
                    <w:spacing w:before="0" w:after="0" w:line="240" w:lineRule="auto"/>
                    <w:ind w:right="0"/>
                    <w:jc w:val="center"/>
                    <w:rPr>
                      <w:color w:val="auto"/>
                      <w:sz w:val="21"/>
                      <w:szCs w:val="21"/>
                    </w:rPr>
                  </w:pPr>
                  <w:r>
                    <w:rPr>
                      <w:rFonts w:hint="eastAsia"/>
                      <w:color w:val="auto"/>
                      <w:sz w:val="21"/>
                      <w:szCs w:val="21"/>
                    </w:rPr>
                    <w:t>喷漆</w:t>
                  </w:r>
                </w:p>
              </w:tc>
              <w:tc>
                <w:tcPr>
                  <w:tcW w:w="1686" w:type="dxa"/>
                  <w:vAlign w:val="center"/>
                </w:tcPr>
                <w:p w14:paraId="4BBE3D89">
                  <w:pPr>
                    <w:pStyle w:val="6"/>
                    <w:spacing w:line="240" w:lineRule="auto"/>
                    <w:ind w:left="0" w:leftChars="0" w:firstLine="0" w:firstLineChars="0"/>
                    <w:jc w:val="center"/>
                    <w:rPr>
                      <w:color w:val="auto"/>
                    </w:rPr>
                  </w:pPr>
                  <w:r>
                    <w:rPr>
                      <w:rFonts w:hint="eastAsia"/>
                      <w:color w:val="auto"/>
                    </w:rPr>
                    <w:t>水性涂料</w:t>
                  </w:r>
                </w:p>
              </w:tc>
              <w:tc>
                <w:tcPr>
                  <w:tcW w:w="721" w:type="dxa"/>
                  <w:vAlign w:val="center"/>
                </w:tcPr>
                <w:p w14:paraId="5C4B8583">
                  <w:pPr>
                    <w:jc w:val="center"/>
                    <w:rPr>
                      <w:color w:val="auto"/>
                    </w:rPr>
                  </w:pPr>
                  <w:r>
                    <w:rPr>
                      <w:color w:val="auto"/>
                    </w:rPr>
                    <w:t>间断</w:t>
                  </w:r>
                </w:p>
              </w:tc>
              <w:tc>
                <w:tcPr>
                  <w:tcW w:w="3285" w:type="dxa"/>
                  <w:vMerge w:val="continue"/>
                  <w:vAlign w:val="center"/>
                </w:tcPr>
                <w:p w14:paraId="584DDD23">
                  <w:pPr>
                    <w:jc w:val="center"/>
                    <w:rPr>
                      <w:color w:val="auto"/>
                    </w:rPr>
                  </w:pPr>
                </w:p>
              </w:tc>
            </w:tr>
            <w:tr w14:paraId="389F5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04" w:type="dxa"/>
                  <w:vMerge w:val="continue"/>
                  <w:vAlign w:val="center"/>
                </w:tcPr>
                <w:p w14:paraId="563F82DC">
                  <w:pPr>
                    <w:pStyle w:val="6"/>
                    <w:spacing w:line="240" w:lineRule="auto"/>
                    <w:ind w:left="0" w:leftChars="0" w:firstLine="0" w:firstLineChars="0"/>
                    <w:jc w:val="center"/>
                    <w:rPr>
                      <w:color w:val="auto"/>
                    </w:rPr>
                  </w:pPr>
                </w:p>
              </w:tc>
              <w:tc>
                <w:tcPr>
                  <w:tcW w:w="1731" w:type="dxa"/>
                  <w:vAlign w:val="center"/>
                </w:tcPr>
                <w:p w14:paraId="5D8C06F7">
                  <w:pPr>
                    <w:keepNext/>
                    <w:adjustRightInd w:val="0"/>
                    <w:snapToGrid w:val="0"/>
                    <w:jc w:val="center"/>
                    <w:rPr>
                      <w:color w:val="auto"/>
                      <w:szCs w:val="21"/>
                      <w:lang w:bidi="ar"/>
                    </w:rPr>
                  </w:pPr>
                  <w:r>
                    <w:rPr>
                      <w:color w:val="auto"/>
                      <w:szCs w:val="21"/>
                      <w:lang w:bidi="ar"/>
                    </w:rPr>
                    <w:t>废机油、废含油抹布和手套</w:t>
                  </w:r>
                </w:p>
              </w:tc>
              <w:tc>
                <w:tcPr>
                  <w:tcW w:w="1786" w:type="dxa"/>
                  <w:vAlign w:val="center"/>
                </w:tcPr>
                <w:p w14:paraId="5FF411C9">
                  <w:pPr>
                    <w:pStyle w:val="6"/>
                    <w:spacing w:line="240" w:lineRule="auto"/>
                    <w:ind w:left="0" w:leftChars="0" w:firstLine="0" w:firstLineChars="0"/>
                    <w:jc w:val="center"/>
                    <w:rPr>
                      <w:color w:val="auto"/>
                    </w:rPr>
                  </w:pPr>
                  <w:r>
                    <w:rPr>
                      <w:color w:val="auto"/>
                    </w:rPr>
                    <w:t>设备维修保养</w:t>
                  </w:r>
                </w:p>
              </w:tc>
              <w:tc>
                <w:tcPr>
                  <w:tcW w:w="1686" w:type="dxa"/>
                  <w:vAlign w:val="center"/>
                </w:tcPr>
                <w:p w14:paraId="315B46FA">
                  <w:pPr>
                    <w:jc w:val="center"/>
                    <w:rPr>
                      <w:color w:val="auto"/>
                    </w:rPr>
                  </w:pPr>
                  <w:r>
                    <w:rPr>
                      <w:color w:val="auto"/>
                    </w:rPr>
                    <w:t>机油</w:t>
                  </w:r>
                </w:p>
              </w:tc>
              <w:tc>
                <w:tcPr>
                  <w:tcW w:w="721" w:type="dxa"/>
                  <w:vAlign w:val="center"/>
                </w:tcPr>
                <w:p w14:paraId="15BEC16F">
                  <w:pPr>
                    <w:jc w:val="center"/>
                    <w:rPr>
                      <w:color w:val="auto"/>
                    </w:rPr>
                  </w:pPr>
                  <w:r>
                    <w:rPr>
                      <w:color w:val="auto"/>
                    </w:rPr>
                    <w:t>间断</w:t>
                  </w:r>
                </w:p>
              </w:tc>
              <w:tc>
                <w:tcPr>
                  <w:tcW w:w="3285" w:type="dxa"/>
                  <w:vMerge w:val="continue"/>
                  <w:vAlign w:val="center"/>
                </w:tcPr>
                <w:p w14:paraId="520F8648">
                  <w:pPr>
                    <w:jc w:val="center"/>
                    <w:rPr>
                      <w:color w:val="auto"/>
                    </w:rPr>
                  </w:pPr>
                </w:p>
              </w:tc>
            </w:tr>
          </w:tbl>
          <w:p w14:paraId="532D9467">
            <w:pPr>
              <w:rPr>
                <w:color w:val="auto"/>
              </w:rPr>
            </w:pPr>
          </w:p>
          <w:p w14:paraId="16A31653">
            <w:pPr>
              <w:pStyle w:val="43"/>
              <w:rPr>
                <w:color w:val="auto"/>
              </w:rPr>
            </w:pPr>
          </w:p>
          <w:p w14:paraId="4A29BC77">
            <w:pPr>
              <w:rPr>
                <w:color w:val="auto"/>
              </w:rPr>
            </w:pPr>
          </w:p>
        </w:tc>
      </w:tr>
      <w:tr w14:paraId="049DC6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79" w:hRule="atLeast"/>
          <w:jc w:val="center"/>
        </w:trPr>
        <w:tc>
          <w:tcPr>
            <w:tcW w:w="212" w:type="pct"/>
            <w:vAlign w:val="center"/>
          </w:tcPr>
          <w:p w14:paraId="510D7B3A">
            <w:pPr>
              <w:pStyle w:val="31"/>
              <w:adjustRightInd w:val="0"/>
              <w:snapToGrid w:val="0"/>
              <w:spacing w:before="0" w:beforeAutospacing="0" w:after="0" w:afterAutospacing="0"/>
              <w:jc w:val="center"/>
              <w:rPr>
                <w:rFonts w:ascii="Times New Roman" w:hAnsi="Times New Roman"/>
                <w:szCs w:val="24"/>
              </w:rPr>
            </w:pPr>
            <w:r>
              <w:rPr>
                <w:rFonts w:ascii="Times New Roman" w:hAnsi="Times New Roman"/>
                <w:bCs/>
                <w:kern w:val="2"/>
                <w:szCs w:val="24"/>
              </w:rPr>
              <w:t>与项目有关的原有环境污染问题</w:t>
            </w:r>
          </w:p>
        </w:tc>
        <w:tc>
          <w:tcPr>
            <w:tcW w:w="4787" w:type="pct"/>
            <w:vAlign w:val="center"/>
          </w:tcPr>
          <w:p w14:paraId="0D3D52CA">
            <w:pPr>
              <w:pStyle w:val="81"/>
              <w:spacing w:line="360" w:lineRule="auto"/>
              <w:ind w:left="0" w:firstLine="480" w:firstLineChars="200"/>
              <w:jc w:val="center"/>
              <w:rPr>
                <w:b/>
                <w:sz w:val="24"/>
              </w:rPr>
            </w:pPr>
            <w:r>
              <w:rPr>
                <w:snapToGrid w:val="0"/>
                <w:sz w:val="24"/>
              </w:rPr>
              <w:t>本项目为新建项目，不存在原有环境污染问题。</w:t>
            </w:r>
          </w:p>
        </w:tc>
      </w:tr>
    </w:tbl>
    <w:p w14:paraId="33D05D84">
      <w:pPr>
        <w:pStyle w:val="31"/>
        <w:jc w:val="center"/>
        <w:rPr>
          <w:rFonts w:ascii="Times New Roman" w:hAnsi="Times New Roman" w:eastAsia="黑体"/>
          <w:snapToGrid w:val="0"/>
          <w:sz w:val="36"/>
          <w:szCs w:val="36"/>
        </w:rPr>
        <w:sectPr>
          <w:pgSz w:w="11906" w:h="16838"/>
          <w:pgMar w:top="720" w:right="720" w:bottom="720" w:left="720" w:header="851" w:footer="851" w:gutter="0"/>
          <w:cols w:space="720" w:num="1"/>
          <w:docGrid w:linePitch="312" w:charSpace="0"/>
        </w:sectPr>
      </w:pPr>
    </w:p>
    <w:p w14:paraId="5BA06878">
      <w:pPr>
        <w:pStyle w:val="31"/>
        <w:adjustRightInd w:val="0"/>
        <w:snapToGrid w:val="0"/>
        <w:spacing w:before="0" w:beforeAutospacing="0" w:after="0" w:afterAutospacing="0" w:line="15" w:lineRule="auto"/>
        <w:jc w:val="center"/>
        <w:rPr>
          <w:rFonts w:ascii="Times New Roman" w:hAnsi="Times New Roman" w:eastAsia="黑体"/>
          <w:snapToGrid w:val="0"/>
          <w:sz w:val="30"/>
          <w:szCs w:val="30"/>
        </w:rPr>
      </w:pPr>
    </w:p>
    <w:p w14:paraId="33D4A36E">
      <w:pPr>
        <w:pStyle w:val="31"/>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三、区域环境质量现状、环境保护目标及评价标准</w:t>
      </w:r>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9510"/>
      </w:tblGrid>
      <w:tr w14:paraId="7704B2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800" w:type="dxa"/>
            <w:vAlign w:val="center"/>
          </w:tcPr>
          <w:p w14:paraId="7F8E72A5">
            <w:pPr>
              <w:adjustRightInd w:val="0"/>
              <w:snapToGrid w:val="0"/>
              <w:jc w:val="center"/>
              <w:rPr>
                <w:color w:val="auto"/>
                <w:kern w:val="0"/>
                <w:sz w:val="24"/>
              </w:rPr>
            </w:pPr>
            <w:r>
              <w:rPr>
                <w:color w:val="auto"/>
                <w:kern w:val="0"/>
                <w:sz w:val="24"/>
              </w:rPr>
              <w:t>区域</w:t>
            </w:r>
          </w:p>
          <w:p w14:paraId="16D13348">
            <w:pPr>
              <w:adjustRightInd w:val="0"/>
              <w:snapToGrid w:val="0"/>
              <w:jc w:val="center"/>
              <w:rPr>
                <w:color w:val="auto"/>
                <w:kern w:val="0"/>
                <w:sz w:val="24"/>
              </w:rPr>
            </w:pPr>
            <w:r>
              <w:rPr>
                <w:color w:val="auto"/>
                <w:kern w:val="0"/>
                <w:sz w:val="24"/>
              </w:rPr>
              <w:t>环境</w:t>
            </w:r>
          </w:p>
          <w:p w14:paraId="72A91710">
            <w:pPr>
              <w:adjustRightInd w:val="0"/>
              <w:snapToGrid w:val="0"/>
              <w:jc w:val="center"/>
              <w:rPr>
                <w:color w:val="auto"/>
                <w:kern w:val="0"/>
                <w:sz w:val="24"/>
              </w:rPr>
            </w:pPr>
            <w:r>
              <w:rPr>
                <w:color w:val="auto"/>
                <w:kern w:val="0"/>
                <w:sz w:val="24"/>
              </w:rPr>
              <w:t>质量</w:t>
            </w:r>
          </w:p>
          <w:p w14:paraId="5BE6ACB5">
            <w:pPr>
              <w:adjustRightInd w:val="0"/>
              <w:snapToGrid w:val="0"/>
              <w:jc w:val="center"/>
              <w:rPr>
                <w:color w:val="auto"/>
                <w:kern w:val="0"/>
                <w:sz w:val="24"/>
              </w:rPr>
            </w:pPr>
            <w:r>
              <w:rPr>
                <w:color w:val="auto"/>
                <w:kern w:val="0"/>
                <w:sz w:val="24"/>
              </w:rPr>
              <w:t>现状</w:t>
            </w:r>
          </w:p>
        </w:tc>
        <w:tc>
          <w:tcPr>
            <w:tcW w:w="8190" w:type="dxa"/>
            <w:vAlign w:val="center"/>
          </w:tcPr>
          <w:p w14:paraId="3B7C8B2C">
            <w:pPr>
              <w:numPr>
                <w:ilvl w:val="0"/>
                <w:numId w:val="16"/>
              </w:numPr>
              <w:adjustRightInd w:val="0"/>
              <w:snapToGrid w:val="0"/>
              <w:spacing w:line="360" w:lineRule="auto"/>
              <w:ind w:firstLine="482" w:firstLineChars="200"/>
              <w:rPr>
                <w:b/>
                <w:bCs/>
                <w:color w:val="auto"/>
                <w:kern w:val="0"/>
                <w:sz w:val="24"/>
              </w:rPr>
            </w:pPr>
            <w:r>
              <w:rPr>
                <w:b/>
                <w:bCs/>
                <w:color w:val="auto"/>
                <w:kern w:val="0"/>
                <w:sz w:val="24"/>
              </w:rPr>
              <w:t>大气环境</w:t>
            </w:r>
          </w:p>
          <w:p w14:paraId="33F3F4A5">
            <w:pPr>
              <w:adjustRightInd w:val="0"/>
              <w:snapToGrid w:val="0"/>
              <w:spacing w:line="360" w:lineRule="auto"/>
              <w:ind w:firstLine="482" w:firstLineChars="200"/>
              <w:jc w:val="left"/>
              <w:rPr>
                <w:b/>
                <w:bCs/>
                <w:color w:val="auto"/>
                <w:kern w:val="0"/>
                <w:sz w:val="24"/>
              </w:rPr>
            </w:pPr>
            <w:r>
              <w:rPr>
                <w:b/>
                <w:bCs/>
                <w:color w:val="auto"/>
                <w:kern w:val="0"/>
                <w:sz w:val="24"/>
              </w:rPr>
              <w:t>（1）常规污染物环境质量现状</w:t>
            </w:r>
          </w:p>
          <w:p w14:paraId="30FD39BB">
            <w:pPr>
              <w:adjustRightInd w:val="0"/>
              <w:snapToGrid w:val="0"/>
              <w:spacing w:line="360" w:lineRule="auto"/>
              <w:ind w:firstLine="480" w:firstLineChars="200"/>
              <w:jc w:val="left"/>
              <w:rPr>
                <w:color w:val="auto"/>
                <w:sz w:val="24"/>
              </w:rPr>
            </w:pPr>
            <w:r>
              <w:rPr>
                <w:color w:val="auto"/>
                <w:sz w:val="24"/>
              </w:rPr>
              <w:t>根据</w:t>
            </w:r>
            <w:r>
              <w:rPr>
                <w:color w:val="auto"/>
                <w:kern w:val="0"/>
                <w:sz w:val="24"/>
              </w:rPr>
              <w:t>《关于印发&lt;惠州市环境空气质量功能区划（2024年修订）&gt;的通知》（惠市环〔2024〕16号）</w:t>
            </w:r>
            <w:r>
              <w:rPr>
                <w:color w:val="auto"/>
                <w:sz w:val="24"/>
              </w:rPr>
              <w:t>，本项目所在地属环境空气质量功能区的二类区，环境空气质量应执行《环境空气质量标准》（GB3095-2012）中规定的二级标准。</w:t>
            </w:r>
          </w:p>
          <w:p w14:paraId="7D9C81F6">
            <w:pPr>
              <w:pStyle w:val="131"/>
              <w:ind w:firstLine="480"/>
              <w:rPr>
                <w:rFonts w:hint="default" w:ascii="Times New Roman" w:hAnsi="Times New Roman"/>
                <w:color w:val="auto"/>
                <w:sz w:val="24"/>
                <w:szCs w:val="24"/>
              </w:rPr>
            </w:pPr>
            <w:r>
              <w:rPr>
                <w:rFonts w:hint="default" w:ascii="Times New Roman" w:hAnsi="Times New Roman"/>
                <w:color w:val="auto"/>
                <w:sz w:val="24"/>
                <w:szCs w:val="24"/>
              </w:rPr>
              <w:t>根据惠州市生态环境局发布的《202</w:t>
            </w:r>
            <w:r>
              <w:rPr>
                <w:rFonts w:ascii="Times New Roman" w:hAnsi="Times New Roman"/>
                <w:color w:val="auto"/>
                <w:sz w:val="24"/>
                <w:szCs w:val="24"/>
              </w:rPr>
              <w:t>4</w:t>
            </w:r>
            <w:r>
              <w:rPr>
                <w:rFonts w:hint="default" w:ascii="Times New Roman" w:hAnsi="Times New Roman"/>
                <w:color w:val="auto"/>
                <w:sz w:val="24"/>
                <w:szCs w:val="24"/>
              </w:rPr>
              <w:t>年惠州市生态环境状况公报》资料显示：202</w:t>
            </w:r>
            <w:r>
              <w:rPr>
                <w:rFonts w:ascii="Times New Roman" w:hAnsi="Times New Roman"/>
                <w:color w:val="auto"/>
                <w:sz w:val="24"/>
                <w:szCs w:val="24"/>
              </w:rPr>
              <w:t>4</w:t>
            </w:r>
            <w:r>
              <w:rPr>
                <w:rFonts w:hint="default" w:ascii="Times New Roman" w:hAnsi="Times New Roman"/>
                <w:color w:val="auto"/>
                <w:sz w:val="24"/>
                <w:szCs w:val="24"/>
              </w:rPr>
              <w:t>年，全市环境空气质量保持优良。城市空气质量：2024年，惠州市环境空气质量优良。六项污染物年评价浓度均达标，其中，二氧化硫、二氧化氮、一氧化碳和可吸入颗粒物PM</w:t>
            </w:r>
            <w:r>
              <w:rPr>
                <w:rFonts w:hint="default" w:ascii="Times New Roman" w:hAnsi="Times New Roman"/>
                <w:color w:val="auto"/>
                <w:sz w:val="24"/>
                <w:szCs w:val="24"/>
                <w:vertAlign w:val="subscript"/>
              </w:rPr>
              <w:t>10</w:t>
            </w:r>
            <w:r>
              <w:rPr>
                <w:rFonts w:hint="default" w:ascii="Times New Roman" w:hAnsi="Times New Roman"/>
                <w:color w:val="auto"/>
                <w:sz w:val="24"/>
                <w:szCs w:val="24"/>
              </w:rPr>
              <w:t>年评价浓度达到国家一级标准；细颗粒物PM</w:t>
            </w:r>
            <w:r>
              <w:rPr>
                <w:rFonts w:hint="default" w:ascii="Times New Roman" w:hAnsi="Times New Roman"/>
                <w:color w:val="auto"/>
                <w:sz w:val="24"/>
                <w:szCs w:val="24"/>
                <w:vertAlign w:val="subscript"/>
              </w:rPr>
              <w:t>2.5</w:t>
            </w:r>
            <w:r>
              <w:rPr>
                <w:rFonts w:hint="default" w:ascii="Times New Roman" w:hAnsi="Times New Roman"/>
                <w:color w:val="auto"/>
                <w:sz w:val="24"/>
                <w:szCs w:val="24"/>
              </w:rPr>
              <w:t>和臭氧年评价浓度达到国家二级标准。综合指数为2.48，AQI达标率为95.9%，其中，优224天，良127天，轻度污染15天，无中度及以上污染，超标污染物为臭氧。</w:t>
            </w:r>
          </w:p>
          <w:p w14:paraId="7832C20F">
            <w:pPr>
              <w:pStyle w:val="131"/>
              <w:ind w:firstLine="480"/>
              <w:rPr>
                <w:rFonts w:hint="default" w:ascii="Times New Roman" w:hAnsi="Times New Roman"/>
                <w:color w:val="auto"/>
                <w:sz w:val="24"/>
                <w:szCs w:val="24"/>
              </w:rPr>
            </w:pPr>
            <w:r>
              <w:rPr>
                <w:rFonts w:hint="default" w:ascii="Times New Roman" w:hAnsi="Times New Roman"/>
                <w:color w:val="auto"/>
                <w:sz w:val="24"/>
                <w:szCs w:val="24"/>
              </w:rPr>
              <w:t>与2023年相比，综合指数改善3.1%，AQI达标率下降2.5个百分点，可吸入颗粒物PM</w:t>
            </w:r>
            <w:r>
              <w:rPr>
                <w:rFonts w:hint="default" w:ascii="Times New Roman" w:hAnsi="Times New Roman"/>
                <w:color w:val="auto"/>
                <w:sz w:val="24"/>
                <w:szCs w:val="24"/>
                <w:vertAlign w:val="subscript"/>
              </w:rPr>
              <w:t>10</w:t>
            </w:r>
            <w:r>
              <w:rPr>
                <w:rFonts w:hint="default" w:ascii="Times New Roman" w:hAnsi="Times New Roman"/>
                <w:color w:val="auto"/>
                <w:sz w:val="24"/>
                <w:szCs w:val="24"/>
              </w:rPr>
              <w:t>、细颗粒物PM</w:t>
            </w:r>
            <w:r>
              <w:rPr>
                <w:rFonts w:hint="default" w:ascii="Times New Roman" w:hAnsi="Times New Roman"/>
                <w:color w:val="auto"/>
                <w:sz w:val="24"/>
                <w:szCs w:val="24"/>
                <w:vertAlign w:val="subscript"/>
              </w:rPr>
              <w:t>2.5</w:t>
            </w:r>
            <w:r>
              <w:rPr>
                <w:rFonts w:hint="default" w:ascii="Times New Roman" w:hAnsi="Times New Roman"/>
                <w:color w:val="auto"/>
                <w:sz w:val="24"/>
                <w:szCs w:val="24"/>
              </w:rPr>
              <w:t>、二氧化氮分别改善11.1%、5.3%、12.5%，一氧化碳和二氧化硫持平，臭氧上升6.2%。</w:t>
            </w:r>
          </w:p>
          <w:p w14:paraId="4E4BB7DA">
            <w:pPr>
              <w:pStyle w:val="131"/>
              <w:ind w:firstLine="480"/>
              <w:rPr>
                <w:rFonts w:hint="default" w:ascii="Times New Roman" w:hAnsi="Times New Roman"/>
                <w:color w:val="auto"/>
                <w:sz w:val="24"/>
                <w:szCs w:val="24"/>
              </w:rPr>
            </w:pPr>
            <w:r>
              <w:rPr>
                <w:rFonts w:hint="default" w:ascii="Times New Roman" w:hAnsi="Times New Roman"/>
                <w:color w:val="auto"/>
                <w:sz w:val="24"/>
                <w:szCs w:val="24"/>
              </w:rPr>
              <w:t>县区空气质量：2024年，各县区环境空气质量总体优良。六项污染物年评价浓度均达标，综合指数1.88（龙门县）～2.57（惠阳区），AQI达标率96.2%（惠阳区）～100%（龙门县），超标污染物均为臭氧。与2023年相比，各县区空气质量综合指数均有所改善，改善幅度为0.8%～8.7%。</w:t>
            </w:r>
          </w:p>
          <w:p w14:paraId="4474D95B">
            <w:pPr>
              <w:pStyle w:val="131"/>
              <w:ind w:left="0" w:leftChars="0" w:firstLine="0" w:firstLineChars="0"/>
              <w:jc w:val="center"/>
              <w:rPr>
                <w:color w:val="auto"/>
              </w:rPr>
            </w:pPr>
            <w:r>
              <w:rPr>
                <w:color w:val="auto"/>
              </w:rPr>
              <w:drawing>
                <wp:inline distT="0" distB="0" distL="114300" distR="114300">
                  <wp:extent cx="5045075" cy="2411730"/>
                  <wp:effectExtent l="0" t="0" r="9525" b="1270"/>
                  <wp:docPr id="21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16"/>
                          <pic:cNvPicPr>
                            <a:picLocks noChangeAspect="1"/>
                          </pic:cNvPicPr>
                        </pic:nvPicPr>
                        <pic:blipFill>
                          <a:blip r:embed="rId30"/>
                          <a:stretch>
                            <a:fillRect/>
                          </a:stretch>
                        </pic:blipFill>
                        <pic:spPr>
                          <a:xfrm>
                            <a:off x="0" y="0"/>
                            <a:ext cx="5045075" cy="2411730"/>
                          </a:xfrm>
                          <a:prstGeom prst="rect">
                            <a:avLst/>
                          </a:prstGeom>
                          <a:noFill/>
                          <a:ln>
                            <a:noFill/>
                          </a:ln>
                        </pic:spPr>
                      </pic:pic>
                    </a:graphicData>
                  </a:graphic>
                </wp:inline>
              </w:drawing>
            </w:r>
          </w:p>
          <w:p w14:paraId="576B6ECB">
            <w:pPr>
              <w:pStyle w:val="43"/>
              <w:ind w:firstLine="0" w:firstLineChars="0"/>
              <w:jc w:val="center"/>
              <w:rPr>
                <w:rFonts w:hint="eastAsia" w:eastAsia="宋体"/>
                <w:b/>
                <w:bCs/>
                <w:color w:val="auto"/>
                <w:sz w:val="21"/>
                <w:szCs w:val="21"/>
                <w:lang w:val="en-US" w:eastAsia="zh-CN"/>
              </w:rPr>
            </w:pPr>
            <w:r>
              <w:rPr>
                <w:b/>
                <w:bCs/>
                <w:color w:val="auto"/>
                <w:sz w:val="21"/>
                <w:szCs w:val="21"/>
              </w:rPr>
              <w:t xml:space="preserve">图3-1  </w:t>
            </w:r>
            <w:r>
              <w:rPr>
                <w:rFonts w:hint="default"/>
                <w:b/>
                <w:bCs/>
                <w:color w:val="auto"/>
                <w:sz w:val="21"/>
                <w:szCs w:val="21"/>
              </w:rPr>
              <w:t>《202</w:t>
            </w:r>
            <w:r>
              <w:rPr>
                <w:b/>
                <w:bCs/>
                <w:color w:val="auto"/>
                <w:sz w:val="21"/>
                <w:szCs w:val="21"/>
              </w:rPr>
              <w:t>4</w:t>
            </w:r>
            <w:r>
              <w:rPr>
                <w:rFonts w:hint="default"/>
                <w:b/>
                <w:bCs/>
                <w:color w:val="auto"/>
                <w:sz w:val="21"/>
                <w:szCs w:val="21"/>
              </w:rPr>
              <w:t>年惠州市生态环境状况公报》</w:t>
            </w:r>
            <w:r>
              <w:rPr>
                <w:rFonts w:hint="eastAsia"/>
                <w:b/>
                <w:bCs/>
                <w:color w:val="auto"/>
                <w:sz w:val="21"/>
                <w:szCs w:val="21"/>
                <w:lang w:val="en-US" w:eastAsia="zh-CN"/>
              </w:rPr>
              <w:t>截图</w:t>
            </w:r>
          </w:p>
          <w:p w14:paraId="49D91085">
            <w:pPr>
              <w:pStyle w:val="131"/>
              <w:ind w:firstLine="480"/>
              <w:rPr>
                <w:rFonts w:hint="default" w:ascii="Times New Roman" w:hAnsi="Times New Roman"/>
                <w:color w:val="auto"/>
                <w:sz w:val="24"/>
                <w:szCs w:val="24"/>
              </w:rPr>
            </w:pPr>
            <w:r>
              <w:rPr>
                <w:rFonts w:hint="default" w:ascii="Times New Roman" w:hAnsi="Times New Roman"/>
                <w:color w:val="auto"/>
                <w:sz w:val="24"/>
                <w:szCs w:val="24"/>
              </w:rPr>
              <w:t>总体来说，项目所在地空气质量良好，所在区域为达标区。</w:t>
            </w:r>
          </w:p>
          <w:p w14:paraId="275B8E7E">
            <w:pPr>
              <w:adjustRightInd w:val="0"/>
              <w:snapToGrid w:val="0"/>
              <w:spacing w:line="360" w:lineRule="auto"/>
              <w:ind w:firstLine="482" w:firstLineChars="200"/>
              <w:jc w:val="left"/>
              <w:rPr>
                <w:b/>
                <w:bCs/>
                <w:color w:val="auto"/>
                <w:kern w:val="0"/>
                <w:sz w:val="24"/>
              </w:rPr>
            </w:pPr>
            <w:r>
              <w:rPr>
                <w:b/>
                <w:bCs/>
                <w:color w:val="auto"/>
                <w:kern w:val="0"/>
                <w:sz w:val="24"/>
              </w:rPr>
              <w:t>（2）其他特性污染物的环境空气现状</w:t>
            </w:r>
          </w:p>
          <w:p w14:paraId="7E7638E2">
            <w:pPr>
              <w:adjustRightInd w:val="0"/>
              <w:snapToGrid w:val="0"/>
              <w:spacing w:line="360" w:lineRule="auto"/>
              <w:ind w:firstLine="480" w:firstLineChars="200"/>
              <w:jc w:val="left"/>
              <w:rPr>
                <w:color w:val="auto"/>
                <w:kern w:val="0"/>
                <w:sz w:val="24"/>
                <w:lang w:bidi="ar"/>
              </w:rPr>
            </w:pPr>
            <w:r>
              <w:rPr>
                <w:color w:val="auto"/>
                <w:kern w:val="0"/>
                <w:sz w:val="24"/>
                <w:lang w:bidi="ar"/>
              </w:rPr>
              <w:t>本项目特征污染因子为非甲烷总烃、TVOC、氮氧化物、硫酸雾、氨、硫化氢、</w:t>
            </w:r>
            <w:r>
              <w:rPr>
                <w:rFonts w:hint="eastAsia"/>
                <w:color w:val="auto"/>
                <w:kern w:val="0"/>
                <w:sz w:val="24"/>
                <w:lang w:bidi="ar"/>
              </w:rPr>
              <w:t>颗粒物</w:t>
            </w:r>
            <w:r>
              <w:rPr>
                <w:color w:val="auto"/>
                <w:kern w:val="0"/>
                <w:sz w:val="24"/>
                <w:lang w:bidi="ar"/>
              </w:rPr>
              <w:t>和臭气浓度，为了解项目所在区域特征因子达标情况，</w:t>
            </w:r>
            <w:r>
              <w:rPr>
                <w:rFonts w:hint="eastAsia"/>
                <w:color w:val="auto"/>
                <w:kern w:val="0"/>
                <w:sz w:val="24"/>
                <w:lang w:bidi="ar"/>
              </w:rPr>
              <w:t>本报告引用《惠州天为资源再生有限公司废线路板资源综合利用项目》（惠市环建[2024]65号）中委托广州佳境有限公司于</w:t>
            </w:r>
            <w:r>
              <w:rPr>
                <w:color w:val="auto"/>
                <w:kern w:val="0"/>
                <w:sz w:val="24"/>
                <w:lang w:bidi="ar"/>
              </w:rPr>
              <w:t>2024</w:t>
            </w:r>
            <w:r>
              <w:rPr>
                <w:rFonts w:hint="eastAsia"/>
                <w:color w:val="auto"/>
                <w:kern w:val="0"/>
                <w:sz w:val="24"/>
                <w:lang w:bidi="ar"/>
              </w:rPr>
              <w:t>年1月4日</w:t>
            </w:r>
            <w:r>
              <w:rPr>
                <w:color w:val="auto"/>
                <w:kern w:val="0"/>
                <w:sz w:val="24"/>
                <w:lang w:bidi="ar"/>
              </w:rPr>
              <w:t>~2024</w:t>
            </w:r>
            <w:r>
              <w:rPr>
                <w:rFonts w:hint="eastAsia"/>
                <w:color w:val="auto"/>
                <w:kern w:val="0"/>
                <w:sz w:val="24"/>
                <w:lang w:bidi="ar"/>
              </w:rPr>
              <w:t>年1月10日对惠州天为资源再生有限公司东南侧监测点的检测数据，监测点位于项目东南侧，与厂界距离约2.59</w:t>
            </w:r>
            <w:r>
              <w:rPr>
                <w:color w:val="auto"/>
                <w:kern w:val="0"/>
                <w:sz w:val="24"/>
                <w:lang w:bidi="ar"/>
              </w:rPr>
              <w:t>km</w:t>
            </w:r>
            <w:r>
              <w:rPr>
                <w:rFonts w:hint="eastAsia"/>
                <w:color w:val="auto"/>
                <w:kern w:val="0"/>
                <w:sz w:val="24"/>
                <w:lang w:bidi="ar"/>
              </w:rPr>
              <w:t>＜</w:t>
            </w:r>
            <w:r>
              <w:rPr>
                <w:color w:val="auto"/>
                <w:kern w:val="0"/>
                <w:sz w:val="24"/>
                <w:lang w:bidi="ar"/>
              </w:rPr>
              <w:t>5km</w:t>
            </w:r>
            <w:r>
              <w:rPr>
                <w:rFonts w:hint="eastAsia"/>
                <w:color w:val="auto"/>
                <w:kern w:val="0"/>
                <w:sz w:val="24"/>
                <w:lang w:bidi="ar"/>
              </w:rPr>
              <w:t xml:space="preserve">，且为近 </w:t>
            </w:r>
            <w:r>
              <w:rPr>
                <w:color w:val="auto"/>
                <w:kern w:val="0"/>
                <w:sz w:val="24"/>
                <w:lang w:bidi="ar"/>
              </w:rPr>
              <w:t xml:space="preserve">3 </w:t>
            </w:r>
            <w:r>
              <w:rPr>
                <w:rFonts w:hint="eastAsia"/>
                <w:color w:val="auto"/>
                <w:kern w:val="0"/>
                <w:sz w:val="24"/>
                <w:lang w:bidi="ar"/>
              </w:rPr>
              <w:t>年监测数据，因此引用数据具有可行性。引用监测点位置图见图3-</w:t>
            </w:r>
            <w:r>
              <w:rPr>
                <w:rFonts w:hint="eastAsia"/>
                <w:color w:val="auto"/>
                <w:kern w:val="0"/>
                <w:sz w:val="24"/>
                <w:lang w:val="en-US" w:eastAsia="zh-CN" w:bidi="ar"/>
              </w:rPr>
              <w:t>2</w:t>
            </w:r>
            <w:r>
              <w:rPr>
                <w:rFonts w:hint="eastAsia"/>
                <w:color w:val="auto"/>
                <w:kern w:val="0"/>
                <w:sz w:val="24"/>
                <w:lang w:bidi="ar"/>
              </w:rPr>
              <w:t>，</w:t>
            </w:r>
            <w:r>
              <w:rPr>
                <w:color w:val="auto"/>
                <w:kern w:val="0"/>
                <w:sz w:val="24"/>
              </w:rPr>
              <w:t>监测数据见下表</w:t>
            </w:r>
            <w:r>
              <w:rPr>
                <w:color w:val="auto"/>
                <w:kern w:val="0"/>
                <w:sz w:val="24"/>
                <w:lang w:bidi="ar"/>
              </w:rPr>
              <w:t>。</w:t>
            </w:r>
          </w:p>
          <w:p w14:paraId="288D7B1B">
            <w:pPr>
              <w:widowControl/>
              <w:numPr>
                <w:ilvl w:val="0"/>
                <w:numId w:val="17"/>
              </w:numPr>
              <w:autoSpaceDE w:val="0"/>
              <w:autoSpaceDN w:val="0"/>
              <w:adjustRightInd w:val="0"/>
              <w:snapToGrid w:val="0"/>
              <w:jc w:val="center"/>
              <w:rPr>
                <w:color w:val="auto"/>
                <w:kern w:val="0"/>
                <w:szCs w:val="21"/>
                <w:lang w:bidi="ar"/>
              </w:rPr>
            </w:pPr>
            <w:r>
              <w:rPr>
                <w:b/>
                <w:bCs/>
                <w:color w:val="auto"/>
                <w:kern w:val="0"/>
                <w:szCs w:val="21"/>
                <w:lang w:bidi="ar"/>
              </w:rPr>
              <w:t xml:space="preserve"> 项目特征污染物监测结果一览表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024"/>
              <w:gridCol w:w="1453"/>
              <w:gridCol w:w="1334"/>
              <w:gridCol w:w="1539"/>
              <w:gridCol w:w="1219"/>
              <w:gridCol w:w="782"/>
              <w:gridCol w:w="826"/>
            </w:tblGrid>
            <w:tr w14:paraId="633BC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96" w:type="pct"/>
                  <w:vMerge w:val="restart"/>
                  <w:vAlign w:val="center"/>
                </w:tcPr>
                <w:p w14:paraId="56B8903A">
                  <w:pPr>
                    <w:widowControl/>
                    <w:jc w:val="center"/>
                    <w:textAlignment w:val="center"/>
                    <w:rPr>
                      <w:b/>
                      <w:bCs/>
                      <w:color w:val="auto"/>
                      <w:szCs w:val="21"/>
                    </w:rPr>
                  </w:pPr>
                  <w:r>
                    <w:rPr>
                      <w:b/>
                      <w:bCs/>
                      <w:color w:val="auto"/>
                      <w:szCs w:val="21"/>
                    </w:rPr>
                    <w:t>监测</w:t>
                  </w:r>
                  <w:r>
                    <w:rPr>
                      <w:b/>
                      <w:bCs/>
                      <w:color w:val="auto"/>
                      <w:szCs w:val="21"/>
                    </w:rPr>
                    <w:br w:type="textWrapping"/>
                  </w:r>
                  <w:r>
                    <w:rPr>
                      <w:b/>
                      <w:bCs/>
                      <w:color w:val="auto"/>
                      <w:szCs w:val="21"/>
                    </w:rPr>
                    <w:t>点位</w:t>
                  </w:r>
                </w:p>
              </w:tc>
              <w:tc>
                <w:tcPr>
                  <w:tcW w:w="551" w:type="pct"/>
                  <w:vMerge w:val="restart"/>
                  <w:vAlign w:val="center"/>
                </w:tcPr>
                <w:p w14:paraId="0181DD9C">
                  <w:pPr>
                    <w:widowControl/>
                    <w:jc w:val="center"/>
                    <w:textAlignment w:val="center"/>
                    <w:rPr>
                      <w:b/>
                      <w:bCs/>
                      <w:color w:val="auto"/>
                      <w:szCs w:val="21"/>
                    </w:rPr>
                  </w:pPr>
                  <w:r>
                    <w:rPr>
                      <w:b/>
                      <w:bCs/>
                      <w:color w:val="auto"/>
                      <w:szCs w:val="21"/>
                    </w:rPr>
                    <w:t>污染物</w:t>
                  </w:r>
                </w:p>
              </w:tc>
              <w:tc>
                <w:tcPr>
                  <w:tcW w:w="782" w:type="pct"/>
                  <w:vMerge w:val="restart"/>
                  <w:vAlign w:val="center"/>
                </w:tcPr>
                <w:p w14:paraId="6E1F69A8">
                  <w:pPr>
                    <w:widowControl/>
                    <w:jc w:val="center"/>
                    <w:textAlignment w:val="center"/>
                    <w:rPr>
                      <w:b/>
                      <w:bCs/>
                      <w:color w:val="auto"/>
                      <w:szCs w:val="21"/>
                    </w:rPr>
                  </w:pPr>
                  <w:r>
                    <w:rPr>
                      <w:b/>
                      <w:bCs/>
                      <w:color w:val="auto"/>
                      <w:szCs w:val="21"/>
                    </w:rPr>
                    <w:t>平均时间</w:t>
                  </w:r>
                </w:p>
              </w:tc>
              <w:tc>
                <w:tcPr>
                  <w:tcW w:w="718" w:type="pct"/>
                  <w:vMerge w:val="restart"/>
                  <w:vAlign w:val="center"/>
                </w:tcPr>
                <w:p w14:paraId="462556E1">
                  <w:pPr>
                    <w:widowControl/>
                    <w:jc w:val="center"/>
                    <w:textAlignment w:val="center"/>
                    <w:rPr>
                      <w:b/>
                      <w:bCs/>
                      <w:color w:val="auto"/>
                      <w:szCs w:val="21"/>
                    </w:rPr>
                  </w:pPr>
                  <w:r>
                    <w:rPr>
                      <w:b/>
                      <w:bCs/>
                      <w:color w:val="auto"/>
                      <w:szCs w:val="21"/>
                    </w:rPr>
                    <w:t>评价标准（mg/m³）</w:t>
                  </w:r>
                </w:p>
              </w:tc>
              <w:tc>
                <w:tcPr>
                  <w:tcW w:w="828" w:type="pct"/>
                  <w:vMerge w:val="restart"/>
                  <w:vAlign w:val="center"/>
                </w:tcPr>
                <w:p w14:paraId="2182DD11">
                  <w:pPr>
                    <w:widowControl/>
                    <w:jc w:val="center"/>
                    <w:textAlignment w:val="center"/>
                    <w:rPr>
                      <w:b/>
                      <w:bCs/>
                      <w:color w:val="auto"/>
                      <w:szCs w:val="21"/>
                    </w:rPr>
                  </w:pPr>
                  <w:r>
                    <w:rPr>
                      <w:b/>
                      <w:bCs/>
                      <w:color w:val="auto"/>
                      <w:szCs w:val="21"/>
                    </w:rPr>
                    <w:t>监测浓度范围（mg/m³）</w:t>
                  </w:r>
                </w:p>
              </w:tc>
              <w:tc>
                <w:tcPr>
                  <w:tcW w:w="656" w:type="pct"/>
                  <w:vMerge w:val="restart"/>
                  <w:vAlign w:val="center"/>
                </w:tcPr>
                <w:p w14:paraId="34679B29">
                  <w:pPr>
                    <w:widowControl/>
                    <w:jc w:val="center"/>
                    <w:textAlignment w:val="center"/>
                    <w:rPr>
                      <w:b/>
                      <w:bCs/>
                      <w:color w:val="auto"/>
                      <w:szCs w:val="21"/>
                    </w:rPr>
                  </w:pPr>
                  <w:r>
                    <w:rPr>
                      <w:b/>
                      <w:bCs/>
                      <w:color w:val="auto"/>
                      <w:szCs w:val="21"/>
                    </w:rPr>
                    <w:t>最大浓度占标率(%)</w:t>
                  </w:r>
                </w:p>
              </w:tc>
              <w:tc>
                <w:tcPr>
                  <w:tcW w:w="421" w:type="pct"/>
                  <w:vMerge w:val="restart"/>
                  <w:vAlign w:val="center"/>
                </w:tcPr>
                <w:p w14:paraId="05B84066">
                  <w:pPr>
                    <w:widowControl/>
                    <w:jc w:val="center"/>
                    <w:textAlignment w:val="center"/>
                    <w:rPr>
                      <w:b/>
                      <w:bCs/>
                      <w:color w:val="auto"/>
                      <w:szCs w:val="21"/>
                    </w:rPr>
                  </w:pPr>
                  <w:r>
                    <w:rPr>
                      <w:b/>
                      <w:bCs/>
                      <w:color w:val="auto"/>
                      <w:szCs w:val="21"/>
                    </w:rPr>
                    <w:t>超标</w:t>
                  </w:r>
                  <w:r>
                    <w:rPr>
                      <w:b/>
                      <w:bCs/>
                      <w:color w:val="auto"/>
                      <w:szCs w:val="21"/>
                    </w:rPr>
                    <w:br w:type="textWrapping"/>
                  </w:r>
                  <w:r>
                    <w:rPr>
                      <w:b/>
                      <w:bCs/>
                      <w:color w:val="auto"/>
                      <w:szCs w:val="21"/>
                    </w:rPr>
                    <w:t>率(%)</w:t>
                  </w:r>
                </w:p>
              </w:tc>
              <w:tc>
                <w:tcPr>
                  <w:tcW w:w="444" w:type="pct"/>
                  <w:vMerge w:val="restart"/>
                  <w:vAlign w:val="center"/>
                </w:tcPr>
                <w:p w14:paraId="088B4DFE">
                  <w:pPr>
                    <w:widowControl/>
                    <w:jc w:val="center"/>
                    <w:textAlignment w:val="center"/>
                    <w:rPr>
                      <w:b/>
                      <w:bCs/>
                      <w:color w:val="auto"/>
                      <w:szCs w:val="21"/>
                    </w:rPr>
                  </w:pPr>
                  <w:r>
                    <w:rPr>
                      <w:b/>
                      <w:bCs/>
                      <w:color w:val="auto"/>
                      <w:szCs w:val="21"/>
                    </w:rPr>
                    <w:t>达标</w:t>
                  </w:r>
                  <w:r>
                    <w:rPr>
                      <w:b/>
                      <w:bCs/>
                      <w:color w:val="auto"/>
                      <w:szCs w:val="21"/>
                    </w:rPr>
                    <w:br w:type="textWrapping"/>
                  </w:r>
                  <w:r>
                    <w:rPr>
                      <w:b/>
                      <w:bCs/>
                      <w:color w:val="auto"/>
                      <w:szCs w:val="21"/>
                    </w:rPr>
                    <w:t>情况</w:t>
                  </w:r>
                </w:p>
              </w:tc>
            </w:tr>
            <w:tr w14:paraId="4CF6A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96" w:type="pct"/>
                  <w:vMerge w:val="continue"/>
                  <w:vAlign w:val="center"/>
                </w:tcPr>
                <w:p w14:paraId="0665DC2F">
                  <w:pPr>
                    <w:widowControl/>
                    <w:jc w:val="center"/>
                    <w:textAlignment w:val="center"/>
                    <w:rPr>
                      <w:color w:val="auto"/>
                      <w:szCs w:val="21"/>
                    </w:rPr>
                  </w:pPr>
                </w:p>
              </w:tc>
              <w:tc>
                <w:tcPr>
                  <w:tcW w:w="551" w:type="pct"/>
                  <w:vMerge w:val="continue"/>
                  <w:vAlign w:val="center"/>
                </w:tcPr>
                <w:p w14:paraId="0CBCA981">
                  <w:pPr>
                    <w:widowControl/>
                    <w:jc w:val="center"/>
                    <w:textAlignment w:val="center"/>
                    <w:rPr>
                      <w:color w:val="auto"/>
                      <w:szCs w:val="21"/>
                    </w:rPr>
                  </w:pPr>
                </w:p>
              </w:tc>
              <w:tc>
                <w:tcPr>
                  <w:tcW w:w="782" w:type="pct"/>
                  <w:vMerge w:val="continue"/>
                  <w:vAlign w:val="center"/>
                </w:tcPr>
                <w:p w14:paraId="3CBF76B5">
                  <w:pPr>
                    <w:widowControl/>
                    <w:jc w:val="center"/>
                    <w:textAlignment w:val="center"/>
                    <w:rPr>
                      <w:color w:val="auto"/>
                      <w:szCs w:val="21"/>
                    </w:rPr>
                  </w:pPr>
                </w:p>
              </w:tc>
              <w:tc>
                <w:tcPr>
                  <w:tcW w:w="718" w:type="pct"/>
                  <w:vMerge w:val="continue"/>
                  <w:vAlign w:val="center"/>
                </w:tcPr>
                <w:p w14:paraId="1839C41D">
                  <w:pPr>
                    <w:widowControl/>
                    <w:jc w:val="center"/>
                    <w:textAlignment w:val="center"/>
                    <w:rPr>
                      <w:color w:val="auto"/>
                      <w:szCs w:val="21"/>
                    </w:rPr>
                  </w:pPr>
                </w:p>
              </w:tc>
              <w:tc>
                <w:tcPr>
                  <w:tcW w:w="828" w:type="pct"/>
                  <w:vMerge w:val="continue"/>
                  <w:vAlign w:val="center"/>
                </w:tcPr>
                <w:p w14:paraId="7B255583">
                  <w:pPr>
                    <w:widowControl/>
                    <w:jc w:val="center"/>
                    <w:textAlignment w:val="center"/>
                    <w:rPr>
                      <w:color w:val="auto"/>
                      <w:szCs w:val="21"/>
                    </w:rPr>
                  </w:pPr>
                </w:p>
              </w:tc>
              <w:tc>
                <w:tcPr>
                  <w:tcW w:w="656" w:type="pct"/>
                  <w:vMerge w:val="continue"/>
                  <w:vAlign w:val="center"/>
                </w:tcPr>
                <w:p w14:paraId="624E7FA5">
                  <w:pPr>
                    <w:widowControl/>
                    <w:jc w:val="center"/>
                    <w:textAlignment w:val="center"/>
                    <w:rPr>
                      <w:color w:val="auto"/>
                      <w:szCs w:val="21"/>
                    </w:rPr>
                  </w:pPr>
                </w:p>
              </w:tc>
              <w:tc>
                <w:tcPr>
                  <w:tcW w:w="421" w:type="pct"/>
                  <w:vMerge w:val="continue"/>
                  <w:vAlign w:val="center"/>
                </w:tcPr>
                <w:p w14:paraId="7883BCEC">
                  <w:pPr>
                    <w:widowControl/>
                    <w:jc w:val="center"/>
                    <w:textAlignment w:val="center"/>
                    <w:rPr>
                      <w:color w:val="auto"/>
                      <w:szCs w:val="21"/>
                    </w:rPr>
                  </w:pPr>
                </w:p>
              </w:tc>
              <w:tc>
                <w:tcPr>
                  <w:tcW w:w="444" w:type="pct"/>
                  <w:vMerge w:val="continue"/>
                  <w:vAlign w:val="center"/>
                </w:tcPr>
                <w:p w14:paraId="70F39DB9">
                  <w:pPr>
                    <w:widowControl/>
                    <w:jc w:val="center"/>
                    <w:textAlignment w:val="center"/>
                    <w:rPr>
                      <w:color w:val="auto"/>
                      <w:szCs w:val="21"/>
                    </w:rPr>
                  </w:pPr>
                </w:p>
              </w:tc>
            </w:tr>
            <w:tr w14:paraId="140E0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restart"/>
                  <w:vAlign w:val="center"/>
                </w:tcPr>
                <w:p w14:paraId="2CD5BE36">
                  <w:pPr>
                    <w:widowControl/>
                    <w:jc w:val="center"/>
                    <w:textAlignment w:val="center"/>
                    <w:rPr>
                      <w:color w:val="auto"/>
                      <w:szCs w:val="21"/>
                    </w:rPr>
                  </w:pPr>
                  <w:r>
                    <w:rPr>
                      <w:rFonts w:hint="eastAsia"/>
                      <w:color w:val="auto"/>
                      <w:szCs w:val="21"/>
                    </w:rPr>
                    <w:t>惠州天为资源再生有限公司东南侧</w:t>
                  </w:r>
                </w:p>
              </w:tc>
              <w:tc>
                <w:tcPr>
                  <w:tcW w:w="551" w:type="pct"/>
                  <w:vAlign w:val="center"/>
                </w:tcPr>
                <w:p w14:paraId="1EEEDC1C">
                  <w:pPr>
                    <w:widowControl/>
                    <w:jc w:val="center"/>
                    <w:textAlignment w:val="center"/>
                    <w:rPr>
                      <w:color w:val="auto"/>
                      <w:szCs w:val="21"/>
                    </w:rPr>
                  </w:pPr>
                  <w:r>
                    <w:rPr>
                      <w:color w:val="auto"/>
                      <w:szCs w:val="21"/>
                    </w:rPr>
                    <w:t>NOx</w:t>
                  </w:r>
                </w:p>
              </w:tc>
              <w:tc>
                <w:tcPr>
                  <w:tcW w:w="782" w:type="pct"/>
                  <w:vAlign w:val="center"/>
                </w:tcPr>
                <w:p w14:paraId="4C7EE461">
                  <w:pPr>
                    <w:widowControl/>
                    <w:jc w:val="center"/>
                    <w:textAlignment w:val="center"/>
                    <w:rPr>
                      <w:color w:val="auto"/>
                      <w:szCs w:val="21"/>
                    </w:rPr>
                  </w:pPr>
                  <w:r>
                    <w:rPr>
                      <w:color w:val="auto"/>
                      <w:szCs w:val="21"/>
                    </w:rPr>
                    <w:t>小时</w:t>
                  </w:r>
                  <w:r>
                    <w:rPr>
                      <w:rFonts w:hint="eastAsia"/>
                      <w:color w:val="auto"/>
                      <w:szCs w:val="21"/>
                    </w:rPr>
                    <w:t>均</w:t>
                  </w:r>
                  <w:r>
                    <w:rPr>
                      <w:color w:val="auto"/>
                      <w:szCs w:val="21"/>
                    </w:rPr>
                    <w:t>值</w:t>
                  </w:r>
                </w:p>
              </w:tc>
              <w:tc>
                <w:tcPr>
                  <w:tcW w:w="718" w:type="pct"/>
                  <w:vAlign w:val="center"/>
                </w:tcPr>
                <w:p w14:paraId="3B0C3EA5">
                  <w:pPr>
                    <w:widowControl/>
                    <w:jc w:val="center"/>
                    <w:textAlignment w:val="center"/>
                    <w:rPr>
                      <w:color w:val="auto"/>
                      <w:szCs w:val="21"/>
                    </w:rPr>
                  </w:pPr>
                  <w:r>
                    <w:rPr>
                      <w:rFonts w:hint="eastAsia"/>
                      <w:color w:val="auto"/>
                      <w:szCs w:val="21"/>
                    </w:rPr>
                    <w:t>0.25</w:t>
                  </w:r>
                </w:p>
              </w:tc>
              <w:tc>
                <w:tcPr>
                  <w:tcW w:w="828" w:type="pct"/>
                  <w:vAlign w:val="center"/>
                </w:tcPr>
                <w:p w14:paraId="5FCC1EE0">
                  <w:pPr>
                    <w:widowControl/>
                    <w:jc w:val="center"/>
                    <w:textAlignment w:val="center"/>
                    <w:rPr>
                      <w:color w:val="auto"/>
                      <w:szCs w:val="21"/>
                    </w:rPr>
                  </w:pPr>
                  <w:r>
                    <w:rPr>
                      <w:rFonts w:hint="eastAsia"/>
                      <w:color w:val="auto"/>
                      <w:szCs w:val="21"/>
                    </w:rPr>
                    <w:t>0.022~0.029</w:t>
                  </w:r>
                </w:p>
              </w:tc>
              <w:tc>
                <w:tcPr>
                  <w:tcW w:w="656" w:type="pct"/>
                  <w:vAlign w:val="center"/>
                </w:tcPr>
                <w:p w14:paraId="34C95689">
                  <w:pPr>
                    <w:widowControl/>
                    <w:jc w:val="center"/>
                    <w:textAlignment w:val="center"/>
                    <w:rPr>
                      <w:color w:val="auto"/>
                      <w:szCs w:val="21"/>
                    </w:rPr>
                  </w:pPr>
                  <w:r>
                    <w:rPr>
                      <w:rFonts w:hint="eastAsia"/>
                      <w:color w:val="auto"/>
                      <w:szCs w:val="21"/>
                    </w:rPr>
                    <w:t>11.60%</w:t>
                  </w:r>
                </w:p>
              </w:tc>
              <w:tc>
                <w:tcPr>
                  <w:tcW w:w="421" w:type="pct"/>
                  <w:vAlign w:val="center"/>
                </w:tcPr>
                <w:p w14:paraId="2B099379">
                  <w:pPr>
                    <w:widowControl/>
                    <w:jc w:val="center"/>
                    <w:textAlignment w:val="center"/>
                    <w:rPr>
                      <w:color w:val="auto"/>
                      <w:szCs w:val="21"/>
                    </w:rPr>
                  </w:pPr>
                  <w:r>
                    <w:rPr>
                      <w:rFonts w:hint="eastAsia"/>
                      <w:color w:val="auto"/>
                      <w:szCs w:val="21"/>
                    </w:rPr>
                    <w:t>0</w:t>
                  </w:r>
                </w:p>
              </w:tc>
              <w:tc>
                <w:tcPr>
                  <w:tcW w:w="444" w:type="pct"/>
                  <w:vAlign w:val="center"/>
                </w:tcPr>
                <w:p w14:paraId="296B4A4C">
                  <w:pPr>
                    <w:widowControl/>
                    <w:jc w:val="center"/>
                    <w:textAlignment w:val="center"/>
                    <w:rPr>
                      <w:color w:val="auto"/>
                      <w:szCs w:val="21"/>
                    </w:rPr>
                  </w:pPr>
                  <w:r>
                    <w:rPr>
                      <w:rFonts w:hint="eastAsia"/>
                      <w:color w:val="auto"/>
                      <w:szCs w:val="21"/>
                    </w:rPr>
                    <w:t>达标</w:t>
                  </w:r>
                </w:p>
              </w:tc>
            </w:tr>
            <w:tr w14:paraId="2E148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795878CC">
                  <w:pPr>
                    <w:widowControl/>
                    <w:jc w:val="center"/>
                    <w:textAlignment w:val="center"/>
                    <w:rPr>
                      <w:color w:val="auto"/>
                      <w:szCs w:val="21"/>
                    </w:rPr>
                  </w:pPr>
                </w:p>
              </w:tc>
              <w:tc>
                <w:tcPr>
                  <w:tcW w:w="551" w:type="pct"/>
                  <w:vAlign w:val="center"/>
                </w:tcPr>
                <w:p w14:paraId="521F1747">
                  <w:pPr>
                    <w:widowControl/>
                    <w:jc w:val="center"/>
                    <w:textAlignment w:val="center"/>
                    <w:rPr>
                      <w:color w:val="auto"/>
                      <w:szCs w:val="21"/>
                    </w:rPr>
                  </w:pPr>
                  <w:r>
                    <w:rPr>
                      <w:color w:val="auto"/>
                      <w:szCs w:val="21"/>
                    </w:rPr>
                    <w:t>NOx</w:t>
                  </w:r>
                </w:p>
              </w:tc>
              <w:tc>
                <w:tcPr>
                  <w:tcW w:w="782" w:type="pct"/>
                  <w:vAlign w:val="center"/>
                </w:tcPr>
                <w:p w14:paraId="0DCCF1A9">
                  <w:pPr>
                    <w:widowControl/>
                    <w:jc w:val="center"/>
                    <w:textAlignment w:val="center"/>
                    <w:rPr>
                      <w:color w:val="auto"/>
                      <w:szCs w:val="21"/>
                    </w:rPr>
                  </w:pPr>
                  <w:r>
                    <w:rPr>
                      <w:rFonts w:hint="eastAsia"/>
                      <w:color w:val="auto"/>
                      <w:szCs w:val="21"/>
                    </w:rPr>
                    <w:t>日</w:t>
                  </w:r>
                  <w:r>
                    <w:rPr>
                      <w:color w:val="auto"/>
                      <w:szCs w:val="21"/>
                    </w:rPr>
                    <w:t>均值</w:t>
                  </w:r>
                </w:p>
              </w:tc>
              <w:tc>
                <w:tcPr>
                  <w:tcW w:w="718" w:type="pct"/>
                  <w:vAlign w:val="center"/>
                </w:tcPr>
                <w:p w14:paraId="0A5FA555">
                  <w:pPr>
                    <w:widowControl/>
                    <w:jc w:val="center"/>
                    <w:textAlignment w:val="center"/>
                    <w:rPr>
                      <w:color w:val="auto"/>
                      <w:szCs w:val="21"/>
                    </w:rPr>
                  </w:pPr>
                  <w:r>
                    <w:rPr>
                      <w:rFonts w:hint="eastAsia"/>
                      <w:color w:val="auto"/>
                      <w:szCs w:val="21"/>
                    </w:rPr>
                    <w:t>0.10</w:t>
                  </w:r>
                </w:p>
              </w:tc>
              <w:tc>
                <w:tcPr>
                  <w:tcW w:w="828" w:type="pct"/>
                  <w:vAlign w:val="center"/>
                </w:tcPr>
                <w:p w14:paraId="1256658E">
                  <w:pPr>
                    <w:widowControl/>
                    <w:jc w:val="center"/>
                    <w:textAlignment w:val="center"/>
                    <w:rPr>
                      <w:color w:val="auto"/>
                      <w:szCs w:val="21"/>
                    </w:rPr>
                  </w:pPr>
                  <w:r>
                    <w:rPr>
                      <w:rFonts w:hint="eastAsia"/>
                      <w:color w:val="auto"/>
                      <w:szCs w:val="21"/>
                    </w:rPr>
                    <w:t>0.024~0.028</w:t>
                  </w:r>
                </w:p>
              </w:tc>
              <w:tc>
                <w:tcPr>
                  <w:tcW w:w="656" w:type="pct"/>
                  <w:vAlign w:val="center"/>
                </w:tcPr>
                <w:p w14:paraId="1782AA7E">
                  <w:pPr>
                    <w:widowControl/>
                    <w:jc w:val="center"/>
                    <w:textAlignment w:val="center"/>
                    <w:rPr>
                      <w:color w:val="auto"/>
                      <w:szCs w:val="21"/>
                    </w:rPr>
                  </w:pPr>
                  <w:r>
                    <w:rPr>
                      <w:rFonts w:hint="eastAsia"/>
                      <w:color w:val="auto"/>
                      <w:szCs w:val="21"/>
                    </w:rPr>
                    <w:t>28.00%</w:t>
                  </w:r>
                </w:p>
              </w:tc>
              <w:tc>
                <w:tcPr>
                  <w:tcW w:w="672" w:type="dxa"/>
                  <w:vAlign w:val="center"/>
                </w:tcPr>
                <w:p w14:paraId="0AD35634">
                  <w:pPr>
                    <w:widowControl/>
                    <w:jc w:val="center"/>
                    <w:textAlignment w:val="center"/>
                    <w:rPr>
                      <w:color w:val="auto"/>
                      <w:szCs w:val="21"/>
                    </w:rPr>
                  </w:pPr>
                  <w:r>
                    <w:rPr>
                      <w:rFonts w:hint="eastAsia"/>
                      <w:color w:val="auto"/>
                      <w:szCs w:val="21"/>
                    </w:rPr>
                    <w:t>0</w:t>
                  </w:r>
                </w:p>
              </w:tc>
              <w:tc>
                <w:tcPr>
                  <w:tcW w:w="708" w:type="dxa"/>
                  <w:vAlign w:val="center"/>
                </w:tcPr>
                <w:p w14:paraId="689EC5BB">
                  <w:pPr>
                    <w:widowControl/>
                    <w:jc w:val="center"/>
                    <w:textAlignment w:val="center"/>
                    <w:rPr>
                      <w:color w:val="auto"/>
                      <w:szCs w:val="21"/>
                    </w:rPr>
                  </w:pPr>
                  <w:r>
                    <w:rPr>
                      <w:rFonts w:hint="eastAsia"/>
                      <w:color w:val="auto"/>
                      <w:szCs w:val="21"/>
                    </w:rPr>
                    <w:t>达标</w:t>
                  </w:r>
                </w:p>
              </w:tc>
            </w:tr>
            <w:tr w14:paraId="206E3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640B8D02">
                  <w:pPr>
                    <w:widowControl/>
                    <w:jc w:val="center"/>
                    <w:textAlignment w:val="center"/>
                    <w:rPr>
                      <w:color w:val="auto"/>
                      <w:szCs w:val="21"/>
                    </w:rPr>
                  </w:pPr>
                </w:p>
              </w:tc>
              <w:tc>
                <w:tcPr>
                  <w:tcW w:w="551" w:type="pct"/>
                  <w:vAlign w:val="center"/>
                </w:tcPr>
                <w:p w14:paraId="2A2D82C9">
                  <w:pPr>
                    <w:widowControl/>
                    <w:jc w:val="center"/>
                    <w:textAlignment w:val="center"/>
                    <w:rPr>
                      <w:color w:val="auto"/>
                      <w:szCs w:val="21"/>
                    </w:rPr>
                  </w:pPr>
                  <w:r>
                    <w:rPr>
                      <w:rFonts w:hint="eastAsia"/>
                      <w:color w:val="auto"/>
                      <w:szCs w:val="21"/>
                    </w:rPr>
                    <w:t>硫酸雾</w:t>
                  </w:r>
                </w:p>
              </w:tc>
              <w:tc>
                <w:tcPr>
                  <w:tcW w:w="782" w:type="pct"/>
                  <w:vAlign w:val="center"/>
                </w:tcPr>
                <w:p w14:paraId="2EFF1291">
                  <w:pPr>
                    <w:widowControl/>
                    <w:jc w:val="center"/>
                    <w:textAlignment w:val="center"/>
                    <w:rPr>
                      <w:color w:val="auto"/>
                      <w:szCs w:val="21"/>
                    </w:rPr>
                  </w:pPr>
                  <w:r>
                    <w:rPr>
                      <w:color w:val="auto"/>
                      <w:szCs w:val="21"/>
                    </w:rPr>
                    <w:t>小时</w:t>
                  </w:r>
                  <w:r>
                    <w:rPr>
                      <w:rFonts w:hint="eastAsia"/>
                      <w:color w:val="auto"/>
                      <w:szCs w:val="21"/>
                    </w:rPr>
                    <w:t>均</w:t>
                  </w:r>
                  <w:r>
                    <w:rPr>
                      <w:color w:val="auto"/>
                      <w:szCs w:val="21"/>
                    </w:rPr>
                    <w:t>值</w:t>
                  </w:r>
                </w:p>
              </w:tc>
              <w:tc>
                <w:tcPr>
                  <w:tcW w:w="718" w:type="pct"/>
                  <w:vAlign w:val="center"/>
                </w:tcPr>
                <w:p w14:paraId="0A780B56">
                  <w:pPr>
                    <w:widowControl/>
                    <w:jc w:val="center"/>
                    <w:textAlignment w:val="center"/>
                    <w:rPr>
                      <w:color w:val="auto"/>
                      <w:szCs w:val="21"/>
                    </w:rPr>
                  </w:pPr>
                  <w:r>
                    <w:rPr>
                      <w:rFonts w:hint="eastAsia"/>
                      <w:color w:val="auto"/>
                      <w:szCs w:val="21"/>
                    </w:rPr>
                    <w:t>0.3</w:t>
                  </w:r>
                </w:p>
              </w:tc>
              <w:tc>
                <w:tcPr>
                  <w:tcW w:w="828" w:type="pct"/>
                  <w:vAlign w:val="center"/>
                </w:tcPr>
                <w:p w14:paraId="3A57A0BC">
                  <w:pPr>
                    <w:widowControl/>
                    <w:jc w:val="center"/>
                    <w:textAlignment w:val="center"/>
                    <w:rPr>
                      <w:color w:val="auto"/>
                      <w:szCs w:val="21"/>
                    </w:rPr>
                  </w:pPr>
                  <w:r>
                    <w:rPr>
                      <w:rFonts w:hint="eastAsia"/>
                      <w:color w:val="auto"/>
                      <w:szCs w:val="21"/>
                    </w:rPr>
                    <w:t>＜0.005</w:t>
                  </w:r>
                </w:p>
              </w:tc>
              <w:tc>
                <w:tcPr>
                  <w:tcW w:w="656" w:type="pct"/>
                  <w:vAlign w:val="center"/>
                </w:tcPr>
                <w:p w14:paraId="4EBE1281">
                  <w:pPr>
                    <w:widowControl/>
                    <w:jc w:val="center"/>
                    <w:textAlignment w:val="center"/>
                    <w:rPr>
                      <w:color w:val="auto"/>
                      <w:szCs w:val="21"/>
                    </w:rPr>
                  </w:pPr>
                  <w:r>
                    <w:rPr>
                      <w:rFonts w:hint="eastAsia"/>
                      <w:color w:val="auto"/>
                      <w:szCs w:val="21"/>
                    </w:rPr>
                    <w:t>0.83%</w:t>
                  </w:r>
                </w:p>
              </w:tc>
              <w:tc>
                <w:tcPr>
                  <w:tcW w:w="672" w:type="dxa"/>
                  <w:vAlign w:val="center"/>
                </w:tcPr>
                <w:p w14:paraId="6CD8C045">
                  <w:pPr>
                    <w:widowControl/>
                    <w:jc w:val="center"/>
                    <w:textAlignment w:val="center"/>
                    <w:rPr>
                      <w:color w:val="auto"/>
                      <w:szCs w:val="21"/>
                    </w:rPr>
                  </w:pPr>
                  <w:r>
                    <w:rPr>
                      <w:rFonts w:hint="eastAsia"/>
                      <w:color w:val="auto"/>
                      <w:szCs w:val="21"/>
                    </w:rPr>
                    <w:t>0</w:t>
                  </w:r>
                </w:p>
              </w:tc>
              <w:tc>
                <w:tcPr>
                  <w:tcW w:w="708" w:type="dxa"/>
                  <w:vAlign w:val="center"/>
                </w:tcPr>
                <w:p w14:paraId="5254F600">
                  <w:pPr>
                    <w:widowControl/>
                    <w:jc w:val="center"/>
                    <w:textAlignment w:val="center"/>
                    <w:rPr>
                      <w:color w:val="auto"/>
                      <w:szCs w:val="21"/>
                    </w:rPr>
                  </w:pPr>
                  <w:r>
                    <w:rPr>
                      <w:rFonts w:hint="eastAsia"/>
                      <w:color w:val="auto"/>
                      <w:szCs w:val="21"/>
                    </w:rPr>
                    <w:t>达标</w:t>
                  </w:r>
                </w:p>
              </w:tc>
            </w:tr>
            <w:tr w14:paraId="3165C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402FFB77">
                  <w:pPr>
                    <w:widowControl/>
                    <w:jc w:val="center"/>
                    <w:textAlignment w:val="center"/>
                    <w:rPr>
                      <w:color w:val="auto"/>
                      <w:szCs w:val="21"/>
                    </w:rPr>
                  </w:pPr>
                </w:p>
              </w:tc>
              <w:tc>
                <w:tcPr>
                  <w:tcW w:w="551" w:type="pct"/>
                  <w:vAlign w:val="center"/>
                </w:tcPr>
                <w:p w14:paraId="0BCEE7D0">
                  <w:pPr>
                    <w:widowControl/>
                    <w:jc w:val="center"/>
                    <w:textAlignment w:val="center"/>
                    <w:rPr>
                      <w:color w:val="auto"/>
                      <w:szCs w:val="21"/>
                    </w:rPr>
                  </w:pPr>
                  <w:r>
                    <w:rPr>
                      <w:rFonts w:hint="eastAsia"/>
                      <w:color w:val="auto"/>
                      <w:szCs w:val="21"/>
                    </w:rPr>
                    <w:t>硫酸雾</w:t>
                  </w:r>
                </w:p>
              </w:tc>
              <w:tc>
                <w:tcPr>
                  <w:tcW w:w="782" w:type="pct"/>
                  <w:vAlign w:val="center"/>
                </w:tcPr>
                <w:p w14:paraId="1B9FD967">
                  <w:pPr>
                    <w:widowControl/>
                    <w:jc w:val="center"/>
                    <w:textAlignment w:val="center"/>
                    <w:rPr>
                      <w:color w:val="auto"/>
                      <w:szCs w:val="21"/>
                    </w:rPr>
                  </w:pPr>
                  <w:r>
                    <w:rPr>
                      <w:rFonts w:hint="eastAsia"/>
                      <w:color w:val="auto"/>
                      <w:szCs w:val="21"/>
                    </w:rPr>
                    <w:t>日均值</w:t>
                  </w:r>
                </w:p>
              </w:tc>
              <w:tc>
                <w:tcPr>
                  <w:tcW w:w="718" w:type="pct"/>
                  <w:vAlign w:val="center"/>
                </w:tcPr>
                <w:p w14:paraId="5E63F8CB">
                  <w:pPr>
                    <w:widowControl/>
                    <w:jc w:val="center"/>
                    <w:textAlignment w:val="center"/>
                    <w:rPr>
                      <w:color w:val="auto"/>
                      <w:szCs w:val="21"/>
                    </w:rPr>
                  </w:pPr>
                  <w:r>
                    <w:rPr>
                      <w:rFonts w:hint="eastAsia"/>
                      <w:color w:val="auto"/>
                      <w:szCs w:val="21"/>
                    </w:rPr>
                    <w:t>0.1</w:t>
                  </w:r>
                </w:p>
              </w:tc>
              <w:tc>
                <w:tcPr>
                  <w:tcW w:w="828" w:type="pct"/>
                  <w:vAlign w:val="center"/>
                </w:tcPr>
                <w:p w14:paraId="3C4C5C50">
                  <w:pPr>
                    <w:widowControl/>
                    <w:jc w:val="center"/>
                    <w:textAlignment w:val="center"/>
                    <w:rPr>
                      <w:color w:val="auto"/>
                      <w:szCs w:val="21"/>
                    </w:rPr>
                  </w:pPr>
                  <w:r>
                    <w:rPr>
                      <w:rFonts w:hint="eastAsia"/>
                      <w:color w:val="auto"/>
                      <w:szCs w:val="21"/>
                    </w:rPr>
                    <w:t>＜0.005</w:t>
                  </w:r>
                </w:p>
              </w:tc>
              <w:tc>
                <w:tcPr>
                  <w:tcW w:w="656" w:type="pct"/>
                  <w:vAlign w:val="center"/>
                </w:tcPr>
                <w:p w14:paraId="587E375D">
                  <w:pPr>
                    <w:widowControl/>
                    <w:jc w:val="center"/>
                    <w:textAlignment w:val="center"/>
                    <w:rPr>
                      <w:color w:val="auto"/>
                      <w:szCs w:val="21"/>
                    </w:rPr>
                  </w:pPr>
                  <w:r>
                    <w:rPr>
                      <w:rFonts w:hint="eastAsia"/>
                      <w:color w:val="auto"/>
                      <w:szCs w:val="21"/>
                    </w:rPr>
                    <w:t>2.50%</w:t>
                  </w:r>
                </w:p>
              </w:tc>
              <w:tc>
                <w:tcPr>
                  <w:tcW w:w="672" w:type="dxa"/>
                  <w:vAlign w:val="center"/>
                </w:tcPr>
                <w:p w14:paraId="7D1EBD81">
                  <w:pPr>
                    <w:widowControl/>
                    <w:jc w:val="center"/>
                    <w:textAlignment w:val="center"/>
                    <w:rPr>
                      <w:color w:val="auto"/>
                      <w:szCs w:val="21"/>
                    </w:rPr>
                  </w:pPr>
                  <w:r>
                    <w:rPr>
                      <w:rFonts w:hint="eastAsia"/>
                      <w:color w:val="auto"/>
                      <w:szCs w:val="21"/>
                    </w:rPr>
                    <w:t>0</w:t>
                  </w:r>
                </w:p>
              </w:tc>
              <w:tc>
                <w:tcPr>
                  <w:tcW w:w="708" w:type="dxa"/>
                  <w:vAlign w:val="center"/>
                </w:tcPr>
                <w:p w14:paraId="1F58EC16">
                  <w:pPr>
                    <w:widowControl/>
                    <w:jc w:val="center"/>
                    <w:textAlignment w:val="center"/>
                    <w:rPr>
                      <w:color w:val="auto"/>
                      <w:szCs w:val="21"/>
                    </w:rPr>
                  </w:pPr>
                  <w:r>
                    <w:rPr>
                      <w:rFonts w:hint="eastAsia"/>
                      <w:color w:val="auto"/>
                      <w:szCs w:val="21"/>
                    </w:rPr>
                    <w:t>达标</w:t>
                  </w:r>
                </w:p>
              </w:tc>
            </w:tr>
            <w:tr w14:paraId="04646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27F52F56">
                  <w:pPr>
                    <w:widowControl/>
                    <w:jc w:val="center"/>
                    <w:textAlignment w:val="center"/>
                    <w:rPr>
                      <w:color w:val="auto"/>
                      <w:szCs w:val="21"/>
                    </w:rPr>
                  </w:pPr>
                </w:p>
              </w:tc>
              <w:tc>
                <w:tcPr>
                  <w:tcW w:w="551" w:type="pct"/>
                  <w:vAlign w:val="center"/>
                </w:tcPr>
                <w:p w14:paraId="0425B32A">
                  <w:pPr>
                    <w:widowControl/>
                    <w:jc w:val="center"/>
                    <w:textAlignment w:val="center"/>
                    <w:rPr>
                      <w:color w:val="auto"/>
                      <w:szCs w:val="21"/>
                    </w:rPr>
                  </w:pPr>
                  <w:r>
                    <w:rPr>
                      <w:rFonts w:hint="eastAsia"/>
                      <w:color w:val="auto"/>
                      <w:szCs w:val="21"/>
                    </w:rPr>
                    <w:t>臭气浓度（无量纲）</w:t>
                  </w:r>
                </w:p>
              </w:tc>
              <w:tc>
                <w:tcPr>
                  <w:tcW w:w="782" w:type="pct"/>
                  <w:vAlign w:val="center"/>
                </w:tcPr>
                <w:p w14:paraId="3556F939">
                  <w:pPr>
                    <w:widowControl/>
                    <w:jc w:val="center"/>
                    <w:textAlignment w:val="center"/>
                    <w:rPr>
                      <w:color w:val="auto"/>
                      <w:szCs w:val="21"/>
                    </w:rPr>
                  </w:pPr>
                  <w:r>
                    <w:rPr>
                      <w:color w:val="auto"/>
                      <w:szCs w:val="21"/>
                    </w:rPr>
                    <w:t>小时</w:t>
                  </w:r>
                  <w:r>
                    <w:rPr>
                      <w:rFonts w:hint="eastAsia"/>
                      <w:color w:val="auto"/>
                      <w:szCs w:val="21"/>
                    </w:rPr>
                    <w:t>均</w:t>
                  </w:r>
                  <w:r>
                    <w:rPr>
                      <w:color w:val="auto"/>
                      <w:szCs w:val="21"/>
                    </w:rPr>
                    <w:t>值</w:t>
                  </w:r>
                </w:p>
              </w:tc>
              <w:tc>
                <w:tcPr>
                  <w:tcW w:w="718" w:type="pct"/>
                  <w:vAlign w:val="center"/>
                </w:tcPr>
                <w:p w14:paraId="64A3C490">
                  <w:pPr>
                    <w:widowControl/>
                    <w:jc w:val="center"/>
                    <w:textAlignment w:val="center"/>
                    <w:rPr>
                      <w:color w:val="auto"/>
                      <w:szCs w:val="21"/>
                    </w:rPr>
                  </w:pPr>
                  <w:r>
                    <w:rPr>
                      <w:rFonts w:hint="eastAsia"/>
                      <w:color w:val="auto"/>
                      <w:szCs w:val="21"/>
                    </w:rPr>
                    <w:t>20</w:t>
                  </w:r>
                </w:p>
              </w:tc>
              <w:tc>
                <w:tcPr>
                  <w:tcW w:w="828" w:type="pct"/>
                  <w:vAlign w:val="center"/>
                </w:tcPr>
                <w:p w14:paraId="79B8C5BD">
                  <w:pPr>
                    <w:widowControl/>
                    <w:jc w:val="center"/>
                    <w:textAlignment w:val="center"/>
                    <w:rPr>
                      <w:color w:val="auto"/>
                      <w:szCs w:val="21"/>
                    </w:rPr>
                  </w:pPr>
                  <w:r>
                    <w:rPr>
                      <w:rFonts w:hint="eastAsia"/>
                      <w:color w:val="auto"/>
                      <w:szCs w:val="21"/>
                    </w:rPr>
                    <w:t>＜10</w:t>
                  </w:r>
                </w:p>
              </w:tc>
              <w:tc>
                <w:tcPr>
                  <w:tcW w:w="656" w:type="pct"/>
                  <w:vAlign w:val="center"/>
                </w:tcPr>
                <w:p w14:paraId="4086E669">
                  <w:pPr>
                    <w:widowControl/>
                    <w:jc w:val="center"/>
                    <w:textAlignment w:val="center"/>
                    <w:rPr>
                      <w:color w:val="auto"/>
                      <w:szCs w:val="21"/>
                    </w:rPr>
                  </w:pPr>
                  <w:r>
                    <w:rPr>
                      <w:rFonts w:hint="eastAsia"/>
                      <w:color w:val="auto"/>
                      <w:szCs w:val="21"/>
                    </w:rPr>
                    <w:t>25.00%</w:t>
                  </w:r>
                </w:p>
              </w:tc>
              <w:tc>
                <w:tcPr>
                  <w:tcW w:w="672" w:type="dxa"/>
                  <w:vAlign w:val="center"/>
                </w:tcPr>
                <w:p w14:paraId="124222A3">
                  <w:pPr>
                    <w:widowControl/>
                    <w:jc w:val="center"/>
                    <w:textAlignment w:val="center"/>
                    <w:rPr>
                      <w:color w:val="auto"/>
                      <w:szCs w:val="21"/>
                    </w:rPr>
                  </w:pPr>
                  <w:r>
                    <w:rPr>
                      <w:rFonts w:hint="eastAsia"/>
                      <w:color w:val="auto"/>
                      <w:szCs w:val="21"/>
                    </w:rPr>
                    <w:t>0</w:t>
                  </w:r>
                </w:p>
              </w:tc>
              <w:tc>
                <w:tcPr>
                  <w:tcW w:w="708" w:type="dxa"/>
                  <w:vAlign w:val="center"/>
                </w:tcPr>
                <w:p w14:paraId="0E378E8D">
                  <w:pPr>
                    <w:widowControl/>
                    <w:jc w:val="center"/>
                    <w:textAlignment w:val="center"/>
                    <w:rPr>
                      <w:color w:val="auto"/>
                      <w:szCs w:val="21"/>
                    </w:rPr>
                  </w:pPr>
                  <w:r>
                    <w:rPr>
                      <w:rFonts w:hint="eastAsia"/>
                      <w:color w:val="auto"/>
                      <w:szCs w:val="21"/>
                    </w:rPr>
                    <w:t>达标</w:t>
                  </w:r>
                </w:p>
              </w:tc>
            </w:tr>
            <w:tr w14:paraId="4F19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1AEB2BE0">
                  <w:pPr>
                    <w:widowControl/>
                    <w:jc w:val="center"/>
                    <w:textAlignment w:val="center"/>
                    <w:rPr>
                      <w:color w:val="auto"/>
                      <w:szCs w:val="21"/>
                    </w:rPr>
                  </w:pPr>
                </w:p>
              </w:tc>
              <w:tc>
                <w:tcPr>
                  <w:tcW w:w="551" w:type="pct"/>
                  <w:vAlign w:val="center"/>
                </w:tcPr>
                <w:p w14:paraId="4AFEEECA">
                  <w:pPr>
                    <w:widowControl/>
                    <w:jc w:val="center"/>
                    <w:textAlignment w:val="center"/>
                    <w:rPr>
                      <w:color w:val="auto"/>
                      <w:szCs w:val="21"/>
                    </w:rPr>
                  </w:pPr>
                  <w:r>
                    <w:rPr>
                      <w:rFonts w:hint="eastAsia"/>
                      <w:color w:val="auto"/>
                      <w:szCs w:val="21"/>
                    </w:rPr>
                    <w:t>氨</w:t>
                  </w:r>
                </w:p>
              </w:tc>
              <w:tc>
                <w:tcPr>
                  <w:tcW w:w="782" w:type="pct"/>
                  <w:vAlign w:val="center"/>
                </w:tcPr>
                <w:p w14:paraId="311BA0FD">
                  <w:pPr>
                    <w:widowControl/>
                    <w:jc w:val="center"/>
                    <w:textAlignment w:val="center"/>
                    <w:rPr>
                      <w:color w:val="auto"/>
                      <w:szCs w:val="21"/>
                    </w:rPr>
                  </w:pPr>
                  <w:r>
                    <w:rPr>
                      <w:color w:val="auto"/>
                      <w:szCs w:val="21"/>
                    </w:rPr>
                    <w:t>小时</w:t>
                  </w:r>
                  <w:r>
                    <w:rPr>
                      <w:rFonts w:hint="eastAsia"/>
                      <w:color w:val="auto"/>
                      <w:szCs w:val="21"/>
                    </w:rPr>
                    <w:t>均</w:t>
                  </w:r>
                  <w:r>
                    <w:rPr>
                      <w:color w:val="auto"/>
                      <w:szCs w:val="21"/>
                    </w:rPr>
                    <w:t>值</w:t>
                  </w:r>
                </w:p>
              </w:tc>
              <w:tc>
                <w:tcPr>
                  <w:tcW w:w="718" w:type="pct"/>
                  <w:vAlign w:val="center"/>
                </w:tcPr>
                <w:p w14:paraId="0BFBC914">
                  <w:pPr>
                    <w:widowControl/>
                    <w:jc w:val="center"/>
                    <w:textAlignment w:val="center"/>
                    <w:rPr>
                      <w:color w:val="auto"/>
                      <w:szCs w:val="21"/>
                    </w:rPr>
                  </w:pPr>
                  <w:r>
                    <w:rPr>
                      <w:rFonts w:hint="eastAsia"/>
                      <w:color w:val="auto"/>
                      <w:szCs w:val="21"/>
                    </w:rPr>
                    <w:t>0.2</w:t>
                  </w:r>
                </w:p>
              </w:tc>
              <w:tc>
                <w:tcPr>
                  <w:tcW w:w="828" w:type="pct"/>
                  <w:vAlign w:val="center"/>
                </w:tcPr>
                <w:p w14:paraId="555DBC76">
                  <w:pPr>
                    <w:widowControl/>
                    <w:jc w:val="center"/>
                    <w:textAlignment w:val="center"/>
                    <w:rPr>
                      <w:color w:val="auto"/>
                      <w:szCs w:val="21"/>
                    </w:rPr>
                  </w:pPr>
                  <w:r>
                    <w:rPr>
                      <w:rFonts w:hint="eastAsia"/>
                      <w:color w:val="auto"/>
                      <w:szCs w:val="21"/>
                    </w:rPr>
                    <w:t>0.010~0.020</w:t>
                  </w:r>
                </w:p>
              </w:tc>
              <w:tc>
                <w:tcPr>
                  <w:tcW w:w="656" w:type="pct"/>
                  <w:vAlign w:val="center"/>
                </w:tcPr>
                <w:p w14:paraId="0813DD8D">
                  <w:pPr>
                    <w:widowControl/>
                    <w:jc w:val="center"/>
                    <w:textAlignment w:val="center"/>
                    <w:rPr>
                      <w:color w:val="auto"/>
                      <w:szCs w:val="21"/>
                    </w:rPr>
                  </w:pPr>
                  <w:r>
                    <w:rPr>
                      <w:rFonts w:hint="eastAsia"/>
                      <w:color w:val="auto"/>
                      <w:szCs w:val="21"/>
                    </w:rPr>
                    <w:t>10.00%</w:t>
                  </w:r>
                </w:p>
              </w:tc>
              <w:tc>
                <w:tcPr>
                  <w:tcW w:w="672" w:type="dxa"/>
                  <w:vAlign w:val="center"/>
                </w:tcPr>
                <w:p w14:paraId="7D272629">
                  <w:pPr>
                    <w:widowControl/>
                    <w:jc w:val="center"/>
                    <w:textAlignment w:val="center"/>
                    <w:rPr>
                      <w:color w:val="auto"/>
                      <w:szCs w:val="21"/>
                    </w:rPr>
                  </w:pPr>
                  <w:r>
                    <w:rPr>
                      <w:rFonts w:hint="eastAsia"/>
                      <w:color w:val="auto"/>
                      <w:szCs w:val="21"/>
                    </w:rPr>
                    <w:t>0</w:t>
                  </w:r>
                </w:p>
              </w:tc>
              <w:tc>
                <w:tcPr>
                  <w:tcW w:w="708" w:type="dxa"/>
                  <w:vAlign w:val="center"/>
                </w:tcPr>
                <w:p w14:paraId="61EFFF15">
                  <w:pPr>
                    <w:widowControl/>
                    <w:jc w:val="center"/>
                    <w:textAlignment w:val="center"/>
                    <w:rPr>
                      <w:color w:val="auto"/>
                      <w:szCs w:val="21"/>
                    </w:rPr>
                  </w:pPr>
                  <w:r>
                    <w:rPr>
                      <w:rFonts w:hint="eastAsia"/>
                      <w:color w:val="auto"/>
                      <w:szCs w:val="21"/>
                    </w:rPr>
                    <w:t>达标</w:t>
                  </w:r>
                </w:p>
              </w:tc>
            </w:tr>
            <w:tr w14:paraId="259A2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2A5FEEE2">
                  <w:pPr>
                    <w:widowControl/>
                    <w:jc w:val="center"/>
                    <w:textAlignment w:val="center"/>
                    <w:rPr>
                      <w:color w:val="auto"/>
                      <w:szCs w:val="21"/>
                    </w:rPr>
                  </w:pPr>
                </w:p>
              </w:tc>
              <w:tc>
                <w:tcPr>
                  <w:tcW w:w="551" w:type="pct"/>
                  <w:vAlign w:val="center"/>
                </w:tcPr>
                <w:p w14:paraId="3D5C0D6C">
                  <w:pPr>
                    <w:widowControl/>
                    <w:jc w:val="center"/>
                    <w:textAlignment w:val="center"/>
                    <w:rPr>
                      <w:color w:val="auto"/>
                      <w:szCs w:val="21"/>
                    </w:rPr>
                  </w:pPr>
                  <w:r>
                    <w:rPr>
                      <w:rFonts w:hint="eastAsia"/>
                      <w:color w:val="auto"/>
                      <w:szCs w:val="21"/>
                    </w:rPr>
                    <w:t>硫化氢</w:t>
                  </w:r>
                </w:p>
              </w:tc>
              <w:tc>
                <w:tcPr>
                  <w:tcW w:w="782" w:type="pct"/>
                  <w:vAlign w:val="center"/>
                </w:tcPr>
                <w:p w14:paraId="0F7BC05A">
                  <w:pPr>
                    <w:widowControl/>
                    <w:jc w:val="center"/>
                    <w:textAlignment w:val="center"/>
                    <w:rPr>
                      <w:color w:val="auto"/>
                      <w:szCs w:val="21"/>
                    </w:rPr>
                  </w:pPr>
                  <w:r>
                    <w:rPr>
                      <w:color w:val="auto"/>
                      <w:szCs w:val="21"/>
                    </w:rPr>
                    <w:t>小时</w:t>
                  </w:r>
                  <w:r>
                    <w:rPr>
                      <w:rFonts w:hint="eastAsia"/>
                      <w:color w:val="auto"/>
                      <w:szCs w:val="21"/>
                    </w:rPr>
                    <w:t>均</w:t>
                  </w:r>
                  <w:r>
                    <w:rPr>
                      <w:color w:val="auto"/>
                      <w:szCs w:val="21"/>
                    </w:rPr>
                    <w:t>值</w:t>
                  </w:r>
                </w:p>
              </w:tc>
              <w:tc>
                <w:tcPr>
                  <w:tcW w:w="718" w:type="pct"/>
                  <w:vAlign w:val="center"/>
                </w:tcPr>
                <w:p w14:paraId="198F078D">
                  <w:pPr>
                    <w:widowControl/>
                    <w:jc w:val="center"/>
                    <w:textAlignment w:val="center"/>
                    <w:rPr>
                      <w:color w:val="auto"/>
                      <w:szCs w:val="21"/>
                    </w:rPr>
                  </w:pPr>
                  <w:r>
                    <w:rPr>
                      <w:rFonts w:hint="eastAsia"/>
                      <w:color w:val="auto"/>
                      <w:szCs w:val="21"/>
                    </w:rPr>
                    <w:t>0.01</w:t>
                  </w:r>
                </w:p>
              </w:tc>
              <w:tc>
                <w:tcPr>
                  <w:tcW w:w="828" w:type="pct"/>
                  <w:vAlign w:val="center"/>
                </w:tcPr>
                <w:p w14:paraId="1F21714F">
                  <w:pPr>
                    <w:widowControl/>
                    <w:jc w:val="center"/>
                    <w:textAlignment w:val="center"/>
                    <w:rPr>
                      <w:color w:val="auto"/>
                      <w:szCs w:val="21"/>
                    </w:rPr>
                  </w:pPr>
                  <w:r>
                    <w:rPr>
                      <w:rFonts w:hint="eastAsia"/>
                      <w:color w:val="auto"/>
                      <w:szCs w:val="21"/>
                    </w:rPr>
                    <w:t>＜0.001</w:t>
                  </w:r>
                </w:p>
              </w:tc>
              <w:tc>
                <w:tcPr>
                  <w:tcW w:w="656" w:type="pct"/>
                  <w:vAlign w:val="center"/>
                </w:tcPr>
                <w:p w14:paraId="6104A94E">
                  <w:pPr>
                    <w:widowControl/>
                    <w:jc w:val="center"/>
                    <w:textAlignment w:val="center"/>
                    <w:rPr>
                      <w:color w:val="auto"/>
                      <w:szCs w:val="21"/>
                    </w:rPr>
                  </w:pPr>
                  <w:r>
                    <w:rPr>
                      <w:rFonts w:hint="eastAsia"/>
                      <w:color w:val="auto"/>
                      <w:szCs w:val="21"/>
                    </w:rPr>
                    <w:t>5.00%</w:t>
                  </w:r>
                </w:p>
              </w:tc>
              <w:tc>
                <w:tcPr>
                  <w:tcW w:w="672" w:type="dxa"/>
                  <w:vAlign w:val="center"/>
                </w:tcPr>
                <w:p w14:paraId="0AE00BBA">
                  <w:pPr>
                    <w:widowControl/>
                    <w:jc w:val="center"/>
                    <w:textAlignment w:val="center"/>
                    <w:rPr>
                      <w:color w:val="auto"/>
                      <w:szCs w:val="21"/>
                    </w:rPr>
                  </w:pPr>
                  <w:r>
                    <w:rPr>
                      <w:rFonts w:hint="eastAsia"/>
                      <w:color w:val="auto"/>
                      <w:szCs w:val="21"/>
                    </w:rPr>
                    <w:t>0</w:t>
                  </w:r>
                </w:p>
              </w:tc>
              <w:tc>
                <w:tcPr>
                  <w:tcW w:w="708" w:type="dxa"/>
                  <w:vAlign w:val="center"/>
                </w:tcPr>
                <w:p w14:paraId="502E91BF">
                  <w:pPr>
                    <w:widowControl/>
                    <w:jc w:val="center"/>
                    <w:textAlignment w:val="center"/>
                    <w:rPr>
                      <w:color w:val="auto"/>
                      <w:szCs w:val="21"/>
                    </w:rPr>
                  </w:pPr>
                  <w:r>
                    <w:rPr>
                      <w:rFonts w:hint="eastAsia"/>
                      <w:color w:val="auto"/>
                      <w:szCs w:val="21"/>
                    </w:rPr>
                    <w:t>达标</w:t>
                  </w:r>
                </w:p>
              </w:tc>
            </w:tr>
            <w:tr w14:paraId="25FD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26126CBC">
                  <w:pPr>
                    <w:widowControl/>
                    <w:jc w:val="center"/>
                    <w:textAlignment w:val="center"/>
                    <w:rPr>
                      <w:color w:val="auto"/>
                      <w:szCs w:val="21"/>
                    </w:rPr>
                  </w:pPr>
                </w:p>
              </w:tc>
              <w:tc>
                <w:tcPr>
                  <w:tcW w:w="551" w:type="pct"/>
                  <w:vAlign w:val="center"/>
                </w:tcPr>
                <w:p w14:paraId="2BE23506">
                  <w:pPr>
                    <w:widowControl/>
                    <w:jc w:val="center"/>
                    <w:textAlignment w:val="center"/>
                    <w:rPr>
                      <w:color w:val="auto"/>
                      <w:szCs w:val="21"/>
                    </w:rPr>
                  </w:pPr>
                  <w:r>
                    <w:rPr>
                      <w:rFonts w:hint="eastAsia"/>
                      <w:color w:val="auto"/>
                      <w:szCs w:val="21"/>
                    </w:rPr>
                    <w:t>非甲烷总烃</w:t>
                  </w:r>
                </w:p>
              </w:tc>
              <w:tc>
                <w:tcPr>
                  <w:tcW w:w="782" w:type="pct"/>
                  <w:vAlign w:val="center"/>
                </w:tcPr>
                <w:p w14:paraId="20190105">
                  <w:pPr>
                    <w:widowControl/>
                    <w:jc w:val="center"/>
                    <w:textAlignment w:val="center"/>
                    <w:rPr>
                      <w:color w:val="auto"/>
                      <w:szCs w:val="21"/>
                    </w:rPr>
                  </w:pPr>
                  <w:r>
                    <w:rPr>
                      <w:color w:val="auto"/>
                      <w:szCs w:val="21"/>
                    </w:rPr>
                    <w:t>小时</w:t>
                  </w:r>
                  <w:r>
                    <w:rPr>
                      <w:rFonts w:hint="eastAsia"/>
                      <w:color w:val="auto"/>
                      <w:szCs w:val="21"/>
                    </w:rPr>
                    <w:t>均</w:t>
                  </w:r>
                  <w:r>
                    <w:rPr>
                      <w:color w:val="auto"/>
                      <w:szCs w:val="21"/>
                    </w:rPr>
                    <w:t>值</w:t>
                  </w:r>
                </w:p>
              </w:tc>
              <w:tc>
                <w:tcPr>
                  <w:tcW w:w="718" w:type="pct"/>
                  <w:vAlign w:val="center"/>
                </w:tcPr>
                <w:p w14:paraId="7A48EE7C">
                  <w:pPr>
                    <w:widowControl/>
                    <w:jc w:val="center"/>
                    <w:textAlignment w:val="center"/>
                    <w:rPr>
                      <w:color w:val="auto"/>
                      <w:szCs w:val="21"/>
                    </w:rPr>
                  </w:pPr>
                  <w:r>
                    <w:rPr>
                      <w:rFonts w:hint="eastAsia"/>
                      <w:color w:val="auto"/>
                      <w:szCs w:val="21"/>
                    </w:rPr>
                    <w:t>2.0</w:t>
                  </w:r>
                </w:p>
              </w:tc>
              <w:tc>
                <w:tcPr>
                  <w:tcW w:w="828" w:type="pct"/>
                  <w:vAlign w:val="center"/>
                </w:tcPr>
                <w:p w14:paraId="5AF20ACC">
                  <w:pPr>
                    <w:widowControl/>
                    <w:jc w:val="center"/>
                    <w:textAlignment w:val="center"/>
                    <w:rPr>
                      <w:color w:val="auto"/>
                      <w:szCs w:val="21"/>
                    </w:rPr>
                  </w:pPr>
                  <w:r>
                    <w:rPr>
                      <w:rFonts w:hint="eastAsia"/>
                      <w:color w:val="auto"/>
                      <w:szCs w:val="21"/>
                    </w:rPr>
                    <w:t>1.09~1.28</w:t>
                  </w:r>
                </w:p>
              </w:tc>
              <w:tc>
                <w:tcPr>
                  <w:tcW w:w="656" w:type="pct"/>
                  <w:vAlign w:val="center"/>
                </w:tcPr>
                <w:p w14:paraId="129528C7">
                  <w:pPr>
                    <w:widowControl/>
                    <w:jc w:val="center"/>
                    <w:textAlignment w:val="center"/>
                    <w:rPr>
                      <w:color w:val="auto"/>
                      <w:szCs w:val="21"/>
                    </w:rPr>
                  </w:pPr>
                  <w:r>
                    <w:rPr>
                      <w:rFonts w:hint="eastAsia"/>
                      <w:color w:val="auto"/>
                      <w:szCs w:val="21"/>
                    </w:rPr>
                    <w:t>64.00%</w:t>
                  </w:r>
                </w:p>
              </w:tc>
              <w:tc>
                <w:tcPr>
                  <w:tcW w:w="672" w:type="dxa"/>
                  <w:vAlign w:val="center"/>
                </w:tcPr>
                <w:p w14:paraId="7F4A06A6">
                  <w:pPr>
                    <w:widowControl/>
                    <w:jc w:val="center"/>
                    <w:textAlignment w:val="center"/>
                    <w:rPr>
                      <w:color w:val="auto"/>
                      <w:szCs w:val="21"/>
                    </w:rPr>
                  </w:pPr>
                  <w:r>
                    <w:rPr>
                      <w:rFonts w:hint="eastAsia"/>
                      <w:color w:val="auto"/>
                      <w:szCs w:val="21"/>
                    </w:rPr>
                    <w:t>0</w:t>
                  </w:r>
                </w:p>
              </w:tc>
              <w:tc>
                <w:tcPr>
                  <w:tcW w:w="708" w:type="dxa"/>
                  <w:vAlign w:val="center"/>
                </w:tcPr>
                <w:p w14:paraId="55EDFC86">
                  <w:pPr>
                    <w:widowControl/>
                    <w:jc w:val="center"/>
                    <w:textAlignment w:val="center"/>
                    <w:rPr>
                      <w:color w:val="auto"/>
                      <w:szCs w:val="21"/>
                    </w:rPr>
                  </w:pPr>
                  <w:r>
                    <w:rPr>
                      <w:rFonts w:hint="eastAsia"/>
                      <w:color w:val="auto"/>
                      <w:szCs w:val="21"/>
                    </w:rPr>
                    <w:t>达标</w:t>
                  </w:r>
                </w:p>
              </w:tc>
            </w:tr>
            <w:tr w14:paraId="0567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0971850F">
                  <w:pPr>
                    <w:widowControl/>
                    <w:jc w:val="center"/>
                    <w:textAlignment w:val="center"/>
                    <w:rPr>
                      <w:color w:val="auto"/>
                      <w:szCs w:val="21"/>
                    </w:rPr>
                  </w:pPr>
                </w:p>
              </w:tc>
              <w:tc>
                <w:tcPr>
                  <w:tcW w:w="551" w:type="pct"/>
                  <w:vAlign w:val="center"/>
                </w:tcPr>
                <w:p w14:paraId="630A4D5D">
                  <w:pPr>
                    <w:widowControl/>
                    <w:jc w:val="center"/>
                    <w:textAlignment w:val="center"/>
                    <w:rPr>
                      <w:color w:val="auto"/>
                      <w:szCs w:val="21"/>
                    </w:rPr>
                  </w:pPr>
                  <w:r>
                    <w:rPr>
                      <w:rFonts w:hint="eastAsia"/>
                      <w:color w:val="auto"/>
                      <w:szCs w:val="21"/>
                    </w:rPr>
                    <w:t>总悬浮颗粒物</w:t>
                  </w:r>
                </w:p>
              </w:tc>
              <w:tc>
                <w:tcPr>
                  <w:tcW w:w="782" w:type="pct"/>
                  <w:vAlign w:val="center"/>
                </w:tcPr>
                <w:p w14:paraId="1D46DC7A">
                  <w:pPr>
                    <w:widowControl/>
                    <w:jc w:val="center"/>
                    <w:textAlignment w:val="center"/>
                    <w:rPr>
                      <w:color w:val="auto"/>
                      <w:szCs w:val="21"/>
                    </w:rPr>
                  </w:pPr>
                  <w:r>
                    <w:rPr>
                      <w:rFonts w:hint="eastAsia"/>
                      <w:color w:val="auto"/>
                      <w:szCs w:val="21"/>
                    </w:rPr>
                    <w:t>日均值</w:t>
                  </w:r>
                </w:p>
              </w:tc>
              <w:tc>
                <w:tcPr>
                  <w:tcW w:w="718" w:type="pct"/>
                  <w:vAlign w:val="center"/>
                </w:tcPr>
                <w:p w14:paraId="4284F92E">
                  <w:pPr>
                    <w:widowControl/>
                    <w:jc w:val="center"/>
                    <w:textAlignment w:val="center"/>
                    <w:rPr>
                      <w:color w:val="auto"/>
                      <w:szCs w:val="21"/>
                    </w:rPr>
                  </w:pPr>
                  <w:r>
                    <w:rPr>
                      <w:rFonts w:hint="eastAsia"/>
                      <w:color w:val="auto"/>
                      <w:szCs w:val="21"/>
                    </w:rPr>
                    <w:t>0.3</w:t>
                  </w:r>
                </w:p>
              </w:tc>
              <w:tc>
                <w:tcPr>
                  <w:tcW w:w="828" w:type="pct"/>
                  <w:vAlign w:val="center"/>
                </w:tcPr>
                <w:p w14:paraId="025830C8">
                  <w:pPr>
                    <w:widowControl/>
                    <w:jc w:val="center"/>
                    <w:textAlignment w:val="center"/>
                    <w:rPr>
                      <w:color w:val="auto"/>
                      <w:szCs w:val="21"/>
                    </w:rPr>
                  </w:pPr>
                  <w:r>
                    <w:rPr>
                      <w:rFonts w:hint="eastAsia"/>
                      <w:color w:val="auto"/>
                      <w:szCs w:val="21"/>
                    </w:rPr>
                    <w:t>0.040~0.081</w:t>
                  </w:r>
                </w:p>
              </w:tc>
              <w:tc>
                <w:tcPr>
                  <w:tcW w:w="656" w:type="pct"/>
                  <w:vAlign w:val="center"/>
                </w:tcPr>
                <w:p w14:paraId="0C541EAF">
                  <w:pPr>
                    <w:widowControl/>
                    <w:jc w:val="center"/>
                    <w:textAlignment w:val="center"/>
                    <w:rPr>
                      <w:color w:val="auto"/>
                      <w:szCs w:val="21"/>
                    </w:rPr>
                  </w:pPr>
                  <w:r>
                    <w:rPr>
                      <w:rFonts w:hint="eastAsia"/>
                      <w:color w:val="auto"/>
                      <w:szCs w:val="21"/>
                    </w:rPr>
                    <w:t>27.00%</w:t>
                  </w:r>
                </w:p>
              </w:tc>
              <w:tc>
                <w:tcPr>
                  <w:tcW w:w="672" w:type="dxa"/>
                  <w:vAlign w:val="center"/>
                </w:tcPr>
                <w:p w14:paraId="1229D1A2">
                  <w:pPr>
                    <w:widowControl/>
                    <w:jc w:val="center"/>
                    <w:textAlignment w:val="center"/>
                    <w:rPr>
                      <w:color w:val="auto"/>
                      <w:szCs w:val="21"/>
                    </w:rPr>
                  </w:pPr>
                  <w:r>
                    <w:rPr>
                      <w:rFonts w:hint="eastAsia"/>
                      <w:color w:val="auto"/>
                      <w:szCs w:val="21"/>
                    </w:rPr>
                    <w:t>0</w:t>
                  </w:r>
                </w:p>
              </w:tc>
              <w:tc>
                <w:tcPr>
                  <w:tcW w:w="708" w:type="dxa"/>
                  <w:vAlign w:val="center"/>
                </w:tcPr>
                <w:p w14:paraId="695BE4D8">
                  <w:pPr>
                    <w:widowControl/>
                    <w:jc w:val="center"/>
                    <w:textAlignment w:val="center"/>
                    <w:rPr>
                      <w:color w:val="auto"/>
                      <w:szCs w:val="21"/>
                    </w:rPr>
                  </w:pPr>
                  <w:r>
                    <w:rPr>
                      <w:rFonts w:hint="eastAsia"/>
                      <w:color w:val="auto"/>
                      <w:szCs w:val="21"/>
                    </w:rPr>
                    <w:t>达标</w:t>
                  </w:r>
                </w:p>
              </w:tc>
            </w:tr>
            <w:tr w14:paraId="7235C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Merge w:val="continue"/>
                  <w:vAlign w:val="center"/>
                </w:tcPr>
                <w:p w14:paraId="5F961A25">
                  <w:pPr>
                    <w:widowControl/>
                    <w:jc w:val="center"/>
                    <w:textAlignment w:val="center"/>
                    <w:rPr>
                      <w:color w:val="auto"/>
                      <w:szCs w:val="21"/>
                    </w:rPr>
                  </w:pPr>
                </w:p>
              </w:tc>
              <w:tc>
                <w:tcPr>
                  <w:tcW w:w="551" w:type="pct"/>
                  <w:vAlign w:val="center"/>
                </w:tcPr>
                <w:p w14:paraId="1C75DCD4">
                  <w:pPr>
                    <w:widowControl/>
                    <w:jc w:val="center"/>
                    <w:textAlignment w:val="center"/>
                    <w:rPr>
                      <w:color w:val="auto"/>
                      <w:szCs w:val="21"/>
                    </w:rPr>
                  </w:pPr>
                  <w:r>
                    <w:rPr>
                      <w:color w:val="auto"/>
                      <w:szCs w:val="21"/>
                    </w:rPr>
                    <w:t>TVOC</w:t>
                  </w:r>
                </w:p>
              </w:tc>
              <w:tc>
                <w:tcPr>
                  <w:tcW w:w="782" w:type="pct"/>
                  <w:vAlign w:val="center"/>
                </w:tcPr>
                <w:p w14:paraId="70A56D41">
                  <w:pPr>
                    <w:widowControl/>
                    <w:jc w:val="center"/>
                    <w:textAlignment w:val="center"/>
                    <w:rPr>
                      <w:color w:val="auto"/>
                      <w:szCs w:val="21"/>
                    </w:rPr>
                  </w:pPr>
                  <w:r>
                    <w:rPr>
                      <w:color w:val="auto"/>
                      <w:szCs w:val="21"/>
                    </w:rPr>
                    <w:t>8小时均值</w:t>
                  </w:r>
                </w:p>
              </w:tc>
              <w:tc>
                <w:tcPr>
                  <w:tcW w:w="718" w:type="pct"/>
                  <w:vAlign w:val="center"/>
                </w:tcPr>
                <w:p w14:paraId="155D5851">
                  <w:pPr>
                    <w:widowControl/>
                    <w:jc w:val="center"/>
                    <w:textAlignment w:val="center"/>
                    <w:rPr>
                      <w:color w:val="auto"/>
                      <w:szCs w:val="21"/>
                    </w:rPr>
                  </w:pPr>
                  <w:r>
                    <w:rPr>
                      <w:rFonts w:hint="eastAsia"/>
                      <w:color w:val="auto"/>
                      <w:szCs w:val="21"/>
                    </w:rPr>
                    <w:t>0.6</w:t>
                  </w:r>
                </w:p>
              </w:tc>
              <w:tc>
                <w:tcPr>
                  <w:tcW w:w="828" w:type="pct"/>
                  <w:vAlign w:val="center"/>
                </w:tcPr>
                <w:p w14:paraId="3911DF16">
                  <w:pPr>
                    <w:widowControl/>
                    <w:jc w:val="center"/>
                    <w:textAlignment w:val="center"/>
                    <w:rPr>
                      <w:color w:val="auto"/>
                      <w:szCs w:val="21"/>
                    </w:rPr>
                  </w:pPr>
                  <w:r>
                    <w:rPr>
                      <w:rFonts w:hint="eastAsia"/>
                      <w:color w:val="auto"/>
                      <w:szCs w:val="21"/>
                    </w:rPr>
                    <w:t>0.0547~0.0695</w:t>
                  </w:r>
                </w:p>
              </w:tc>
              <w:tc>
                <w:tcPr>
                  <w:tcW w:w="656" w:type="pct"/>
                  <w:vAlign w:val="center"/>
                </w:tcPr>
                <w:p w14:paraId="7DA829A7">
                  <w:pPr>
                    <w:widowControl/>
                    <w:jc w:val="center"/>
                    <w:textAlignment w:val="center"/>
                    <w:rPr>
                      <w:color w:val="auto"/>
                      <w:szCs w:val="21"/>
                    </w:rPr>
                  </w:pPr>
                  <w:r>
                    <w:rPr>
                      <w:rFonts w:hint="eastAsia"/>
                      <w:color w:val="auto"/>
                      <w:szCs w:val="21"/>
                    </w:rPr>
                    <w:t>11.58%</w:t>
                  </w:r>
                </w:p>
              </w:tc>
              <w:tc>
                <w:tcPr>
                  <w:tcW w:w="672" w:type="dxa"/>
                  <w:vAlign w:val="center"/>
                </w:tcPr>
                <w:p w14:paraId="3752E3A1">
                  <w:pPr>
                    <w:widowControl/>
                    <w:jc w:val="center"/>
                    <w:textAlignment w:val="center"/>
                    <w:rPr>
                      <w:color w:val="auto"/>
                      <w:szCs w:val="21"/>
                    </w:rPr>
                  </w:pPr>
                  <w:r>
                    <w:rPr>
                      <w:rFonts w:hint="eastAsia"/>
                      <w:color w:val="auto"/>
                      <w:szCs w:val="21"/>
                    </w:rPr>
                    <w:t>0</w:t>
                  </w:r>
                </w:p>
              </w:tc>
              <w:tc>
                <w:tcPr>
                  <w:tcW w:w="708" w:type="dxa"/>
                  <w:vAlign w:val="center"/>
                </w:tcPr>
                <w:p w14:paraId="01F369FD">
                  <w:pPr>
                    <w:widowControl/>
                    <w:jc w:val="center"/>
                    <w:textAlignment w:val="center"/>
                    <w:rPr>
                      <w:color w:val="auto"/>
                      <w:szCs w:val="21"/>
                    </w:rPr>
                  </w:pPr>
                  <w:r>
                    <w:rPr>
                      <w:rFonts w:hint="eastAsia"/>
                      <w:color w:val="auto"/>
                      <w:szCs w:val="21"/>
                    </w:rPr>
                    <w:t>达标</w:t>
                  </w:r>
                </w:p>
              </w:tc>
            </w:tr>
          </w:tbl>
          <w:p w14:paraId="135B028C">
            <w:pPr>
              <w:pStyle w:val="2"/>
              <w:rPr>
                <w:b/>
                <w:bCs/>
                <w:color w:val="auto"/>
                <w:sz w:val="24"/>
                <w:szCs w:val="24"/>
                <w:lang w:bidi="ar"/>
              </w:rPr>
            </w:pPr>
          </w:p>
          <w:p w14:paraId="257D7560">
            <w:pPr>
              <w:adjustRightInd w:val="0"/>
              <w:snapToGrid w:val="0"/>
              <w:spacing w:line="360" w:lineRule="auto"/>
              <w:jc w:val="center"/>
              <w:rPr>
                <w:color w:val="auto"/>
                <w:sz w:val="24"/>
              </w:rPr>
            </w:pPr>
            <w:r>
              <w:rPr>
                <w:color w:val="auto"/>
              </w:rPr>
              <mc:AlternateContent>
                <mc:Choice Requires="wps">
                  <w:drawing>
                    <wp:anchor distT="0" distB="0" distL="114300" distR="114300" simplePos="0" relativeHeight="251668480" behindDoc="0" locked="0" layoutInCell="1" allowOverlap="1">
                      <wp:simplePos x="0" y="0"/>
                      <wp:positionH relativeFrom="column">
                        <wp:posOffset>4812030</wp:posOffset>
                      </wp:positionH>
                      <wp:positionV relativeFrom="paragraph">
                        <wp:posOffset>5080</wp:posOffset>
                      </wp:positionV>
                      <wp:extent cx="632460" cy="619125"/>
                      <wp:effectExtent l="5080" t="4445" r="10160" b="11430"/>
                      <wp:wrapNone/>
                      <wp:docPr id="103" name="矩形 103" descr="博罗风玫瑰图"/>
                      <wp:cNvGraphicFramePr/>
                      <a:graphic xmlns:a="http://schemas.openxmlformats.org/drawingml/2006/main">
                        <a:graphicData uri="http://schemas.microsoft.com/office/word/2010/wordprocessingShape">
                          <wps:wsp>
                            <wps:cNvSpPr/>
                            <wps:spPr>
                              <a:xfrm>
                                <a:off x="0" y="0"/>
                                <a:ext cx="632460" cy="619125"/>
                              </a:xfrm>
                              <a:prstGeom prst="rect">
                                <a:avLst/>
                              </a:prstGeom>
                              <a:blipFill rotWithShape="0">
                                <a:blip r:embed="rId31"/>
                                <a:stretch>
                                  <a:fillRect/>
                                </a:stretch>
                              </a:blip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alt="博罗风玫瑰图" style="position:absolute;left:0pt;margin-left:378.9pt;margin-top:0.4pt;height:48.75pt;width:49.8pt;z-index:251668480;mso-width-relative:page;mso-height-relative:page;" filled="t" stroked="t" coordsize="21600,21600" o:gfxdata="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KomDr62&#10;AAAAIQEAABkAAABkcnMvX3JlbHMvZTJvRG9jLnhtbC5yZWxzhY9BasMwEEX3hdxBzD6WnUUoxbI3&#10;oeBtSA4wSGNZxBoJSS317SPIJoFAl/M//z2mH//8Kn4pZRdYQde0IIh1MI6tguvle/8JIhdkg2tg&#10;UrBRhnHYffRnWrHUUV5czKJSOCtYSolfUma9kMfchEhcmzkkj6WeycqI+oaW5KFtjzI9M2B4YYrJ&#10;KEiT6UBctljN/7PDPDtNp6B/PHF5o5DOV3cFYrJUFHgyDh9h10S2IIdevjw23AF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">
                      <v:fill type="frame" on="t" o:title="博罗风玫瑰图" focussize="0,0" recolor="t" r:id="rId31"/>
                      <v:stroke color="#000000" joinstyle="miter"/>
                      <v:imagedata o:title=""/>
                      <o:lock v:ext="edit" aspectratio="f"/>
                    </v:rect>
                  </w:pict>
                </mc:Fallback>
              </mc:AlternateContent>
            </w:r>
            <w:r>
              <w:rPr>
                <w:color w:val="auto"/>
              </w:rPr>
              <mc:AlternateContent>
                <mc:Choice Requires="wps">
                  <w:drawing>
                    <wp:anchor distT="0" distB="0" distL="114300" distR="114300" simplePos="0" relativeHeight="251662336" behindDoc="0" locked="0" layoutInCell="1" allowOverlap="1">
                      <wp:simplePos x="0" y="0"/>
                      <wp:positionH relativeFrom="column">
                        <wp:posOffset>2339975</wp:posOffset>
                      </wp:positionH>
                      <wp:positionV relativeFrom="paragraph">
                        <wp:posOffset>956310</wp:posOffset>
                      </wp:positionV>
                      <wp:extent cx="876300" cy="299085"/>
                      <wp:effectExtent l="0" t="0" r="0" b="0"/>
                      <wp:wrapNone/>
                      <wp:docPr id="274" name="文本框 1244"/>
                      <wp:cNvGraphicFramePr/>
                      <a:graphic xmlns:a="http://schemas.openxmlformats.org/drawingml/2006/main">
                        <a:graphicData uri="http://schemas.microsoft.com/office/word/2010/wordprocessingShape">
                          <wps:wsp>
                            <wps:cNvSpPr txBox="1"/>
                            <wps:spPr>
                              <a:xfrm>
                                <a:off x="0" y="0"/>
                                <a:ext cx="876300" cy="299085"/>
                              </a:xfrm>
                              <a:prstGeom prst="rect">
                                <a:avLst/>
                              </a:prstGeom>
                              <a:noFill/>
                              <a:ln>
                                <a:noFill/>
                              </a:ln>
                            </wps:spPr>
                            <wps:txbx>
                              <w:txbxContent>
                                <w:p w14:paraId="5BA9B5F3">
                                  <w:pPr>
                                    <w:rPr>
                                      <w:b/>
                                      <w:bCs/>
                                      <w:color w:val="FF0000"/>
                                      <w:sz w:val="28"/>
                                      <w:szCs w:val="28"/>
                                    </w:rPr>
                                  </w:pPr>
                                  <w:r>
                                    <w:rPr>
                                      <w:rFonts w:hint="eastAsia"/>
                                      <w:b/>
                                      <w:bCs/>
                                      <w:color w:val="FF0000"/>
                                      <w:sz w:val="28"/>
                                      <w:szCs w:val="28"/>
                                    </w:rPr>
                                    <w:t>2.59km</w:t>
                                  </w:r>
                                </w:p>
                              </w:txbxContent>
                            </wps:txbx>
                            <wps:bodyPr wrap="square" upright="1"/>
                          </wps:wsp>
                        </a:graphicData>
                      </a:graphic>
                    </wp:anchor>
                  </w:drawing>
                </mc:Choice>
                <mc:Fallback>
                  <w:pict>
                    <v:shape id="文本框 1244" o:spid="_x0000_s1026" o:spt="202" type="#_x0000_t202" style="position:absolute;left:0pt;margin-left:184.25pt;margin-top:75.3pt;height:23.55pt;width:69pt;z-index:251662336;mso-width-relative:page;mso-height-relative:page;" filled="f" stroked="f" coordsize="21600,21600" o:gfxdata="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D7dUfXAAAACwEAAA8AAAAAAAAAAQAgAAAAIgAAAGRycy9kb3ducmV2LnhtbFBLAQIU&#10;ABQAAAAIAIdO4kBzhobmuwEAAGADAAAOAAAAAAAAAAEAIAAAACYBAABkcnMvZTJvRG9jLnhtbFBL&#10;BQYAAAAABgAGAFkBAABTBQAAAAA=&#10;">
                      <v:fill on="f" focussize="0,0"/>
                      <v:stroke on="f"/>
                      <v:imagedata o:title=""/>
                      <o:lock v:ext="edit" aspectratio="f"/>
                      <v:textbox>
                        <w:txbxContent>
                          <w:p w14:paraId="5BA9B5F3">
                            <w:pPr>
                              <w:rPr>
                                <w:b/>
                                <w:bCs/>
                                <w:color w:val="FF0000"/>
                                <w:sz w:val="28"/>
                                <w:szCs w:val="28"/>
                              </w:rPr>
                            </w:pPr>
                            <w:r>
                              <w:rPr>
                                <w:rFonts w:hint="eastAsia"/>
                                <w:b/>
                                <w:bCs/>
                                <w:color w:val="FF0000"/>
                                <w:sz w:val="28"/>
                                <w:szCs w:val="28"/>
                              </w:rPr>
                              <w:t>2.59km</w:t>
                            </w:r>
                          </w:p>
                        </w:txbxContent>
                      </v:textbox>
                    </v:shape>
                  </w:pict>
                </mc:Fallback>
              </mc:AlternateContent>
            </w:r>
            <w:r>
              <w:rPr>
                <w:color w:val="auto"/>
              </w:rPr>
              <mc:AlternateContent>
                <mc:Choice Requires="wps">
                  <w:drawing>
                    <wp:anchor distT="0" distB="0" distL="114300" distR="114300" simplePos="0" relativeHeight="251661312" behindDoc="0" locked="0" layoutInCell="1" allowOverlap="1">
                      <wp:simplePos x="0" y="0"/>
                      <wp:positionH relativeFrom="column">
                        <wp:posOffset>1729740</wp:posOffset>
                      </wp:positionH>
                      <wp:positionV relativeFrom="paragraph">
                        <wp:posOffset>774700</wp:posOffset>
                      </wp:positionV>
                      <wp:extent cx="1759585" cy="960120"/>
                      <wp:effectExtent l="0" t="0" r="5715" b="5080"/>
                      <wp:wrapNone/>
                      <wp:docPr id="11" name="直接箭头连接符 11"/>
                      <wp:cNvGraphicFramePr/>
                      <a:graphic xmlns:a="http://schemas.openxmlformats.org/drawingml/2006/main">
                        <a:graphicData uri="http://schemas.microsoft.com/office/word/2010/wordprocessingShape">
                          <wps:wsp>
                            <wps:cNvCnPr/>
                            <wps:spPr>
                              <a:xfrm>
                                <a:off x="2826385" y="4228465"/>
                                <a:ext cx="1759585" cy="960120"/>
                              </a:xfrm>
                              <a:prstGeom prst="straightConnector1">
                                <a:avLst/>
                              </a:prstGeom>
                              <a:ln w="19050">
                                <a:solidFill>
                                  <a:schemeClr val="tx1"/>
                                </a:solidFill>
                                <a:headEnd type="triangle"/>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36.2pt;margin-top:61pt;height:75.6pt;width:138.55pt;z-index:251661312;mso-width-relative:page;mso-height-relative:page;" filled="f" stroked="t" coordsize="21600,21600" o:gfxdata="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IZcuHZAAAACwEAAA8A&#10;AAAAAAAAAQAgAAAAIgAAAGRycy9kb3ducmV2LnhtbFBLAQIUABQAAAAIAIdO4kBNpf5tFgIAAPoD&#10;AAAOAAAAAAAAAAEAIAAAACgBAABkcnMvZTJvRG9jLnhtbFBLBQYAAAAABgAGAFkBAACwBQAAAAA=&#10;">
                      <v:fill on="f" focussize="0,0"/>
                      <v:stroke weight="1.5pt" color="#000000 [3213]" joinstyle="round" startarrow="block" endarrow="block"/>
                      <v:imagedata o:title=""/>
                      <o:lock v:ext="edit" aspectratio="f"/>
                    </v:shape>
                  </w:pict>
                </mc:Fallback>
              </mc:AlternateContent>
            </w:r>
            <w:r>
              <w:rPr>
                <w:color w:val="auto"/>
                <w:sz w:val="24"/>
              </w:rPr>
              <mc:AlternateContent>
                <mc:Choice Requires="wpg">
                  <w:drawing>
                    <wp:anchor distT="0" distB="0" distL="114300" distR="114300" simplePos="0" relativeHeight="251659264" behindDoc="0" locked="0" layoutInCell="1" allowOverlap="1">
                      <wp:simplePos x="0" y="0"/>
                      <wp:positionH relativeFrom="column">
                        <wp:posOffset>3479165</wp:posOffset>
                      </wp:positionH>
                      <wp:positionV relativeFrom="paragraph">
                        <wp:posOffset>1686560</wp:posOffset>
                      </wp:positionV>
                      <wp:extent cx="1473835" cy="457200"/>
                      <wp:effectExtent l="6350" t="0" r="0" b="0"/>
                      <wp:wrapNone/>
                      <wp:docPr id="6" name="组合 6"/>
                      <wp:cNvGraphicFramePr/>
                      <a:graphic xmlns:a="http://schemas.openxmlformats.org/drawingml/2006/main">
                        <a:graphicData uri="http://schemas.microsoft.com/office/word/2010/wordprocessingGroup">
                          <wpg:wgp>
                            <wpg:cNvGrpSpPr/>
                            <wpg:grpSpPr>
                              <a:xfrm>
                                <a:off x="0" y="0"/>
                                <a:ext cx="1473835" cy="457200"/>
                                <a:chOff x="9690" y="21583"/>
                                <a:chExt cx="2321" cy="720"/>
                              </a:xfrm>
                            </wpg:grpSpPr>
                            <wps:wsp>
                              <wps:cNvPr id="7" name="矩形 3"/>
                              <wps:cNvSpPr/>
                              <wps:spPr>
                                <a:xfrm>
                                  <a:off x="9907" y="21583"/>
                                  <a:ext cx="2104" cy="7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C04A18">
                                    <w:pPr>
                                      <w:rPr>
                                        <w:b/>
                                        <w:bCs/>
                                        <w:color w:val="00B0F0"/>
                                      </w:rPr>
                                    </w:pPr>
                                    <w:r>
                                      <w:rPr>
                                        <w:rFonts w:hint="eastAsia"/>
                                        <w:szCs w:val="21"/>
                                      </w:rPr>
                                      <w:t>惠州天为资源再生有限公司东南侧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 name="椭圆 15"/>
                              <wps:cNvSpPr/>
                              <wps:spPr>
                                <a:xfrm>
                                  <a:off x="9690" y="21622"/>
                                  <a:ext cx="125" cy="123"/>
                                </a:xfrm>
                                <a:prstGeom prst="ellipse">
                                  <a:avLst/>
                                </a:prstGeom>
                                <a:solidFill>
                                  <a:srgbClr val="00B0F0"/>
                                </a:solidFill>
                                <a:ln w="12700" cmpd="sng">
                                  <a:solidFill>
                                    <a:srgbClr val="00B0F0"/>
                                  </a:solidFill>
                                  <a:prstDash val="solid"/>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73.95pt;margin-top:132.8pt;height:36pt;width:116.05pt;z-index:251659264;mso-width-relative:page;mso-height-relative:page;" coordorigin="9690,21583" coordsize="2321,720" o:gfxdata="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KVIqNvcAAAACwEAAA8A&#10;AAAAAAAAAQAgAAAAIgAAAGRycy9kb3ducmV2LnhtbFBLAQIUABQAAAAIAIdO4kCaVBB8MAMAAMoI&#10;AAAOAAAAAAAAAAEAIAAAACsBAABkcnMvZTJvRG9jLnhtbFBLBQYAAAAABgAGAFkBAADNBgAAAAA=&#10;">
                      <o:lock v:ext="edit" aspectratio="f"/>
                      <v:rect id="矩形 3" o:spid="_x0000_s1026" o:spt="1" style="position:absolute;left:9907;top:21583;height:720;width:2104;v-text-anchor:middle;" filled="f" stroked="f" coordsize="21600,21600" o:gfxdata="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ZcPt7sAAADa&#10;AAAADwAAAAAAAAABACAAAAAiAAAAZHJzL2Rvd25yZXYueG1sUEsBAhQAFAAAAAgAh07iQDMvBZ47&#10;AAAAOQAAABAAAAAAAAAAAQAgAAAACgEAAGRycy9zaGFwZXhtbC54bWxQSwUGAAAAAAYABgBbAQAA&#10;tAMAAAAA&#10;">
                        <v:fill on="f" focussize="0,0"/>
                        <v:stroke on="f" weight="2pt"/>
                        <v:imagedata o:title=""/>
                        <o:lock v:ext="edit" aspectratio="f"/>
                        <v:textbox>
                          <w:txbxContent>
                            <w:p w14:paraId="1EC04A18">
                              <w:pPr>
                                <w:rPr>
                                  <w:b/>
                                  <w:bCs/>
                                  <w:color w:val="00B0F0"/>
                                </w:rPr>
                              </w:pPr>
                              <w:r>
                                <w:rPr>
                                  <w:rFonts w:hint="eastAsia"/>
                                  <w:szCs w:val="21"/>
                                </w:rPr>
                                <w:t>惠州天为资源再生有限公司东南侧</w:t>
                              </w:r>
                            </w:p>
                          </w:txbxContent>
                        </v:textbox>
                      </v:rect>
                      <v:shape id="椭圆 15" o:spid="_x0000_s1026" o:spt="3" type="#_x0000_t3" style="position:absolute;left:9690;top:21622;height:123;width:125;v-text-anchor:middle;" fillcolor="#00B0F0" filled="t" stroked="t" coordsize="21600,21600" o:gfxdata="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6PJlirgAAADaAAAA&#10;DwAAAAAAAAABACAAAAAiAAAAZHJzL2Rvd25yZXYueG1sUEsBAhQAFAAAAAgAh07iQDMvBZ47AAAA&#10;OQAAABAAAAAAAAAAAQAgAAAABwEAAGRycy9zaGFwZXhtbC54bWxQSwUGAAAAAAYABgBbAQAAsQMA&#10;AAAA&#10;">
                        <v:fill on="t" focussize="0,0"/>
                        <v:stroke weight="1pt" color="#00B0F0 [2404]" joinstyle="round"/>
                        <v:imagedata o:title=""/>
                        <o:lock v:ext="edit" aspectratio="f"/>
                      </v:shape>
                    </v:group>
                  </w:pict>
                </mc:Fallback>
              </mc:AlternateContent>
            </w:r>
            <w:r>
              <w:rPr>
                <w:color w:val="auto"/>
              </w:rPr>
              <mc:AlternateContent>
                <mc:Choice Requires="wps">
                  <w:drawing>
                    <wp:anchor distT="0" distB="0" distL="114300" distR="114300" simplePos="0" relativeHeight="251667456" behindDoc="0" locked="0" layoutInCell="1" allowOverlap="1">
                      <wp:simplePos x="0" y="0"/>
                      <wp:positionH relativeFrom="column">
                        <wp:posOffset>3512185</wp:posOffset>
                      </wp:positionH>
                      <wp:positionV relativeFrom="paragraph">
                        <wp:posOffset>1111250</wp:posOffset>
                      </wp:positionV>
                      <wp:extent cx="782320" cy="276225"/>
                      <wp:effectExtent l="4445" t="4445" r="13335" b="354330"/>
                      <wp:wrapNone/>
                      <wp:docPr id="80" name="矩形标注 80"/>
                      <wp:cNvGraphicFramePr/>
                      <a:graphic xmlns:a="http://schemas.openxmlformats.org/drawingml/2006/main">
                        <a:graphicData uri="http://schemas.microsoft.com/office/word/2010/wordprocessingShape">
                          <wps:wsp>
                            <wps:cNvSpPr>
                              <a:spLocks noChangeArrowheads="1"/>
                            </wps:cNvSpPr>
                            <wps:spPr bwMode="auto">
                              <a:xfrm>
                                <a:off x="0" y="0"/>
                                <a:ext cx="782320" cy="276225"/>
                              </a:xfrm>
                              <a:prstGeom prst="wedgeRectCallout">
                                <a:avLst>
                                  <a:gd name="adj1" fmla="val -47808"/>
                                  <a:gd name="adj2" fmla="val 168160"/>
                                </a:avLst>
                              </a:prstGeom>
                              <a:solidFill>
                                <a:srgbClr val="FFFFFF"/>
                              </a:solidFill>
                              <a:ln w="9525" cmpd="sng">
                                <a:solidFill>
                                  <a:srgbClr val="000000"/>
                                </a:solidFill>
                                <a:miter lim="800000"/>
                              </a:ln>
                            </wps:spPr>
                            <wps:txbx>
                              <w:txbxContent>
                                <w:p w14:paraId="2C572C2D">
                                  <w:pPr>
                                    <w:jc w:val="center"/>
                                    <w:rPr>
                                      <w:rFonts w:hint="eastAsia" w:ascii="宋体" w:hAnsi="宋体"/>
                                      <w:b/>
                                      <w:bCs/>
                                    </w:rPr>
                                  </w:pPr>
                                  <w:r>
                                    <w:rPr>
                                      <w:rFonts w:hint="eastAsia" w:ascii="宋体" w:hAnsi="宋体"/>
                                      <w:b/>
                                      <w:bCs/>
                                    </w:rPr>
                                    <w:t>引用点位</w:t>
                                  </w:r>
                                </w:p>
                              </w:txbxContent>
                            </wps:txbx>
                            <wps:bodyPr rot="0" vert="horz" wrap="square" lIns="91440" tIns="45720" rIns="91440" bIns="45720" anchor="t" anchorCtr="0" upright="1">
                              <a:noAutofit/>
                            </wps:bodyPr>
                          </wps:wsp>
                        </a:graphicData>
                      </a:graphic>
                    </wp:anchor>
                  </w:drawing>
                </mc:Choice>
                <mc:Fallback>
                  <w:pict>
                    <v:shape id="_x0000_s1026" o:spid="_x0000_s1026" o:spt="61" type="#_x0000_t61" style="position:absolute;left:0pt;margin-left:276.55pt;margin-top:87.5pt;height:21.75pt;width:61.6pt;z-index:251667456;mso-width-relative:page;mso-height-relative:page;" fillcolor="#FFFFFF" filled="t" stroked="t" coordsize="21600,21600" o:gfxdata="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MYYbBPbAAAACwEAAA8AAAAAAAAAAQAgAAAAIgAAAGRy&#10;cy9kb3ducmV2LnhtbFBLAQIUABQAAAAIAIdO4kCIM1BWdAIAAOsEAAAOAAAAAAAAAAEAIAAAACoB&#10;AABkcnMvZTJvRG9jLnhtbFBLBQYAAAAABgAGAFkBAAAQBgAAAAA=&#10;" adj="473,47123">
                      <v:fill on="t" focussize="0,0"/>
                      <v:stroke color="#000000" miterlimit="8" joinstyle="miter"/>
                      <v:imagedata o:title=""/>
                      <o:lock v:ext="edit" aspectratio="f"/>
                      <v:textbox>
                        <w:txbxContent>
                          <w:p w14:paraId="2C572C2D">
                            <w:pPr>
                              <w:jc w:val="center"/>
                              <w:rPr>
                                <w:rFonts w:hint="eastAsia" w:ascii="宋体" w:hAnsi="宋体"/>
                                <w:b/>
                                <w:bCs/>
                              </w:rPr>
                            </w:pPr>
                            <w:r>
                              <w:rPr>
                                <w:rFonts w:hint="eastAsia" w:ascii="宋体" w:hAnsi="宋体"/>
                                <w:b/>
                                <w:bCs/>
                              </w:rPr>
                              <w:t>引用点位</w:t>
                            </w:r>
                          </w:p>
                        </w:txbxContent>
                      </v:textbox>
                    </v:shape>
                  </w:pict>
                </mc:Fallback>
              </mc:AlternateContent>
            </w:r>
            <w:r>
              <w:rPr>
                <w:color w:val="auto"/>
              </w:rPr>
              <mc:AlternateContent>
                <mc:Choice Requires="wps">
                  <w:drawing>
                    <wp:anchor distT="0" distB="0" distL="114300" distR="114300" simplePos="0" relativeHeight="251660288" behindDoc="0" locked="0" layoutInCell="1" allowOverlap="1">
                      <wp:simplePos x="0" y="0"/>
                      <wp:positionH relativeFrom="column">
                        <wp:posOffset>661670</wp:posOffset>
                      </wp:positionH>
                      <wp:positionV relativeFrom="paragraph">
                        <wp:posOffset>893445</wp:posOffset>
                      </wp:positionV>
                      <wp:extent cx="866775" cy="276225"/>
                      <wp:effectExtent l="4445" t="123825" r="233680" b="6350"/>
                      <wp:wrapNone/>
                      <wp:docPr id="302" name="矩形标注 302"/>
                      <wp:cNvGraphicFramePr/>
                      <a:graphic xmlns:a="http://schemas.openxmlformats.org/drawingml/2006/main">
                        <a:graphicData uri="http://schemas.microsoft.com/office/word/2010/wordprocessingShape">
                          <wps:wsp>
                            <wps:cNvSpPr>
                              <a:spLocks noChangeArrowheads="1"/>
                            </wps:cNvSpPr>
                            <wps:spPr bwMode="auto">
                              <a:xfrm>
                                <a:off x="0" y="0"/>
                                <a:ext cx="866775" cy="276225"/>
                              </a:xfrm>
                              <a:prstGeom prst="wedgeRectCallout">
                                <a:avLst>
                                  <a:gd name="adj1" fmla="val 71831"/>
                                  <a:gd name="adj2" fmla="val -90459"/>
                                </a:avLst>
                              </a:prstGeom>
                              <a:solidFill>
                                <a:srgbClr val="FFFFFF"/>
                              </a:solidFill>
                              <a:ln w="9525" cmpd="sng">
                                <a:solidFill>
                                  <a:srgbClr val="000000"/>
                                </a:solidFill>
                                <a:miter lim="800000"/>
                              </a:ln>
                            </wps:spPr>
                            <wps:txbx>
                              <w:txbxContent>
                                <w:p w14:paraId="5562D8A4">
                                  <w:pPr>
                                    <w:rPr>
                                      <w:rFonts w:hint="eastAsia" w:ascii="宋体" w:hAnsi="宋体"/>
                                      <w:b/>
                                      <w:bCs/>
                                    </w:rPr>
                                  </w:pPr>
                                  <w:r>
                                    <w:rPr>
                                      <w:rFonts w:hint="eastAsia" w:ascii="宋体" w:hAnsi="宋体"/>
                                      <w:b/>
                                      <w:bCs/>
                                    </w:rPr>
                                    <w:t>项目所在地</w:t>
                                  </w:r>
                                </w:p>
                              </w:txbxContent>
                            </wps:txbx>
                            <wps:bodyPr rot="0" vert="horz" wrap="square" lIns="91440" tIns="45720" rIns="91440" bIns="45720" anchor="t" anchorCtr="0" upright="1">
                              <a:noAutofit/>
                            </wps:bodyPr>
                          </wps:wsp>
                        </a:graphicData>
                      </a:graphic>
                    </wp:anchor>
                  </w:drawing>
                </mc:Choice>
                <mc:Fallback>
                  <w:pict>
                    <v:shape id="_x0000_s1026" o:spid="_x0000_s1026" o:spt="61" type="#_x0000_t61" style="position:absolute;left:0pt;margin-left:52.1pt;margin-top:70.35pt;height:21.75pt;width:68.25pt;z-index:251660288;mso-width-relative:page;mso-height-relative:page;" fillcolor="#FFFFFF" filled="t" stroked="t" coordsize="21600,21600" o:gfxdata="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UKlBb1QAAAAsBAAAPAAAAAAAAAAEAIAAAACIAAABkcnMvZG93&#10;bnJldi54bWxQSwECFAAUAAAACACHTuJAu2nerHUCAADsBAAADgAAAAAAAAABACAAAAAkAQAAZHJz&#10;L2Uyb0RvYy54bWxQSwUGAAAAAAYABgBZAQAACwYAAAAA&#10;" adj="26315,-8739">
                      <v:fill on="t" focussize="0,0"/>
                      <v:stroke color="#000000" miterlimit="8" joinstyle="miter"/>
                      <v:imagedata o:title=""/>
                      <o:lock v:ext="edit" aspectratio="f"/>
                      <v:textbox>
                        <w:txbxContent>
                          <w:p w14:paraId="5562D8A4">
                            <w:pPr>
                              <w:rPr>
                                <w:rFonts w:hint="eastAsia" w:ascii="宋体" w:hAnsi="宋体"/>
                                <w:b/>
                                <w:bCs/>
                              </w:rPr>
                            </w:pPr>
                            <w:r>
                              <w:rPr>
                                <w:rFonts w:hint="eastAsia" w:ascii="宋体" w:hAnsi="宋体"/>
                                <w:b/>
                                <w:bCs/>
                              </w:rPr>
                              <w:t>项目所在地</w:t>
                            </w:r>
                          </w:p>
                        </w:txbxContent>
                      </v:textbox>
                    </v:shape>
                  </w:pict>
                </mc:Fallback>
              </mc:AlternateContent>
            </w:r>
            <w:r>
              <w:rPr>
                <w:color w:val="auto"/>
              </w:rPr>
              <w:drawing>
                <wp:inline distT="0" distB="0" distL="114300" distR="114300">
                  <wp:extent cx="5057140" cy="2512060"/>
                  <wp:effectExtent l="0" t="0" r="10160" b="2540"/>
                  <wp:docPr id="9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8"/>
                          <pic:cNvPicPr>
                            <a:picLocks noChangeAspect="1"/>
                          </pic:cNvPicPr>
                        </pic:nvPicPr>
                        <pic:blipFill>
                          <a:blip r:embed="rId32"/>
                          <a:stretch>
                            <a:fillRect/>
                          </a:stretch>
                        </pic:blipFill>
                        <pic:spPr>
                          <a:xfrm>
                            <a:off x="0" y="0"/>
                            <a:ext cx="5057140" cy="2512060"/>
                          </a:xfrm>
                          <a:prstGeom prst="rect">
                            <a:avLst/>
                          </a:prstGeom>
                          <a:noFill/>
                          <a:ln>
                            <a:noFill/>
                          </a:ln>
                        </pic:spPr>
                      </pic:pic>
                    </a:graphicData>
                  </a:graphic>
                </wp:inline>
              </w:drawing>
            </w:r>
          </w:p>
          <w:p w14:paraId="590CA669">
            <w:pPr>
              <w:pStyle w:val="43"/>
              <w:ind w:firstLine="0" w:firstLineChars="0"/>
              <w:jc w:val="center"/>
              <w:rPr>
                <w:b/>
                <w:bCs/>
                <w:color w:val="auto"/>
                <w:sz w:val="21"/>
                <w:szCs w:val="21"/>
              </w:rPr>
            </w:pPr>
            <w:r>
              <w:rPr>
                <w:b/>
                <w:bCs/>
                <w:color w:val="auto"/>
                <w:sz w:val="21"/>
                <w:szCs w:val="21"/>
              </w:rPr>
              <w:t>图3-</w:t>
            </w:r>
            <w:r>
              <w:rPr>
                <w:rFonts w:hint="eastAsia"/>
                <w:b/>
                <w:bCs/>
                <w:color w:val="auto"/>
                <w:sz w:val="21"/>
                <w:szCs w:val="21"/>
                <w:lang w:val="en-US" w:eastAsia="zh-CN"/>
              </w:rPr>
              <w:t>2</w:t>
            </w:r>
            <w:r>
              <w:rPr>
                <w:b/>
                <w:bCs/>
                <w:color w:val="auto"/>
                <w:sz w:val="21"/>
                <w:szCs w:val="21"/>
              </w:rPr>
              <w:t xml:space="preserve">  引用监测点位、监测点位与本项目位置图</w:t>
            </w:r>
          </w:p>
          <w:p w14:paraId="5558EF5F">
            <w:pPr>
              <w:pStyle w:val="43"/>
              <w:rPr>
                <w:color w:val="auto"/>
              </w:rPr>
            </w:pPr>
            <w:r>
              <w:rPr>
                <w:color w:val="auto"/>
              </w:rPr>
              <w:t>根据监测结果可知，</w:t>
            </w:r>
            <w:r>
              <w:rPr>
                <w:color w:val="auto"/>
                <w:kern w:val="0"/>
                <w:szCs w:val="24"/>
                <w:lang w:bidi="ar"/>
              </w:rPr>
              <w:t>非甲烷总烃</w:t>
            </w:r>
            <w:r>
              <w:rPr>
                <w:color w:val="auto"/>
                <w:kern w:val="0"/>
                <w:lang w:bidi="ar"/>
              </w:rPr>
              <w:t>可以满足《大气污染物综合排放标准详解》中的标准</w:t>
            </w:r>
            <w:r>
              <w:rPr>
                <w:color w:val="auto"/>
                <w:kern w:val="0"/>
                <w:szCs w:val="24"/>
                <w:lang w:bidi="ar"/>
              </w:rPr>
              <w:t>，TSP、氮氧化物</w:t>
            </w:r>
            <w:r>
              <w:rPr>
                <w:color w:val="auto"/>
                <w:kern w:val="0"/>
                <w:lang w:bidi="ar"/>
              </w:rPr>
              <w:t>满足</w:t>
            </w:r>
            <w:r>
              <w:rPr>
                <w:color w:val="auto"/>
                <w:kern w:val="0"/>
                <w:szCs w:val="24"/>
                <w:lang w:bidi="ar"/>
              </w:rPr>
              <w:t>《环境空气质量标准》（GB3095-2012）及其修改单中的二级标准，TVOC、硫酸雾、氨、硫化氢</w:t>
            </w:r>
            <w:r>
              <w:rPr>
                <w:color w:val="auto"/>
                <w:kern w:val="0"/>
                <w:lang w:bidi="ar"/>
              </w:rPr>
              <w:t>满足</w:t>
            </w:r>
            <w:r>
              <w:rPr>
                <w:bCs/>
                <w:color w:val="auto"/>
                <w:kern w:val="0"/>
              </w:rPr>
              <w:t>《环境影响评价技术导则—大气环境》（HJ2.2-2018）中附录D其他污染物空气质量浓度参考限值标准，</w:t>
            </w:r>
            <w:r>
              <w:rPr>
                <w:color w:val="auto"/>
                <w:kern w:val="0"/>
                <w:szCs w:val="24"/>
                <w:lang w:bidi="ar"/>
              </w:rPr>
              <w:t>臭气浓度</w:t>
            </w:r>
            <w:r>
              <w:rPr>
                <w:color w:val="auto"/>
                <w:kern w:val="0"/>
                <w:lang w:bidi="ar"/>
              </w:rPr>
              <w:t>满足</w:t>
            </w:r>
            <w:r>
              <w:rPr>
                <w:color w:val="auto"/>
              </w:rPr>
              <w:t>《恶臭污染物排放标准》（GB14554-93）中表1厂界标准值二级新扩改建排放浓度限值。</w:t>
            </w:r>
          </w:p>
          <w:p w14:paraId="4FE3F88F">
            <w:pPr>
              <w:numPr>
                <w:ilvl w:val="0"/>
                <w:numId w:val="16"/>
              </w:numPr>
              <w:adjustRightInd w:val="0"/>
              <w:snapToGrid w:val="0"/>
              <w:spacing w:line="360" w:lineRule="auto"/>
              <w:ind w:firstLine="482" w:firstLineChars="200"/>
              <w:rPr>
                <w:b/>
                <w:bCs/>
                <w:color w:val="auto"/>
                <w:kern w:val="0"/>
                <w:sz w:val="24"/>
              </w:rPr>
            </w:pPr>
            <w:r>
              <w:rPr>
                <w:b/>
                <w:bCs/>
                <w:color w:val="auto"/>
                <w:kern w:val="0"/>
                <w:sz w:val="24"/>
              </w:rPr>
              <w:t>地表水</w:t>
            </w:r>
          </w:p>
          <w:p w14:paraId="77C3791C">
            <w:pPr>
              <w:spacing w:line="360" w:lineRule="auto"/>
              <w:ind w:firstLine="480" w:firstLineChars="200"/>
              <w:rPr>
                <w:color w:val="auto"/>
                <w:sz w:val="24"/>
              </w:rPr>
            </w:pPr>
            <w:r>
              <w:rPr>
                <w:color w:val="auto"/>
                <w:sz w:val="24"/>
              </w:rPr>
              <w:t>项目生活污水纳污水体为</w:t>
            </w:r>
            <w:r>
              <w:rPr>
                <w:rFonts w:hint="eastAsia"/>
                <w:color w:val="auto"/>
                <w:kern w:val="0"/>
                <w:sz w:val="24"/>
              </w:rPr>
              <w:t>联和排渠（里波水）</w:t>
            </w:r>
            <w:r>
              <w:rPr>
                <w:color w:val="auto"/>
                <w:sz w:val="24"/>
              </w:rPr>
              <w:t>，</w:t>
            </w:r>
            <w:r>
              <w:rPr>
                <w:rFonts w:hint="eastAsia"/>
                <w:color w:val="auto"/>
                <w:kern w:val="0"/>
                <w:sz w:val="24"/>
              </w:rPr>
              <w:t>根据《博罗县2024年水污染防治攻坚战工作方案》（博环攻坚办〔2024〕68号），联和排渠水质目标为</w:t>
            </w:r>
            <w:r>
              <w:rPr>
                <w:color w:val="auto"/>
                <w:kern w:val="0"/>
                <w:sz w:val="24"/>
              </w:rPr>
              <w:t>Ⅴ</w:t>
            </w:r>
            <w:r>
              <w:rPr>
                <w:rFonts w:hint="eastAsia"/>
                <w:color w:val="auto"/>
                <w:kern w:val="0"/>
                <w:sz w:val="24"/>
              </w:rPr>
              <w:t>类，执行《地表水环境质量标准》（GB3838-2002）中</w:t>
            </w:r>
            <w:r>
              <w:rPr>
                <w:color w:val="auto"/>
                <w:kern w:val="0"/>
                <w:sz w:val="24"/>
              </w:rPr>
              <w:t>Ⅴ</w:t>
            </w:r>
            <w:r>
              <w:rPr>
                <w:rFonts w:hint="eastAsia"/>
                <w:color w:val="auto"/>
                <w:kern w:val="0"/>
                <w:sz w:val="24"/>
              </w:rPr>
              <w:t>类标准。</w:t>
            </w:r>
          </w:p>
          <w:p w14:paraId="210A2E58">
            <w:pPr>
              <w:pStyle w:val="2"/>
              <w:spacing w:before="0" w:after="0" w:line="360" w:lineRule="auto"/>
              <w:ind w:right="0" w:firstLine="480" w:firstLineChars="200"/>
              <w:rPr>
                <w:color w:val="auto"/>
                <w:kern w:val="2"/>
                <w:sz w:val="24"/>
                <w:szCs w:val="24"/>
              </w:rPr>
            </w:pPr>
            <w:r>
              <w:rPr>
                <w:color w:val="auto"/>
                <w:kern w:val="2"/>
                <w:sz w:val="24"/>
                <w:szCs w:val="24"/>
              </w:rPr>
              <w:t>为了解本项目附近水体</w:t>
            </w:r>
            <w:r>
              <w:rPr>
                <w:rFonts w:hint="eastAsia"/>
                <w:color w:val="auto"/>
                <w:sz w:val="24"/>
              </w:rPr>
              <w:t>联和排渠（里波水）</w:t>
            </w:r>
            <w:r>
              <w:rPr>
                <w:color w:val="auto"/>
                <w:kern w:val="2"/>
                <w:sz w:val="24"/>
                <w:szCs w:val="24"/>
              </w:rPr>
              <w:t>水质现状，本次地表水环境质量现状引用</w:t>
            </w:r>
            <w:r>
              <w:rPr>
                <w:rFonts w:hint="eastAsia"/>
                <w:color w:val="auto"/>
                <w:sz w:val="24"/>
                <w:lang w:bidi="ar"/>
              </w:rPr>
              <w:t>《惠州天为资源再生有限公司废线路板资源综合利用项目》（惠市环建[2024]65号）中委托广州佳境有限公司</w:t>
            </w:r>
            <w:r>
              <w:rPr>
                <w:color w:val="auto"/>
                <w:sz w:val="24"/>
                <w:szCs w:val="24"/>
              </w:rPr>
              <w:t>于202</w:t>
            </w:r>
            <w:r>
              <w:rPr>
                <w:rFonts w:hint="eastAsia"/>
                <w:color w:val="auto"/>
                <w:sz w:val="24"/>
                <w:szCs w:val="24"/>
              </w:rPr>
              <w:t>4</w:t>
            </w:r>
            <w:r>
              <w:rPr>
                <w:color w:val="auto"/>
                <w:sz w:val="24"/>
                <w:szCs w:val="24"/>
              </w:rPr>
              <w:t>年</w:t>
            </w:r>
            <w:r>
              <w:rPr>
                <w:rFonts w:hint="eastAsia"/>
                <w:color w:val="auto"/>
                <w:sz w:val="24"/>
                <w:szCs w:val="24"/>
              </w:rPr>
              <w:t>1</w:t>
            </w:r>
            <w:r>
              <w:rPr>
                <w:color w:val="auto"/>
                <w:sz w:val="24"/>
                <w:szCs w:val="24"/>
              </w:rPr>
              <w:t>月</w:t>
            </w:r>
            <w:r>
              <w:rPr>
                <w:rFonts w:hint="eastAsia"/>
                <w:color w:val="auto"/>
                <w:sz w:val="24"/>
                <w:szCs w:val="24"/>
              </w:rPr>
              <w:t>5</w:t>
            </w:r>
            <w:r>
              <w:rPr>
                <w:color w:val="auto"/>
                <w:sz w:val="24"/>
                <w:szCs w:val="24"/>
              </w:rPr>
              <w:t>日至</w:t>
            </w:r>
            <w:r>
              <w:rPr>
                <w:rFonts w:hint="eastAsia"/>
                <w:color w:val="auto"/>
                <w:sz w:val="24"/>
                <w:szCs w:val="24"/>
              </w:rPr>
              <w:t>1</w:t>
            </w:r>
            <w:r>
              <w:rPr>
                <w:color w:val="auto"/>
                <w:sz w:val="24"/>
                <w:szCs w:val="24"/>
              </w:rPr>
              <w:t>月</w:t>
            </w:r>
            <w:r>
              <w:rPr>
                <w:rFonts w:hint="eastAsia"/>
                <w:color w:val="auto"/>
                <w:sz w:val="24"/>
                <w:szCs w:val="24"/>
              </w:rPr>
              <w:t>7</w:t>
            </w:r>
            <w:r>
              <w:rPr>
                <w:color w:val="auto"/>
                <w:sz w:val="24"/>
                <w:szCs w:val="24"/>
              </w:rPr>
              <w:t>日连续3天对</w:t>
            </w:r>
            <w:r>
              <w:rPr>
                <w:rFonts w:hint="eastAsia"/>
                <w:color w:val="auto"/>
                <w:sz w:val="24"/>
                <w:szCs w:val="24"/>
              </w:rPr>
              <w:t>里波水</w:t>
            </w:r>
            <w:r>
              <w:rPr>
                <w:color w:val="auto"/>
                <w:sz w:val="24"/>
                <w:szCs w:val="24"/>
              </w:rPr>
              <w:t>的监测数据</w:t>
            </w:r>
            <w:r>
              <w:rPr>
                <w:color w:val="auto"/>
                <w:kern w:val="2"/>
                <w:sz w:val="24"/>
                <w:szCs w:val="24"/>
              </w:rPr>
              <w:t>。引用项目地表水监测与本项目受纳水体属同一条河流，且为近3年有效监测数据，因此引用数据具有可行性，具体监测断面和监测数据见下表，具体监测断面和监测数据见下表</w:t>
            </w:r>
          </w:p>
          <w:p w14:paraId="1EA0B386">
            <w:pPr>
              <w:widowControl/>
              <w:numPr>
                <w:ilvl w:val="0"/>
                <w:numId w:val="17"/>
              </w:numPr>
              <w:autoSpaceDE w:val="0"/>
              <w:autoSpaceDN w:val="0"/>
              <w:adjustRightInd w:val="0"/>
              <w:snapToGrid w:val="0"/>
              <w:jc w:val="center"/>
              <w:rPr>
                <w:b/>
                <w:bCs/>
                <w:color w:val="auto"/>
                <w:szCs w:val="21"/>
              </w:rPr>
            </w:pPr>
            <w:r>
              <w:rPr>
                <w:b/>
                <w:bCs/>
                <w:color w:val="auto"/>
                <w:szCs w:val="21"/>
              </w:rPr>
              <w:t xml:space="preserve">  项目监测点位情况表</w:t>
            </w:r>
          </w:p>
          <w:tbl>
            <w:tblPr>
              <w:tblStyle w:val="35"/>
              <w:tblW w:w="4998" w:type="pct"/>
              <w:jc w:val="center"/>
              <w:tblLayout w:type="autofit"/>
              <w:tblCellMar>
                <w:top w:w="0" w:type="dxa"/>
                <w:left w:w="108" w:type="dxa"/>
                <w:bottom w:w="0" w:type="dxa"/>
                <w:right w:w="108" w:type="dxa"/>
              </w:tblCellMar>
            </w:tblPr>
            <w:tblGrid>
              <w:gridCol w:w="902"/>
              <w:gridCol w:w="3835"/>
              <w:gridCol w:w="3164"/>
              <w:gridCol w:w="1389"/>
            </w:tblGrid>
            <w:tr w14:paraId="5138AEFC">
              <w:tblPrEx>
                <w:tblCellMar>
                  <w:top w:w="0" w:type="dxa"/>
                  <w:left w:w="108" w:type="dxa"/>
                  <w:bottom w:w="0" w:type="dxa"/>
                  <w:right w:w="108" w:type="dxa"/>
                </w:tblCellMar>
              </w:tblPrEx>
              <w:trPr>
                <w:jc w:val="center"/>
              </w:trPr>
              <w:tc>
                <w:tcPr>
                  <w:tcW w:w="486" w:type="pct"/>
                  <w:tcBorders>
                    <w:top w:val="single" w:color="000000" w:sz="4" w:space="0"/>
                    <w:left w:val="single" w:color="000000" w:sz="4" w:space="0"/>
                    <w:bottom w:val="single" w:color="000000" w:sz="4" w:space="0"/>
                    <w:right w:val="single" w:color="000000" w:sz="4" w:space="0"/>
                  </w:tcBorders>
                  <w:vAlign w:val="center"/>
                </w:tcPr>
                <w:p w14:paraId="1613CF15">
                  <w:pPr>
                    <w:widowControl/>
                    <w:jc w:val="center"/>
                    <w:textAlignment w:val="center"/>
                    <w:rPr>
                      <w:rFonts w:eastAsiaTheme="minorEastAsia"/>
                      <w:b/>
                      <w:bCs/>
                      <w:color w:val="auto"/>
                      <w:szCs w:val="21"/>
                    </w:rPr>
                  </w:pPr>
                  <w:r>
                    <w:rPr>
                      <w:rFonts w:eastAsiaTheme="minorEastAsia"/>
                      <w:b/>
                      <w:bCs/>
                      <w:color w:val="auto"/>
                      <w:kern w:val="0"/>
                      <w:szCs w:val="21"/>
                      <w:lang w:bidi="ar"/>
                    </w:rPr>
                    <w:t>编号</w:t>
                  </w:r>
                </w:p>
              </w:tc>
              <w:tc>
                <w:tcPr>
                  <w:tcW w:w="2063" w:type="pct"/>
                  <w:tcBorders>
                    <w:top w:val="single" w:color="000000" w:sz="4" w:space="0"/>
                    <w:left w:val="single" w:color="000000" w:sz="4" w:space="0"/>
                    <w:bottom w:val="single" w:color="000000" w:sz="4" w:space="0"/>
                    <w:right w:val="single" w:color="000000" w:sz="4" w:space="0"/>
                  </w:tcBorders>
                  <w:vAlign w:val="center"/>
                </w:tcPr>
                <w:p w14:paraId="10FC2356">
                  <w:pPr>
                    <w:widowControl/>
                    <w:jc w:val="center"/>
                    <w:textAlignment w:val="center"/>
                    <w:rPr>
                      <w:rFonts w:eastAsiaTheme="minorEastAsia"/>
                      <w:b/>
                      <w:bCs/>
                      <w:color w:val="auto"/>
                      <w:szCs w:val="21"/>
                    </w:rPr>
                  </w:pPr>
                  <w:r>
                    <w:rPr>
                      <w:rFonts w:eastAsiaTheme="minorEastAsia"/>
                      <w:b/>
                      <w:bCs/>
                      <w:color w:val="auto"/>
                      <w:kern w:val="0"/>
                      <w:szCs w:val="21"/>
                      <w:lang w:bidi="ar"/>
                    </w:rPr>
                    <w:t>监测断面</w:t>
                  </w:r>
                </w:p>
              </w:tc>
              <w:tc>
                <w:tcPr>
                  <w:tcW w:w="1702" w:type="pct"/>
                  <w:tcBorders>
                    <w:top w:val="single" w:color="000000" w:sz="4" w:space="0"/>
                    <w:left w:val="single" w:color="000000" w:sz="4" w:space="0"/>
                    <w:bottom w:val="single" w:color="000000" w:sz="4" w:space="0"/>
                    <w:right w:val="single" w:color="000000" w:sz="4" w:space="0"/>
                  </w:tcBorders>
                  <w:vAlign w:val="center"/>
                </w:tcPr>
                <w:p w14:paraId="33E45164">
                  <w:pPr>
                    <w:widowControl/>
                    <w:jc w:val="center"/>
                    <w:textAlignment w:val="center"/>
                    <w:rPr>
                      <w:rFonts w:eastAsiaTheme="minorEastAsia"/>
                      <w:b/>
                      <w:bCs/>
                      <w:color w:val="auto"/>
                      <w:szCs w:val="21"/>
                    </w:rPr>
                  </w:pPr>
                  <w:r>
                    <w:rPr>
                      <w:rFonts w:hint="eastAsia" w:eastAsiaTheme="minorEastAsia"/>
                      <w:b/>
                      <w:bCs/>
                      <w:color w:val="auto"/>
                      <w:szCs w:val="21"/>
                    </w:rPr>
                    <w:t>水体</w:t>
                  </w:r>
                </w:p>
              </w:tc>
              <w:tc>
                <w:tcPr>
                  <w:tcW w:w="747" w:type="pct"/>
                  <w:tcBorders>
                    <w:top w:val="single" w:color="000000" w:sz="4" w:space="0"/>
                    <w:left w:val="single" w:color="000000" w:sz="4" w:space="0"/>
                    <w:bottom w:val="single" w:color="000000" w:sz="4" w:space="0"/>
                    <w:right w:val="single" w:color="000000" w:sz="4" w:space="0"/>
                  </w:tcBorders>
                  <w:vAlign w:val="center"/>
                </w:tcPr>
                <w:p w14:paraId="5913372D">
                  <w:pPr>
                    <w:widowControl/>
                    <w:jc w:val="center"/>
                    <w:textAlignment w:val="center"/>
                    <w:rPr>
                      <w:rFonts w:eastAsiaTheme="minorEastAsia"/>
                      <w:b/>
                      <w:bCs/>
                      <w:color w:val="auto"/>
                      <w:szCs w:val="21"/>
                    </w:rPr>
                  </w:pPr>
                  <w:r>
                    <w:rPr>
                      <w:rFonts w:eastAsiaTheme="minorEastAsia"/>
                      <w:b/>
                      <w:bCs/>
                      <w:color w:val="auto"/>
                      <w:kern w:val="0"/>
                      <w:szCs w:val="21"/>
                      <w:lang w:bidi="ar"/>
                    </w:rPr>
                    <w:t>水质类别</w:t>
                  </w:r>
                </w:p>
              </w:tc>
            </w:tr>
            <w:tr w14:paraId="41A94EAD">
              <w:tblPrEx>
                <w:tblCellMar>
                  <w:top w:w="0" w:type="dxa"/>
                  <w:left w:w="108" w:type="dxa"/>
                  <w:bottom w:w="0" w:type="dxa"/>
                  <w:right w:w="108" w:type="dxa"/>
                </w:tblCellMar>
              </w:tblPrEx>
              <w:trPr>
                <w:jc w:val="center"/>
              </w:trPr>
              <w:tc>
                <w:tcPr>
                  <w:tcW w:w="486" w:type="pct"/>
                  <w:tcBorders>
                    <w:top w:val="single" w:color="000000" w:sz="4" w:space="0"/>
                    <w:left w:val="single" w:color="000000" w:sz="4" w:space="0"/>
                    <w:bottom w:val="single" w:color="000000" w:sz="4" w:space="0"/>
                    <w:right w:val="single" w:color="000000" w:sz="4" w:space="0"/>
                  </w:tcBorders>
                  <w:vAlign w:val="center"/>
                </w:tcPr>
                <w:p w14:paraId="069DDA22">
                  <w:pPr>
                    <w:widowControl/>
                    <w:jc w:val="center"/>
                    <w:textAlignment w:val="center"/>
                    <w:rPr>
                      <w:rFonts w:eastAsiaTheme="minorEastAsia"/>
                      <w:color w:val="auto"/>
                      <w:szCs w:val="21"/>
                    </w:rPr>
                  </w:pPr>
                  <w:r>
                    <w:rPr>
                      <w:rFonts w:eastAsiaTheme="minorEastAsia"/>
                      <w:color w:val="auto"/>
                      <w:kern w:val="0"/>
                      <w:szCs w:val="21"/>
                      <w:lang w:bidi="ar"/>
                    </w:rPr>
                    <w:t>W3</w:t>
                  </w:r>
                </w:p>
              </w:tc>
              <w:tc>
                <w:tcPr>
                  <w:tcW w:w="2063" w:type="pct"/>
                  <w:tcBorders>
                    <w:top w:val="single" w:color="000000" w:sz="4" w:space="0"/>
                    <w:left w:val="single" w:color="000000" w:sz="4" w:space="0"/>
                    <w:bottom w:val="single" w:color="000000" w:sz="4" w:space="0"/>
                    <w:right w:val="single" w:color="000000" w:sz="4" w:space="0"/>
                  </w:tcBorders>
                  <w:vAlign w:val="center"/>
                </w:tcPr>
                <w:p w14:paraId="70C602FF">
                  <w:pPr>
                    <w:widowControl/>
                    <w:jc w:val="center"/>
                    <w:textAlignment w:val="center"/>
                    <w:rPr>
                      <w:rFonts w:eastAsiaTheme="minorEastAsia"/>
                      <w:color w:val="auto"/>
                      <w:szCs w:val="21"/>
                    </w:rPr>
                  </w:pPr>
                  <w:r>
                    <w:rPr>
                      <w:rFonts w:hint="eastAsia" w:eastAsiaTheme="minorEastAsia"/>
                      <w:color w:val="auto"/>
                      <w:kern w:val="0"/>
                      <w:szCs w:val="21"/>
                      <w:lang w:bidi="ar"/>
                    </w:rPr>
                    <w:t>中心排渠汇入里波水下游500m处</w:t>
                  </w:r>
                </w:p>
              </w:tc>
              <w:tc>
                <w:tcPr>
                  <w:tcW w:w="1702" w:type="pct"/>
                  <w:tcBorders>
                    <w:top w:val="single" w:color="000000" w:sz="4" w:space="0"/>
                    <w:left w:val="single" w:color="000000" w:sz="4" w:space="0"/>
                    <w:bottom w:val="single" w:color="000000" w:sz="4" w:space="0"/>
                    <w:right w:val="single" w:color="000000" w:sz="4" w:space="0"/>
                  </w:tcBorders>
                  <w:vAlign w:val="center"/>
                </w:tcPr>
                <w:p w14:paraId="776DD6C3">
                  <w:pPr>
                    <w:widowControl/>
                    <w:jc w:val="center"/>
                    <w:textAlignment w:val="center"/>
                    <w:rPr>
                      <w:rFonts w:eastAsiaTheme="minorEastAsia"/>
                      <w:color w:val="auto"/>
                      <w:szCs w:val="21"/>
                    </w:rPr>
                  </w:pPr>
                  <w:r>
                    <w:rPr>
                      <w:rFonts w:hint="eastAsia" w:eastAsiaTheme="minorEastAsia"/>
                      <w:color w:val="auto"/>
                      <w:szCs w:val="21"/>
                    </w:rPr>
                    <w:t>联和排渠（里波水）</w:t>
                  </w:r>
                </w:p>
              </w:tc>
              <w:tc>
                <w:tcPr>
                  <w:tcW w:w="747" w:type="pct"/>
                  <w:tcBorders>
                    <w:top w:val="single" w:color="000000" w:sz="4" w:space="0"/>
                    <w:left w:val="single" w:color="000000" w:sz="4" w:space="0"/>
                    <w:bottom w:val="single" w:color="000000" w:sz="4" w:space="0"/>
                    <w:right w:val="single" w:color="000000" w:sz="4" w:space="0"/>
                  </w:tcBorders>
                </w:tcPr>
                <w:p w14:paraId="4BD4E6DB">
                  <w:pPr>
                    <w:widowControl/>
                    <w:jc w:val="center"/>
                    <w:textAlignment w:val="top"/>
                    <w:rPr>
                      <w:rFonts w:eastAsiaTheme="minorEastAsia"/>
                      <w:color w:val="auto"/>
                      <w:szCs w:val="21"/>
                    </w:rPr>
                  </w:pPr>
                  <w:r>
                    <w:rPr>
                      <w:rFonts w:eastAsia="微软雅黑"/>
                      <w:color w:val="auto"/>
                      <w:kern w:val="0"/>
                      <w:szCs w:val="21"/>
                      <w:lang w:bidi="ar"/>
                    </w:rPr>
                    <w:t>Ⅴ</w:t>
                  </w:r>
                </w:p>
              </w:tc>
            </w:tr>
          </w:tbl>
          <w:p w14:paraId="173C2B00">
            <w:pPr>
              <w:pStyle w:val="76"/>
              <w:snapToGrid w:val="0"/>
              <w:spacing w:before="120" w:beforeLines="50"/>
              <w:ind w:firstLine="0"/>
              <w:jc w:val="center"/>
              <w:rPr>
                <w:rFonts w:ascii="Times New Roman" w:hAnsi="Times New Roman"/>
                <w:color w:val="auto"/>
                <w:sz w:val="21"/>
                <w:szCs w:val="21"/>
              </w:rPr>
            </w:pPr>
            <w:r>
              <w:rPr>
                <w:color w:val="auto"/>
              </w:rPr>
              <mc:AlternateContent>
                <mc:Choice Requires="wps">
                  <w:drawing>
                    <wp:anchor distT="0" distB="0" distL="114300" distR="114300" simplePos="0" relativeHeight="251676672" behindDoc="0" locked="0" layoutInCell="1" allowOverlap="1">
                      <wp:simplePos x="0" y="0"/>
                      <wp:positionH relativeFrom="column">
                        <wp:posOffset>1050925</wp:posOffset>
                      </wp:positionH>
                      <wp:positionV relativeFrom="paragraph">
                        <wp:posOffset>1997710</wp:posOffset>
                      </wp:positionV>
                      <wp:extent cx="1336040" cy="457200"/>
                      <wp:effectExtent l="0" t="0" r="0" b="0"/>
                      <wp:wrapNone/>
                      <wp:docPr id="157" name="矩形 3"/>
                      <wp:cNvGraphicFramePr/>
                      <a:graphic xmlns:a="http://schemas.openxmlformats.org/drawingml/2006/main">
                        <a:graphicData uri="http://schemas.microsoft.com/office/word/2010/wordprocessingShape">
                          <wps:wsp>
                            <wps:cNvSpPr/>
                            <wps:spPr>
                              <a:xfrm>
                                <a:off x="1436370" y="4538345"/>
                                <a:ext cx="133604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2B7A2E1">
                                  <w:pPr>
                                    <w:rPr>
                                      <w:b/>
                                      <w:bCs/>
                                      <w:color w:val="00B0F0"/>
                                    </w:rPr>
                                  </w:pPr>
                                  <w:r>
                                    <w:rPr>
                                      <w:rFonts w:hint="eastAsia"/>
                                      <w:color w:val="00B0F0"/>
                                      <w:szCs w:val="21"/>
                                    </w:rPr>
                                    <w:t>W3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 o:spid="_x0000_s1026" o:spt="1" style="position:absolute;left:0pt;margin-left:82.75pt;margin-top:157.3pt;height:36pt;width:105.2pt;z-index:251676672;v-text-anchor:middle;mso-width-relative:page;mso-height-relative:page;" filled="f" stroked="f" coordsize="21600,21600" o:gfxdata="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KJonXZAAAACwEAAA8AAAAAAAAAAQAgAAAAIgAAAGRycy9kb3ducmV2LnhtbFBLAQIUABQAAAAI&#10;AIdO4kDr4MUIXgIAAKQEAAAOAAAAAAAAAAEAIAAAACgBAABkcnMvZTJvRG9jLnhtbFBLBQYAAAAA&#10;BgAGAFkBAAD4BQAAAAA=&#10;">
                      <v:fill on="f" focussize="0,0"/>
                      <v:stroke on="f" weight="2pt"/>
                      <v:imagedata o:title=""/>
                      <o:lock v:ext="edit" aspectratio="f"/>
                      <v:textbox>
                        <w:txbxContent>
                          <w:p w14:paraId="32B7A2E1">
                            <w:pPr>
                              <w:rPr>
                                <w:b/>
                                <w:bCs/>
                                <w:color w:val="00B0F0"/>
                              </w:rPr>
                            </w:pPr>
                            <w:r>
                              <w:rPr>
                                <w:rFonts w:hint="eastAsia"/>
                                <w:color w:val="00B0F0"/>
                                <w:szCs w:val="21"/>
                              </w:rPr>
                              <w:t>W3</w:t>
                            </w:r>
                          </w:p>
                        </w:txbxContent>
                      </v:textbox>
                    </v:rect>
                  </w:pict>
                </mc:Fallback>
              </mc:AlternateContent>
            </w:r>
            <w:r>
              <w:rPr>
                <w:color w:val="auto"/>
                <w:sz w:val="21"/>
              </w:rPr>
              <mc:AlternateContent>
                <mc:Choice Requires="wps">
                  <w:drawing>
                    <wp:anchor distT="0" distB="0" distL="114300" distR="114300" simplePos="0" relativeHeight="251675648" behindDoc="0" locked="0" layoutInCell="1" allowOverlap="1">
                      <wp:simplePos x="0" y="0"/>
                      <wp:positionH relativeFrom="column">
                        <wp:posOffset>717550</wp:posOffset>
                      </wp:positionH>
                      <wp:positionV relativeFrom="paragraph">
                        <wp:posOffset>2459990</wp:posOffset>
                      </wp:positionV>
                      <wp:extent cx="190500" cy="167640"/>
                      <wp:effectExtent l="0" t="3810" r="12700" b="6350"/>
                      <wp:wrapNone/>
                      <wp:docPr id="155" name="直接箭头连接符 155"/>
                      <wp:cNvGraphicFramePr/>
                      <a:graphic xmlns:a="http://schemas.openxmlformats.org/drawingml/2006/main">
                        <a:graphicData uri="http://schemas.microsoft.com/office/word/2010/wordprocessingShape">
                          <wps:wsp>
                            <wps:cNvCnPr/>
                            <wps:spPr>
                              <a:xfrm flipH="1">
                                <a:off x="0" y="0"/>
                                <a:ext cx="190500" cy="167640"/>
                              </a:xfrm>
                              <a:prstGeom prst="straightConnector1">
                                <a:avLst/>
                              </a:prstGeom>
                              <a:ln w="9525">
                                <a:solidFill>
                                  <a:srgbClr val="FA01FA"/>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56.5pt;margin-top:193.7pt;height:13.2pt;width:15pt;z-index:251675648;mso-width-relative:page;mso-height-relative:page;" filled="f" stroked="t" coordsize="21600,21600" o:gfxdata="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Ca1kjaAAAACwEAAA8AAAAAAAAAAQAgAAAA&#10;IgAAAGRycy9kb3ducmV2LnhtbFBLAQIUABQAAAAIAIdO4kAFUzpaCQIAANkDAAAOAAAAAAAAAAEA&#10;IAAAACkBAABkcnMvZTJvRG9jLnhtbFBLBQYAAAAABgAGAFkBAACkBQAAAAA=&#10;">
                      <v:fill on="f" focussize="0,0"/>
                      <v:stroke color="#FA01FA [3204]" joinstyle="round" endarrow="open"/>
                      <v:imagedata o:title=""/>
                      <o:lock v:ext="edit" aspectratio="f"/>
                    </v:shape>
                  </w:pict>
                </mc:Fallback>
              </mc:AlternateContent>
            </w:r>
            <w:r>
              <w:rPr>
                <w:color w:val="auto"/>
                <w:sz w:val="21"/>
              </w:rPr>
              <mc:AlternateContent>
                <mc:Choice Requires="wps">
                  <w:drawing>
                    <wp:anchor distT="0" distB="0" distL="114300" distR="114300" simplePos="0" relativeHeight="251674624" behindDoc="0" locked="0" layoutInCell="1" allowOverlap="1">
                      <wp:simplePos x="0" y="0"/>
                      <wp:positionH relativeFrom="column">
                        <wp:posOffset>1606550</wp:posOffset>
                      </wp:positionH>
                      <wp:positionV relativeFrom="paragraph">
                        <wp:posOffset>1752600</wp:posOffset>
                      </wp:positionV>
                      <wp:extent cx="313690" cy="92075"/>
                      <wp:effectExtent l="0" t="4445" r="3810" b="30480"/>
                      <wp:wrapNone/>
                      <wp:docPr id="154" name="直接箭头连接符 154"/>
                      <wp:cNvGraphicFramePr/>
                      <a:graphic xmlns:a="http://schemas.openxmlformats.org/drawingml/2006/main">
                        <a:graphicData uri="http://schemas.microsoft.com/office/word/2010/wordprocessingShape">
                          <wps:wsp>
                            <wps:cNvCnPr/>
                            <wps:spPr>
                              <a:xfrm flipH="1">
                                <a:off x="0" y="0"/>
                                <a:ext cx="313690" cy="92075"/>
                              </a:xfrm>
                              <a:prstGeom prst="straightConnector1">
                                <a:avLst/>
                              </a:prstGeom>
                              <a:ln w="9525">
                                <a:solidFill>
                                  <a:srgbClr val="FA01FA"/>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26.5pt;margin-top:138pt;height:7.25pt;width:24.7pt;z-index:251674624;mso-width-relative:page;mso-height-relative:page;" filled="f" stroked="t" coordsize="21600,21600" o:gfxdata="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r6H9XaAAAACwEAAA8AAAAAAAAAAQAgAAAA&#10;IgAAAGRycy9kb3ducmV2LnhtbFBLAQIUABQAAAAIAIdO4kCz2PqSCQIAANgDAAAOAAAAAAAAAAEA&#10;IAAAACkBAABkcnMvZTJvRG9jLnhtbFBLBQYAAAAABgAGAFkBAACkBQAAAAA=&#10;">
                      <v:fill on="f" focussize="0,0"/>
                      <v:stroke color="#FA01FA [3204]" joinstyle="round" endarrow="open"/>
                      <v:imagedata o:title=""/>
                      <o:lock v:ext="edit" aspectratio="f"/>
                    </v:shape>
                  </w:pict>
                </mc:Fallback>
              </mc:AlternateContent>
            </w:r>
            <w:r>
              <w:rPr>
                <w:color w:val="auto"/>
                <w:sz w:val="21"/>
              </w:rPr>
              <mc:AlternateContent>
                <mc:Choice Requires="wps">
                  <w:drawing>
                    <wp:anchor distT="0" distB="0" distL="114300" distR="114300" simplePos="0" relativeHeight="251673600" behindDoc="0" locked="0" layoutInCell="1" allowOverlap="1">
                      <wp:simplePos x="0" y="0"/>
                      <wp:positionH relativeFrom="column">
                        <wp:posOffset>2372995</wp:posOffset>
                      </wp:positionH>
                      <wp:positionV relativeFrom="paragraph">
                        <wp:posOffset>1226185</wp:posOffset>
                      </wp:positionV>
                      <wp:extent cx="296545" cy="4445"/>
                      <wp:effectExtent l="0" t="45720" r="8255" b="51435"/>
                      <wp:wrapNone/>
                      <wp:docPr id="115" name="直接箭头连接符 115"/>
                      <wp:cNvGraphicFramePr/>
                      <a:graphic xmlns:a="http://schemas.openxmlformats.org/drawingml/2006/main">
                        <a:graphicData uri="http://schemas.microsoft.com/office/word/2010/wordprocessingShape">
                          <wps:wsp>
                            <wps:cNvCnPr/>
                            <wps:spPr>
                              <a:xfrm flipH="1">
                                <a:off x="0" y="0"/>
                                <a:ext cx="296545" cy="4445"/>
                              </a:xfrm>
                              <a:prstGeom prst="straightConnector1">
                                <a:avLst/>
                              </a:prstGeom>
                              <a:ln w="9525">
                                <a:solidFill>
                                  <a:srgbClr val="FA01FA"/>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86.85pt;margin-top:96.55pt;height:0.35pt;width:23.35pt;z-index:251673600;mso-width-relative:page;mso-height-relative:page;" filled="f" stroked="t" coordsize="21600,21600" o:gfxdata="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ZlCq9kAAAALAQAADwAAAAAAAAABACAAAAAiAAAA&#10;ZHJzL2Rvd25yZXYueG1sUEsBAhQAFAAAAAgAh07iQP0S6p4GAgAA1wMAAA4AAAAAAAAAAQAgAAAA&#10;KAEAAGRycy9lMm9Eb2MueG1sUEsFBgAAAAAGAAYAWQEAAKAFAAAAAA==&#10;">
                      <v:fill on="f" focussize="0,0"/>
                      <v:stroke color="#FA01FA [3204]" joinstyle="round" endarrow="open"/>
                      <v:imagedata o:title=""/>
                      <o:lock v:ext="edit" aspectratio="f"/>
                    </v:shape>
                  </w:pict>
                </mc:Fallback>
              </mc:AlternateContent>
            </w:r>
            <w:r>
              <w:rPr>
                <w:color w:val="auto"/>
                <w:sz w:val="21"/>
              </w:rPr>
              <mc:AlternateContent>
                <mc:Choice Requires="wps">
                  <w:drawing>
                    <wp:anchor distT="0" distB="0" distL="114300" distR="114300" simplePos="0" relativeHeight="251672576" behindDoc="0" locked="0" layoutInCell="1" allowOverlap="1">
                      <wp:simplePos x="0" y="0"/>
                      <wp:positionH relativeFrom="column">
                        <wp:posOffset>2326640</wp:posOffset>
                      </wp:positionH>
                      <wp:positionV relativeFrom="paragraph">
                        <wp:posOffset>2327275</wp:posOffset>
                      </wp:positionV>
                      <wp:extent cx="296545" cy="4445"/>
                      <wp:effectExtent l="0" t="45720" r="8255" b="51435"/>
                      <wp:wrapNone/>
                      <wp:docPr id="112" name="直接箭头连接符 112"/>
                      <wp:cNvGraphicFramePr/>
                      <a:graphic xmlns:a="http://schemas.openxmlformats.org/drawingml/2006/main">
                        <a:graphicData uri="http://schemas.microsoft.com/office/word/2010/wordprocessingShape">
                          <wps:wsp>
                            <wps:cNvCnPr/>
                            <wps:spPr>
                              <a:xfrm flipH="1">
                                <a:off x="0" y="0"/>
                                <a:ext cx="296545" cy="4445"/>
                              </a:xfrm>
                              <a:prstGeom prst="straightConnector1">
                                <a:avLst/>
                              </a:prstGeom>
                              <a:ln w="9525">
                                <a:solidFill>
                                  <a:srgbClr val="0000FF"/>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83.2pt;margin-top:183.25pt;height:0.35pt;width:23.35pt;z-index:251672576;mso-width-relative:page;mso-height-relative:page;" filled="f" stroked="t" coordsize="21600,21600" o:gfxdata="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sMNkAAAALAQAADwAAAAAAAAABACAAAAAiAAAAZHJz&#10;L2Rvd25yZXYueG1sUEsBAhQAFAAAAAgAh07iQMgAZEcDAgAA1wMAAA4AAAAAAAAAAQAgAAAAKAEA&#10;AGRycy9lMm9Eb2MueG1sUEsFBgAAAAAGAAYAWQEAAJ0FAAAAAA==&#10;">
                      <v:fill on="f" focussize="0,0"/>
                      <v:stroke color="#0000FF [3204]" joinstyle="round" endarrow="open"/>
                      <v:imagedata o:title=""/>
                      <o:lock v:ext="edit" aspectratio="f"/>
                    </v:shape>
                  </w:pict>
                </mc:Fallback>
              </mc:AlternateContent>
            </w:r>
            <w:r>
              <w:rPr>
                <w:color w:val="auto"/>
                <w:sz w:val="21"/>
              </w:rPr>
              <mc:AlternateContent>
                <mc:Choice Requires="wps">
                  <w:drawing>
                    <wp:anchor distT="0" distB="0" distL="114300" distR="114300" simplePos="0" relativeHeight="251671552" behindDoc="0" locked="0" layoutInCell="1" allowOverlap="1">
                      <wp:simplePos x="0" y="0"/>
                      <wp:positionH relativeFrom="column">
                        <wp:posOffset>3236595</wp:posOffset>
                      </wp:positionH>
                      <wp:positionV relativeFrom="paragraph">
                        <wp:posOffset>2585085</wp:posOffset>
                      </wp:positionV>
                      <wp:extent cx="296545" cy="4445"/>
                      <wp:effectExtent l="0" t="45720" r="8255" b="51435"/>
                      <wp:wrapNone/>
                      <wp:docPr id="106" name="直接箭头连接符 106"/>
                      <wp:cNvGraphicFramePr/>
                      <a:graphic xmlns:a="http://schemas.openxmlformats.org/drawingml/2006/main">
                        <a:graphicData uri="http://schemas.microsoft.com/office/word/2010/wordprocessingShape">
                          <wps:wsp>
                            <wps:cNvCnPr/>
                            <wps:spPr>
                              <a:xfrm flipH="1">
                                <a:off x="4316095" y="5464175"/>
                                <a:ext cx="296545" cy="4445"/>
                              </a:xfrm>
                              <a:prstGeom prst="straightConnector1">
                                <a:avLst/>
                              </a:prstGeom>
                              <a:ln w="9525">
                                <a:solidFill>
                                  <a:srgbClr val="0000FF"/>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54.85pt;margin-top:203.55pt;height:0.35pt;width:23.35pt;z-index:251671552;mso-width-relative:page;mso-height-relative:page;" filled="f" stroked="t" coordsize="21600,21600" o:gfxdata="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Ccr19oAAAALAQAADwAAAAAA&#10;AAABACAAAAAiAAAAZHJzL2Rvd25yZXYueG1sUEsBAhQAFAAAAAgAh07iQIci4GkRAgAA4wMAAA4A&#10;AAAAAAAAAQAgAAAAKQEAAGRycy9lMm9Eb2MueG1sUEsFBgAAAAAGAAYAWQEAAKwFAAAAAA==&#10;">
                      <v:fill on="f" focussize="0,0"/>
                      <v:stroke color="#0000FF [3204]" joinstyle="round" endarrow="open"/>
                      <v:imagedata o:title=""/>
                      <o:lock v:ext="edit" aspectratio="f"/>
                    </v:shape>
                  </w:pict>
                </mc:Fallback>
              </mc:AlternateContent>
            </w:r>
            <w:r>
              <w:rPr>
                <w:rFonts w:ascii="Times New Roman" w:hAnsi="Times New Roman"/>
                <w:color w:val="auto"/>
                <w:sz w:val="21"/>
              </w:rPr>
              <mc:AlternateContent>
                <mc:Choice Requires="wps">
                  <w:drawing>
                    <wp:anchor distT="0" distB="0" distL="114300" distR="114300" simplePos="0" relativeHeight="251670528" behindDoc="0" locked="0" layoutInCell="1" allowOverlap="1">
                      <wp:simplePos x="0" y="0"/>
                      <wp:positionH relativeFrom="column">
                        <wp:posOffset>2862580</wp:posOffset>
                      </wp:positionH>
                      <wp:positionV relativeFrom="paragraph">
                        <wp:posOffset>1869440</wp:posOffset>
                      </wp:positionV>
                      <wp:extent cx="897255" cy="325120"/>
                      <wp:effectExtent l="9525" t="9525" r="20320" b="224155"/>
                      <wp:wrapNone/>
                      <wp:docPr id="105" name="矩形标注 105"/>
                      <wp:cNvGraphicFramePr/>
                      <a:graphic xmlns:a="http://schemas.openxmlformats.org/drawingml/2006/main">
                        <a:graphicData uri="http://schemas.microsoft.com/office/word/2010/wordprocessingShape">
                          <wps:wsp>
                            <wps:cNvSpPr/>
                            <wps:spPr>
                              <a:xfrm>
                                <a:off x="0" y="0"/>
                                <a:ext cx="897255" cy="325120"/>
                              </a:xfrm>
                              <a:prstGeom prst="wedgeRectCallout">
                                <a:avLst>
                                  <a:gd name="adj1" fmla="val -44196"/>
                                  <a:gd name="adj2" fmla="val 110742"/>
                                </a:avLst>
                              </a:prstGeom>
                              <a:solidFill>
                                <a:srgbClr val="FFFFFF"/>
                              </a:solidFill>
                              <a:ln w="19050" cap="flat" cmpd="sng">
                                <a:solidFill>
                                  <a:srgbClr val="000000"/>
                                </a:solidFill>
                                <a:prstDash val="solid"/>
                                <a:miter/>
                                <a:headEnd type="none" w="med" len="med"/>
                                <a:tailEnd type="none" w="med" len="med"/>
                              </a:ln>
                              <a:effectLst/>
                            </wps:spPr>
                            <wps:txbx>
                              <w:txbxContent>
                                <w:p w14:paraId="26284C47">
                                  <w:pPr>
                                    <w:jc w:val="center"/>
                                    <w:rPr>
                                      <w:b/>
                                      <w:bCs/>
                                    </w:rPr>
                                  </w:pPr>
                                  <w:r>
                                    <w:rPr>
                                      <w:rFonts w:hint="eastAsia"/>
                                      <w:b/>
                                      <w:bCs/>
                                    </w:rPr>
                                    <w:t>中心排渠</w:t>
                                  </w:r>
                                </w:p>
                              </w:txbxContent>
                            </wps:txbx>
                            <wps:bodyPr wrap="square" upright="1"/>
                          </wps:wsp>
                        </a:graphicData>
                      </a:graphic>
                    </wp:anchor>
                  </w:drawing>
                </mc:Choice>
                <mc:Fallback>
                  <w:pict>
                    <v:shape id="_x0000_s1026" o:spid="_x0000_s1026" o:spt="61" type="#_x0000_t61" style="position:absolute;left:0pt;margin-left:225.4pt;margin-top:147.2pt;height:25.6pt;width:70.65pt;z-index:251670528;mso-width-relative:page;mso-height-relative:page;" fillcolor="#FFFFFF" filled="t" stroked="t" coordsize="21600,21600" o:gfxdata="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yIQUtkAAAALAQAADwAAAAAA&#10;AAABACAAAAAiAAAAZHJzL2Rvd25yZXYueG1sUEsBAhQAFAAAAAgAh07iQMS6Y8lLAgAArgQAAA4A&#10;AAAAAAAAAQAgAAAAKAEAAGRycy9lMm9Eb2MueG1sUEsFBgAAAAAGAAYAWQEAAOUFAAAAAA==&#10;" adj="1254,34720">
                      <v:fill on="t" focussize="0,0"/>
                      <v:stroke weight="1.5pt" color="#000000" joinstyle="miter"/>
                      <v:imagedata o:title=""/>
                      <o:lock v:ext="edit" aspectratio="f"/>
                      <v:textbox>
                        <w:txbxContent>
                          <w:p w14:paraId="26284C47">
                            <w:pPr>
                              <w:jc w:val="center"/>
                              <w:rPr>
                                <w:b/>
                                <w:bCs/>
                              </w:rPr>
                            </w:pPr>
                            <w:r>
                              <w:rPr>
                                <w:rFonts w:hint="eastAsia"/>
                                <w:b/>
                                <w:bCs/>
                              </w:rPr>
                              <w:t>中心排渠</w:t>
                            </w:r>
                          </w:p>
                        </w:txbxContent>
                      </v:textbox>
                    </v:shape>
                  </w:pict>
                </mc:Fallback>
              </mc:AlternateContent>
            </w:r>
            <w:r>
              <w:rPr>
                <w:color w:val="auto"/>
                <w:sz w:val="21"/>
              </w:rPr>
              <mc:AlternateContent>
                <mc:Choice Requires="wps">
                  <w:drawing>
                    <wp:anchor distT="0" distB="0" distL="114300" distR="114300" simplePos="0" relativeHeight="251669504" behindDoc="0" locked="0" layoutInCell="1" allowOverlap="1">
                      <wp:simplePos x="0" y="0"/>
                      <wp:positionH relativeFrom="column">
                        <wp:posOffset>5311140</wp:posOffset>
                      </wp:positionH>
                      <wp:positionV relativeFrom="paragraph">
                        <wp:posOffset>90170</wp:posOffset>
                      </wp:positionV>
                      <wp:extent cx="632460" cy="619125"/>
                      <wp:effectExtent l="5080" t="4445" r="10160" b="11430"/>
                      <wp:wrapNone/>
                      <wp:docPr id="104" name="矩形 104" descr="博罗风玫瑰图"/>
                      <wp:cNvGraphicFramePr/>
                      <a:graphic xmlns:a="http://schemas.openxmlformats.org/drawingml/2006/main">
                        <a:graphicData uri="http://schemas.microsoft.com/office/word/2010/wordprocessingShape">
                          <wps:wsp>
                            <wps:cNvSpPr/>
                            <wps:spPr>
                              <a:xfrm>
                                <a:off x="0" y="0"/>
                                <a:ext cx="632460" cy="619125"/>
                              </a:xfrm>
                              <a:prstGeom prst="rect">
                                <a:avLst/>
                              </a:prstGeom>
                              <a:blipFill rotWithShape="0">
                                <a:blip r:embed="rId31"/>
                                <a:stretch>
                                  <a:fillRect/>
                                </a:stretch>
                              </a:blip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alt="博罗风玫瑰图" style="position:absolute;left:0pt;margin-left:418.2pt;margin-top:7.1pt;height:48.75pt;width:49.8pt;z-index:251669504;mso-width-relative:page;mso-height-relative:page;" filled="t" stroked="t" coordsize="21600,21600" o:gfxdata="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qiYO&#10;vrYAAAAhAQAAGQAAAGRycy9fcmVscy9lMm9Eb2MueG1sLnJlbHOFj0FqwzAQRfeF3EHMPpadRSjF&#10;sjeh4G1IDjBIY1nEGglJLfXtI8gmgUCX8z//PaYf//wqfillF1hB17QgiHUwjq2C6+V7/wkiF2SD&#10;a2BSsFGGcdh99GdasdRRXlzMolI4K1hKiV9SZr2Qx9yESFybOSSPpZ7Jyoj6hpbkoW2PMj0zYHhh&#10;iskoSJPpQFy2WM3/s8M8O02noH88cXmjkM5XdwVislQUeDIOH2HXRLYgh16+PDbcAV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">
                      <v:fill type="frame" on="t" o:title="博罗风玫瑰图" focussize="0,0" recolor="t" r:id="rId31"/>
                      <v:stroke color="#000000" joinstyle="miter"/>
                      <v:imagedata o:title=""/>
                      <o:lock v:ext="edit" aspectratio="f"/>
                    </v:rect>
                  </w:pict>
                </mc:Fallback>
              </mc:AlternateContent>
            </w:r>
            <w:r>
              <w:rPr>
                <w:rFonts w:ascii="Times New Roman" w:hAnsi="Times New Roman"/>
                <w:color w:val="auto"/>
                <w:sz w:val="30"/>
              </w:rPr>
              <mc:AlternateContent>
                <mc:Choice Requires="wps">
                  <w:drawing>
                    <wp:anchor distT="0" distB="0" distL="114300" distR="114300" simplePos="0" relativeHeight="251666432" behindDoc="0" locked="0" layoutInCell="1" allowOverlap="1">
                      <wp:simplePos x="0" y="0"/>
                      <wp:positionH relativeFrom="column">
                        <wp:posOffset>1130300</wp:posOffset>
                      </wp:positionH>
                      <wp:positionV relativeFrom="paragraph">
                        <wp:posOffset>1952625</wp:posOffset>
                      </wp:positionV>
                      <wp:extent cx="127000" cy="207645"/>
                      <wp:effectExtent l="0" t="0" r="0" b="8255"/>
                      <wp:wrapNone/>
                      <wp:docPr id="72" name="直接连接符 72"/>
                      <wp:cNvGraphicFramePr/>
                      <a:graphic xmlns:a="http://schemas.openxmlformats.org/drawingml/2006/main">
                        <a:graphicData uri="http://schemas.microsoft.com/office/word/2010/wordprocessingShape">
                          <wps:wsp>
                            <wps:cNvCnPr/>
                            <wps:spPr>
                              <a:xfrm>
                                <a:off x="0" y="0"/>
                                <a:ext cx="127000" cy="207645"/>
                              </a:xfrm>
                              <a:prstGeom prst="line">
                                <a:avLst/>
                              </a:prstGeom>
                              <a:ln w="19050" cap="flat" cmpd="sng">
                                <a:solidFill>
                                  <a:srgbClr val="00B0F0"/>
                                </a:solidFill>
                                <a:prstDash val="solid"/>
                                <a:headEnd type="triangle" w="med" len="med"/>
                                <a:tailEnd type="triangle" w="med" len="med"/>
                              </a:ln>
                            </wps:spPr>
                            <wps:bodyPr/>
                          </wps:wsp>
                        </a:graphicData>
                      </a:graphic>
                    </wp:anchor>
                  </w:drawing>
                </mc:Choice>
                <mc:Fallback>
                  <w:pict>
                    <v:line id="_x0000_s1026" o:spid="_x0000_s1026" o:spt="20" style="position:absolute;left:0pt;margin-left:89pt;margin-top:153.75pt;height:16.35pt;width:10pt;z-index:251666432;mso-width-relative:page;mso-height-relative:page;" filled="f" stroked="t" coordsize="21600,21600" o:gfxdata="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m4V+dgAAAALAQAADwAAAAAAAAABACAAAAAiAAAAZHJzL2Rvd25yZXYueG1sUEsB&#10;AhQAFAAAAAgAh07iQNLf/Pb1AQAA5wMAAA4AAAAAAAAAAQAgAAAAJwEAAGRycy9lMm9Eb2MueG1s&#10;UEsFBgAAAAAGAAYAWQEAAI4FAAAAAA==&#10;">
                      <v:fill on="f" focussize="0,0"/>
                      <v:stroke weight="1.5pt" color="#00B0F0" joinstyle="round" startarrow="block" endarrow="block"/>
                      <v:imagedata o:title=""/>
                      <o:lock v:ext="edit" aspectratio="f"/>
                    </v:line>
                  </w:pict>
                </mc:Fallback>
              </mc:AlternateContent>
            </w:r>
            <w:r>
              <w:rPr>
                <w:rFonts w:ascii="Times New Roman" w:hAnsi="Times New Roman"/>
                <w:color w:val="auto"/>
                <w:sz w:val="21"/>
              </w:rPr>
              <mc:AlternateContent>
                <mc:Choice Requires="wps">
                  <w:drawing>
                    <wp:anchor distT="0" distB="0" distL="114300" distR="114300" simplePos="0" relativeHeight="251665408" behindDoc="0" locked="0" layoutInCell="1" allowOverlap="1">
                      <wp:simplePos x="0" y="0"/>
                      <wp:positionH relativeFrom="column">
                        <wp:posOffset>724535</wp:posOffset>
                      </wp:positionH>
                      <wp:positionV relativeFrom="paragraph">
                        <wp:posOffset>1120140</wp:posOffset>
                      </wp:positionV>
                      <wp:extent cx="897255" cy="325120"/>
                      <wp:effectExtent l="9525" t="9525" r="439420" b="186055"/>
                      <wp:wrapNone/>
                      <wp:docPr id="278" name="矩形标注 278"/>
                      <wp:cNvGraphicFramePr/>
                      <a:graphic xmlns:a="http://schemas.openxmlformats.org/drawingml/2006/main">
                        <a:graphicData uri="http://schemas.microsoft.com/office/word/2010/wordprocessingShape">
                          <wps:wsp>
                            <wps:cNvSpPr/>
                            <wps:spPr>
                              <a:xfrm>
                                <a:off x="2427605" y="2519680"/>
                                <a:ext cx="897255" cy="325120"/>
                              </a:xfrm>
                              <a:prstGeom prst="wedgeRectCallout">
                                <a:avLst>
                                  <a:gd name="adj1" fmla="val 89773"/>
                                  <a:gd name="adj2" fmla="val 97851"/>
                                </a:avLst>
                              </a:prstGeom>
                              <a:solidFill>
                                <a:srgbClr val="FFFFFF"/>
                              </a:solidFill>
                              <a:ln w="19050" cap="flat" cmpd="sng">
                                <a:solidFill>
                                  <a:srgbClr val="000000"/>
                                </a:solidFill>
                                <a:prstDash val="solid"/>
                                <a:miter/>
                                <a:headEnd type="none" w="med" len="med"/>
                                <a:tailEnd type="none" w="med" len="med"/>
                              </a:ln>
                              <a:effectLst/>
                            </wps:spPr>
                            <wps:txbx>
                              <w:txbxContent>
                                <w:p w14:paraId="56016FCB">
                                  <w:pPr>
                                    <w:jc w:val="center"/>
                                    <w:rPr>
                                      <w:b/>
                                      <w:bCs/>
                                    </w:rPr>
                                  </w:pPr>
                                  <w:r>
                                    <w:rPr>
                                      <w:rFonts w:hint="eastAsia"/>
                                      <w:b/>
                                      <w:bCs/>
                                    </w:rPr>
                                    <w:t>里波水</w:t>
                                  </w:r>
                                </w:p>
                              </w:txbxContent>
                            </wps:txbx>
                            <wps:bodyPr wrap="square" upright="1"/>
                          </wps:wsp>
                        </a:graphicData>
                      </a:graphic>
                    </wp:anchor>
                  </w:drawing>
                </mc:Choice>
                <mc:Fallback>
                  <w:pict>
                    <v:shape id="_x0000_s1026" o:spid="_x0000_s1026" o:spt="61" type="#_x0000_t61" style="position:absolute;left:0pt;margin-left:57.05pt;margin-top:88.2pt;height:25.6pt;width:70.65pt;z-index:251665408;mso-width-relative:page;mso-height-relative:page;" fillcolor="#FFFFFF" filled="t" stroked="t" coordsize="21600,21600" o:gfxdata="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t/C7DYAAAACwEA&#10;AA8AAAAAAAAAAQAgAAAAIgAAAGRycy9kb3ducmV2LnhtbFBLAQIUABQAAAAIAIdO4kDkZfyDUwIA&#10;ALgEAAAOAAAAAAAAAAEAIAAAACcBAABkcnMvZTJvRG9jLnhtbFBLBQYAAAAABgAGAFkBAADsBQAA&#10;AAA=&#10;" adj="30191,31936">
                      <v:fill on="t" focussize="0,0"/>
                      <v:stroke weight="1.5pt" color="#000000" joinstyle="miter"/>
                      <v:imagedata o:title=""/>
                      <o:lock v:ext="edit" aspectratio="f"/>
                      <v:textbox>
                        <w:txbxContent>
                          <w:p w14:paraId="56016FCB">
                            <w:pPr>
                              <w:jc w:val="center"/>
                              <w:rPr>
                                <w:b/>
                                <w:bCs/>
                              </w:rPr>
                            </w:pPr>
                            <w:r>
                              <w:rPr>
                                <w:rFonts w:hint="eastAsia"/>
                                <w:b/>
                                <w:bCs/>
                              </w:rPr>
                              <w:t>里波水</w:t>
                            </w:r>
                          </w:p>
                        </w:txbxContent>
                      </v:textbox>
                    </v:shape>
                  </w:pict>
                </mc:Fallback>
              </mc:AlternateContent>
            </w:r>
            <w:r>
              <w:rPr>
                <w:rFonts w:ascii="Times New Roman" w:hAnsi="Times New Roman"/>
                <w:color w:val="auto"/>
              </w:rPr>
              <mc:AlternateContent>
                <mc:Choice Requires="wps">
                  <w:drawing>
                    <wp:anchor distT="0" distB="0" distL="114300" distR="114300" simplePos="0" relativeHeight="251663360" behindDoc="0" locked="0" layoutInCell="1" allowOverlap="1">
                      <wp:simplePos x="0" y="0"/>
                      <wp:positionH relativeFrom="column">
                        <wp:posOffset>1891665</wp:posOffset>
                      </wp:positionH>
                      <wp:positionV relativeFrom="paragraph">
                        <wp:posOffset>794385</wp:posOffset>
                      </wp:positionV>
                      <wp:extent cx="925830" cy="257175"/>
                      <wp:effectExtent l="6350" t="473075" r="134620" b="12700"/>
                      <wp:wrapNone/>
                      <wp:docPr id="265" name="矩形标注 265"/>
                      <wp:cNvGraphicFramePr/>
                      <a:graphic xmlns:a="http://schemas.openxmlformats.org/drawingml/2006/main">
                        <a:graphicData uri="http://schemas.microsoft.com/office/word/2010/wordprocessingShape">
                          <wps:wsp>
                            <wps:cNvSpPr/>
                            <wps:spPr>
                              <a:xfrm>
                                <a:off x="0" y="0"/>
                                <a:ext cx="925830" cy="257175"/>
                              </a:xfrm>
                              <a:prstGeom prst="wedgeRectCallout">
                                <a:avLst>
                                  <a:gd name="adj1" fmla="val 59945"/>
                                  <a:gd name="adj2" fmla="val -221604"/>
                                </a:avLst>
                              </a:prstGeom>
                              <a:solidFill>
                                <a:srgbClr val="FFFFFF"/>
                              </a:solidFill>
                              <a:ln w="12700" cap="flat" cmpd="sng">
                                <a:solidFill>
                                  <a:srgbClr val="000000"/>
                                </a:solidFill>
                                <a:prstDash val="solid"/>
                                <a:miter/>
                                <a:headEnd type="none" w="med" len="med"/>
                                <a:tailEnd type="none" w="med" len="med"/>
                              </a:ln>
                              <a:effectLst/>
                            </wps:spPr>
                            <wps:txbx>
                              <w:txbxContent>
                                <w:p w14:paraId="4FCD25E7">
                                  <w:pPr>
                                    <w:jc w:val="center"/>
                                    <w:rPr>
                                      <w:b/>
                                      <w:bCs/>
                                    </w:rPr>
                                  </w:pPr>
                                  <w:r>
                                    <w:rPr>
                                      <w:rFonts w:hint="eastAsia"/>
                                      <w:b/>
                                      <w:bCs/>
                                    </w:rPr>
                                    <w:t>项目所在地</w:t>
                                  </w:r>
                                </w:p>
                              </w:txbxContent>
                            </wps:txbx>
                            <wps:bodyPr wrap="square" upright="1"/>
                          </wps:wsp>
                        </a:graphicData>
                      </a:graphic>
                    </wp:anchor>
                  </w:drawing>
                </mc:Choice>
                <mc:Fallback>
                  <w:pict>
                    <v:shape id="_x0000_s1026" o:spid="_x0000_s1026" o:spt="61" type="#_x0000_t61" style="position:absolute;left:0pt;margin-left:148.95pt;margin-top:62.55pt;height:20.25pt;width:72.9pt;z-index:251663360;mso-width-relative:page;mso-height-relative:page;" fillcolor="#FFFFFF" filled="t" stroked="t" coordsize="21600,21600" o:gfxdata="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TvGk59sAAAALAQAADwAA&#10;AAAAAAABACAAAAAiAAAAZHJzL2Rvd25yZXYueG1sUEsBAhQAFAAAAAgAh07iQHjFJWtMAgAArgQA&#10;AA4AAAAAAAAAAQAgAAAAKgEAAGRycy9lMm9Eb2MueG1sUEsFBgAAAAAGAAYAWQEAAOgFAAAAAA==&#10;" adj="23748,-37066">
                      <v:fill on="t" focussize="0,0"/>
                      <v:stroke weight="1pt" color="#000000" joinstyle="miter"/>
                      <v:imagedata o:title=""/>
                      <o:lock v:ext="edit" aspectratio="f"/>
                      <v:textbox>
                        <w:txbxContent>
                          <w:p w14:paraId="4FCD25E7">
                            <w:pPr>
                              <w:jc w:val="center"/>
                              <w:rPr>
                                <w:b/>
                                <w:bCs/>
                              </w:rPr>
                            </w:pPr>
                            <w:r>
                              <w:rPr>
                                <w:rFonts w:hint="eastAsia"/>
                                <w:b/>
                                <w:bCs/>
                              </w:rPr>
                              <w:t>项目所在地</w:t>
                            </w:r>
                          </w:p>
                        </w:txbxContent>
                      </v:textbox>
                    </v:shape>
                  </w:pict>
                </mc:Fallback>
              </mc:AlternateContent>
            </w:r>
            <w:r>
              <w:rPr>
                <w:rFonts w:ascii="Times New Roman" w:hAnsi="Times New Roman"/>
                <w:color w:val="auto"/>
              </w:rPr>
              <mc:AlternateContent>
                <mc:Choice Requires="wps">
                  <w:drawing>
                    <wp:anchor distT="0" distB="0" distL="114300" distR="114300" simplePos="0" relativeHeight="251664384" behindDoc="0" locked="0" layoutInCell="1" allowOverlap="1">
                      <wp:simplePos x="0" y="0"/>
                      <wp:positionH relativeFrom="column">
                        <wp:posOffset>3570605</wp:posOffset>
                      </wp:positionH>
                      <wp:positionV relativeFrom="paragraph">
                        <wp:posOffset>1035685</wp:posOffset>
                      </wp:positionV>
                      <wp:extent cx="1945640" cy="257175"/>
                      <wp:effectExtent l="301625" t="6350" r="19685" b="193675"/>
                      <wp:wrapNone/>
                      <wp:docPr id="269" name="矩形标注 269"/>
                      <wp:cNvGraphicFramePr/>
                      <a:graphic xmlns:a="http://schemas.openxmlformats.org/drawingml/2006/main">
                        <a:graphicData uri="http://schemas.microsoft.com/office/word/2010/wordprocessingShape">
                          <wps:wsp>
                            <wps:cNvSpPr/>
                            <wps:spPr>
                              <a:xfrm>
                                <a:off x="3560445" y="1513840"/>
                                <a:ext cx="1945640" cy="257175"/>
                              </a:xfrm>
                              <a:prstGeom prst="wedgeRectCallout">
                                <a:avLst>
                                  <a:gd name="adj1" fmla="val -62924"/>
                                  <a:gd name="adj2" fmla="val 117160"/>
                                </a:avLst>
                              </a:prstGeom>
                              <a:solidFill>
                                <a:srgbClr val="FFFFFF"/>
                              </a:solidFill>
                              <a:ln w="12700" cap="flat" cmpd="sng">
                                <a:solidFill>
                                  <a:srgbClr val="000000"/>
                                </a:solidFill>
                                <a:prstDash val="solid"/>
                                <a:miter/>
                                <a:headEnd type="none" w="med" len="med"/>
                                <a:tailEnd type="none" w="med" len="med"/>
                              </a:ln>
                              <a:effectLst/>
                            </wps:spPr>
                            <wps:txbx>
                              <w:txbxContent>
                                <w:p w14:paraId="3D9AB5FA">
                                  <w:pPr>
                                    <w:jc w:val="center"/>
                                    <w:rPr>
                                      <w:b/>
                                      <w:bCs/>
                                    </w:rPr>
                                  </w:pPr>
                                  <w:r>
                                    <w:rPr>
                                      <w:rFonts w:hint="eastAsia"/>
                                      <w:b/>
                                      <w:bCs/>
                                    </w:rPr>
                                    <w:t>石湾镇西基生活污水厂</w:t>
                                  </w:r>
                                </w:p>
                              </w:txbxContent>
                            </wps:txbx>
                            <wps:bodyPr wrap="square" upright="1"/>
                          </wps:wsp>
                        </a:graphicData>
                      </a:graphic>
                    </wp:anchor>
                  </w:drawing>
                </mc:Choice>
                <mc:Fallback>
                  <w:pict>
                    <v:shape id="_x0000_s1026" o:spid="_x0000_s1026" o:spt="61" type="#_x0000_t61" style="position:absolute;left:0pt;margin-left:281.15pt;margin-top:81.55pt;height:20.25pt;width:153.2pt;z-index:251664384;mso-width-relative:page;mso-height-relative:page;" fillcolor="#FFFFFF" filled="t" stroked="t" coordsize="21600,21600" o:gfxdata="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K&#10;LYKm3AAAAAsBAAAPAAAAAAAAAAEAIAAAACIAAABkcnMvZG93bnJldi54bWxQSwECFAAUAAAACACH&#10;TuJASOF0m1kCAAC7BAAADgAAAAAAAAABACAAAAArAQAAZHJzL2Uyb0RvYy54bWxQSwUGAAAAAAYA&#10;BgBZAQAA9gUAAAAA&#10;" adj="-2792,36107">
                      <v:fill on="t" focussize="0,0"/>
                      <v:stroke weight="1pt" color="#000000" joinstyle="miter"/>
                      <v:imagedata o:title=""/>
                      <o:lock v:ext="edit" aspectratio="f"/>
                      <v:textbox>
                        <w:txbxContent>
                          <w:p w14:paraId="3D9AB5FA">
                            <w:pPr>
                              <w:jc w:val="center"/>
                              <w:rPr>
                                <w:b/>
                                <w:bCs/>
                              </w:rPr>
                            </w:pPr>
                            <w:r>
                              <w:rPr>
                                <w:rFonts w:hint="eastAsia"/>
                                <w:b/>
                                <w:bCs/>
                              </w:rPr>
                              <w:t>石湾镇西基生活污水厂</w:t>
                            </w:r>
                          </w:p>
                        </w:txbxContent>
                      </v:textbox>
                    </v:shape>
                  </w:pict>
                </mc:Fallback>
              </mc:AlternateContent>
            </w:r>
            <w:r>
              <w:rPr>
                <w:color w:val="auto"/>
              </w:rPr>
              <w:drawing>
                <wp:inline distT="0" distB="0" distL="114300" distR="114300">
                  <wp:extent cx="5980430" cy="2971165"/>
                  <wp:effectExtent l="0" t="0" r="1270" b="635"/>
                  <wp:docPr id="10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0"/>
                          <pic:cNvPicPr>
                            <a:picLocks noChangeAspect="1"/>
                          </pic:cNvPicPr>
                        </pic:nvPicPr>
                        <pic:blipFill>
                          <a:blip r:embed="rId33"/>
                          <a:stretch>
                            <a:fillRect/>
                          </a:stretch>
                        </pic:blipFill>
                        <pic:spPr>
                          <a:xfrm>
                            <a:off x="0" y="0"/>
                            <a:ext cx="5980430" cy="2971165"/>
                          </a:xfrm>
                          <a:prstGeom prst="rect">
                            <a:avLst/>
                          </a:prstGeom>
                          <a:noFill/>
                          <a:ln>
                            <a:noFill/>
                          </a:ln>
                        </pic:spPr>
                      </pic:pic>
                    </a:graphicData>
                  </a:graphic>
                </wp:inline>
              </w:drawing>
            </w:r>
          </w:p>
          <w:p w14:paraId="7A4A64E8">
            <w:pPr>
              <w:tabs>
                <w:tab w:val="left" w:pos="9360"/>
              </w:tabs>
              <w:spacing w:line="360" w:lineRule="auto"/>
              <w:ind w:firstLine="422" w:firstLineChars="200"/>
              <w:jc w:val="center"/>
              <w:rPr>
                <w:color w:val="auto"/>
              </w:rPr>
            </w:pPr>
            <w:r>
              <w:rPr>
                <w:b/>
                <w:bCs/>
                <w:color w:val="auto"/>
                <w:szCs w:val="21"/>
              </w:rPr>
              <w:t>图3-</w:t>
            </w:r>
            <w:r>
              <w:rPr>
                <w:rFonts w:hint="eastAsia"/>
                <w:b/>
                <w:bCs/>
                <w:color w:val="auto"/>
                <w:szCs w:val="21"/>
                <w:lang w:val="en-US" w:eastAsia="zh-CN"/>
              </w:rPr>
              <w:t>3</w:t>
            </w:r>
            <w:r>
              <w:rPr>
                <w:b/>
                <w:bCs/>
                <w:color w:val="auto"/>
                <w:szCs w:val="21"/>
              </w:rPr>
              <w:t xml:space="preserve"> 引用监测断面与本项目位置图</w:t>
            </w:r>
          </w:p>
          <w:p w14:paraId="1A60B058">
            <w:pPr>
              <w:pStyle w:val="76"/>
              <w:snapToGrid w:val="0"/>
              <w:spacing w:before="120" w:beforeLines="50"/>
              <w:ind w:firstLine="420" w:firstLineChars="200"/>
              <w:rPr>
                <w:rFonts w:ascii="Times New Roman" w:hAnsi="Times New Roman"/>
                <w:color w:val="auto"/>
                <w:sz w:val="21"/>
                <w:szCs w:val="21"/>
              </w:rPr>
            </w:pPr>
          </w:p>
          <w:p w14:paraId="213F9F4E">
            <w:pPr>
              <w:pStyle w:val="76"/>
              <w:snapToGrid w:val="0"/>
              <w:spacing w:before="120" w:beforeLines="50"/>
              <w:ind w:firstLine="420" w:firstLineChars="200"/>
              <w:rPr>
                <w:rFonts w:ascii="Times New Roman" w:hAnsi="Times New Roman"/>
                <w:color w:val="auto"/>
                <w:sz w:val="21"/>
                <w:szCs w:val="21"/>
              </w:rPr>
            </w:pPr>
          </w:p>
          <w:p w14:paraId="130E042E">
            <w:pPr>
              <w:pStyle w:val="76"/>
              <w:snapToGrid w:val="0"/>
              <w:spacing w:before="120" w:beforeLines="50"/>
              <w:ind w:firstLine="420" w:firstLineChars="200"/>
              <w:rPr>
                <w:rFonts w:ascii="Times New Roman" w:hAnsi="Times New Roman"/>
                <w:color w:val="auto"/>
                <w:sz w:val="21"/>
                <w:szCs w:val="21"/>
              </w:rPr>
            </w:pPr>
            <w:r>
              <w:rPr>
                <w:rFonts w:ascii="Times New Roman" w:hAnsi="Times New Roman"/>
                <w:color w:val="auto"/>
                <w:sz w:val="21"/>
                <w:szCs w:val="21"/>
              </w:rPr>
              <w:t>具体监测数据见下表。</w:t>
            </w:r>
          </w:p>
          <w:p w14:paraId="1BC321C5">
            <w:pPr>
              <w:widowControl/>
              <w:numPr>
                <w:ilvl w:val="0"/>
                <w:numId w:val="17"/>
              </w:numPr>
              <w:autoSpaceDE w:val="0"/>
              <w:autoSpaceDN w:val="0"/>
              <w:adjustRightInd w:val="0"/>
              <w:snapToGrid w:val="0"/>
              <w:jc w:val="center"/>
              <w:rPr>
                <w:color w:val="auto"/>
                <w:szCs w:val="21"/>
              </w:rPr>
            </w:pPr>
            <w:r>
              <w:rPr>
                <w:b/>
                <w:bCs/>
                <w:color w:val="auto"/>
                <w:szCs w:val="21"/>
              </w:rPr>
              <w:t xml:space="preserve">  项目监测数据统计表</w:t>
            </w:r>
          </w:p>
          <w:tbl>
            <w:tblPr>
              <w:tblStyle w:val="35"/>
              <w:tblW w:w="9432" w:type="dxa"/>
              <w:jc w:val="center"/>
              <w:tblLayout w:type="autofit"/>
              <w:tblCellMar>
                <w:top w:w="0" w:type="dxa"/>
                <w:left w:w="108" w:type="dxa"/>
                <w:bottom w:w="0" w:type="dxa"/>
                <w:right w:w="108" w:type="dxa"/>
              </w:tblCellMar>
            </w:tblPr>
            <w:tblGrid>
              <w:gridCol w:w="585"/>
              <w:gridCol w:w="1954"/>
              <w:gridCol w:w="829"/>
              <w:gridCol w:w="1027"/>
              <w:gridCol w:w="1027"/>
              <w:gridCol w:w="1031"/>
              <w:gridCol w:w="899"/>
              <w:gridCol w:w="742"/>
              <w:gridCol w:w="689"/>
              <w:gridCol w:w="649"/>
            </w:tblGrid>
            <w:tr w14:paraId="2D935E87">
              <w:tblPrEx>
                <w:tblCellMar>
                  <w:top w:w="0" w:type="dxa"/>
                  <w:left w:w="108" w:type="dxa"/>
                  <w:bottom w:w="0" w:type="dxa"/>
                  <w:right w:w="108" w:type="dxa"/>
                </w:tblCellMar>
              </w:tblPrEx>
              <w:trPr>
                <w:trHeight w:val="369" w:hRule="atLeast"/>
                <w:jc w:val="center"/>
              </w:trPr>
              <w:tc>
                <w:tcPr>
                  <w:tcW w:w="310" w:type="pct"/>
                  <w:vMerge w:val="restart"/>
                  <w:tcBorders>
                    <w:top w:val="single" w:color="000000" w:sz="4" w:space="0"/>
                    <w:left w:val="single" w:color="000000" w:sz="4" w:space="0"/>
                    <w:bottom w:val="single" w:color="000000" w:sz="4" w:space="0"/>
                    <w:right w:val="single" w:color="000000" w:sz="4" w:space="0"/>
                  </w:tcBorders>
                  <w:vAlign w:val="center"/>
                </w:tcPr>
                <w:p w14:paraId="27F339DE">
                  <w:pPr>
                    <w:widowControl/>
                    <w:jc w:val="center"/>
                    <w:textAlignment w:val="center"/>
                    <w:rPr>
                      <w:rFonts w:eastAsiaTheme="minorEastAsia"/>
                      <w:b/>
                      <w:bCs/>
                      <w:color w:val="auto"/>
                      <w:kern w:val="0"/>
                      <w:szCs w:val="21"/>
                      <w:lang w:bidi="ar"/>
                    </w:rPr>
                  </w:pPr>
                  <w:r>
                    <w:rPr>
                      <w:rFonts w:hint="eastAsia" w:eastAsiaTheme="minorEastAsia"/>
                      <w:b/>
                      <w:bCs/>
                      <w:color w:val="auto"/>
                      <w:kern w:val="0"/>
                      <w:szCs w:val="21"/>
                      <w:lang w:bidi="ar"/>
                    </w:rPr>
                    <w:t>断面</w:t>
                  </w:r>
                </w:p>
              </w:tc>
              <w:tc>
                <w:tcPr>
                  <w:tcW w:w="1035" w:type="pct"/>
                  <w:vMerge w:val="restart"/>
                  <w:tcBorders>
                    <w:top w:val="single" w:color="000000" w:sz="4" w:space="0"/>
                    <w:left w:val="single" w:color="000000" w:sz="4" w:space="0"/>
                    <w:bottom w:val="single" w:color="000000" w:sz="4" w:space="0"/>
                    <w:right w:val="single" w:color="000000" w:sz="4" w:space="0"/>
                  </w:tcBorders>
                  <w:vAlign w:val="center"/>
                </w:tcPr>
                <w:p w14:paraId="38FFAF13">
                  <w:pPr>
                    <w:widowControl/>
                    <w:jc w:val="center"/>
                    <w:textAlignment w:val="center"/>
                    <w:rPr>
                      <w:rFonts w:eastAsiaTheme="minorEastAsia"/>
                      <w:b/>
                      <w:bCs/>
                      <w:color w:val="auto"/>
                      <w:kern w:val="0"/>
                      <w:szCs w:val="21"/>
                      <w:lang w:bidi="ar"/>
                    </w:rPr>
                  </w:pPr>
                  <w:r>
                    <w:rPr>
                      <w:rFonts w:eastAsiaTheme="minorEastAsia"/>
                      <w:b/>
                      <w:bCs/>
                      <w:color w:val="auto"/>
                      <w:kern w:val="0"/>
                      <w:szCs w:val="21"/>
                      <w:lang w:bidi="ar"/>
                    </w:rPr>
                    <w:t>检测项目</w:t>
                  </w:r>
                </w:p>
              </w:tc>
              <w:tc>
                <w:tcPr>
                  <w:tcW w:w="439" w:type="pct"/>
                  <w:vMerge w:val="restart"/>
                  <w:tcBorders>
                    <w:top w:val="single" w:color="000000" w:sz="4" w:space="0"/>
                    <w:left w:val="single" w:color="000000" w:sz="4" w:space="0"/>
                    <w:bottom w:val="single" w:color="000000" w:sz="4" w:space="0"/>
                    <w:right w:val="single" w:color="000000" w:sz="4" w:space="0"/>
                  </w:tcBorders>
                  <w:vAlign w:val="center"/>
                </w:tcPr>
                <w:p w14:paraId="43EC32EF">
                  <w:pPr>
                    <w:widowControl/>
                    <w:jc w:val="center"/>
                    <w:textAlignment w:val="center"/>
                    <w:rPr>
                      <w:rFonts w:eastAsiaTheme="minorEastAsia"/>
                      <w:b/>
                      <w:bCs/>
                      <w:color w:val="auto"/>
                      <w:kern w:val="0"/>
                      <w:szCs w:val="21"/>
                      <w:lang w:bidi="ar"/>
                    </w:rPr>
                  </w:pPr>
                  <w:r>
                    <w:rPr>
                      <w:rFonts w:eastAsiaTheme="minorEastAsia"/>
                      <w:b/>
                      <w:bCs/>
                      <w:color w:val="auto"/>
                      <w:kern w:val="0"/>
                      <w:szCs w:val="21"/>
                      <w:lang w:bidi="ar"/>
                    </w:rPr>
                    <w:t>单位</w:t>
                  </w:r>
                </w:p>
              </w:tc>
              <w:tc>
                <w:tcPr>
                  <w:tcW w:w="1634" w:type="pct"/>
                  <w:gridSpan w:val="3"/>
                  <w:tcBorders>
                    <w:top w:val="single" w:color="000000" w:sz="4" w:space="0"/>
                    <w:left w:val="single" w:color="000000" w:sz="4" w:space="0"/>
                    <w:bottom w:val="single" w:color="000000" w:sz="4" w:space="0"/>
                    <w:right w:val="single" w:color="000000" w:sz="4" w:space="0"/>
                  </w:tcBorders>
                  <w:vAlign w:val="center"/>
                </w:tcPr>
                <w:p w14:paraId="576ADC28">
                  <w:pPr>
                    <w:widowControl/>
                    <w:jc w:val="center"/>
                    <w:textAlignment w:val="center"/>
                    <w:rPr>
                      <w:rFonts w:eastAsiaTheme="minorEastAsia"/>
                      <w:b/>
                      <w:bCs/>
                      <w:color w:val="auto"/>
                      <w:kern w:val="0"/>
                      <w:szCs w:val="21"/>
                      <w:lang w:bidi="ar"/>
                    </w:rPr>
                  </w:pPr>
                  <w:r>
                    <w:rPr>
                      <w:rFonts w:eastAsiaTheme="minorEastAsia"/>
                      <w:b/>
                      <w:bCs/>
                      <w:color w:val="auto"/>
                      <w:kern w:val="0"/>
                      <w:szCs w:val="21"/>
                      <w:lang w:bidi="ar"/>
                    </w:rPr>
                    <w:t>检测结果</w:t>
                  </w:r>
                </w:p>
              </w:tc>
              <w:tc>
                <w:tcPr>
                  <w:tcW w:w="476" w:type="pct"/>
                  <w:vMerge w:val="restart"/>
                  <w:tcBorders>
                    <w:top w:val="single" w:color="000000" w:sz="4" w:space="0"/>
                    <w:left w:val="single" w:color="000000" w:sz="4" w:space="0"/>
                    <w:right w:val="single" w:color="000000" w:sz="4" w:space="0"/>
                  </w:tcBorders>
                  <w:vAlign w:val="center"/>
                </w:tcPr>
                <w:p w14:paraId="398CC27F">
                  <w:pPr>
                    <w:widowControl/>
                    <w:jc w:val="center"/>
                    <w:textAlignment w:val="center"/>
                    <w:rPr>
                      <w:rFonts w:eastAsiaTheme="minorEastAsia"/>
                      <w:b/>
                      <w:bCs/>
                      <w:color w:val="auto"/>
                      <w:kern w:val="0"/>
                      <w:szCs w:val="21"/>
                      <w:lang w:bidi="ar"/>
                    </w:rPr>
                  </w:pPr>
                  <w:r>
                    <w:rPr>
                      <w:rFonts w:hint="eastAsia" w:eastAsiaTheme="minorEastAsia"/>
                      <w:b/>
                      <w:bCs/>
                      <w:color w:val="auto"/>
                      <w:kern w:val="0"/>
                      <w:szCs w:val="21"/>
                      <w:lang w:bidi="ar"/>
                    </w:rPr>
                    <w:t>平均值</w:t>
                  </w:r>
                </w:p>
              </w:tc>
              <w:tc>
                <w:tcPr>
                  <w:tcW w:w="393" w:type="pct"/>
                  <w:vMerge w:val="restart"/>
                  <w:tcBorders>
                    <w:top w:val="single" w:color="000000" w:sz="4" w:space="0"/>
                    <w:left w:val="single" w:color="000000" w:sz="4" w:space="0"/>
                    <w:right w:val="single" w:color="000000" w:sz="4" w:space="0"/>
                  </w:tcBorders>
                  <w:vAlign w:val="center"/>
                </w:tcPr>
                <w:p w14:paraId="680E656A">
                  <w:pPr>
                    <w:widowControl/>
                    <w:jc w:val="center"/>
                    <w:textAlignment w:val="center"/>
                    <w:rPr>
                      <w:rFonts w:eastAsiaTheme="minorEastAsia"/>
                      <w:b/>
                      <w:bCs/>
                      <w:color w:val="auto"/>
                      <w:kern w:val="0"/>
                      <w:szCs w:val="21"/>
                      <w:lang w:bidi="ar"/>
                    </w:rPr>
                  </w:pPr>
                  <w:r>
                    <w:rPr>
                      <w:rFonts w:hint="eastAsia" w:eastAsiaTheme="minorEastAsia"/>
                      <w:b/>
                      <w:bCs/>
                      <w:color w:val="auto"/>
                      <w:kern w:val="0"/>
                      <w:szCs w:val="21"/>
                      <w:lang w:bidi="ar"/>
                    </w:rPr>
                    <w:t>标准</w:t>
                  </w:r>
                  <w:r>
                    <w:rPr>
                      <w:rFonts w:hint="eastAsia" w:eastAsiaTheme="minorEastAsia"/>
                      <w:b/>
                      <w:bCs/>
                      <w:color w:val="auto"/>
                      <w:kern w:val="0"/>
                      <w:szCs w:val="21"/>
                      <w:lang w:val="en-US" w:eastAsia="zh-CN" w:bidi="ar"/>
                    </w:rPr>
                    <w:t>限</w:t>
                  </w:r>
                  <w:r>
                    <w:rPr>
                      <w:rFonts w:hint="eastAsia" w:eastAsiaTheme="minorEastAsia"/>
                      <w:b/>
                      <w:bCs/>
                      <w:color w:val="auto"/>
                      <w:kern w:val="0"/>
                      <w:szCs w:val="21"/>
                      <w:lang w:bidi="ar"/>
                    </w:rPr>
                    <w:t>值</w:t>
                  </w:r>
                </w:p>
              </w:tc>
              <w:tc>
                <w:tcPr>
                  <w:tcW w:w="365" w:type="pct"/>
                  <w:tcBorders>
                    <w:top w:val="single" w:color="000000" w:sz="4" w:space="0"/>
                    <w:left w:val="single" w:color="000000" w:sz="4" w:space="0"/>
                    <w:right w:val="single" w:color="000000" w:sz="4" w:space="0"/>
                  </w:tcBorders>
                  <w:vAlign w:val="center"/>
                </w:tcPr>
                <w:p w14:paraId="0B558733">
                  <w:pPr>
                    <w:widowControl/>
                    <w:jc w:val="center"/>
                    <w:textAlignment w:val="center"/>
                    <w:rPr>
                      <w:rFonts w:eastAsiaTheme="minorEastAsia"/>
                      <w:b/>
                      <w:bCs/>
                      <w:color w:val="auto"/>
                      <w:kern w:val="0"/>
                      <w:szCs w:val="21"/>
                      <w:lang w:bidi="ar"/>
                    </w:rPr>
                  </w:pPr>
                  <w:r>
                    <w:rPr>
                      <w:rFonts w:hint="eastAsia" w:eastAsiaTheme="minorEastAsia"/>
                      <w:b/>
                      <w:bCs/>
                      <w:color w:val="auto"/>
                      <w:kern w:val="0"/>
                      <w:szCs w:val="21"/>
                      <w:lang w:bidi="ar"/>
                    </w:rPr>
                    <w:t>标准指数</w:t>
                  </w:r>
                </w:p>
              </w:tc>
              <w:tc>
                <w:tcPr>
                  <w:tcW w:w="344" w:type="pct"/>
                  <w:tcBorders>
                    <w:top w:val="single" w:color="000000" w:sz="4" w:space="0"/>
                    <w:left w:val="single" w:color="000000" w:sz="4" w:space="0"/>
                    <w:right w:val="single" w:color="000000" w:sz="4" w:space="0"/>
                  </w:tcBorders>
                  <w:vAlign w:val="center"/>
                </w:tcPr>
                <w:p w14:paraId="4E476F0F">
                  <w:pPr>
                    <w:widowControl/>
                    <w:jc w:val="center"/>
                    <w:textAlignment w:val="center"/>
                    <w:rPr>
                      <w:rFonts w:hint="default" w:eastAsiaTheme="minorEastAsia"/>
                      <w:b/>
                      <w:bCs/>
                      <w:color w:val="auto"/>
                      <w:kern w:val="0"/>
                      <w:szCs w:val="21"/>
                      <w:lang w:val="en-US" w:eastAsia="zh-CN" w:bidi="ar"/>
                    </w:rPr>
                  </w:pPr>
                  <w:r>
                    <w:rPr>
                      <w:rFonts w:hint="eastAsia" w:eastAsiaTheme="minorEastAsia"/>
                      <w:b/>
                      <w:bCs/>
                      <w:color w:val="auto"/>
                      <w:kern w:val="0"/>
                      <w:szCs w:val="21"/>
                      <w:lang w:val="en-US" w:eastAsia="zh-CN" w:bidi="ar"/>
                    </w:rPr>
                    <w:t>超标倍数</w:t>
                  </w:r>
                </w:p>
              </w:tc>
            </w:tr>
            <w:tr w14:paraId="0370C533">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3CEDD108">
                  <w:pPr>
                    <w:widowControl/>
                    <w:jc w:val="center"/>
                    <w:textAlignment w:val="center"/>
                    <w:rPr>
                      <w:rFonts w:eastAsiaTheme="minorEastAsia"/>
                      <w:b/>
                      <w:bCs/>
                      <w:color w:val="auto"/>
                      <w:kern w:val="0"/>
                      <w:szCs w:val="21"/>
                      <w:lang w:bidi="ar"/>
                    </w:rPr>
                  </w:pPr>
                </w:p>
              </w:tc>
              <w:tc>
                <w:tcPr>
                  <w:tcW w:w="1035" w:type="pct"/>
                  <w:vMerge w:val="continue"/>
                  <w:tcBorders>
                    <w:top w:val="single" w:color="000000" w:sz="4" w:space="0"/>
                    <w:left w:val="single" w:color="000000" w:sz="4" w:space="0"/>
                    <w:bottom w:val="single" w:color="000000" w:sz="4" w:space="0"/>
                    <w:right w:val="single" w:color="000000" w:sz="4" w:space="0"/>
                  </w:tcBorders>
                  <w:vAlign w:val="center"/>
                </w:tcPr>
                <w:p w14:paraId="0A78FC72">
                  <w:pPr>
                    <w:widowControl/>
                    <w:jc w:val="center"/>
                    <w:textAlignment w:val="center"/>
                    <w:rPr>
                      <w:rFonts w:eastAsiaTheme="minorEastAsia"/>
                      <w:b/>
                      <w:bCs/>
                      <w:color w:val="auto"/>
                      <w:kern w:val="0"/>
                      <w:szCs w:val="21"/>
                      <w:lang w:bidi="ar"/>
                    </w:rPr>
                  </w:pPr>
                </w:p>
              </w:tc>
              <w:tc>
                <w:tcPr>
                  <w:tcW w:w="439" w:type="pct"/>
                  <w:vMerge w:val="continue"/>
                  <w:tcBorders>
                    <w:top w:val="single" w:color="000000" w:sz="4" w:space="0"/>
                    <w:left w:val="single" w:color="000000" w:sz="4" w:space="0"/>
                    <w:bottom w:val="single" w:color="000000" w:sz="4" w:space="0"/>
                    <w:right w:val="single" w:color="000000" w:sz="4" w:space="0"/>
                  </w:tcBorders>
                  <w:vAlign w:val="center"/>
                </w:tcPr>
                <w:p w14:paraId="5E796167">
                  <w:pPr>
                    <w:widowControl/>
                    <w:jc w:val="center"/>
                    <w:textAlignment w:val="center"/>
                    <w:rPr>
                      <w:rFonts w:eastAsiaTheme="minorEastAsia"/>
                      <w:b/>
                      <w:bCs/>
                      <w:color w:val="auto"/>
                      <w:kern w:val="0"/>
                      <w:szCs w:val="21"/>
                      <w:lang w:bidi="ar"/>
                    </w:rPr>
                  </w:pPr>
                </w:p>
              </w:tc>
              <w:tc>
                <w:tcPr>
                  <w:tcW w:w="544" w:type="pct"/>
                  <w:tcBorders>
                    <w:top w:val="single" w:color="000000" w:sz="4" w:space="0"/>
                    <w:left w:val="single" w:color="000000" w:sz="4" w:space="0"/>
                    <w:bottom w:val="single" w:color="000000" w:sz="4" w:space="0"/>
                    <w:right w:val="single" w:color="000000" w:sz="4" w:space="0"/>
                  </w:tcBorders>
                  <w:vAlign w:val="center"/>
                </w:tcPr>
                <w:p w14:paraId="719A8AE6">
                  <w:pPr>
                    <w:widowControl/>
                    <w:jc w:val="center"/>
                    <w:textAlignment w:val="center"/>
                    <w:rPr>
                      <w:rFonts w:eastAsiaTheme="minorEastAsia"/>
                      <w:b/>
                      <w:bCs/>
                      <w:color w:val="auto"/>
                      <w:kern w:val="0"/>
                      <w:szCs w:val="21"/>
                      <w:lang w:bidi="ar"/>
                    </w:rPr>
                  </w:pPr>
                  <w:r>
                    <w:rPr>
                      <w:rFonts w:hint="eastAsia" w:eastAsiaTheme="minorEastAsia"/>
                      <w:b/>
                      <w:bCs/>
                      <w:color w:val="auto"/>
                      <w:kern w:val="0"/>
                      <w:szCs w:val="21"/>
                      <w:lang w:bidi="ar"/>
                    </w:rPr>
                    <w:t>01/05</w:t>
                  </w:r>
                </w:p>
              </w:tc>
              <w:tc>
                <w:tcPr>
                  <w:tcW w:w="544" w:type="pct"/>
                  <w:tcBorders>
                    <w:top w:val="single" w:color="000000" w:sz="4" w:space="0"/>
                    <w:left w:val="single" w:color="000000" w:sz="4" w:space="0"/>
                    <w:bottom w:val="single" w:color="000000" w:sz="4" w:space="0"/>
                    <w:right w:val="single" w:color="000000" w:sz="4" w:space="0"/>
                  </w:tcBorders>
                  <w:vAlign w:val="center"/>
                </w:tcPr>
                <w:p w14:paraId="50CF9BA1">
                  <w:pPr>
                    <w:widowControl/>
                    <w:jc w:val="center"/>
                    <w:textAlignment w:val="center"/>
                    <w:rPr>
                      <w:rFonts w:eastAsiaTheme="minorEastAsia"/>
                      <w:b/>
                      <w:bCs/>
                      <w:color w:val="auto"/>
                      <w:kern w:val="0"/>
                      <w:szCs w:val="21"/>
                      <w:lang w:bidi="ar"/>
                    </w:rPr>
                  </w:pPr>
                  <w:r>
                    <w:rPr>
                      <w:rFonts w:hint="eastAsia" w:eastAsiaTheme="minorEastAsia"/>
                      <w:b/>
                      <w:bCs/>
                      <w:color w:val="auto"/>
                      <w:kern w:val="0"/>
                      <w:szCs w:val="21"/>
                      <w:lang w:bidi="ar"/>
                    </w:rPr>
                    <w:t>01/06</w:t>
                  </w:r>
                </w:p>
              </w:tc>
              <w:tc>
                <w:tcPr>
                  <w:tcW w:w="545" w:type="pct"/>
                  <w:tcBorders>
                    <w:top w:val="single" w:color="000000" w:sz="4" w:space="0"/>
                    <w:left w:val="single" w:color="000000" w:sz="4" w:space="0"/>
                    <w:bottom w:val="single" w:color="000000" w:sz="4" w:space="0"/>
                    <w:right w:val="single" w:color="000000" w:sz="4" w:space="0"/>
                  </w:tcBorders>
                  <w:vAlign w:val="center"/>
                </w:tcPr>
                <w:p w14:paraId="479255EA">
                  <w:pPr>
                    <w:widowControl/>
                    <w:jc w:val="center"/>
                    <w:textAlignment w:val="center"/>
                    <w:rPr>
                      <w:rFonts w:eastAsiaTheme="minorEastAsia"/>
                      <w:b/>
                      <w:bCs/>
                      <w:color w:val="auto"/>
                      <w:kern w:val="0"/>
                      <w:szCs w:val="21"/>
                      <w:lang w:bidi="ar"/>
                    </w:rPr>
                  </w:pPr>
                  <w:r>
                    <w:rPr>
                      <w:rFonts w:hint="eastAsia" w:eastAsiaTheme="minorEastAsia"/>
                      <w:b/>
                      <w:bCs/>
                      <w:color w:val="auto"/>
                      <w:kern w:val="0"/>
                      <w:szCs w:val="21"/>
                      <w:lang w:bidi="ar"/>
                    </w:rPr>
                    <w:t>01/07</w:t>
                  </w:r>
                </w:p>
              </w:tc>
              <w:tc>
                <w:tcPr>
                  <w:tcW w:w="476" w:type="pct"/>
                  <w:vMerge w:val="continue"/>
                  <w:tcBorders>
                    <w:left w:val="single" w:color="000000" w:sz="4" w:space="0"/>
                    <w:bottom w:val="single" w:color="000000" w:sz="4" w:space="0"/>
                    <w:right w:val="single" w:color="000000" w:sz="4" w:space="0"/>
                  </w:tcBorders>
                  <w:vAlign w:val="center"/>
                </w:tcPr>
                <w:p w14:paraId="53F6D776">
                  <w:pPr>
                    <w:widowControl/>
                    <w:jc w:val="center"/>
                    <w:textAlignment w:val="center"/>
                    <w:rPr>
                      <w:rFonts w:eastAsiaTheme="minorEastAsia"/>
                      <w:b/>
                      <w:bCs/>
                      <w:color w:val="auto"/>
                      <w:kern w:val="0"/>
                      <w:szCs w:val="21"/>
                      <w:lang w:bidi="ar"/>
                    </w:rPr>
                  </w:pPr>
                </w:p>
              </w:tc>
              <w:tc>
                <w:tcPr>
                  <w:tcW w:w="393" w:type="pct"/>
                  <w:vMerge w:val="continue"/>
                  <w:tcBorders>
                    <w:left w:val="single" w:color="000000" w:sz="4" w:space="0"/>
                    <w:bottom w:val="single" w:color="000000" w:sz="4" w:space="0"/>
                    <w:right w:val="single" w:color="000000" w:sz="4" w:space="0"/>
                  </w:tcBorders>
                  <w:vAlign w:val="center"/>
                </w:tcPr>
                <w:p w14:paraId="3FB4A175">
                  <w:pPr>
                    <w:widowControl/>
                    <w:jc w:val="center"/>
                    <w:textAlignment w:val="center"/>
                    <w:rPr>
                      <w:rFonts w:eastAsiaTheme="minorEastAsia"/>
                      <w:b/>
                      <w:bCs/>
                      <w:color w:val="auto"/>
                      <w:kern w:val="0"/>
                      <w:szCs w:val="21"/>
                      <w:lang w:bidi="ar"/>
                    </w:rPr>
                  </w:pPr>
                </w:p>
              </w:tc>
              <w:tc>
                <w:tcPr>
                  <w:tcW w:w="365" w:type="pct"/>
                  <w:tcBorders>
                    <w:left w:val="single" w:color="000000" w:sz="4" w:space="0"/>
                    <w:bottom w:val="single" w:color="000000" w:sz="4" w:space="0"/>
                    <w:right w:val="single" w:color="000000" w:sz="4" w:space="0"/>
                  </w:tcBorders>
                  <w:vAlign w:val="center"/>
                </w:tcPr>
                <w:p w14:paraId="0FA2EC4F">
                  <w:pPr>
                    <w:widowControl/>
                    <w:jc w:val="both"/>
                    <w:textAlignment w:val="center"/>
                    <w:rPr>
                      <w:rFonts w:eastAsiaTheme="minorEastAsia"/>
                      <w:b/>
                      <w:bCs/>
                      <w:color w:val="auto"/>
                      <w:kern w:val="0"/>
                      <w:szCs w:val="21"/>
                      <w:lang w:bidi="ar"/>
                    </w:rPr>
                  </w:pPr>
                </w:p>
              </w:tc>
              <w:tc>
                <w:tcPr>
                  <w:tcW w:w="344" w:type="pct"/>
                  <w:tcBorders>
                    <w:left w:val="single" w:color="000000" w:sz="4" w:space="0"/>
                    <w:bottom w:val="single" w:color="000000" w:sz="4" w:space="0"/>
                    <w:right w:val="single" w:color="000000" w:sz="4" w:space="0"/>
                  </w:tcBorders>
                  <w:vAlign w:val="center"/>
                </w:tcPr>
                <w:p w14:paraId="4D63C03F">
                  <w:pPr>
                    <w:widowControl/>
                    <w:jc w:val="both"/>
                    <w:textAlignment w:val="center"/>
                    <w:rPr>
                      <w:rFonts w:eastAsiaTheme="minorEastAsia"/>
                      <w:b/>
                      <w:bCs/>
                      <w:color w:val="auto"/>
                      <w:kern w:val="0"/>
                      <w:szCs w:val="21"/>
                      <w:lang w:bidi="ar"/>
                    </w:rPr>
                  </w:pPr>
                </w:p>
              </w:tc>
            </w:tr>
            <w:tr w14:paraId="7B590671">
              <w:tblPrEx>
                <w:tblCellMar>
                  <w:top w:w="0" w:type="dxa"/>
                  <w:left w:w="108" w:type="dxa"/>
                  <w:bottom w:w="0" w:type="dxa"/>
                  <w:right w:w="108" w:type="dxa"/>
                </w:tblCellMar>
              </w:tblPrEx>
              <w:trPr>
                <w:jc w:val="center"/>
              </w:trPr>
              <w:tc>
                <w:tcPr>
                  <w:tcW w:w="310" w:type="pct"/>
                  <w:vMerge w:val="restart"/>
                  <w:tcBorders>
                    <w:top w:val="single" w:color="000000" w:sz="4" w:space="0"/>
                    <w:left w:val="single" w:color="000000" w:sz="4" w:space="0"/>
                    <w:bottom w:val="single" w:color="000000" w:sz="4" w:space="0"/>
                    <w:right w:val="single" w:color="000000" w:sz="4" w:space="0"/>
                  </w:tcBorders>
                  <w:vAlign w:val="center"/>
                </w:tcPr>
                <w:p w14:paraId="3BD7700E">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W3</w:t>
                  </w:r>
                </w:p>
              </w:tc>
              <w:tc>
                <w:tcPr>
                  <w:tcW w:w="1035" w:type="pct"/>
                  <w:tcBorders>
                    <w:top w:val="single" w:color="000000" w:sz="4" w:space="0"/>
                    <w:left w:val="single" w:color="000000" w:sz="4" w:space="0"/>
                    <w:bottom w:val="single" w:color="000000" w:sz="4" w:space="0"/>
                    <w:right w:val="single" w:color="000000" w:sz="4" w:space="0"/>
                  </w:tcBorders>
                  <w:vAlign w:val="center"/>
                </w:tcPr>
                <w:p w14:paraId="52F28B8C">
                  <w:pPr>
                    <w:widowControl/>
                    <w:jc w:val="center"/>
                    <w:textAlignment w:val="center"/>
                    <w:rPr>
                      <w:rFonts w:eastAsiaTheme="minorEastAsia"/>
                      <w:color w:val="auto"/>
                      <w:kern w:val="0"/>
                      <w:szCs w:val="21"/>
                      <w:lang w:bidi="ar"/>
                    </w:rPr>
                  </w:pPr>
                  <w:r>
                    <w:rPr>
                      <w:rFonts w:eastAsiaTheme="minorEastAsia"/>
                      <w:color w:val="auto"/>
                      <w:kern w:val="0"/>
                      <w:szCs w:val="21"/>
                      <w:lang w:bidi="ar"/>
                    </w:rPr>
                    <w:t>pH值</w:t>
                  </w:r>
                </w:p>
              </w:tc>
              <w:tc>
                <w:tcPr>
                  <w:tcW w:w="439" w:type="pct"/>
                  <w:tcBorders>
                    <w:top w:val="single" w:color="000000" w:sz="4" w:space="0"/>
                    <w:left w:val="single" w:color="000000" w:sz="4" w:space="0"/>
                    <w:bottom w:val="single" w:color="000000" w:sz="4" w:space="0"/>
                    <w:right w:val="single" w:color="000000" w:sz="4" w:space="0"/>
                  </w:tcBorders>
                  <w:vAlign w:val="center"/>
                </w:tcPr>
                <w:p w14:paraId="3DE0581F">
                  <w:pPr>
                    <w:widowControl/>
                    <w:jc w:val="center"/>
                    <w:textAlignment w:val="center"/>
                    <w:rPr>
                      <w:rFonts w:eastAsiaTheme="minorEastAsia"/>
                      <w:color w:val="auto"/>
                      <w:kern w:val="0"/>
                      <w:szCs w:val="21"/>
                      <w:lang w:bidi="ar"/>
                    </w:rPr>
                  </w:pPr>
                  <w:r>
                    <w:rPr>
                      <w:rFonts w:eastAsiaTheme="minorEastAsia"/>
                      <w:color w:val="auto"/>
                      <w:kern w:val="0"/>
                      <w:szCs w:val="21"/>
                      <w:lang w:bidi="ar"/>
                    </w:rPr>
                    <w:t>无量纲</w:t>
                  </w:r>
                </w:p>
              </w:tc>
              <w:tc>
                <w:tcPr>
                  <w:tcW w:w="544" w:type="pct"/>
                  <w:tcBorders>
                    <w:top w:val="single" w:color="000000" w:sz="4" w:space="0"/>
                    <w:left w:val="single" w:color="000000" w:sz="4" w:space="0"/>
                    <w:bottom w:val="single" w:color="000000" w:sz="4" w:space="0"/>
                    <w:right w:val="single" w:color="000000" w:sz="4" w:space="0"/>
                  </w:tcBorders>
                  <w:vAlign w:val="center"/>
                </w:tcPr>
                <w:p w14:paraId="62A16411">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7.2</w:t>
                  </w:r>
                </w:p>
              </w:tc>
              <w:tc>
                <w:tcPr>
                  <w:tcW w:w="544" w:type="pct"/>
                  <w:tcBorders>
                    <w:top w:val="single" w:color="000000" w:sz="4" w:space="0"/>
                    <w:left w:val="single" w:color="000000" w:sz="4" w:space="0"/>
                    <w:bottom w:val="single" w:color="000000" w:sz="4" w:space="0"/>
                    <w:right w:val="single" w:color="000000" w:sz="4" w:space="0"/>
                  </w:tcBorders>
                  <w:vAlign w:val="center"/>
                </w:tcPr>
                <w:p w14:paraId="6488D2F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7.2</w:t>
                  </w:r>
                </w:p>
              </w:tc>
              <w:tc>
                <w:tcPr>
                  <w:tcW w:w="545" w:type="pct"/>
                  <w:tcBorders>
                    <w:top w:val="single" w:color="000000" w:sz="4" w:space="0"/>
                    <w:left w:val="single" w:color="000000" w:sz="4" w:space="0"/>
                    <w:bottom w:val="single" w:color="000000" w:sz="4" w:space="0"/>
                    <w:right w:val="single" w:color="000000" w:sz="4" w:space="0"/>
                  </w:tcBorders>
                  <w:vAlign w:val="center"/>
                </w:tcPr>
                <w:p w14:paraId="7012320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7.2</w:t>
                  </w:r>
                </w:p>
              </w:tc>
              <w:tc>
                <w:tcPr>
                  <w:tcW w:w="476" w:type="pct"/>
                  <w:tcBorders>
                    <w:top w:val="single" w:color="000000" w:sz="4" w:space="0"/>
                    <w:left w:val="single" w:color="000000" w:sz="4" w:space="0"/>
                    <w:bottom w:val="single" w:color="000000" w:sz="4" w:space="0"/>
                    <w:right w:val="single" w:color="000000" w:sz="4" w:space="0"/>
                  </w:tcBorders>
                  <w:vAlign w:val="center"/>
                </w:tcPr>
                <w:p w14:paraId="05174B9C">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7.2</w:t>
                  </w:r>
                </w:p>
              </w:tc>
              <w:tc>
                <w:tcPr>
                  <w:tcW w:w="393" w:type="pct"/>
                  <w:tcBorders>
                    <w:top w:val="single" w:color="000000" w:sz="4" w:space="0"/>
                    <w:left w:val="single" w:color="000000" w:sz="4" w:space="0"/>
                    <w:bottom w:val="single" w:color="000000" w:sz="4" w:space="0"/>
                    <w:right w:val="single" w:color="000000" w:sz="4" w:space="0"/>
                  </w:tcBorders>
                  <w:vAlign w:val="center"/>
                </w:tcPr>
                <w:p w14:paraId="69BC515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6~9</w:t>
                  </w:r>
                </w:p>
              </w:tc>
              <w:tc>
                <w:tcPr>
                  <w:tcW w:w="365" w:type="pct"/>
                  <w:tcBorders>
                    <w:top w:val="single" w:color="000000" w:sz="4" w:space="0"/>
                    <w:left w:val="single" w:color="000000" w:sz="4" w:space="0"/>
                    <w:bottom w:val="single" w:color="000000" w:sz="4" w:space="0"/>
                    <w:right w:val="single" w:color="000000" w:sz="4" w:space="0"/>
                  </w:tcBorders>
                  <w:vAlign w:val="center"/>
                </w:tcPr>
                <w:p w14:paraId="7889AD94">
                  <w:pPr>
                    <w:widowControl/>
                    <w:jc w:val="center"/>
                    <w:textAlignment w:val="center"/>
                    <w:rPr>
                      <w:rFonts w:eastAsiaTheme="minorEastAsia"/>
                      <w:color w:val="auto"/>
                      <w:kern w:val="0"/>
                      <w:szCs w:val="21"/>
                      <w:lang w:bidi="ar"/>
                    </w:rPr>
                  </w:pPr>
                  <w:r>
                    <w:rPr>
                      <w:color w:val="auto"/>
                      <w:kern w:val="0"/>
                      <w:szCs w:val="21"/>
                      <w:lang w:bidi="ar"/>
                    </w:rPr>
                    <w:t>0.1</w:t>
                  </w:r>
                </w:p>
              </w:tc>
              <w:tc>
                <w:tcPr>
                  <w:tcW w:w="344" w:type="pct"/>
                  <w:tcBorders>
                    <w:top w:val="single" w:color="000000" w:sz="4" w:space="0"/>
                    <w:left w:val="single" w:color="000000" w:sz="4" w:space="0"/>
                    <w:bottom w:val="single" w:color="000000" w:sz="4" w:space="0"/>
                    <w:right w:val="single" w:color="000000" w:sz="4" w:space="0"/>
                  </w:tcBorders>
                  <w:vAlign w:val="center"/>
                </w:tcPr>
                <w:p w14:paraId="67A00897">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3086A71C">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08FB068E">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213729B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水温</w:t>
                  </w:r>
                </w:p>
              </w:tc>
              <w:tc>
                <w:tcPr>
                  <w:tcW w:w="439" w:type="pct"/>
                  <w:tcBorders>
                    <w:top w:val="single" w:color="000000" w:sz="4" w:space="0"/>
                    <w:left w:val="single" w:color="000000" w:sz="4" w:space="0"/>
                    <w:bottom w:val="single" w:color="000000" w:sz="4" w:space="0"/>
                    <w:right w:val="single" w:color="000000" w:sz="4" w:space="0"/>
                  </w:tcBorders>
                  <w:vAlign w:val="center"/>
                </w:tcPr>
                <w:p w14:paraId="5C48FB52">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w:t>
                  </w:r>
                </w:p>
              </w:tc>
              <w:tc>
                <w:tcPr>
                  <w:tcW w:w="544" w:type="pct"/>
                  <w:tcBorders>
                    <w:top w:val="single" w:color="000000" w:sz="4" w:space="0"/>
                    <w:left w:val="single" w:color="000000" w:sz="4" w:space="0"/>
                    <w:bottom w:val="single" w:color="000000" w:sz="4" w:space="0"/>
                    <w:right w:val="single" w:color="000000" w:sz="4" w:space="0"/>
                  </w:tcBorders>
                  <w:vAlign w:val="center"/>
                </w:tcPr>
                <w:p w14:paraId="76DE5373">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18.5</w:t>
                  </w:r>
                </w:p>
              </w:tc>
              <w:tc>
                <w:tcPr>
                  <w:tcW w:w="544" w:type="pct"/>
                  <w:tcBorders>
                    <w:top w:val="single" w:color="000000" w:sz="4" w:space="0"/>
                    <w:left w:val="single" w:color="000000" w:sz="4" w:space="0"/>
                    <w:bottom w:val="single" w:color="000000" w:sz="4" w:space="0"/>
                    <w:right w:val="single" w:color="000000" w:sz="4" w:space="0"/>
                  </w:tcBorders>
                  <w:vAlign w:val="center"/>
                </w:tcPr>
                <w:p w14:paraId="4A345AB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18.4</w:t>
                  </w:r>
                </w:p>
              </w:tc>
              <w:tc>
                <w:tcPr>
                  <w:tcW w:w="545" w:type="pct"/>
                  <w:tcBorders>
                    <w:top w:val="single" w:color="000000" w:sz="4" w:space="0"/>
                    <w:left w:val="single" w:color="000000" w:sz="4" w:space="0"/>
                    <w:bottom w:val="single" w:color="000000" w:sz="4" w:space="0"/>
                    <w:right w:val="single" w:color="000000" w:sz="4" w:space="0"/>
                  </w:tcBorders>
                  <w:vAlign w:val="center"/>
                </w:tcPr>
                <w:p w14:paraId="5589D72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18.5</w:t>
                  </w:r>
                </w:p>
              </w:tc>
              <w:tc>
                <w:tcPr>
                  <w:tcW w:w="476" w:type="pct"/>
                  <w:tcBorders>
                    <w:top w:val="single" w:color="000000" w:sz="4" w:space="0"/>
                    <w:left w:val="single" w:color="000000" w:sz="4" w:space="0"/>
                    <w:bottom w:val="single" w:color="000000" w:sz="4" w:space="0"/>
                    <w:right w:val="single" w:color="000000" w:sz="4" w:space="0"/>
                  </w:tcBorders>
                  <w:vAlign w:val="center"/>
                </w:tcPr>
                <w:p w14:paraId="240FF2D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18.467</w:t>
                  </w:r>
                </w:p>
              </w:tc>
              <w:tc>
                <w:tcPr>
                  <w:tcW w:w="393" w:type="pct"/>
                  <w:tcBorders>
                    <w:top w:val="single" w:color="000000" w:sz="4" w:space="0"/>
                    <w:left w:val="single" w:color="000000" w:sz="4" w:space="0"/>
                    <w:bottom w:val="single" w:color="000000" w:sz="4" w:space="0"/>
                    <w:right w:val="single" w:color="000000" w:sz="4" w:space="0"/>
                  </w:tcBorders>
                  <w:vAlign w:val="center"/>
                </w:tcPr>
                <w:p w14:paraId="12E4361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w:t>
                  </w:r>
                </w:p>
              </w:tc>
              <w:tc>
                <w:tcPr>
                  <w:tcW w:w="365" w:type="pct"/>
                  <w:tcBorders>
                    <w:top w:val="single" w:color="000000" w:sz="4" w:space="0"/>
                    <w:left w:val="single" w:color="000000" w:sz="4" w:space="0"/>
                    <w:bottom w:val="single" w:color="000000" w:sz="4" w:space="0"/>
                    <w:right w:val="single" w:color="000000" w:sz="4" w:space="0"/>
                  </w:tcBorders>
                  <w:vAlign w:val="center"/>
                </w:tcPr>
                <w:p w14:paraId="57FBE03A">
                  <w:pPr>
                    <w:widowControl/>
                    <w:jc w:val="center"/>
                    <w:textAlignment w:val="center"/>
                    <w:rPr>
                      <w:rFonts w:eastAsiaTheme="minorEastAsia"/>
                      <w:color w:val="auto"/>
                      <w:kern w:val="0"/>
                      <w:szCs w:val="21"/>
                      <w:lang w:bidi="ar"/>
                    </w:rPr>
                  </w:pPr>
                  <w:r>
                    <w:rPr>
                      <w:color w:val="auto"/>
                      <w:kern w:val="0"/>
                      <w:szCs w:val="21"/>
                      <w:lang w:bidi="ar"/>
                    </w:rPr>
                    <w:t>/</w:t>
                  </w:r>
                </w:p>
              </w:tc>
              <w:tc>
                <w:tcPr>
                  <w:tcW w:w="344" w:type="pct"/>
                  <w:tcBorders>
                    <w:top w:val="single" w:color="000000" w:sz="4" w:space="0"/>
                    <w:left w:val="single" w:color="000000" w:sz="4" w:space="0"/>
                    <w:bottom w:val="single" w:color="000000" w:sz="4" w:space="0"/>
                    <w:right w:val="single" w:color="000000" w:sz="4" w:space="0"/>
                  </w:tcBorders>
                  <w:vAlign w:val="center"/>
                </w:tcPr>
                <w:p w14:paraId="4A787AAD">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r>
            <w:tr w14:paraId="685D6813">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513F54AC">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05A0339D">
                  <w:pPr>
                    <w:widowControl/>
                    <w:jc w:val="center"/>
                    <w:textAlignment w:val="center"/>
                    <w:rPr>
                      <w:rFonts w:eastAsiaTheme="minorEastAsia"/>
                      <w:color w:val="auto"/>
                      <w:kern w:val="0"/>
                      <w:szCs w:val="21"/>
                      <w:lang w:bidi="ar"/>
                    </w:rPr>
                  </w:pPr>
                  <w:r>
                    <w:rPr>
                      <w:rFonts w:eastAsiaTheme="minorEastAsia"/>
                      <w:color w:val="auto"/>
                      <w:kern w:val="0"/>
                      <w:szCs w:val="21"/>
                      <w:lang w:bidi="ar"/>
                    </w:rPr>
                    <w:t>溶解氧</w:t>
                  </w:r>
                </w:p>
              </w:tc>
              <w:tc>
                <w:tcPr>
                  <w:tcW w:w="439" w:type="pct"/>
                  <w:tcBorders>
                    <w:top w:val="single" w:color="000000" w:sz="4" w:space="0"/>
                    <w:left w:val="single" w:color="000000" w:sz="4" w:space="0"/>
                    <w:bottom w:val="single" w:color="000000" w:sz="4" w:space="0"/>
                    <w:right w:val="single" w:color="000000" w:sz="4" w:space="0"/>
                  </w:tcBorders>
                  <w:vAlign w:val="center"/>
                </w:tcPr>
                <w:p w14:paraId="6DE8BB70">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146BBAB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7.01</w:t>
                  </w:r>
                </w:p>
              </w:tc>
              <w:tc>
                <w:tcPr>
                  <w:tcW w:w="544" w:type="pct"/>
                  <w:tcBorders>
                    <w:top w:val="single" w:color="000000" w:sz="4" w:space="0"/>
                    <w:left w:val="single" w:color="000000" w:sz="4" w:space="0"/>
                    <w:bottom w:val="single" w:color="000000" w:sz="4" w:space="0"/>
                    <w:right w:val="single" w:color="000000" w:sz="4" w:space="0"/>
                  </w:tcBorders>
                  <w:vAlign w:val="center"/>
                </w:tcPr>
                <w:p w14:paraId="03E7B2AA">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7.21</w:t>
                  </w:r>
                </w:p>
              </w:tc>
              <w:tc>
                <w:tcPr>
                  <w:tcW w:w="545" w:type="pct"/>
                  <w:tcBorders>
                    <w:top w:val="single" w:color="000000" w:sz="4" w:space="0"/>
                    <w:left w:val="single" w:color="000000" w:sz="4" w:space="0"/>
                    <w:bottom w:val="single" w:color="000000" w:sz="4" w:space="0"/>
                    <w:right w:val="single" w:color="000000" w:sz="4" w:space="0"/>
                  </w:tcBorders>
                  <w:vAlign w:val="center"/>
                </w:tcPr>
                <w:p w14:paraId="6ABDDA9A">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7.42</w:t>
                  </w:r>
                </w:p>
              </w:tc>
              <w:tc>
                <w:tcPr>
                  <w:tcW w:w="476" w:type="pct"/>
                  <w:tcBorders>
                    <w:top w:val="single" w:color="000000" w:sz="4" w:space="0"/>
                    <w:left w:val="single" w:color="000000" w:sz="4" w:space="0"/>
                    <w:bottom w:val="single" w:color="000000" w:sz="4" w:space="0"/>
                    <w:right w:val="single" w:color="000000" w:sz="4" w:space="0"/>
                  </w:tcBorders>
                  <w:vAlign w:val="center"/>
                </w:tcPr>
                <w:p w14:paraId="107844A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7.213</w:t>
                  </w:r>
                </w:p>
              </w:tc>
              <w:tc>
                <w:tcPr>
                  <w:tcW w:w="393" w:type="pct"/>
                  <w:tcBorders>
                    <w:top w:val="single" w:color="000000" w:sz="4" w:space="0"/>
                    <w:left w:val="single" w:color="000000" w:sz="4" w:space="0"/>
                    <w:bottom w:val="single" w:color="000000" w:sz="4" w:space="0"/>
                    <w:right w:val="single" w:color="000000" w:sz="4" w:space="0"/>
                  </w:tcBorders>
                  <w:vAlign w:val="center"/>
                </w:tcPr>
                <w:p w14:paraId="70EE740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2</w:t>
                  </w:r>
                </w:p>
              </w:tc>
              <w:tc>
                <w:tcPr>
                  <w:tcW w:w="365" w:type="pct"/>
                  <w:tcBorders>
                    <w:top w:val="single" w:color="000000" w:sz="4" w:space="0"/>
                    <w:left w:val="single" w:color="000000" w:sz="4" w:space="0"/>
                    <w:bottom w:val="single" w:color="000000" w:sz="4" w:space="0"/>
                    <w:right w:val="single" w:color="000000" w:sz="4" w:space="0"/>
                  </w:tcBorders>
                  <w:vAlign w:val="center"/>
                </w:tcPr>
                <w:p w14:paraId="06E768E6">
                  <w:pPr>
                    <w:widowControl/>
                    <w:jc w:val="center"/>
                    <w:textAlignment w:val="center"/>
                    <w:rPr>
                      <w:rFonts w:eastAsiaTheme="minorEastAsia"/>
                      <w:color w:val="auto"/>
                      <w:kern w:val="0"/>
                      <w:szCs w:val="21"/>
                      <w:lang w:bidi="ar"/>
                    </w:rPr>
                  </w:pPr>
                  <w:r>
                    <w:rPr>
                      <w:color w:val="auto"/>
                      <w:kern w:val="0"/>
                      <w:szCs w:val="21"/>
                      <w:lang w:bidi="ar"/>
                    </w:rPr>
                    <w:t xml:space="preserve">0.291 </w:t>
                  </w:r>
                </w:p>
              </w:tc>
              <w:tc>
                <w:tcPr>
                  <w:tcW w:w="344" w:type="pct"/>
                  <w:tcBorders>
                    <w:top w:val="single" w:color="000000" w:sz="4" w:space="0"/>
                    <w:left w:val="single" w:color="000000" w:sz="4" w:space="0"/>
                    <w:bottom w:val="single" w:color="000000" w:sz="4" w:space="0"/>
                    <w:right w:val="single" w:color="000000" w:sz="4" w:space="0"/>
                  </w:tcBorders>
                  <w:vAlign w:val="center"/>
                </w:tcPr>
                <w:p w14:paraId="42ECA849">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270CD692">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59F0EA36">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0A55FDF3">
                  <w:pPr>
                    <w:widowControl/>
                    <w:jc w:val="center"/>
                    <w:textAlignment w:val="center"/>
                    <w:rPr>
                      <w:rFonts w:eastAsiaTheme="minorEastAsia"/>
                      <w:color w:val="auto"/>
                      <w:kern w:val="0"/>
                      <w:szCs w:val="21"/>
                      <w:lang w:bidi="ar"/>
                    </w:rPr>
                  </w:pPr>
                  <w:r>
                    <w:rPr>
                      <w:rFonts w:eastAsiaTheme="minorEastAsia"/>
                      <w:color w:val="auto"/>
                      <w:kern w:val="0"/>
                      <w:szCs w:val="21"/>
                      <w:lang w:bidi="ar"/>
                    </w:rPr>
                    <w:t>五日生化需氧量</w:t>
                  </w:r>
                </w:p>
              </w:tc>
              <w:tc>
                <w:tcPr>
                  <w:tcW w:w="439" w:type="pct"/>
                  <w:tcBorders>
                    <w:top w:val="single" w:color="000000" w:sz="4" w:space="0"/>
                    <w:left w:val="single" w:color="000000" w:sz="4" w:space="0"/>
                    <w:bottom w:val="single" w:color="000000" w:sz="4" w:space="0"/>
                    <w:right w:val="single" w:color="000000" w:sz="4" w:space="0"/>
                  </w:tcBorders>
                  <w:vAlign w:val="center"/>
                </w:tcPr>
                <w:p w14:paraId="1FFC0F13">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23DAFD6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3.6</w:t>
                  </w:r>
                </w:p>
              </w:tc>
              <w:tc>
                <w:tcPr>
                  <w:tcW w:w="544" w:type="pct"/>
                  <w:tcBorders>
                    <w:top w:val="single" w:color="000000" w:sz="4" w:space="0"/>
                    <w:left w:val="single" w:color="000000" w:sz="4" w:space="0"/>
                    <w:bottom w:val="single" w:color="000000" w:sz="4" w:space="0"/>
                    <w:right w:val="single" w:color="000000" w:sz="4" w:space="0"/>
                  </w:tcBorders>
                  <w:vAlign w:val="center"/>
                </w:tcPr>
                <w:p w14:paraId="23394146">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3.4</w:t>
                  </w:r>
                </w:p>
              </w:tc>
              <w:tc>
                <w:tcPr>
                  <w:tcW w:w="545" w:type="pct"/>
                  <w:tcBorders>
                    <w:top w:val="single" w:color="000000" w:sz="4" w:space="0"/>
                    <w:left w:val="single" w:color="000000" w:sz="4" w:space="0"/>
                    <w:bottom w:val="single" w:color="000000" w:sz="4" w:space="0"/>
                    <w:right w:val="single" w:color="000000" w:sz="4" w:space="0"/>
                  </w:tcBorders>
                  <w:vAlign w:val="center"/>
                </w:tcPr>
                <w:p w14:paraId="6689EBE0">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2.9</w:t>
                  </w:r>
                </w:p>
              </w:tc>
              <w:tc>
                <w:tcPr>
                  <w:tcW w:w="476" w:type="pct"/>
                  <w:tcBorders>
                    <w:top w:val="single" w:color="000000" w:sz="4" w:space="0"/>
                    <w:left w:val="single" w:color="000000" w:sz="4" w:space="0"/>
                    <w:bottom w:val="single" w:color="000000" w:sz="4" w:space="0"/>
                    <w:right w:val="single" w:color="000000" w:sz="4" w:space="0"/>
                  </w:tcBorders>
                  <w:vAlign w:val="center"/>
                </w:tcPr>
                <w:p w14:paraId="542ADB3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3.300</w:t>
                  </w:r>
                </w:p>
              </w:tc>
              <w:tc>
                <w:tcPr>
                  <w:tcW w:w="393" w:type="pct"/>
                  <w:tcBorders>
                    <w:top w:val="single" w:color="000000" w:sz="4" w:space="0"/>
                    <w:left w:val="single" w:color="000000" w:sz="4" w:space="0"/>
                    <w:bottom w:val="single" w:color="000000" w:sz="4" w:space="0"/>
                    <w:right w:val="single" w:color="000000" w:sz="4" w:space="0"/>
                  </w:tcBorders>
                  <w:vAlign w:val="center"/>
                </w:tcPr>
                <w:p w14:paraId="0B28F44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10</w:t>
                  </w:r>
                </w:p>
              </w:tc>
              <w:tc>
                <w:tcPr>
                  <w:tcW w:w="365" w:type="pct"/>
                  <w:tcBorders>
                    <w:top w:val="single" w:color="000000" w:sz="4" w:space="0"/>
                    <w:left w:val="single" w:color="000000" w:sz="4" w:space="0"/>
                    <w:bottom w:val="single" w:color="000000" w:sz="4" w:space="0"/>
                    <w:right w:val="single" w:color="000000" w:sz="4" w:space="0"/>
                  </w:tcBorders>
                  <w:vAlign w:val="center"/>
                </w:tcPr>
                <w:p w14:paraId="3D30D23D">
                  <w:pPr>
                    <w:widowControl/>
                    <w:jc w:val="center"/>
                    <w:textAlignment w:val="center"/>
                    <w:rPr>
                      <w:rFonts w:eastAsiaTheme="minorEastAsia"/>
                      <w:color w:val="auto"/>
                      <w:kern w:val="0"/>
                      <w:szCs w:val="21"/>
                      <w:lang w:bidi="ar"/>
                    </w:rPr>
                  </w:pPr>
                  <w:r>
                    <w:rPr>
                      <w:color w:val="auto"/>
                      <w:kern w:val="0"/>
                      <w:szCs w:val="21"/>
                      <w:lang w:bidi="ar"/>
                    </w:rPr>
                    <w:t>0.33</w:t>
                  </w:r>
                </w:p>
              </w:tc>
              <w:tc>
                <w:tcPr>
                  <w:tcW w:w="344" w:type="pct"/>
                  <w:tcBorders>
                    <w:top w:val="single" w:color="000000" w:sz="4" w:space="0"/>
                    <w:left w:val="single" w:color="000000" w:sz="4" w:space="0"/>
                    <w:bottom w:val="single" w:color="000000" w:sz="4" w:space="0"/>
                    <w:right w:val="single" w:color="000000" w:sz="4" w:space="0"/>
                  </w:tcBorders>
                  <w:vAlign w:val="center"/>
                </w:tcPr>
                <w:p w14:paraId="5A3A4277">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6F9C4C13">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799E7F5C">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5088E1AF">
                  <w:pPr>
                    <w:widowControl/>
                    <w:jc w:val="center"/>
                    <w:textAlignment w:val="center"/>
                    <w:rPr>
                      <w:rFonts w:eastAsiaTheme="minorEastAsia"/>
                      <w:color w:val="auto"/>
                      <w:kern w:val="0"/>
                      <w:szCs w:val="21"/>
                      <w:lang w:bidi="ar"/>
                    </w:rPr>
                  </w:pPr>
                  <w:r>
                    <w:rPr>
                      <w:rFonts w:eastAsiaTheme="minorEastAsia"/>
                      <w:color w:val="auto"/>
                      <w:kern w:val="0"/>
                      <w:szCs w:val="21"/>
                      <w:lang w:bidi="ar"/>
                    </w:rPr>
                    <w:t>化学需氧量</w:t>
                  </w:r>
                </w:p>
              </w:tc>
              <w:tc>
                <w:tcPr>
                  <w:tcW w:w="439" w:type="pct"/>
                  <w:tcBorders>
                    <w:top w:val="single" w:color="000000" w:sz="4" w:space="0"/>
                    <w:left w:val="single" w:color="000000" w:sz="4" w:space="0"/>
                    <w:bottom w:val="single" w:color="000000" w:sz="4" w:space="0"/>
                    <w:right w:val="single" w:color="000000" w:sz="4" w:space="0"/>
                  </w:tcBorders>
                  <w:vAlign w:val="center"/>
                </w:tcPr>
                <w:p w14:paraId="2E46DAC1">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6F42F25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12</w:t>
                  </w:r>
                </w:p>
              </w:tc>
              <w:tc>
                <w:tcPr>
                  <w:tcW w:w="544" w:type="pct"/>
                  <w:tcBorders>
                    <w:top w:val="single" w:color="000000" w:sz="4" w:space="0"/>
                    <w:left w:val="single" w:color="000000" w:sz="4" w:space="0"/>
                    <w:bottom w:val="single" w:color="000000" w:sz="4" w:space="0"/>
                    <w:right w:val="single" w:color="000000" w:sz="4" w:space="0"/>
                  </w:tcBorders>
                  <w:vAlign w:val="center"/>
                </w:tcPr>
                <w:p w14:paraId="76578702">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12</w:t>
                  </w:r>
                </w:p>
              </w:tc>
              <w:tc>
                <w:tcPr>
                  <w:tcW w:w="545" w:type="pct"/>
                  <w:tcBorders>
                    <w:top w:val="single" w:color="000000" w:sz="4" w:space="0"/>
                    <w:left w:val="single" w:color="000000" w:sz="4" w:space="0"/>
                    <w:bottom w:val="single" w:color="000000" w:sz="4" w:space="0"/>
                    <w:right w:val="single" w:color="000000" w:sz="4" w:space="0"/>
                  </w:tcBorders>
                  <w:vAlign w:val="center"/>
                </w:tcPr>
                <w:p w14:paraId="16E359B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10</w:t>
                  </w:r>
                </w:p>
              </w:tc>
              <w:tc>
                <w:tcPr>
                  <w:tcW w:w="476" w:type="pct"/>
                  <w:tcBorders>
                    <w:top w:val="single" w:color="000000" w:sz="4" w:space="0"/>
                    <w:left w:val="single" w:color="000000" w:sz="4" w:space="0"/>
                    <w:bottom w:val="single" w:color="000000" w:sz="4" w:space="0"/>
                    <w:right w:val="single" w:color="000000" w:sz="4" w:space="0"/>
                  </w:tcBorders>
                  <w:vAlign w:val="center"/>
                </w:tcPr>
                <w:p w14:paraId="2AF6141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11.333</w:t>
                  </w:r>
                </w:p>
              </w:tc>
              <w:tc>
                <w:tcPr>
                  <w:tcW w:w="393" w:type="pct"/>
                  <w:tcBorders>
                    <w:top w:val="single" w:color="000000" w:sz="4" w:space="0"/>
                    <w:left w:val="single" w:color="000000" w:sz="4" w:space="0"/>
                    <w:bottom w:val="single" w:color="000000" w:sz="4" w:space="0"/>
                    <w:right w:val="single" w:color="000000" w:sz="4" w:space="0"/>
                  </w:tcBorders>
                  <w:vAlign w:val="center"/>
                </w:tcPr>
                <w:p w14:paraId="3D6E19F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40</w:t>
                  </w:r>
                </w:p>
              </w:tc>
              <w:tc>
                <w:tcPr>
                  <w:tcW w:w="365" w:type="pct"/>
                  <w:tcBorders>
                    <w:top w:val="single" w:color="000000" w:sz="4" w:space="0"/>
                    <w:left w:val="single" w:color="000000" w:sz="4" w:space="0"/>
                    <w:bottom w:val="single" w:color="000000" w:sz="4" w:space="0"/>
                    <w:right w:val="single" w:color="000000" w:sz="4" w:space="0"/>
                  </w:tcBorders>
                  <w:vAlign w:val="center"/>
                </w:tcPr>
                <w:p w14:paraId="43E7D201">
                  <w:pPr>
                    <w:widowControl/>
                    <w:jc w:val="center"/>
                    <w:textAlignment w:val="center"/>
                    <w:rPr>
                      <w:rFonts w:eastAsiaTheme="minorEastAsia"/>
                      <w:color w:val="auto"/>
                      <w:kern w:val="0"/>
                      <w:szCs w:val="21"/>
                      <w:lang w:bidi="ar"/>
                    </w:rPr>
                  </w:pPr>
                  <w:r>
                    <w:rPr>
                      <w:color w:val="auto"/>
                      <w:kern w:val="0"/>
                      <w:szCs w:val="21"/>
                      <w:lang w:bidi="ar"/>
                    </w:rPr>
                    <w:t xml:space="preserve">0.283 </w:t>
                  </w:r>
                </w:p>
              </w:tc>
              <w:tc>
                <w:tcPr>
                  <w:tcW w:w="344" w:type="pct"/>
                  <w:tcBorders>
                    <w:top w:val="single" w:color="000000" w:sz="4" w:space="0"/>
                    <w:left w:val="single" w:color="000000" w:sz="4" w:space="0"/>
                    <w:bottom w:val="single" w:color="000000" w:sz="4" w:space="0"/>
                    <w:right w:val="single" w:color="000000" w:sz="4" w:space="0"/>
                  </w:tcBorders>
                  <w:vAlign w:val="center"/>
                </w:tcPr>
                <w:p w14:paraId="5C04C845">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5B2EA299">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04624178">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4876451A">
                  <w:pPr>
                    <w:widowControl/>
                    <w:jc w:val="center"/>
                    <w:textAlignment w:val="center"/>
                    <w:rPr>
                      <w:rFonts w:eastAsiaTheme="minorEastAsia"/>
                      <w:color w:val="auto"/>
                      <w:kern w:val="0"/>
                      <w:szCs w:val="21"/>
                      <w:lang w:bidi="ar"/>
                    </w:rPr>
                  </w:pPr>
                  <w:r>
                    <w:rPr>
                      <w:rFonts w:eastAsiaTheme="minorEastAsia"/>
                      <w:color w:val="auto"/>
                      <w:kern w:val="0"/>
                      <w:szCs w:val="21"/>
                      <w:lang w:bidi="ar"/>
                    </w:rPr>
                    <w:t>氨氮</w:t>
                  </w:r>
                </w:p>
              </w:tc>
              <w:tc>
                <w:tcPr>
                  <w:tcW w:w="439" w:type="pct"/>
                  <w:tcBorders>
                    <w:top w:val="single" w:color="000000" w:sz="4" w:space="0"/>
                    <w:left w:val="single" w:color="000000" w:sz="4" w:space="0"/>
                    <w:bottom w:val="single" w:color="000000" w:sz="4" w:space="0"/>
                    <w:right w:val="single" w:color="000000" w:sz="4" w:space="0"/>
                  </w:tcBorders>
                  <w:vAlign w:val="center"/>
                </w:tcPr>
                <w:p w14:paraId="7C45CC3C">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1CB9192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0.402</w:t>
                  </w:r>
                </w:p>
              </w:tc>
              <w:tc>
                <w:tcPr>
                  <w:tcW w:w="544" w:type="pct"/>
                  <w:tcBorders>
                    <w:top w:val="single" w:color="000000" w:sz="4" w:space="0"/>
                    <w:left w:val="single" w:color="000000" w:sz="4" w:space="0"/>
                    <w:bottom w:val="single" w:color="000000" w:sz="4" w:space="0"/>
                    <w:right w:val="single" w:color="000000" w:sz="4" w:space="0"/>
                  </w:tcBorders>
                  <w:vAlign w:val="center"/>
                </w:tcPr>
                <w:p w14:paraId="0407A51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0.422</w:t>
                  </w:r>
                </w:p>
              </w:tc>
              <w:tc>
                <w:tcPr>
                  <w:tcW w:w="545" w:type="pct"/>
                  <w:tcBorders>
                    <w:top w:val="single" w:color="000000" w:sz="4" w:space="0"/>
                    <w:left w:val="single" w:color="000000" w:sz="4" w:space="0"/>
                    <w:bottom w:val="single" w:color="000000" w:sz="4" w:space="0"/>
                    <w:right w:val="single" w:color="000000" w:sz="4" w:space="0"/>
                  </w:tcBorders>
                  <w:vAlign w:val="center"/>
                </w:tcPr>
                <w:p w14:paraId="34556A1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0.39</w:t>
                  </w:r>
                </w:p>
              </w:tc>
              <w:tc>
                <w:tcPr>
                  <w:tcW w:w="476" w:type="pct"/>
                  <w:tcBorders>
                    <w:top w:val="single" w:color="000000" w:sz="4" w:space="0"/>
                    <w:left w:val="single" w:color="000000" w:sz="4" w:space="0"/>
                    <w:bottom w:val="single" w:color="000000" w:sz="4" w:space="0"/>
                    <w:right w:val="single" w:color="000000" w:sz="4" w:space="0"/>
                  </w:tcBorders>
                  <w:vAlign w:val="center"/>
                </w:tcPr>
                <w:p w14:paraId="4BD34B5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0.405</w:t>
                  </w:r>
                </w:p>
              </w:tc>
              <w:tc>
                <w:tcPr>
                  <w:tcW w:w="393" w:type="pct"/>
                  <w:tcBorders>
                    <w:top w:val="single" w:color="000000" w:sz="4" w:space="0"/>
                    <w:left w:val="single" w:color="000000" w:sz="4" w:space="0"/>
                    <w:bottom w:val="single" w:color="000000" w:sz="4" w:space="0"/>
                    <w:right w:val="single" w:color="000000" w:sz="4" w:space="0"/>
                  </w:tcBorders>
                  <w:vAlign w:val="center"/>
                </w:tcPr>
                <w:p w14:paraId="03FF47A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2.0</w:t>
                  </w:r>
                </w:p>
              </w:tc>
              <w:tc>
                <w:tcPr>
                  <w:tcW w:w="365" w:type="pct"/>
                  <w:tcBorders>
                    <w:top w:val="single" w:color="000000" w:sz="4" w:space="0"/>
                    <w:left w:val="single" w:color="000000" w:sz="4" w:space="0"/>
                    <w:bottom w:val="single" w:color="000000" w:sz="4" w:space="0"/>
                    <w:right w:val="single" w:color="000000" w:sz="4" w:space="0"/>
                  </w:tcBorders>
                  <w:vAlign w:val="center"/>
                </w:tcPr>
                <w:p w14:paraId="736C2708">
                  <w:pPr>
                    <w:widowControl/>
                    <w:jc w:val="center"/>
                    <w:textAlignment w:val="center"/>
                    <w:rPr>
                      <w:rFonts w:eastAsiaTheme="minorEastAsia"/>
                      <w:color w:val="auto"/>
                      <w:kern w:val="0"/>
                      <w:szCs w:val="21"/>
                      <w:lang w:bidi="ar"/>
                    </w:rPr>
                  </w:pPr>
                  <w:r>
                    <w:rPr>
                      <w:color w:val="auto"/>
                      <w:kern w:val="0"/>
                      <w:szCs w:val="21"/>
                      <w:lang w:bidi="ar"/>
                    </w:rPr>
                    <w:t xml:space="preserve">0.203 </w:t>
                  </w:r>
                </w:p>
              </w:tc>
              <w:tc>
                <w:tcPr>
                  <w:tcW w:w="344" w:type="pct"/>
                  <w:tcBorders>
                    <w:top w:val="single" w:color="000000" w:sz="4" w:space="0"/>
                    <w:left w:val="single" w:color="000000" w:sz="4" w:space="0"/>
                    <w:bottom w:val="single" w:color="000000" w:sz="4" w:space="0"/>
                    <w:right w:val="single" w:color="000000" w:sz="4" w:space="0"/>
                  </w:tcBorders>
                  <w:vAlign w:val="center"/>
                </w:tcPr>
                <w:p w14:paraId="1494337C">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2A808F8D">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1A78E167">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2A6BFE64">
                  <w:pPr>
                    <w:widowControl/>
                    <w:jc w:val="center"/>
                    <w:textAlignment w:val="center"/>
                    <w:rPr>
                      <w:rFonts w:eastAsiaTheme="minorEastAsia"/>
                      <w:color w:val="auto"/>
                      <w:kern w:val="0"/>
                      <w:szCs w:val="21"/>
                      <w:lang w:bidi="ar"/>
                    </w:rPr>
                  </w:pPr>
                  <w:r>
                    <w:rPr>
                      <w:rFonts w:eastAsiaTheme="minorEastAsia"/>
                      <w:color w:val="auto"/>
                      <w:kern w:val="0"/>
                      <w:szCs w:val="21"/>
                      <w:lang w:bidi="ar"/>
                    </w:rPr>
                    <w:t>悬浮物</w:t>
                  </w:r>
                </w:p>
              </w:tc>
              <w:tc>
                <w:tcPr>
                  <w:tcW w:w="439" w:type="pct"/>
                  <w:tcBorders>
                    <w:top w:val="single" w:color="000000" w:sz="4" w:space="0"/>
                    <w:left w:val="single" w:color="000000" w:sz="4" w:space="0"/>
                    <w:bottom w:val="single" w:color="000000" w:sz="4" w:space="0"/>
                    <w:right w:val="single" w:color="000000" w:sz="4" w:space="0"/>
                  </w:tcBorders>
                  <w:vAlign w:val="center"/>
                </w:tcPr>
                <w:p w14:paraId="0C0B113B">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1FA0C22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w:t>
                  </w:r>
                </w:p>
              </w:tc>
              <w:tc>
                <w:tcPr>
                  <w:tcW w:w="544" w:type="pct"/>
                  <w:tcBorders>
                    <w:top w:val="single" w:color="000000" w:sz="4" w:space="0"/>
                    <w:left w:val="single" w:color="000000" w:sz="4" w:space="0"/>
                    <w:bottom w:val="single" w:color="000000" w:sz="4" w:space="0"/>
                    <w:right w:val="single" w:color="000000" w:sz="4" w:space="0"/>
                  </w:tcBorders>
                  <w:vAlign w:val="center"/>
                </w:tcPr>
                <w:p w14:paraId="7546059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w:t>
                  </w:r>
                </w:p>
              </w:tc>
              <w:tc>
                <w:tcPr>
                  <w:tcW w:w="545" w:type="pct"/>
                  <w:tcBorders>
                    <w:top w:val="single" w:color="000000" w:sz="4" w:space="0"/>
                    <w:left w:val="single" w:color="000000" w:sz="4" w:space="0"/>
                    <w:bottom w:val="single" w:color="000000" w:sz="4" w:space="0"/>
                    <w:right w:val="single" w:color="000000" w:sz="4" w:space="0"/>
                  </w:tcBorders>
                  <w:vAlign w:val="center"/>
                </w:tcPr>
                <w:p w14:paraId="1A51A2D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w:t>
                  </w:r>
                </w:p>
              </w:tc>
              <w:tc>
                <w:tcPr>
                  <w:tcW w:w="476" w:type="pct"/>
                  <w:tcBorders>
                    <w:top w:val="single" w:color="000000" w:sz="4" w:space="0"/>
                    <w:left w:val="single" w:color="000000" w:sz="4" w:space="0"/>
                    <w:bottom w:val="single" w:color="000000" w:sz="4" w:space="0"/>
                    <w:right w:val="single" w:color="000000" w:sz="4" w:space="0"/>
                  </w:tcBorders>
                  <w:vAlign w:val="center"/>
                </w:tcPr>
                <w:p w14:paraId="48E0C71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7</w:t>
                  </w:r>
                </w:p>
              </w:tc>
              <w:tc>
                <w:tcPr>
                  <w:tcW w:w="393" w:type="pct"/>
                  <w:tcBorders>
                    <w:top w:val="single" w:color="000000" w:sz="4" w:space="0"/>
                    <w:left w:val="single" w:color="000000" w:sz="4" w:space="0"/>
                    <w:bottom w:val="single" w:color="000000" w:sz="4" w:space="0"/>
                    <w:right w:val="single" w:color="000000" w:sz="4" w:space="0"/>
                  </w:tcBorders>
                  <w:vAlign w:val="center"/>
                </w:tcPr>
                <w:p w14:paraId="72423436">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w:t>
                  </w:r>
                </w:p>
              </w:tc>
              <w:tc>
                <w:tcPr>
                  <w:tcW w:w="365" w:type="pct"/>
                  <w:tcBorders>
                    <w:top w:val="single" w:color="000000" w:sz="4" w:space="0"/>
                    <w:left w:val="single" w:color="000000" w:sz="4" w:space="0"/>
                    <w:bottom w:val="single" w:color="000000" w:sz="4" w:space="0"/>
                    <w:right w:val="single" w:color="000000" w:sz="4" w:space="0"/>
                  </w:tcBorders>
                  <w:vAlign w:val="center"/>
                </w:tcPr>
                <w:p w14:paraId="70D9F5AC">
                  <w:pPr>
                    <w:widowControl/>
                    <w:jc w:val="center"/>
                    <w:textAlignment w:val="center"/>
                    <w:rPr>
                      <w:rFonts w:eastAsiaTheme="minorEastAsia"/>
                      <w:color w:val="auto"/>
                      <w:kern w:val="0"/>
                      <w:szCs w:val="21"/>
                      <w:lang w:bidi="ar"/>
                    </w:rPr>
                  </w:pPr>
                  <w:r>
                    <w:rPr>
                      <w:color w:val="auto"/>
                      <w:kern w:val="0"/>
                      <w:szCs w:val="21"/>
                      <w:lang w:bidi="ar"/>
                    </w:rPr>
                    <w:t>/</w:t>
                  </w:r>
                </w:p>
              </w:tc>
              <w:tc>
                <w:tcPr>
                  <w:tcW w:w="344" w:type="pct"/>
                  <w:tcBorders>
                    <w:top w:val="single" w:color="000000" w:sz="4" w:space="0"/>
                    <w:left w:val="single" w:color="000000" w:sz="4" w:space="0"/>
                    <w:bottom w:val="single" w:color="000000" w:sz="4" w:space="0"/>
                    <w:right w:val="single" w:color="000000" w:sz="4" w:space="0"/>
                  </w:tcBorders>
                  <w:vAlign w:val="center"/>
                </w:tcPr>
                <w:p w14:paraId="0BEDA5F6">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r>
            <w:tr w14:paraId="388D5DBE">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090843AC">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1D18CFEA">
                  <w:pPr>
                    <w:widowControl/>
                    <w:jc w:val="center"/>
                    <w:textAlignment w:val="center"/>
                    <w:rPr>
                      <w:rFonts w:eastAsiaTheme="minorEastAsia"/>
                      <w:color w:val="auto"/>
                      <w:kern w:val="0"/>
                      <w:szCs w:val="21"/>
                      <w:lang w:bidi="ar"/>
                    </w:rPr>
                  </w:pPr>
                  <w:r>
                    <w:rPr>
                      <w:rFonts w:eastAsiaTheme="minorEastAsia"/>
                      <w:color w:val="auto"/>
                      <w:kern w:val="0"/>
                      <w:szCs w:val="21"/>
                      <w:lang w:bidi="ar"/>
                    </w:rPr>
                    <w:t>总磷</w:t>
                  </w:r>
                  <w:r>
                    <w:rPr>
                      <w:rFonts w:hint="eastAsia" w:eastAsiaTheme="minorEastAsia"/>
                      <w:color w:val="auto"/>
                      <w:kern w:val="0"/>
                      <w:szCs w:val="21"/>
                      <w:lang w:bidi="ar"/>
                    </w:rPr>
                    <w:t>（以P计）</w:t>
                  </w:r>
                </w:p>
              </w:tc>
              <w:tc>
                <w:tcPr>
                  <w:tcW w:w="439" w:type="pct"/>
                  <w:tcBorders>
                    <w:top w:val="single" w:color="000000" w:sz="4" w:space="0"/>
                    <w:left w:val="single" w:color="000000" w:sz="4" w:space="0"/>
                    <w:bottom w:val="single" w:color="000000" w:sz="4" w:space="0"/>
                    <w:right w:val="single" w:color="000000" w:sz="4" w:space="0"/>
                  </w:tcBorders>
                  <w:vAlign w:val="center"/>
                </w:tcPr>
                <w:p w14:paraId="5BED00D9">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2E46718E">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0.17</w:t>
                  </w:r>
                </w:p>
              </w:tc>
              <w:tc>
                <w:tcPr>
                  <w:tcW w:w="544" w:type="pct"/>
                  <w:tcBorders>
                    <w:top w:val="single" w:color="000000" w:sz="4" w:space="0"/>
                    <w:left w:val="single" w:color="000000" w:sz="4" w:space="0"/>
                    <w:bottom w:val="single" w:color="000000" w:sz="4" w:space="0"/>
                    <w:right w:val="single" w:color="000000" w:sz="4" w:space="0"/>
                  </w:tcBorders>
                  <w:vAlign w:val="center"/>
                </w:tcPr>
                <w:p w14:paraId="5F7F1D91">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0.16</w:t>
                  </w:r>
                </w:p>
              </w:tc>
              <w:tc>
                <w:tcPr>
                  <w:tcW w:w="545" w:type="pct"/>
                  <w:tcBorders>
                    <w:top w:val="single" w:color="000000" w:sz="4" w:space="0"/>
                    <w:left w:val="single" w:color="000000" w:sz="4" w:space="0"/>
                    <w:bottom w:val="single" w:color="000000" w:sz="4" w:space="0"/>
                    <w:right w:val="single" w:color="000000" w:sz="4" w:space="0"/>
                  </w:tcBorders>
                  <w:vAlign w:val="center"/>
                </w:tcPr>
                <w:p w14:paraId="2A9E1A5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0.19</w:t>
                  </w:r>
                </w:p>
              </w:tc>
              <w:tc>
                <w:tcPr>
                  <w:tcW w:w="476" w:type="pct"/>
                  <w:tcBorders>
                    <w:top w:val="single" w:color="000000" w:sz="4" w:space="0"/>
                    <w:left w:val="single" w:color="000000" w:sz="4" w:space="0"/>
                    <w:bottom w:val="single" w:color="000000" w:sz="4" w:space="0"/>
                    <w:right w:val="single" w:color="000000" w:sz="4" w:space="0"/>
                  </w:tcBorders>
                  <w:vAlign w:val="center"/>
                </w:tcPr>
                <w:p w14:paraId="0E66680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0.173</w:t>
                  </w:r>
                </w:p>
              </w:tc>
              <w:tc>
                <w:tcPr>
                  <w:tcW w:w="393" w:type="pct"/>
                  <w:tcBorders>
                    <w:top w:val="single" w:color="000000" w:sz="4" w:space="0"/>
                    <w:left w:val="single" w:color="000000" w:sz="4" w:space="0"/>
                    <w:bottom w:val="single" w:color="000000" w:sz="4" w:space="0"/>
                    <w:right w:val="single" w:color="000000" w:sz="4" w:space="0"/>
                  </w:tcBorders>
                  <w:vAlign w:val="center"/>
                </w:tcPr>
                <w:p w14:paraId="09B2CE1C">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0.4</w:t>
                  </w:r>
                </w:p>
              </w:tc>
              <w:tc>
                <w:tcPr>
                  <w:tcW w:w="365" w:type="pct"/>
                  <w:tcBorders>
                    <w:top w:val="single" w:color="000000" w:sz="4" w:space="0"/>
                    <w:left w:val="single" w:color="000000" w:sz="4" w:space="0"/>
                    <w:bottom w:val="single" w:color="000000" w:sz="4" w:space="0"/>
                    <w:right w:val="single" w:color="000000" w:sz="4" w:space="0"/>
                  </w:tcBorders>
                  <w:vAlign w:val="center"/>
                </w:tcPr>
                <w:p w14:paraId="2B99C6AA">
                  <w:pPr>
                    <w:widowControl/>
                    <w:jc w:val="center"/>
                    <w:textAlignment w:val="center"/>
                    <w:rPr>
                      <w:rFonts w:eastAsiaTheme="minorEastAsia"/>
                      <w:color w:val="auto"/>
                      <w:kern w:val="0"/>
                      <w:szCs w:val="21"/>
                      <w:lang w:bidi="ar"/>
                    </w:rPr>
                  </w:pPr>
                  <w:r>
                    <w:rPr>
                      <w:color w:val="auto"/>
                      <w:kern w:val="0"/>
                      <w:szCs w:val="21"/>
                      <w:lang w:bidi="ar"/>
                    </w:rPr>
                    <w:t xml:space="preserve">0.433 </w:t>
                  </w:r>
                </w:p>
              </w:tc>
              <w:tc>
                <w:tcPr>
                  <w:tcW w:w="344" w:type="pct"/>
                  <w:tcBorders>
                    <w:top w:val="single" w:color="000000" w:sz="4" w:space="0"/>
                    <w:left w:val="single" w:color="000000" w:sz="4" w:space="0"/>
                    <w:bottom w:val="single" w:color="000000" w:sz="4" w:space="0"/>
                    <w:right w:val="single" w:color="000000" w:sz="4" w:space="0"/>
                  </w:tcBorders>
                  <w:vAlign w:val="center"/>
                </w:tcPr>
                <w:p w14:paraId="4B98C2DA">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65A2337A">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225B3E24">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216BA3A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氟化物（以F</w:t>
                  </w:r>
                  <w:r>
                    <w:rPr>
                      <w:rFonts w:hint="eastAsia" w:eastAsiaTheme="minorEastAsia"/>
                      <w:color w:val="auto"/>
                      <w:kern w:val="0"/>
                      <w:szCs w:val="21"/>
                      <w:vertAlign w:val="superscript"/>
                      <w:lang w:bidi="ar"/>
                    </w:rPr>
                    <w:t>-</w:t>
                  </w:r>
                  <w:r>
                    <w:rPr>
                      <w:rFonts w:hint="eastAsia" w:eastAsiaTheme="minorEastAsia"/>
                      <w:color w:val="auto"/>
                      <w:kern w:val="0"/>
                      <w:szCs w:val="21"/>
                      <w:lang w:bidi="ar"/>
                    </w:rPr>
                    <w:t>计）</w:t>
                  </w:r>
                </w:p>
              </w:tc>
              <w:tc>
                <w:tcPr>
                  <w:tcW w:w="439" w:type="pct"/>
                  <w:tcBorders>
                    <w:top w:val="single" w:color="000000" w:sz="4" w:space="0"/>
                    <w:left w:val="single" w:color="000000" w:sz="4" w:space="0"/>
                    <w:bottom w:val="single" w:color="000000" w:sz="4" w:space="0"/>
                    <w:right w:val="single" w:color="000000" w:sz="4" w:space="0"/>
                  </w:tcBorders>
                  <w:vAlign w:val="center"/>
                </w:tcPr>
                <w:p w14:paraId="3971F677">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640900EE">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0.8</w:t>
                  </w:r>
                </w:p>
              </w:tc>
              <w:tc>
                <w:tcPr>
                  <w:tcW w:w="544" w:type="pct"/>
                  <w:tcBorders>
                    <w:top w:val="single" w:color="000000" w:sz="4" w:space="0"/>
                    <w:left w:val="single" w:color="000000" w:sz="4" w:space="0"/>
                    <w:bottom w:val="single" w:color="000000" w:sz="4" w:space="0"/>
                    <w:right w:val="single" w:color="000000" w:sz="4" w:space="0"/>
                  </w:tcBorders>
                  <w:vAlign w:val="center"/>
                </w:tcPr>
                <w:p w14:paraId="4875922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0.82</w:t>
                  </w:r>
                </w:p>
              </w:tc>
              <w:tc>
                <w:tcPr>
                  <w:tcW w:w="545" w:type="pct"/>
                  <w:tcBorders>
                    <w:top w:val="single" w:color="000000" w:sz="4" w:space="0"/>
                    <w:left w:val="single" w:color="000000" w:sz="4" w:space="0"/>
                    <w:bottom w:val="single" w:color="000000" w:sz="4" w:space="0"/>
                    <w:right w:val="single" w:color="000000" w:sz="4" w:space="0"/>
                  </w:tcBorders>
                  <w:vAlign w:val="center"/>
                </w:tcPr>
                <w:p w14:paraId="617517B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0.79</w:t>
                  </w:r>
                </w:p>
              </w:tc>
              <w:tc>
                <w:tcPr>
                  <w:tcW w:w="476" w:type="pct"/>
                  <w:tcBorders>
                    <w:top w:val="single" w:color="000000" w:sz="4" w:space="0"/>
                    <w:left w:val="single" w:color="000000" w:sz="4" w:space="0"/>
                    <w:bottom w:val="single" w:color="000000" w:sz="4" w:space="0"/>
                    <w:right w:val="single" w:color="000000" w:sz="4" w:space="0"/>
                  </w:tcBorders>
                  <w:vAlign w:val="center"/>
                </w:tcPr>
                <w:p w14:paraId="641BCC1A">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0.803</w:t>
                  </w:r>
                </w:p>
              </w:tc>
              <w:tc>
                <w:tcPr>
                  <w:tcW w:w="393" w:type="pct"/>
                  <w:tcBorders>
                    <w:top w:val="single" w:color="000000" w:sz="4" w:space="0"/>
                    <w:left w:val="single" w:color="000000" w:sz="4" w:space="0"/>
                    <w:bottom w:val="single" w:color="000000" w:sz="4" w:space="0"/>
                    <w:right w:val="single" w:color="000000" w:sz="4" w:space="0"/>
                  </w:tcBorders>
                  <w:vAlign w:val="center"/>
                </w:tcPr>
                <w:p w14:paraId="1971EE9E">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1.5</w:t>
                  </w:r>
                </w:p>
              </w:tc>
              <w:tc>
                <w:tcPr>
                  <w:tcW w:w="365" w:type="pct"/>
                  <w:tcBorders>
                    <w:top w:val="single" w:color="000000" w:sz="4" w:space="0"/>
                    <w:left w:val="single" w:color="000000" w:sz="4" w:space="0"/>
                    <w:bottom w:val="single" w:color="000000" w:sz="4" w:space="0"/>
                    <w:right w:val="single" w:color="000000" w:sz="4" w:space="0"/>
                  </w:tcBorders>
                  <w:vAlign w:val="center"/>
                </w:tcPr>
                <w:p w14:paraId="42DBEFD3">
                  <w:pPr>
                    <w:widowControl/>
                    <w:jc w:val="center"/>
                    <w:textAlignment w:val="center"/>
                    <w:rPr>
                      <w:rFonts w:eastAsiaTheme="minorEastAsia"/>
                      <w:color w:val="auto"/>
                      <w:kern w:val="0"/>
                      <w:szCs w:val="21"/>
                      <w:lang w:bidi="ar"/>
                    </w:rPr>
                  </w:pPr>
                  <w:r>
                    <w:rPr>
                      <w:color w:val="auto"/>
                      <w:kern w:val="0"/>
                      <w:szCs w:val="21"/>
                      <w:lang w:bidi="ar"/>
                    </w:rPr>
                    <w:t xml:space="preserve">0.535 </w:t>
                  </w:r>
                </w:p>
              </w:tc>
              <w:tc>
                <w:tcPr>
                  <w:tcW w:w="344" w:type="pct"/>
                  <w:tcBorders>
                    <w:top w:val="single" w:color="000000" w:sz="4" w:space="0"/>
                    <w:left w:val="single" w:color="000000" w:sz="4" w:space="0"/>
                    <w:bottom w:val="single" w:color="000000" w:sz="4" w:space="0"/>
                    <w:right w:val="single" w:color="000000" w:sz="4" w:space="0"/>
                  </w:tcBorders>
                  <w:vAlign w:val="center"/>
                </w:tcPr>
                <w:p w14:paraId="06B4C812">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652A6170">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44CB6057">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493BC17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氯化物（以Cl</w:t>
                  </w:r>
                  <w:r>
                    <w:rPr>
                      <w:rFonts w:hint="eastAsia" w:eastAsiaTheme="minorEastAsia"/>
                      <w:color w:val="auto"/>
                      <w:kern w:val="0"/>
                      <w:szCs w:val="21"/>
                      <w:vertAlign w:val="superscript"/>
                      <w:lang w:bidi="ar"/>
                    </w:rPr>
                    <w:t>-</w:t>
                  </w:r>
                  <w:r>
                    <w:rPr>
                      <w:rFonts w:hint="eastAsia" w:eastAsiaTheme="minorEastAsia"/>
                      <w:color w:val="auto"/>
                      <w:kern w:val="0"/>
                      <w:szCs w:val="21"/>
                      <w:lang w:bidi="ar"/>
                    </w:rPr>
                    <w:t>计）</w:t>
                  </w:r>
                </w:p>
              </w:tc>
              <w:tc>
                <w:tcPr>
                  <w:tcW w:w="439" w:type="pct"/>
                  <w:tcBorders>
                    <w:top w:val="single" w:color="000000" w:sz="4" w:space="0"/>
                    <w:left w:val="single" w:color="000000" w:sz="4" w:space="0"/>
                    <w:bottom w:val="single" w:color="000000" w:sz="4" w:space="0"/>
                    <w:right w:val="single" w:color="000000" w:sz="4" w:space="0"/>
                  </w:tcBorders>
                  <w:vAlign w:val="center"/>
                </w:tcPr>
                <w:p w14:paraId="147B0174">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4DF36A3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19.5</w:t>
                  </w:r>
                </w:p>
              </w:tc>
              <w:tc>
                <w:tcPr>
                  <w:tcW w:w="544" w:type="pct"/>
                  <w:tcBorders>
                    <w:top w:val="single" w:color="000000" w:sz="4" w:space="0"/>
                    <w:left w:val="single" w:color="000000" w:sz="4" w:space="0"/>
                    <w:bottom w:val="single" w:color="000000" w:sz="4" w:space="0"/>
                    <w:right w:val="single" w:color="000000" w:sz="4" w:space="0"/>
                  </w:tcBorders>
                  <w:vAlign w:val="center"/>
                </w:tcPr>
                <w:p w14:paraId="0E3EF78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19.3</w:t>
                  </w:r>
                </w:p>
              </w:tc>
              <w:tc>
                <w:tcPr>
                  <w:tcW w:w="545" w:type="pct"/>
                  <w:tcBorders>
                    <w:top w:val="single" w:color="000000" w:sz="4" w:space="0"/>
                    <w:left w:val="single" w:color="000000" w:sz="4" w:space="0"/>
                    <w:bottom w:val="single" w:color="000000" w:sz="4" w:space="0"/>
                    <w:right w:val="single" w:color="000000" w:sz="4" w:space="0"/>
                  </w:tcBorders>
                  <w:vAlign w:val="center"/>
                </w:tcPr>
                <w:p w14:paraId="20ABDD2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18.8</w:t>
                  </w:r>
                </w:p>
              </w:tc>
              <w:tc>
                <w:tcPr>
                  <w:tcW w:w="476" w:type="pct"/>
                  <w:tcBorders>
                    <w:top w:val="single" w:color="000000" w:sz="4" w:space="0"/>
                    <w:left w:val="single" w:color="000000" w:sz="4" w:space="0"/>
                    <w:bottom w:val="single" w:color="000000" w:sz="4" w:space="0"/>
                    <w:right w:val="single" w:color="000000" w:sz="4" w:space="0"/>
                  </w:tcBorders>
                  <w:vAlign w:val="center"/>
                </w:tcPr>
                <w:p w14:paraId="7C50D1F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19.200</w:t>
                  </w:r>
                </w:p>
              </w:tc>
              <w:tc>
                <w:tcPr>
                  <w:tcW w:w="393" w:type="pct"/>
                  <w:tcBorders>
                    <w:top w:val="single" w:color="000000" w:sz="4" w:space="0"/>
                    <w:left w:val="single" w:color="000000" w:sz="4" w:space="0"/>
                    <w:bottom w:val="single" w:color="000000" w:sz="4" w:space="0"/>
                    <w:right w:val="single" w:color="000000" w:sz="4" w:space="0"/>
                  </w:tcBorders>
                  <w:vAlign w:val="center"/>
                </w:tcPr>
                <w:p w14:paraId="43943A5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w:t>
                  </w:r>
                </w:p>
              </w:tc>
              <w:tc>
                <w:tcPr>
                  <w:tcW w:w="365" w:type="pct"/>
                  <w:tcBorders>
                    <w:top w:val="single" w:color="000000" w:sz="4" w:space="0"/>
                    <w:left w:val="single" w:color="000000" w:sz="4" w:space="0"/>
                    <w:bottom w:val="single" w:color="000000" w:sz="4" w:space="0"/>
                    <w:right w:val="single" w:color="000000" w:sz="4" w:space="0"/>
                  </w:tcBorders>
                  <w:vAlign w:val="center"/>
                </w:tcPr>
                <w:p w14:paraId="288FD3D5">
                  <w:pPr>
                    <w:widowControl/>
                    <w:jc w:val="center"/>
                    <w:textAlignment w:val="center"/>
                    <w:rPr>
                      <w:rFonts w:eastAsiaTheme="minorEastAsia"/>
                      <w:color w:val="auto"/>
                      <w:kern w:val="0"/>
                      <w:szCs w:val="21"/>
                      <w:lang w:bidi="ar"/>
                    </w:rPr>
                  </w:pPr>
                  <w:r>
                    <w:rPr>
                      <w:color w:val="auto"/>
                      <w:kern w:val="0"/>
                      <w:szCs w:val="21"/>
                      <w:lang w:bidi="ar"/>
                    </w:rPr>
                    <w:t>/</w:t>
                  </w:r>
                </w:p>
              </w:tc>
              <w:tc>
                <w:tcPr>
                  <w:tcW w:w="344" w:type="pct"/>
                  <w:tcBorders>
                    <w:top w:val="single" w:color="000000" w:sz="4" w:space="0"/>
                    <w:left w:val="single" w:color="000000" w:sz="4" w:space="0"/>
                    <w:bottom w:val="single" w:color="000000" w:sz="4" w:space="0"/>
                    <w:right w:val="single" w:color="000000" w:sz="4" w:space="0"/>
                  </w:tcBorders>
                  <w:vAlign w:val="center"/>
                </w:tcPr>
                <w:p w14:paraId="1AB394BB">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r>
            <w:tr w14:paraId="5D5DBD3B">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13B218DF">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3270F0A3">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氰化物</w:t>
                  </w:r>
                </w:p>
              </w:tc>
              <w:tc>
                <w:tcPr>
                  <w:tcW w:w="439" w:type="pct"/>
                  <w:tcBorders>
                    <w:top w:val="single" w:color="000000" w:sz="4" w:space="0"/>
                    <w:left w:val="single" w:color="000000" w:sz="4" w:space="0"/>
                    <w:bottom w:val="single" w:color="000000" w:sz="4" w:space="0"/>
                    <w:right w:val="single" w:color="000000" w:sz="4" w:space="0"/>
                  </w:tcBorders>
                  <w:vAlign w:val="center"/>
                </w:tcPr>
                <w:p w14:paraId="31CC7DF3">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0D0899D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0.001L</w:t>
                  </w:r>
                </w:p>
              </w:tc>
              <w:tc>
                <w:tcPr>
                  <w:tcW w:w="544" w:type="pct"/>
                  <w:tcBorders>
                    <w:top w:val="single" w:color="000000" w:sz="4" w:space="0"/>
                    <w:left w:val="single" w:color="000000" w:sz="4" w:space="0"/>
                    <w:bottom w:val="single" w:color="000000" w:sz="4" w:space="0"/>
                    <w:right w:val="single" w:color="000000" w:sz="4" w:space="0"/>
                  </w:tcBorders>
                  <w:vAlign w:val="center"/>
                </w:tcPr>
                <w:p w14:paraId="1E036AC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0.001L</w:t>
                  </w:r>
                </w:p>
              </w:tc>
              <w:tc>
                <w:tcPr>
                  <w:tcW w:w="545" w:type="pct"/>
                  <w:tcBorders>
                    <w:top w:val="single" w:color="000000" w:sz="4" w:space="0"/>
                    <w:left w:val="single" w:color="000000" w:sz="4" w:space="0"/>
                    <w:bottom w:val="single" w:color="000000" w:sz="4" w:space="0"/>
                    <w:right w:val="single" w:color="000000" w:sz="4" w:space="0"/>
                  </w:tcBorders>
                  <w:vAlign w:val="center"/>
                </w:tcPr>
                <w:p w14:paraId="0425518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0.001L</w:t>
                  </w:r>
                </w:p>
              </w:tc>
              <w:tc>
                <w:tcPr>
                  <w:tcW w:w="476" w:type="pct"/>
                  <w:tcBorders>
                    <w:top w:val="single" w:color="000000" w:sz="4" w:space="0"/>
                    <w:left w:val="single" w:color="000000" w:sz="4" w:space="0"/>
                    <w:bottom w:val="single" w:color="000000" w:sz="4" w:space="0"/>
                    <w:right w:val="single" w:color="000000" w:sz="4" w:space="0"/>
                  </w:tcBorders>
                  <w:vAlign w:val="center"/>
                </w:tcPr>
                <w:p w14:paraId="26B5891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0.0005</w:t>
                  </w:r>
                </w:p>
              </w:tc>
              <w:tc>
                <w:tcPr>
                  <w:tcW w:w="393" w:type="pct"/>
                  <w:tcBorders>
                    <w:top w:val="single" w:color="000000" w:sz="4" w:space="0"/>
                    <w:left w:val="single" w:color="000000" w:sz="4" w:space="0"/>
                    <w:bottom w:val="single" w:color="000000" w:sz="4" w:space="0"/>
                    <w:right w:val="single" w:color="000000" w:sz="4" w:space="0"/>
                  </w:tcBorders>
                  <w:vAlign w:val="center"/>
                </w:tcPr>
                <w:p w14:paraId="1D58805C">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0.2</w:t>
                  </w:r>
                </w:p>
              </w:tc>
              <w:tc>
                <w:tcPr>
                  <w:tcW w:w="365" w:type="pct"/>
                  <w:tcBorders>
                    <w:top w:val="single" w:color="000000" w:sz="4" w:space="0"/>
                    <w:left w:val="single" w:color="000000" w:sz="4" w:space="0"/>
                    <w:bottom w:val="single" w:color="000000" w:sz="4" w:space="0"/>
                    <w:right w:val="single" w:color="000000" w:sz="4" w:space="0"/>
                  </w:tcBorders>
                  <w:vAlign w:val="center"/>
                </w:tcPr>
                <w:p w14:paraId="674116D2">
                  <w:pPr>
                    <w:widowControl/>
                    <w:jc w:val="center"/>
                    <w:textAlignment w:val="center"/>
                    <w:rPr>
                      <w:rFonts w:eastAsiaTheme="minorEastAsia"/>
                      <w:color w:val="auto"/>
                      <w:kern w:val="0"/>
                      <w:szCs w:val="21"/>
                      <w:lang w:bidi="ar"/>
                    </w:rPr>
                  </w:pPr>
                  <w:r>
                    <w:rPr>
                      <w:color w:val="auto"/>
                      <w:kern w:val="0"/>
                      <w:szCs w:val="21"/>
                      <w:lang w:bidi="ar"/>
                    </w:rPr>
                    <w:t xml:space="preserve">0.003 </w:t>
                  </w:r>
                </w:p>
              </w:tc>
              <w:tc>
                <w:tcPr>
                  <w:tcW w:w="344" w:type="pct"/>
                  <w:tcBorders>
                    <w:top w:val="single" w:color="000000" w:sz="4" w:space="0"/>
                    <w:left w:val="single" w:color="000000" w:sz="4" w:space="0"/>
                    <w:bottom w:val="single" w:color="000000" w:sz="4" w:space="0"/>
                    <w:right w:val="single" w:color="000000" w:sz="4" w:space="0"/>
                  </w:tcBorders>
                  <w:vAlign w:val="center"/>
                </w:tcPr>
                <w:p w14:paraId="26A55B8B">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4733F77A">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1B5609A2">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4EBC4240">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挥发酚</w:t>
                  </w:r>
                </w:p>
              </w:tc>
              <w:tc>
                <w:tcPr>
                  <w:tcW w:w="439" w:type="pct"/>
                  <w:tcBorders>
                    <w:top w:val="single" w:color="000000" w:sz="4" w:space="0"/>
                    <w:left w:val="single" w:color="000000" w:sz="4" w:space="0"/>
                    <w:bottom w:val="single" w:color="000000" w:sz="4" w:space="0"/>
                    <w:right w:val="single" w:color="000000" w:sz="4" w:space="0"/>
                  </w:tcBorders>
                  <w:vAlign w:val="center"/>
                </w:tcPr>
                <w:p w14:paraId="27466625">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52C96B90">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0.0003L</w:t>
                  </w:r>
                </w:p>
              </w:tc>
              <w:tc>
                <w:tcPr>
                  <w:tcW w:w="544" w:type="pct"/>
                  <w:tcBorders>
                    <w:top w:val="single" w:color="000000" w:sz="4" w:space="0"/>
                    <w:left w:val="single" w:color="000000" w:sz="4" w:space="0"/>
                    <w:bottom w:val="single" w:color="000000" w:sz="4" w:space="0"/>
                    <w:right w:val="single" w:color="000000" w:sz="4" w:space="0"/>
                  </w:tcBorders>
                  <w:vAlign w:val="center"/>
                </w:tcPr>
                <w:p w14:paraId="1430502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0.0003L</w:t>
                  </w:r>
                </w:p>
              </w:tc>
              <w:tc>
                <w:tcPr>
                  <w:tcW w:w="545" w:type="pct"/>
                  <w:tcBorders>
                    <w:top w:val="single" w:color="000000" w:sz="4" w:space="0"/>
                    <w:left w:val="single" w:color="000000" w:sz="4" w:space="0"/>
                    <w:bottom w:val="single" w:color="000000" w:sz="4" w:space="0"/>
                    <w:right w:val="single" w:color="000000" w:sz="4" w:space="0"/>
                  </w:tcBorders>
                  <w:vAlign w:val="center"/>
                </w:tcPr>
                <w:p w14:paraId="1C7F9DA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0.0003L</w:t>
                  </w:r>
                </w:p>
              </w:tc>
              <w:tc>
                <w:tcPr>
                  <w:tcW w:w="476" w:type="pct"/>
                  <w:tcBorders>
                    <w:top w:val="single" w:color="000000" w:sz="4" w:space="0"/>
                    <w:left w:val="single" w:color="000000" w:sz="4" w:space="0"/>
                    <w:bottom w:val="single" w:color="000000" w:sz="4" w:space="0"/>
                    <w:right w:val="single" w:color="000000" w:sz="4" w:space="0"/>
                  </w:tcBorders>
                  <w:vAlign w:val="center"/>
                </w:tcPr>
                <w:p w14:paraId="66D0771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0.00015</w:t>
                  </w:r>
                </w:p>
              </w:tc>
              <w:tc>
                <w:tcPr>
                  <w:tcW w:w="393" w:type="pct"/>
                  <w:tcBorders>
                    <w:top w:val="single" w:color="000000" w:sz="4" w:space="0"/>
                    <w:left w:val="single" w:color="000000" w:sz="4" w:space="0"/>
                    <w:bottom w:val="single" w:color="000000" w:sz="4" w:space="0"/>
                    <w:right w:val="single" w:color="000000" w:sz="4" w:space="0"/>
                  </w:tcBorders>
                  <w:vAlign w:val="center"/>
                </w:tcPr>
                <w:p w14:paraId="6676BD7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w:t>
                  </w:r>
                </w:p>
              </w:tc>
              <w:tc>
                <w:tcPr>
                  <w:tcW w:w="365" w:type="pct"/>
                  <w:tcBorders>
                    <w:top w:val="single" w:color="000000" w:sz="4" w:space="0"/>
                    <w:left w:val="single" w:color="000000" w:sz="4" w:space="0"/>
                    <w:bottom w:val="single" w:color="000000" w:sz="4" w:space="0"/>
                    <w:right w:val="single" w:color="000000" w:sz="4" w:space="0"/>
                  </w:tcBorders>
                  <w:vAlign w:val="center"/>
                </w:tcPr>
                <w:p w14:paraId="744FA34B">
                  <w:pPr>
                    <w:widowControl/>
                    <w:jc w:val="center"/>
                    <w:textAlignment w:val="center"/>
                    <w:rPr>
                      <w:rFonts w:eastAsiaTheme="minorEastAsia"/>
                      <w:color w:val="auto"/>
                      <w:kern w:val="0"/>
                      <w:szCs w:val="21"/>
                      <w:lang w:bidi="ar"/>
                    </w:rPr>
                  </w:pPr>
                  <w:r>
                    <w:rPr>
                      <w:color w:val="auto"/>
                      <w:kern w:val="0"/>
                      <w:szCs w:val="21"/>
                      <w:lang w:bidi="ar"/>
                    </w:rPr>
                    <w:t xml:space="preserve">0.002 </w:t>
                  </w:r>
                </w:p>
              </w:tc>
              <w:tc>
                <w:tcPr>
                  <w:tcW w:w="344" w:type="pct"/>
                  <w:tcBorders>
                    <w:top w:val="single" w:color="000000" w:sz="4" w:space="0"/>
                    <w:left w:val="single" w:color="000000" w:sz="4" w:space="0"/>
                    <w:bottom w:val="single" w:color="000000" w:sz="4" w:space="0"/>
                    <w:right w:val="single" w:color="000000" w:sz="4" w:space="0"/>
                  </w:tcBorders>
                  <w:vAlign w:val="center"/>
                </w:tcPr>
                <w:p w14:paraId="386963DB">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6599D6A3">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47BB4762">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76AE4F44">
                  <w:pPr>
                    <w:widowControl/>
                    <w:jc w:val="center"/>
                    <w:textAlignment w:val="center"/>
                    <w:rPr>
                      <w:rFonts w:eastAsiaTheme="minorEastAsia"/>
                      <w:color w:val="auto"/>
                      <w:kern w:val="0"/>
                      <w:szCs w:val="21"/>
                      <w:lang w:bidi="ar"/>
                    </w:rPr>
                  </w:pPr>
                  <w:r>
                    <w:rPr>
                      <w:rFonts w:eastAsiaTheme="minorEastAsia"/>
                      <w:color w:val="auto"/>
                      <w:kern w:val="0"/>
                      <w:szCs w:val="21"/>
                      <w:lang w:bidi="ar"/>
                    </w:rPr>
                    <w:t>石油类</w:t>
                  </w:r>
                </w:p>
              </w:tc>
              <w:tc>
                <w:tcPr>
                  <w:tcW w:w="439" w:type="pct"/>
                  <w:tcBorders>
                    <w:top w:val="single" w:color="000000" w:sz="4" w:space="0"/>
                    <w:left w:val="single" w:color="000000" w:sz="4" w:space="0"/>
                    <w:bottom w:val="single" w:color="000000" w:sz="4" w:space="0"/>
                    <w:right w:val="single" w:color="000000" w:sz="4" w:space="0"/>
                  </w:tcBorders>
                  <w:vAlign w:val="center"/>
                </w:tcPr>
                <w:p w14:paraId="1823EDA6">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3560BC3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0.03</w:t>
                  </w:r>
                </w:p>
              </w:tc>
              <w:tc>
                <w:tcPr>
                  <w:tcW w:w="544" w:type="pct"/>
                  <w:tcBorders>
                    <w:top w:val="single" w:color="000000" w:sz="4" w:space="0"/>
                    <w:left w:val="single" w:color="000000" w:sz="4" w:space="0"/>
                    <w:bottom w:val="single" w:color="000000" w:sz="4" w:space="0"/>
                    <w:right w:val="single" w:color="000000" w:sz="4" w:space="0"/>
                  </w:tcBorders>
                  <w:vAlign w:val="center"/>
                </w:tcPr>
                <w:p w14:paraId="5B216BB0">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0.03</w:t>
                  </w:r>
                </w:p>
              </w:tc>
              <w:tc>
                <w:tcPr>
                  <w:tcW w:w="545" w:type="pct"/>
                  <w:tcBorders>
                    <w:top w:val="single" w:color="000000" w:sz="4" w:space="0"/>
                    <w:left w:val="single" w:color="000000" w:sz="4" w:space="0"/>
                    <w:bottom w:val="single" w:color="000000" w:sz="4" w:space="0"/>
                    <w:right w:val="single" w:color="000000" w:sz="4" w:space="0"/>
                  </w:tcBorders>
                  <w:vAlign w:val="center"/>
                </w:tcPr>
                <w:p w14:paraId="2C2D1362">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0.03</w:t>
                  </w:r>
                </w:p>
              </w:tc>
              <w:tc>
                <w:tcPr>
                  <w:tcW w:w="476" w:type="pct"/>
                  <w:tcBorders>
                    <w:top w:val="single" w:color="000000" w:sz="4" w:space="0"/>
                    <w:left w:val="single" w:color="000000" w:sz="4" w:space="0"/>
                    <w:bottom w:val="single" w:color="000000" w:sz="4" w:space="0"/>
                    <w:right w:val="single" w:color="000000" w:sz="4" w:space="0"/>
                  </w:tcBorders>
                  <w:vAlign w:val="center"/>
                </w:tcPr>
                <w:p w14:paraId="584D6546">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0.03</w:t>
                  </w:r>
                </w:p>
              </w:tc>
              <w:tc>
                <w:tcPr>
                  <w:tcW w:w="393" w:type="pct"/>
                  <w:tcBorders>
                    <w:top w:val="single" w:color="000000" w:sz="4" w:space="0"/>
                    <w:left w:val="single" w:color="000000" w:sz="4" w:space="0"/>
                    <w:bottom w:val="single" w:color="000000" w:sz="4" w:space="0"/>
                    <w:right w:val="single" w:color="000000" w:sz="4" w:space="0"/>
                  </w:tcBorders>
                  <w:vAlign w:val="center"/>
                </w:tcPr>
                <w:p w14:paraId="2C3323FE">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1.0</w:t>
                  </w:r>
                </w:p>
              </w:tc>
              <w:tc>
                <w:tcPr>
                  <w:tcW w:w="365" w:type="pct"/>
                  <w:tcBorders>
                    <w:top w:val="single" w:color="000000" w:sz="4" w:space="0"/>
                    <w:left w:val="single" w:color="000000" w:sz="4" w:space="0"/>
                    <w:bottom w:val="single" w:color="000000" w:sz="4" w:space="0"/>
                    <w:right w:val="single" w:color="000000" w:sz="4" w:space="0"/>
                  </w:tcBorders>
                  <w:vAlign w:val="center"/>
                </w:tcPr>
                <w:p w14:paraId="40F8A0E3">
                  <w:pPr>
                    <w:widowControl/>
                    <w:jc w:val="center"/>
                    <w:textAlignment w:val="center"/>
                    <w:rPr>
                      <w:rFonts w:eastAsiaTheme="minorEastAsia"/>
                      <w:color w:val="auto"/>
                      <w:kern w:val="0"/>
                      <w:szCs w:val="21"/>
                      <w:lang w:bidi="ar"/>
                    </w:rPr>
                  </w:pPr>
                  <w:r>
                    <w:rPr>
                      <w:color w:val="auto"/>
                      <w:kern w:val="0"/>
                      <w:szCs w:val="21"/>
                      <w:lang w:bidi="ar"/>
                    </w:rPr>
                    <w:t xml:space="preserve">0.030 </w:t>
                  </w:r>
                </w:p>
              </w:tc>
              <w:tc>
                <w:tcPr>
                  <w:tcW w:w="344" w:type="pct"/>
                  <w:tcBorders>
                    <w:top w:val="single" w:color="000000" w:sz="4" w:space="0"/>
                    <w:left w:val="single" w:color="000000" w:sz="4" w:space="0"/>
                    <w:bottom w:val="single" w:color="000000" w:sz="4" w:space="0"/>
                    <w:right w:val="single" w:color="000000" w:sz="4" w:space="0"/>
                  </w:tcBorders>
                  <w:vAlign w:val="center"/>
                </w:tcPr>
                <w:p w14:paraId="54EDE226">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24D1BABD">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62CD37F8">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75E9188E">
                  <w:pPr>
                    <w:widowControl/>
                    <w:jc w:val="center"/>
                    <w:textAlignment w:val="center"/>
                    <w:rPr>
                      <w:rFonts w:eastAsiaTheme="minorEastAsia"/>
                      <w:color w:val="auto"/>
                      <w:kern w:val="0"/>
                      <w:szCs w:val="21"/>
                      <w:lang w:bidi="ar"/>
                    </w:rPr>
                  </w:pPr>
                  <w:r>
                    <w:rPr>
                      <w:rFonts w:eastAsiaTheme="minorEastAsia"/>
                      <w:color w:val="auto"/>
                      <w:kern w:val="0"/>
                      <w:szCs w:val="21"/>
                      <w:lang w:bidi="ar"/>
                    </w:rPr>
                    <w:t>阴离子表面活性剂</w:t>
                  </w:r>
                </w:p>
              </w:tc>
              <w:tc>
                <w:tcPr>
                  <w:tcW w:w="439" w:type="pct"/>
                  <w:tcBorders>
                    <w:top w:val="single" w:color="000000" w:sz="4" w:space="0"/>
                    <w:left w:val="single" w:color="000000" w:sz="4" w:space="0"/>
                    <w:bottom w:val="single" w:color="000000" w:sz="4" w:space="0"/>
                    <w:right w:val="single" w:color="000000" w:sz="4" w:space="0"/>
                  </w:tcBorders>
                  <w:vAlign w:val="center"/>
                </w:tcPr>
                <w:p w14:paraId="0A5FFC45">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1F5DA023">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0.12</w:t>
                  </w:r>
                </w:p>
              </w:tc>
              <w:tc>
                <w:tcPr>
                  <w:tcW w:w="544" w:type="pct"/>
                  <w:tcBorders>
                    <w:top w:val="single" w:color="000000" w:sz="4" w:space="0"/>
                    <w:left w:val="single" w:color="000000" w:sz="4" w:space="0"/>
                    <w:bottom w:val="single" w:color="000000" w:sz="4" w:space="0"/>
                    <w:right w:val="single" w:color="000000" w:sz="4" w:space="0"/>
                  </w:tcBorders>
                  <w:vAlign w:val="center"/>
                </w:tcPr>
                <w:p w14:paraId="65D5139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0.13</w:t>
                  </w:r>
                </w:p>
              </w:tc>
              <w:tc>
                <w:tcPr>
                  <w:tcW w:w="545" w:type="pct"/>
                  <w:tcBorders>
                    <w:top w:val="single" w:color="000000" w:sz="4" w:space="0"/>
                    <w:left w:val="single" w:color="000000" w:sz="4" w:space="0"/>
                    <w:bottom w:val="single" w:color="000000" w:sz="4" w:space="0"/>
                    <w:right w:val="single" w:color="000000" w:sz="4" w:space="0"/>
                  </w:tcBorders>
                  <w:vAlign w:val="center"/>
                </w:tcPr>
                <w:p w14:paraId="3A5E510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0.13</w:t>
                  </w:r>
                </w:p>
              </w:tc>
              <w:tc>
                <w:tcPr>
                  <w:tcW w:w="476" w:type="pct"/>
                  <w:tcBorders>
                    <w:top w:val="single" w:color="000000" w:sz="4" w:space="0"/>
                    <w:left w:val="single" w:color="000000" w:sz="4" w:space="0"/>
                    <w:bottom w:val="single" w:color="000000" w:sz="4" w:space="0"/>
                    <w:right w:val="single" w:color="000000" w:sz="4" w:space="0"/>
                  </w:tcBorders>
                  <w:vAlign w:val="center"/>
                </w:tcPr>
                <w:p w14:paraId="4F56DE4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0.127</w:t>
                  </w:r>
                </w:p>
              </w:tc>
              <w:tc>
                <w:tcPr>
                  <w:tcW w:w="393" w:type="pct"/>
                  <w:tcBorders>
                    <w:top w:val="single" w:color="000000" w:sz="4" w:space="0"/>
                    <w:left w:val="single" w:color="000000" w:sz="4" w:space="0"/>
                    <w:bottom w:val="single" w:color="000000" w:sz="4" w:space="0"/>
                    <w:right w:val="single" w:color="000000" w:sz="4" w:space="0"/>
                  </w:tcBorders>
                  <w:vAlign w:val="center"/>
                </w:tcPr>
                <w:p w14:paraId="5299D26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0.3</w:t>
                  </w:r>
                </w:p>
              </w:tc>
              <w:tc>
                <w:tcPr>
                  <w:tcW w:w="365" w:type="pct"/>
                  <w:tcBorders>
                    <w:top w:val="single" w:color="000000" w:sz="4" w:space="0"/>
                    <w:left w:val="single" w:color="000000" w:sz="4" w:space="0"/>
                    <w:bottom w:val="single" w:color="000000" w:sz="4" w:space="0"/>
                    <w:right w:val="single" w:color="000000" w:sz="4" w:space="0"/>
                  </w:tcBorders>
                  <w:vAlign w:val="center"/>
                </w:tcPr>
                <w:p w14:paraId="7229DBB6">
                  <w:pPr>
                    <w:widowControl/>
                    <w:jc w:val="center"/>
                    <w:textAlignment w:val="center"/>
                    <w:rPr>
                      <w:rFonts w:eastAsiaTheme="minorEastAsia"/>
                      <w:color w:val="auto"/>
                      <w:kern w:val="0"/>
                      <w:szCs w:val="21"/>
                      <w:lang w:bidi="ar"/>
                    </w:rPr>
                  </w:pPr>
                  <w:r>
                    <w:rPr>
                      <w:color w:val="auto"/>
                      <w:kern w:val="0"/>
                      <w:szCs w:val="21"/>
                      <w:lang w:bidi="ar"/>
                    </w:rPr>
                    <w:t xml:space="preserve">0.423 </w:t>
                  </w:r>
                </w:p>
              </w:tc>
              <w:tc>
                <w:tcPr>
                  <w:tcW w:w="344" w:type="pct"/>
                  <w:tcBorders>
                    <w:top w:val="single" w:color="000000" w:sz="4" w:space="0"/>
                    <w:left w:val="single" w:color="000000" w:sz="4" w:space="0"/>
                    <w:bottom w:val="single" w:color="000000" w:sz="4" w:space="0"/>
                    <w:right w:val="single" w:color="000000" w:sz="4" w:space="0"/>
                  </w:tcBorders>
                  <w:vAlign w:val="center"/>
                </w:tcPr>
                <w:p w14:paraId="47989407">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708FA0AB">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5E68E20A">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78B47FD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硫化物</w:t>
                  </w:r>
                </w:p>
              </w:tc>
              <w:tc>
                <w:tcPr>
                  <w:tcW w:w="439" w:type="pct"/>
                  <w:tcBorders>
                    <w:top w:val="single" w:color="000000" w:sz="4" w:space="0"/>
                    <w:left w:val="single" w:color="000000" w:sz="4" w:space="0"/>
                    <w:bottom w:val="single" w:color="000000" w:sz="4" w:space="0"/>
                    <w:right w:val="single" w:color="000000" w:sz="4" w:space="0"/>
                  </w:tcBorders>
                  <w:vAlign w:val="center"/>
                </w:tcPr>
                <w:p w14:paraId="3F99054A">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6C6CCBE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0.01</w:t>
                  </w:r>
                </w:p>
              </w:tc>
              <w:tc>
                <w:tcPr>
                  <w:tcW w:w="544" w:type="pct"/>
                  <w:tcBorders>
                    <w:top w:val="single" w:color="000000" w:sz="4" w:space="0"/>
                    <w:left w:val="single" w:color="000000" w:sz="4" w:space="0"/>
                    <w:bottom w:val="single" w:color="000000" w:sz="4" w:space="0"/>
                    <w:right w:val="single" w:color="000000" w:sz="4" w:space="0"/>
                  </w:tcBorders>
                  <w:vAlign w:val="center"/>
                </w:tcPr>
                <w:p w14:paraId="24D7964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0.01</w:t>
                  </w:r>
                </w:p>
              </w:tc>
              <w:tc>
                <w:tcPr>
                  <w:tcW w:w="545" w:type="pct"/>
                  <w:tcBorders>
                    <w:top w:val="single" w:color="000000" w:sz="4" w:space="0"/>
                    <w:left w:val="single" w:color="000000" w:sz="4" w:space="0"/>
                    <w:bottom w:val="single" w:color="000000" w:sz="4" w:space="0"/>
                    <w:right w:val="single" w:color="000000" w:sz="4" w:space="0"/>
                  </w:tcBorders>
                  <w:vAlign w:val="center"/>
                </w:tcPr>
                <w:p w14:paraId="7DAD7D6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0.01</w:t>
                  </w:r>
                </w:p>
              </w:tc>
              <w:tc>
                <w:tcPr>
                  <w:tcW w:w="476" w:type="pct"/>
                  <w:tcBorders>
                    <w:top w:val="single" w:color="000000" w:sz="4" w:space="0"/>
                    <w:left w:val="single" w:color="000000" w:sz="4" w:space="0"/>
                    <w:bottom w:val="single" w:color="000000" w:sz="4" w:space="0"/>
                    <w:right w:val="single" w:color="000000" w:sz="4" w:space="0"/>
                  </w:tcBorders>
                  <w:vAlign w:val="center"/>
                </w:tcPr>
                <w:p w14:paraId="03B0E78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0.01</w:t>
                  </w:r>
                </w:p>
              </w:tc>
              <w:tc>
                <w:tcPr>
                  <w:tcW w:w="393" w:type="pct"/>
                  <w:tcBorders>
                    <w:top w:val="single" w:color="000000" w:sz="4" w:space="0"/>
                    <w:left w:val="single" w:color="000000" w:sz="4" w:space="0"/>
                    <w:bottom w:val="single" w:color="000000" w:sz="4" w:space="0"/>
                    <w:right w:val="single" w:color="000000" w:sz="4" w:space="0"/>
                  </w:tcBorders>
                  <w:vAlign w:val="center"/>
                </w:tcPr>
                <w:p w14:paraId="34AF23D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1.0</w:t>
                  </w:r>
                </w:p>
              </w:tc>
              <w:tc>
                <w:tcPr>
                  <w:tcW w:w="365" w:type="pct"/>
                  <w:tcBorders>
                    <w:top w:val="single" w:color="000000" w:sz="4" w:space="0"/>
                    <w:left w:val="single" w:color="000000" w:sz="4" w:space="0"/>
                    <w:bottom w:val="single" w:color="000000" w:sz="4" w:space="0"/>
                    <w:right w:val="single" w:color="000000" w:sz="4" w:space="0"/>
                  </w:tcBorders>
                  <w:vAlign w:val="center"/>
                </w:tcPr>
                <w:p w14:paraId="3DFF14B3">
                  <w:pPr>
                    <w:widowControl/>
                    <w:jc w:val="center"/>
                    <w:textAlignment w:val="center"/>
                    <w:rPr>
                      <w:rFonts w:eastAsiaTheme="minorEastAsia"/>
                      <w:color w:val="auto"/>
                      <w:kern w:val="0"/>
                      <w:szCs w:val="21"/>
                      <w:lang w:bidi="ar"/>
                    </w:rPr>
                  </w:pPr>
                  <w:r>
                    <w:rPr>
                      <w:color w:val="auto"/>
                      <w:kern w:val="0"/>
                      <w:szCs w:val="21"/>
                      <w:lang w:bidi="ar"/>
                    </w:rPr>
                    <w:t xml:space="preserve">0.010 </w:t>
                  </w:r>
                </w:p>
              </w:tc>
              <w:tc>
                <w:tcPr>
                  <w:tcW w:w="344" w:type="pct"/>
                  <w:tcBorders>
                    <w:top w:val="single" w:color="000000" w:sz="4" w:space="0"/>
                    <w:left w:val="single" w:color="000000" w:sz="4" w:space="0"/>
                    <w:bottom w:val="single" w:color="000000" w:sz="4" w:space="0"/>
                    <w:right w:val="single" w:color="000000" w:sz="4" w:space="0"/>
                  </w:tcBorders>
                  <w:vAlign w:val="center"/>
                </w:tcPr>
                <w:p w14:paraId="777D0B72">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4C670972">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43DD2C58">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16FAF55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铜</w:t>
                  </w:r>
                </w:p>
              </w:tc>
              <w:tc>
                <w:tcPr>
                  <w:tcW w:w="439" w:type="pct"/>
                  <w:tcBorders>
                    <w:top w:val="single" w:color="000000" w:sz="4" w:space="0"/>
                    <w:left w:val="single" w:color="000000" w:sz="4" w:space="0"/>
                    <w:bottom w:val="single" w:color="000000" w:sz="4" w:space="0"/>
                    <w:right w:val="single" w:color="000000" w:sz="4" w:space="0"/>
                  </w:tcBorders>
                  <w:vAlign w:val="center"/>
                </w:tcPr>
                <w:p w14:paraId="34A24453">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5023EF7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0.04L</w:t>
                  </w:r>
                </w:p>
              </w:tc>
              <w:tc>
                <w:tcPr>
                  <w:tcW w:w="544" w:type="pct"/>
                  <w:tcBorders>
                    <w:top w:val="single" w:color="000000" w:sz="4" w:space="0"/>
                    <w:left w:val="single" w:color="000000" w:sz="4" w:space="0"/>
                    <w:bottom w:val="single" w:color="000000" w:sz="4" w:space="0"/>
                    <w:right w:val="single" w:color="000000" w:sz="4" w:space="0"/>
                  </w:tcBorders>
                  <w:vAlign w:val="center"/>
                </w:tcPr>
                <w:p w14:paraId="0DA6240A">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0.04L</w:t>
                  </w:r>
                </w:p>
              </w:tc>
              <w:tc>
                <w:tcPr>
                  <w:tcW w:w="545" w:type="pct"/>
                  <w:tcBorders>
                    <w:top w:val="single" w:color="000000" w:sz="4" w:space="0"/>
                    <w:left w:val="single" w:color="000000" w:sz="4" w:space="0"/>
                    <w:bottom w:val="single" w:color="000000" w:sz="4" w:space="0"/>
                    <w:right w:val="single" w:color="000000" w:sz="4" w:space="0"/>
                  </w:tcBorders>
                  <w:vAlign w:val="center"/>
                </w:tcPr>
                <w:p w14:paraId="39C1408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0.04L</w:t>
                  </w:r>
                </w:p>
              </w:tc>
              <w:tc>
                <w:tcPr>
                  <w:tcW w:w="476" w:type="pct"/>
                  <w:tcBorders>
                    <w:top w:val="single" w:color="000000" w:sz="4" w:space="0"/>
                    <w:left w:val="single" w:color="000000" w:sz="4" w:space="0"/>
                    <w:bottom w:val="single" w:color="000000" w:sz="4" w:space="0"/>
                    <w:right w:val="single" w:color="000000" w:sz="4" w:space="0"/>
                  </w:tcBorders>
                  <w:vAlign w:val="center"/>
                </w:tcPr>
                <w:p w14:paraId="45D4DA3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0.02</w:t>
                  </w:r>
                </w:p>
              </w:tc>
              <w:tc>
                <w:tcPr>
                  <w:tcW w:w="393" w:type="pct"/>
                  <w:tcBorders>
                    <w:top w:val="single" w:color="000000" w:sz="4" w:space="0"/>
                    <w:left w:val="single" w:color="000000" w:sz="4" w:space="0"/>
                    <w:bottom w:val="single" w:color="000000" w:sz="4" w:space="0"/>
                    <w:right w:val="single" w:color="000000" w:sz="4" w:space="0"/>
                  </w:tcBorders>
                  <w:vAlign w:val="center"/>
                </w:tcPr>
                <w:p w14:paraId="11C4A77C">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1.0</w:t>
                  </w:r>
                </w:p>
              </w:tc>
              <w:tc>
                <w:tcPr>
                  <w:tcW w:w="365" w:type="pct"/>
                  <w:tcBorders>
                    <w:top w:val="single" w:color="000000" w:sz="4" w:space="0"/>
                    <w:left w:val="single" w:color="000000" w:sz="4" w:space="0"/>
                    <w:bottom w:val="single" w:color="000000" w:sz="4" w:space="0"/>
                    <w:right w:val="single" w:color="000000" w:sz="4" w:space="0"/>
                  </w:tcBorders>
                  <w:vAlign w:val="center"/>
                </w:tcPr>
                <w:p w14:paraId="4059ED4E">
                  <w:pPr>
                    <w:widowControl/>
                    <w:jc w:val="center"/>
                    <w:textAlignment w:val="center"/>
                    <w:rPr>
                      <w:rFonts w:eastAsiaTheme="minorEastAsia"/>
                      <w:color w:val="auto"/>
                      <w:kern w:val="0"/>
                      <w:szCs w:val="21"/>
                      <w:lang w:bidi="ar"/>
                    </w:rPr>
                  </w:pPr>
                  <w:r>
                    <w:rPr>
                      <w:color w:val="auto"/>
                      <w:kern w:val="0"/>
                      <w:szCs w:val="21"/>
                      <w:lang w:bidi="ar"/>
                    </w:rPr>
                    <w:t xml:space="preserve">0.020 </w:t>
                  </w:r>
                </w:p>
              </w:tc>
              <w:tc>
                <w:tcPr>
                  <w:tcW w:w="344" w:type="pct"/>
                  <w:tcBorders>
                    <w:top w:val="single" w:color="000000" w:sz="4" w:space="0"/>
                    <w:left w:val="single" w:color="000000" w:sz="4" w:space="0"/>
                    <w:bottom w:val="single" w:color="000000" w:sz="4" w:space="0"/>
                    <w:right w:val="single" w:color="000000" w:sz="4" w:space="0"/>
                  </w:tcBorders>
                  <w:vAlign w:val="center"/>
                </w:tcPr>
                <w:p w14:paraId="259B94BC">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15EED99C">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53645A29">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4BE3AC63">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锌</w:t>
                  </w:r>
                </w:p>
              </w:tc>
              <w:tc>
                <w:tcPr>
                  <w:tcW w:w="439" w:type="pct"/>
                  <w:tcBorders>
                    <w:top w:val="single" w:color="000000" w:sz="4" w:space="0"/>
                    <w:left w:val="single" w:color="000000" w:sz="4" w:space="0"/>
                    <w:bottom w:val="single" w:color="000000" w:sz="4" w:space="0"/>
                    <w:right w:val="single" w:color="000000" w:sz="4" w:space="0"/>
                  </w:tcBorders>
                  <w:vAlign w:val="center"/>
                </w:tcPr>
                <w:p w14:paraId="78593577">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11651ED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0.009L</w:t>
                  </w:r>
                </w:p>
              </w:tc>
              <w:tc>
                <w:tcPr>
                  <w:tcW w:w="544" w:type="pct"/>
                  <w:tcBorders>
                    <w:top w:val="single" w:color="000000" w:sz="4" w:space="0"/>
                    <w:left w:val="single" w:color="000000" w:sz="4" w:space="0"/>
                    <w:bottom w:val="single" w:color="000000" w:sz="4" w:space="0"/>
                    <w:right w:val="single" w:color="000000" w:sz="4" w:space="0"/>
                  </w:tcBorders>
                  <w:vAlign w:val="center"/>
                </w:tcPr>
                <w:p w14:paraId="6F5C639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0.009L</w:t>
                  </w:r>
                </w:p>
              </w:tc>
              <w:tc>
                <w:tcPr>
                  <w:tcW w:w="545" w:type="pct"/>
                  <w:tcBorders>
                    <w:top w:val="single" w:color="000000" w:sz="4" w:space="0"/>
                    <w:left w:val="single" w:color="000000" w:sz="4" w:space="0"/>
                    <w:bottom w:val="single" w:color="000000" w:sz="4" w:space="0"/>
                    <w:right w:val="single" w:color="000000" w:sz="4" w:space="0"/>
                  </w:tcBorders>
                  <w:vAlign w:val="center"/>
                </w:tcPr>
                <w:p w14:paraId="466550A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0.009L</w:t>
                  </w:r>
                </w:p>
              </w:tc>
              <w:tc>
                <w:tcPr>
                  <w:tcW w:w="476" w:type="pct"/>
                  <w:tcBorders>
                    <w:top w:val="single" w:color="000000" w:sz="4" w:space="0"/>
                    <w:left w:val="single" w:color="000000" w:sz="4" w:space="0"/>
                    <w:bottom w:val="single" w:color="000000" w:sz="4" w:space="0"/>
                    <w:right w:val="single" w:color="000000" w:sz="4" w:space="0"/>
                  </w:tcBorders>
                  <w:vAlign w:val="center"/>
                </w:tcPr>
                <w:p w14:paraId="37D3E48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0.0045</w:t>
                  </w:r>
                </w:p>
              </w:tc>
              <w:tc>
                <w:tcPr>
                  <w:tcW w:w="393" w:type="pct"/>
                  <w:tcBorders>
                    <w:top w:val="single" w:color="000000" w:sz="4" w:space="0"/>
                    <w:left w:val="single" w:color="000000" w:sz="4" w:space="0"/>
                    <w:bottom w:val="single" w:color="000000" w:sz="4" w:space="0"/>
                    <w:right w:val="single" w:color="000000" w:sz="4" w:space="0"/>
                  </w:tcBorders>
                  <w:vAlign w:val="center"/>
                </w:tcPr>
                <w:p w14:paraId="56F2919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2.0</w:t>
                  </w:r>
                </w:p>
              </w:tc>
              <w:tc>
                <w:tcPr>
                  <w:tcW w:w="365" w:type="pct"/>
                  <w:tcBorders>
                    <w:top w:val="single" w:color="000000" w:sz="4" w:space="0"/>
                    <w:left w:val="single" w:color="000000" w:sz="4" w:space="0"/>
                    <w:bottom w:val="single" w:color="000000" w:sz="4" w:space="0"/>
                    <w:right w:val="single" w:color="000000" w:sz="4" w:space="0"/>
                  </w:tcBorders>
                  <w:vAlign w:val="center"/>
                </w:tcPr>
                <w:p w14:paraId="32C82E70">
                  <w:pPr>
                    <w:widowControl/>
                    <w:jc w:val="center"/>
                    <w:textAlignment w:val="center"/>
                    <w:rPr>
                      <w:rFonts w:eastAsiaTheme="minorEastAsia"/>
                      <w:color w:val="auto"/>
                      <w:kern w:val="0"/>
                      <w:szCs w:val="21"/>
                      <w:lang w:bidi="ar"/>
                    </w:rPr>
                  </w:pPr>
                  <w:r>
                    <w:rPr>
                      <w:color w:val="auto"/>
                      <w:kern w:val="0"/>
                      <w:szCs w:val="21"/>
                      <w:lang w:bidi="ar"/>
                    </w:rPr>
                    <w:t xml:space="preserve">0.002 </w:t>
                  </w:r>
                </w:p>
              </w:tc>
              <w:tc>
                <w:tcPr>
                  <w:tcW w:w="344" w:type="pct"/>
                  <w:tcBorders>
                    <w:top w:val="single" w:color="000000" w:sz="4" w:space="0"/>
                    <w:left w:val="single" w:color="000000" w:sz="4" w:space="0"/>
                    <w:bottom w:val="single" w:color="000000" w:sz="4" w:space="0"/>
                    <w:right w:val="single" w:color="000000" w:sz="4" w:space="0"/>
                  </w:tcBorders>
                  <w:vAlign w:val="center"/>
                </w:tcPr>
                <w:p w14:paraId="3E659180">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7A70E8F2">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56D95BCA">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6BA34453">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镍</w:t>
                  </w:r>
                </w:p>
              </w:tc>
              <w:tc>
                <w:tcPr>
                  <w:tcW w:w="439" w:type="pct"/>
                  <w:tcBorders>
                    <w:top w:val="single" w:color="000000" w:sz="4" w:space="0"/>
                    <w:left w:val="single" w:color="000000" w:sz="4" w:space="0"/>
                    <w:bottom w:val="single" w:color="000000" w:sz="4" w:space="0"/>
                    <w:right w:val="single" w:color="000000" w:sz="4" w:space="0"/>
                  </w:tcBorders>
                  <w:vAlign w:val="center"/>
                </w:tcPr>
                <w:p w14:paraId="71810C3A">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7EBEF272">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0.011</w:t>
                  </w:r>
                </w:p>
              </w:tc>
              <w:tc>
                <w:tcPr>
                  <w:tcW w:w="544" w:type="pct"/>
                  <w:tcBorders>
                    <w:top w:val="single" w:color="000000" w:sz="4" w:space="0"/>
                    <w:left w:val="single" w:color="000000" w:sz="4" w:space="0"/>
                    <w:bottom w:val="single" w:color="000000" w:sz="4" w:space="0"/>
                    <w:right w:val="single" w:color="000000" w:sz="4" w:space="0"/>
                  </w:tcBorders>
                  <w:vAlign w:val="center"/>
                </w:tcPr>
                <w:p w14:paraId="7E67F67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0.007L</w:t>
                  </w:r>
                </w:p>
              </w:tc>
              <w:tc>
                <w:tcPr>
                  <w:tcW w:w="545" w:type="pct"/>
                  <w:tcBorders>
                    <w:top w:val="single" w:color="000000" w:sz="4" w:space="0"/>
                    <w:left w:val="single" w:color="000000" w:sz="4" w:space="0"/>
                    <w:bottom w:val="single" w:color="000000" w:sz="4" w:space="0"/>
                    <w:right w:val="single" w:color="000000" w:sz="4" w:space="0"/>
                  </w:tcBorders>
                  <w:vAlign w:val="center"/>
                </w:tcPr>
                <w:p w14:paraId="756771EC">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0.007L</w:t>
                  </w:r>
                </w:p>
              </w:tc>
              <w:tc>
                <w:tcPr>
                  <w:tcW w:w="476" w:type="pct"/>
                  <w:tcBorders>
                    <w:top w:val="single" w:color="000000" w:sz="4" w:space="0"/>
                    <w:left w:val="single" w:color="000000" w:sz="4" w:space="0"/>
                    <w:bottom w:val="single" w:color="000000" w:sz="4" w:space="0"/>
                    <w:right w:val="single" w:color="000000" w:sz="4" w:space="0"/>
                  </w:tcBorders>
                  <w:vAlign w:val="center"/>
                </w:tcPr>
                <w:p w14:paraId="1C8A4F3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0.006</w:t>
                  </w:r>
                </w:p>
              </w:tc>
              <w:tc>
                <w:tcPr>
                  <w:tcW w:w="393" w:type="pct"/>
                  <w:tcBorders>
                    <w:top w:val="single" w:color="000000" w:sz="4" w:space="0"/>
                    <w:left w:val="single" w:color="000000" w:sz="4" w:space="0"/>
                    <w:bottom w:val="single" w:color="000000" w:sz="4" w:space="0"/>
                    <w:right w:val="single" w:color="000000" w:sz="4" w:space="0"/>
                  </w:tcBorders>
                  <w:vAlign w:val="center"/>
                </w:tcPr>
                <w:p w14:paraId="010DBACA">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w:t>
                  </w:r>
                </w:p>
              </w:tc>
              <w:tc>
                <w:tcPr>
                  <w:tcW w:w="365" w:type="pct"/>
                  <w:tcBorders>
                    <w:top w:val="single" w:color="000000" w:sz="4" w:space="0"/>
                    <w:left w:val="single" w:color="000000" w:sz="4" w:space="0"/>
                    <w:bottom w:val="single" w:color="000000" w:sz="4" w:space="0"/>
                    <w:right w:val="single" w:color="000000" w:sz="4" w:space="0"/>
                  </w:tcBorders>
                  <w:vAlign w:val="center"/>
                </w:tcPr>
                <w:p w14:paraId="06C387A4">
                  <w:pPr>
                    <w:widowControl/>
                    <w:jc w:val="center"/>
                    <w:textAlignment w:val="center"/>
                    <w:rPr>
                      <w:rFonts w:eastAsiaTheme="minorEastAsia"/>
                      <w:color w:val="auto"/>
                      <w:kern w:val="0"/>
                      <w:szCs w:val="21"/>
                      <w:lang w:bidi="ar"/>
                    </w:rPr>
                  </w:pPr>
                  <w:r>
                    <w:rPr>
                      <w:color w:val="auto"/>
                      <w:kern w:val="0"/>
                      <w:szCs w:val="21"/>
                      <w:lang w:bidi="ar"/>
                    </w:rPr>
                    <w:t>/</w:t>
                  </w:r>
                </w:p>
              </w:tc>
              <w:tc>
                <w:tcPr>
                  <w:tcW w:w="344" w:type="pct"/>
                  <w:tcBorders>
                    <w:top w:val="single" w:color="000000" w:sz="4" w:space="0"/>
                    <w:left w:val="single" w:color="000000" w:sz="4" w:space="0"/>
                    <w:bottom w:val="single" w:color="000000" w:sz="4" w:space="0"/>
                    <w:right w:val="single" w:color="000000" w:sz="4" w:space="0"/>
                  </w:tcBorders>
                  <w:vAlign w:val="center"/>
                </w:tcPr>
                <w:p w14:paraId="4A91B570">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r>
            <w:tr w14:paraId="43BF2855">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633141CF">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73B69553">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铅</w:t>
                  </w:r>
                </w:p>
              </w:tc>
              <w:tc>
                <w:tcPr>
                  <w:tcW w:w="439" w:type="pct"/>
                  <w:tcBorders>
                    <w:top w:val="single" w:color="000000" w:sz="4" w:space="0"/>
                    <w:left w:val="single" w:color="000000" w:sz="4" w:space="0"/>
                    <w:bottom w:val="single" w:color="000000" w:sz="4" w:space="0"/>
                    <w:right w:val="single" w:color="000000" w:sz="4" w:space="0"/>
                  </w:tcBorders>
                  <w:vAlign w:val="center"/>
                </w:tcPr>
                <w:p w14:paraId="3E8B81B2">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08FB5CEA">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0.001L</w:t>
                  </w:r>
                </w:p>
              </w:tc>
              <w:tc>
                <w:tcPr>
                  <w:tcW w:w="544" w:type="pct"/>
                  <w:tcBorders>
                    <w:top w:val="single" w:color="000000" w:sz="4" w:space="0"/>
                    <w:left w:val="single" w:color="000000" w:sz="4" w:space="0"/>
                    <w:bottom w:val="single" w:color="000000" w:sz="4" w:space="0"/>
                    <w:right w:val="single" w:color="000000" w:sz="4" w:space="0"/>
                  </w:tcBorders>
                  <w:vAlign w:val="center"/>
                </w:tcPr>
                <w:p w14:paraId="2E2828E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0.001L</w:t>
                  </w:r>
                </w:p>
              </w:tc>
              <w:tc>
                <w:tcPr>
                  <w:tcW w:w="545" w:type="pct"/>
                  <w:tcBorders>
                    <w:top w:val="single" w:color="000000" w:sz="4" w:space="0"/>
                    <w:left w:val="single" w:color="000000" w:sz="4" w:space="0"/>
                    <w:bottom w:val="single" w:color="000000" w:sz="4" w:space="0"/>
                    <w:right w:val="single" w:color="000000" w:sz="4" w:space="0"/>
                  </w:tcBorders>
                  <w:vAlign w:val="center"/>
                </w:tcPr>
                <w:p w14:paraId="55B683C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0.001L</w:t>
                  </w:r>
                </w:p>
              </w:tc>
              <w:tc>
                <w:tcPr>
                  <w:tcW w:w="476" w:type="pct"/>
                  <w:tcBorders>
                    <w:top w:val="single" w:color="000000" w:sz="4" w:space="0"/>
                    <w:left w:val="single" w:color="000000" w:sz="4" w:space="0"/>
                    <w:bottom w:val="single" w:color="000000" w:sz="4" w:space="0"/>
                    <w:right w:val="single" w:color="000000" w:sz="4" w:space="0"/>
                  </w:tcBorders>
                  <w:vAlign w:val="center"/>
                </w:tcPr>
                <w:p w14:paraId="55EA6346">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0.0005</w:t>
                  </w:r>
                </w:p>
              </w:tc>
              <w:tc>
                <w:tcPr>
                  <w:tcW w:w="393" w:type="pct"/>
                  <w:tcBorders>
                    <w:top w:val="single" w:color="000000" w:sz="4" w:space="0"/>
                    <w:left w:val="single" w:color="000000" w:sz="4" w:space="0"/>
                    <w:bottom w:val="single" w:color="000000" w:sz="4" w:space="0"/>
                    <w:right w:val="single" w:color="000000" w:sz="4" w:space="0"/>
                  </w:tcBorders>
                  <w:vAlign w:val="center"/>
                </w:tcPr>
                <w:p w14:paraId="1BEF698C">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w:t>
                  </w:r>
                </w:p>
              </w:tc>
              <w:tc>
                <w:tcPr>
                  <w:tcW w:w="365" w:type="pct"/>
                  <w:tcBorders>
                    <w:top w:val="single" w:color="000000" w:sz="4" w:space="0"/>
                    <w:left w:val="single" w:color="000000" w:sz="4" w:space="0"/>
                    <w:bottom w:val="single" w:color="000000" w:sz="4" w:space="0"/>
                    <w:right w:val="single" w:color="000000" w:sz="4" w:space="0"/>
                  </w:tcBorders>
                  <w:vAlign w:val="center"/>
                </w:tcPr>
                <w:p w14:paraId="4AB0CFAA">
                  <w:pPr>
                    <w:widowControl/>
                    <w:jc w:val="center"/>
                    <w:textAlignment w:val="center"/>
                    <w:rPr>
                      <w:rFonts w:eastAsiaTheme="minorEastAsia"/>
                      <w:color w:val="auto"/>
                      <w:kern w:val="0"/>
                      <w:szCs w:val="21"/>
                      <w:lang w:bidi="ar"/>
                    </w:rPr>
                  </w:pPr>
                  <w:r>
                    <w:rPr>
                      <w:color w:val="auto"/>
                      <w:kern w:val="0"/>
                      <w:szCs w:val="21"/>
                      <w:lang w:bidi="ar"/>
                    </w:rPr>
                    <w:t xml:space="preserve">0.005 </w:t>
                  </w:r>
                </w:p>
              </w:tc>
              <w:tc>
                <w:tcPr>
                  <w:tcW w:w="344" w:type="pct"/>
                  <w:tcBorders>
                    <w:top w:val="single" w:color="000000" w:sz="4" w:space="0"/>
                    <w:left w:val="single" w:color="000000" w:sz="4" w:space="0"/>
                    <w:bottom w:val="single" w:color="000000" w:sz="4" w:space="0"/>
                    <w:right w:val="single" w:color="000000" w:sz="4" w:space="0"/>
                  </w:tcBorders>
                  <w:vAlign w:val="center"/>
                </w:tcPr>
                <w:p w14:paraId="65151CF7">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24B0BC0E">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4660B4C1">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0703325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镉</w:t>
                  </w:r>
                </w:p>
              </w:tc>
              <w:tc>
                <w:tcPr>
                  <w:tcW w:w="439" w:type="pct"/>
                  <w:tcBorders>
                    <w:top w:val="single" w:color="000000" w:sz="4" w:space="0"/>
                    <w:left w:val="single" w:color="000000" w:sz="4" w:space="0"/>
                    <w:bottom w:val="single" w:color="000000" w:sz="4" w:space="0"/>
                    <w:right w:val="single" w:color="000000" w:sz="4" w:space="0"/>
                  </w:tcBorders>
                  <w:vAlign w:val="center"/>
                </w:tcPr>
                <w:p w14:paraId="20AF38D5">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7D23F53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0.0001L</w:t>
                  </w:r>
                </w:p>
              </w:tc>
              <w:tc>
                <w:tcPr>
                  <w:tcW w:w="544" w:type="pct"/>
                  <w:tcBorders>
                    <w:top w:val="single" w:color="000000" w:sz="4" w:space="0"/>
                    <w:left w:val="single" w:color="000000" w:sz="4" w:space="0"/>
                    <w:bottom w:val="single" w:color="000000" w:sz="4" w:space="0"/>
                    <w:right w:val="single" w:color="000000" w:sz="4" w:space="0"/>
                  </w:tcBorders>
                  <w:vAlign w:val="center"/>
                </w:tcPr>
                <w:p w14:paraId="6782C413">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0.0001L</w:t>
                  </w:r>
                </w:p>
              </w:tc>
              <w:tc>
                <w:tcPr>
                  <w:tcW w:w="545" w:type="pct"/>
                  <w:tcBorders>
                    <w:top w:val="single" w:color="000000" w:sz="4" w:space="0"/>
                    <w:left w:val="single" w:color="000000" w:sz="4" w:space="0"/>
                    <w:bottom w:val="single" w:color="000000" w:sz="4" w:space="0"/>
                    <w:right w:val="single" w:color="000000" w:sz="4" w:space="0"/>
                  </w:tcBorders>
                  <w:vAlign w:val="center"/>
                </w:tcPr>
                <w:p w14:paraId="1EA8F43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0.0001L</w:t>
                  </w:r>
                </w:p>
              </w:tc>
              <w:tc>
                <w:tcPr>
                  <w:tcW w:w="476" w:type="pct"/>
                  <w:tcBorders>
                    <w:top w:val="single" w:color="000000" w:sz="4" w:space="0"/>
                    <w:left w:val="single" w:color="000000" w:sz="4" w:space="0"/>
                    <w:bottom w:val="single" w:color="000000" w:sz="4" w:space="0"/>
                    <w:right w:val="single" w:color="000000" w:sz="4" w:space="0"/>
                  </w:tcBorders>
                  <w:vAlign w:val="center"/>
                </w:tcPr>
                <w:p w14:paraId="52AE416A">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0.00005</w:t>
                  </w:r>
                </w:p>
              </w:tc>
              <w:tc>
                <w:tcPr>
                  <w:tcW w:w="393" w:type="pct"/>
                  <w:tcBorders>
                    <w:top w:val="single" w:color="000000" w:sz="4" w:space="0"/>
                    <w:left w:val="single" w:color="000000" w:sz="4" w:space="0"/>
                    <w:bottom w:val="single" w:color="000000" w:sz="4" w:space="0"/>
                    <w:right w:val="single" w:color="000000" w:sz="4" w:space="0"/>
                  </w:tcBorders>
                  <w:vAlign w:val="center"/>
                </w:tcPr>
                <w:p w14:paraId="02107261">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0.01</w:t>
                  </w:r>
                </w:p>
              </w:tc>
              <w:tc>
                <w:tcPr>
                  <w:tcW w:w="365" w:type="pct"/>
                  <w:tcBorders>
                    <w:top w:val="single" w:color="000000" w:sz="4" w:space="0"/>
                    <w:left w:val="single" w:color="000000" w:sz="4" w:space="0"/>
                    <w:bottom w:val="single" w:color="000000" w:sz="4" w:space="0"/>
                    <w:right w:val="single" w:color="000000" w:sz="4" w:space="0"/>
                  </w:tcBorders>
                  <w:vAlign w:val="center"/>
                </w:tcPr>
                <w:p w14:paraId="4C0091CF">
                  <w:pPr>
                    <w:widowControl/>
                    <w:jc w:val="center"/>
                    <w:textAlignment w:val="center"/>
                    <w:rPr>
                      <w:rFonts w:eastAsiaTheme="minorEastAsia"/>
                      <w:color w:val="auto"/>
                      <w:kern w:val="0"/>
                      <w:szCs w:val="21"/>
                      <w:lang w:bidi="ar"/>
                    </w:rPr>
                  </w:pPr>
                  <w:r>
                    <w:rPr>
                      <w:color w:val="auto"/>
                      <w:kern w:val="0"/>
                      <w:szCs w:val="21"/>
                      <w:lang w:bidi="ar"/>
                    </w:rPr>
                    <w:t xml:space="preserve">0.005 </w:t>
                  </w:r>
                </w:p>
              </w:tc>
              <w:tc>
                <w:tcPr>
                  <w:tcW w:w="344" w:type="pct"/>
                  <w:tcBorders>
                    <w:top w:val="single" w:color="000000" w:sz="4" w:space="0"/>
                    <w:left w:val="single" w:color="000000" w:sz="4" w:space="0"/>
                    <w:bottom w:val="single" w:color="000000" w:sz="4" w:space="0"/>
                    <w:right w:val="single" w:color="000000" w:sz="4" w:space="0"/>
                  </w:tcBorders>
                  <w:vAlign w:val="center"/>
                </w:tcPr>
                <w:p w14:paraId="56C77641">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0A3EB46D">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44383D11">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3C8B84E6">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六价铬</w:t>
                  </w:r>
                </w:p>
              </w:tc>
              <w:tc>
                <w:tcPr>
                  <w:tcW w:w="439" w:type="pct"/>
                  <w:tcBorders>
                    <w:top w:val="single" w:color="000000" w:sz="4" w:space="0"/>
                    <w:left w:val="single" w:color="000000" w:sz="4" w:space="0"/>
                    <w:bottom w:val="single" w:color="000000" w:sz="4" w:space="0"/>
                    <w:right w:val="single" w:color="000000" w:sz="4" w:space="0"/>
                  </w:tcBorders>
                  <w:vAlign w:val="center"/>
                </w:tcPr>
                <w:p w14:paraId="4F764F95">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08D7F3C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0.045</w:t>
                  </w:r>
                </w:p>
              </w:tc>
              <w:tc>
                <w:tcPr>
                  <w:tcW w:w="544" w:type="pct"/>
                  <w:tcBorders>
                    <w:top w:val="single" w:color="000000" w:sz="4" w:space="0"/>
                    <w:left w:val="single" w:color="000000" w:sz="4" w:space="0"/>
                    <w:bottom w:val="single" w:color="000000" w:sz="4" w:space="0"/>
                    <w:right w:val="single" w:color="000000" w:sz="4" w:space="0"/>
                  </w:tcBorders>
                  <w:vAlign w:val="center"/>
                </w:tcPr>
                <w:p w14:paraId="5FAFDB4E">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0.049</w:t>
                  </w:r>
                </w:p>
              </w:tc>
              <w:tc>
                <w:tcPr>
                  <w:tcW w:w="545" w:type="pct"/>
                  <w:tcBorders>
                    <w:top w:val="single" w:color="000000" w:sz="4" w:space="0"/>
                    <w:left w:val="single" w:color="000000" w:sz="4" w:space="0"/>
                    <w:bottom w:val="single" w:color="000000" w:sz="4" w:space="0"/>
                    <w:right w:val="single" w:color="000000" w:sz="4" w:space="0"/>
                  </w:tcBorders>
                  <w:vAlign w:val="center"/>
                </w:tcPr>
                <w:p w14:paraId="787D1A2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0.044</w:t>
                  </w:r>
                </w:p>
              </w:tc>
              <w:tc>
                <w:tcPr>
                  <w:tcW w:w="476" w:type="pct"/>
                  <w:tcBorders>
                    <w:top w:val="single" w:color="000000" w:sz="4" w:space="0"/>
                    <w:left w:val="single" w:color="000000" w:sz="4" w:space="0"/>
                    <w:bottom w:val="single" w:color="000000" w:sz="4" w:space="0"/>
                    <w:right w:val="single" w:color="000000" w:sz="4" w:space="0"/>
                  </w:tcBorders>
                  <w:vAlign w:val="center"/>
                </w:tcPr>
                <w:p w14:paraId="72610356">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0.046</w:t>
                  </w:r>
                </w:p>
              </w:tc>
              <w:tc>
                <w:tcPr>
                  <w:tcW w:w="393" w:type="pct"/>
                  <w:tcBorders>
                    <w:top w:val="single" w:color="000000" w:sz="4" w:space="0"/>
                    <w:left w:val="single" w:color="000000" w:sz="4" w:space="0"/>
                    <w:bottom w:val="single" w:color="000000" w:sz="4" w:space="0"/>
                    <w:right w:val="single" w:color="000000" w:sz="4" w:space="0"/>
                  </w:tcBorders>
                  <w:vAlign w:val="center"/>
                </w:tcPr>
                <w:p w14:paraId="0EC9EAD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w:t>
                  </w:r>
                </w:p>
              </w:tc>
              <w:tc>
                <w:tcPr>
                  <w:tcW w:w="365" w:type="pct"/>
                  <w:tcBorders>
                    <w:top w:val="single" w:color="000000" w:sz="4" w:space="0"/>
                    <w:left w:val="single" w:color="000000" w:sz="4" w:space="0"/>
                    <w:bottom w:val="single" w:color="000000" w:sz="4" w:space="0"/>
                    <w:right w:val="single" w:color="000000" w:sz="4" w:space="0"/>
                  </w:tcBorders>
                  <w:vAlign w:val="center"/>
                </w:tcPr>
                <w:p w14:paraId="7343D40F">
                  <w:pPr>
                    <w:widowControl/>
                    <w:jc w:val="center"/>
                    <w:textAlignment w:val="center"/>
                    <w:rPr>
                      <w:rFonts w:eastAsiaTheme="minorEastAsia"/>
                      <w:color w:val="auto"/>
                      <w:kern w:val="0"/>
                      <w:szCs w:val="21"/>
                      <w:lang w:bidi="ar"/>
                    </w:rPr>
                  </w:pPr>
                  <w:r>
                    <w:rPr>
                      <w:color w:val="auto"/>
                      <w:kern w:val="0"/>
                      <w:szCs w:val="21"/>
                      <w:lang w:bidi="ar"/>
                    </w:rPr>
                    <w:t xml:space="preserve">0.460 </w:t>
                  </w:r>
                </w:p>
              </w:tc>
              <w:tc>
                <w:tcPr>
                  <w:tcW w:w="344" w:type="pct"/>
                  <w:tcBorders>
                    <w:top w:val="single" w:color="000000" w:sz="4" w:space="0"/>
                    <w:left w:val="single" w:color="000000" w:sz="4" w:space="0"/>
                    <w:bottom w:val="single" w:color="000000" w:sz="4" w:space="0"/>
                    <w:right w:val="single" w:color="000000" w:sz="4" w:space="0"/>
                  </w:tcBorders>
                  <w:vAlign w:val="center"/>
                </w:tcPr>
                <w:p w14:paraId="01A3C5AC">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5D004F63">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70036FB0">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4EE0B6F6">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砷</w:t>
                  </w:r>
                </w:p>
              </w:tc>
              <w:tc>
                <w:tcPr>
                  <w:tcW w:w="439" w:type="pct"/>
                  <w:tcBorders>
                    <w:top w:val="single" w:color="000000" w:sz="4" w:space="0"/>
                    <w:left w:val="single" w:color="000000" w:sz="4" w:space="0"/>
                    <w:bottom w:val="single" w:color="000000" w:sz="4" w:space="0"/>
                    <w:right w:val="single" w:color="000000" w:sz="4" w:space="0"/>
                  </w:tcBorders>
                  <w:vAlign w:val="center"/>
                </w:tcPr>
                <w:p w14:paraId="1DD7D74E">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7C6BA04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0.0004</w:t>
                  </w:r>
                </w:p>
              </w:tc>
              <w:tc>
                <w:tcPr>
                  <w:tcW w:w="544" w:type="pct"/>
                  <w:tcBorders>
                    <w:top w:val="single" w:color="000000" w:sz="4" w:space="0"/>
                    <w:left w:val="single" w:color="000000" w:sz="4" w:space="0"/>
                    <w:bottom w:val="single" w:color="000000" w:sz="4" w:space="0"/>
                    <w:right w:val="single" w:color="000000" w:sz="4" w:space="0"/>
                  </w:tcBorders>
                  <w:vAlign w:val="center"/>
                </w:tcPr>
                <w:p w14:paraId="47F1A96D">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0.0003</w:t>
                  </w:r>
                </w:p>
              </w:tc>
              <w:tc>
                <w:tcPr>
                  <w:tcW w:w="545" w:type="pct"/>
                  <w:tcBorders>
                    <w:top w:val="single" w:color="000000" w:sz="4" w:space="0"/>
                    <w:left w:val="single" w:color="000000" w:sz="4" w:space="0"/>
                    <w:bottom w:val="single" w:color="000000" w:sz="4" w:space="0"/>
                    <w:right w:val="single" w:color="000000" w:sz="4" w:space="0"/>
                  </w:tcBorders>
                  <w:vAlign w:val="center"/>
                </w:tcPr>
                <w:p w14:paraId="1CFD936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0.0005</w:t>
                  </w:r>
                </w:p>
              </w:tc>
              <w:tc>
                <w:tcPr>
                  <w:tcW w:w="476" w:type="pct"/>
                  <w:tcBorders>
                    <w:top w:val="single" w:color="000000" w:sz="4" w:space="0"/>
                    <w:left w:val="single" w:color="000000" w:sz="4" w:space="0"/>
                    <w:bottom w:val="single" w:color="000000" w:sz="4" w:space="0"/>
                    <w:right w:val="single" w:color="000000" w:sz="4" w:space="0"/>
                  </w:tcBorders>
                  <w:vAlign w:val="center"/>
                </w:tcPr>
                <w:p w14:paraId="470C202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0.0004</w:t>
                  </w:r>
                </w:p>
              </w:tc>
              <w:tc>
                <w:tcPr>
                  <w:tcW w:w="393" w:type="pct"/>
                  <w:tcBorders>
                    <w:top w:val="single" w:color="000000" w:sz="4" w:space="0"/>
                    <w:left w:val="single" w:color="000000" w:sz="4" w:space="0"/>
                    <w:bottom w:val="single" w:color="000000" w:sz="4" w:space="0"/>
                    <w:right w:val="single" w:color="000000" w:sz="4" w:space="0"/>
                  </w:tcBorders>
                  <w:vAlign w:val="center"/>
                </w:tcPr>
                <w:p w14:paraId="373AFE58">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0.1</w:t>
                  </w:r>
                </w:p>
              </w:tc>
              <w:tc>
                <w:tcPr>
                  <w:tcW w:w="365" w:type="pct"/>
                  <w:tcBorders>
                    <w:top w:val="single" w:color="000000" w:sz="4" w:space="0"/>
                    <w:left w:val="single" w:color="000000" w:sz="4" w:space="0"/>
                    <w:bottom w:val="single" w:color="000000" w:sz="4" w:space="0"/>
                    <w:right w:val="single" w:color="000000" w:sz="4" w:space="0"/>
                  </w:tcBorders>
                  <w:vAlign w:val="center"/>
                </w:tcPr>
                <w:p w14:paraId="6D3C3EF2">
                  <w:pPr>
                    <w:widowControl/>
                    <w:jc w:val="center"/>
                    <w:textAlignment w:val="center"/>
                    <w:rPr>
                      <w:rFonts w:eastAsiaTheme="minorEastAsia"/>
                      <w:color w:val="auto"/>
                      <w:kern w:val="0"/>
                      <w:szCs w:val="21"/>
                      <w:lang w:bidi="ar"/>
                    </w:rPr>
                  </w:pPr>
                  <w:r>
                    <w:rPr>
                      <w:color w:val="auto"/>
                      <w:kern w:val="0"/>
                      <w:szCs w:val="21"/>
                      <w:lang w:bidi="ar"/>
                    </w:rPr>
                    <w:t xml:space="preserve">0.004 </w:t>
                  </w:r>
                </w:p>
              </w:tc>
              <w:tc>
                <w:tcPr>
                  <w:tcW w:w="344" w:type="pct"/>
                  <w:tcBorders>
                    <w:top w:val="single" w:color="000000" w:sz="4" w:space="0"/>
                    <w:left w:val="single" w:color="000000" w:sz="4" w:space="0"/>
                    <w:bottom w:val="single" w:color="000000" w:sz="4" w:space="0"/>
                    <w:right w:val="single" w:color="000000" w:sz="4" w:space="0"/>
                  </w:tcBorders>
                  <w:vAlign w:val="center"/>
                </w:tcPr>
                <w:p w14:paraId="246E52E6">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6934636B">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4BA8F814">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2C41E4E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汞</w:t>
                  </w:r>
                </w:p>
              </w:tc>
              <w:tc>
                <w:tcPr>
                  <w:tcW w:w="439" w:type="pct"/>
                  <w:tcBorders>
                    <w:top w:val="single" w:color="000000" w:sz="4" w:space="0"/>
                    <w:left w:val="single" w:color="000000" w:sz="4" w:space="0"/>
                    <w:bottom w:val="single" w:color="000000" w:sz="4" w:space="0"/>
                    <w:right w:val="single" w:color="000000" w:sz="4" w:space="0"/>
                  </w:tcBorders>
                  <w:vAlign w:val="center"/>
                </w:tcPr>
                <w:p w14:paraId="76F6DF8F">
                  <w:pPr>
                    <w:widowControl/>
                    <w:jc w:val="center"/>
                    <w:textAlignment w:val="center"/>
                    <w:rPr>
                      <w:rFonts w:eastAsiaTheme="minorEastAsia"/>
                      <w:color w:val="auto"/>
                      <w:kern w:val="0"/>
                      <w:szCs w:val="21"/>
                      <w:lang w:bidi="ar"/>
                    </w:rPr>
                  </w:pPr>
                  <w:r>
                    <w:rPr>
                      <w:rFonts w:eastAsiaTheme="minorEastAsia"/>
                      <w:color w:val="auto"/>
                      <w:kern w:val="0"/>
                      <w:szCs w:val="21"/>
                      <w:lang w:bidi="ar"/>
                    </w:rPr>
                    <w:t>mg/L</w:t>
                  </w:r>
                </w:p>
              </w:tc>
              <w:tc>
                <w:tcPr>
                  <w:tcW w:w="544" w:type="pct"/>
                  <w:tcBorders>
                    <w:top w:val="single" w:color="000000" w:sz="4" w:space="0"/>
                    <w:left w:val="single" w:color="000000" w:sz="4" w:space="0"/>
                    <w:bottom w:val="single" w:color="000000" w:sz="4" w:space="0"/>
                    <w:right w:val="single" w:color="000000" w:sz="4" w:space="0"/>
                  </w:tcBorders>
                  <w:vAlign w:val="center"/>
                </w:tcPr>
                <w:p w14:paraId="77EB5DE4">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0.00004L</w:t>
                  </w:r>
                </w:p>
              </w:tc>
              <w:tc>
                <w:tcPr>
                  <w:tcW w:w="544" w:type="pct"/>
                  <w:tcBorders>
                    <w:top w:val="single" w:color="000000" w:sz="4" w:space="0"/>
                    <w:left w:val="single" w:color="000000" w:sz="4" w:space="0"/>
                    <w:bottom w:val="single" w:color="000000" w:sz="4" w:space="0"/>
                    <w:right w:val="single" w:color="000000" w:sz="4" w:space="0"/>
                  </w:tcBorders>
                  <w:vAlign w:val="center"/>
                </w:tcPr>
                <w:p w14:paraId="1B7DF83B">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0.00004L</w:t>
                  </w:r>
                </w:p>
              </w:tc>
              <w:tc>
                <w:tcPr>
                  <w:tcW w:w="545" w:type="pct"/>
                  <w:tcBorders>
                    <w:top w:val="single" w:color="000000" w:sz="4" w:space="0"/>
                    <w:left w:val="single" w:color="000000" w:sz="4" w:space="0"/>
                    <w:bottom w:val="single" w:color="000000" w:sz="4" w:space="0"/>
                    <w:right w:val="single" w:color="000000" w:sz="4" w:space="0"/>
                  </w:tcBorders>
                  <w:vAlign w:val="center"/>
                </w:tcPr>
                <w:p w14:paraId="4AA8A169">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0.00004L</w:t>
                  </w:r>
                </w:p>
              </w:tc>
              <w:tc>
                <w:tcPr>
                  <w:tcW w:w="476" w:type="pct"/>
                  <w:tcBorders>
                    <w:top w:val="single" w:color="000000" w:sz="4" w:space="0"/>
                    <w:left w:val="single" w:color="000000" w:sz="4" w:space="0"/>
                    <w:bottom w:val="single" w:color="000000" w:sz="4" w:space="0"/>
                    <w:right w:val="single" w:color="000000" w:sz="4" w:space="0"/>
                  </w:tcBorders>
                  <w:vAlign w:val="center"/>
                </w:tcPr>
                <w:p w14:paraId="424518E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0.00002</w:t>
                  </w:r>
                </w:p>
              </w:tc>
              <w:tc>
                <w:tcPr>
                  <w:tcW w:w="393" w:type="pct"/>
                  <w:tcBorders>
                    <w:top w:val="single" w:color="000000" w:sz="4" w:space="0"/>
                    <w:left w:val="single" w:color="000000" w:sz="4" w:space="0"/>
                    <w:bottom w:val="single" w:color="000000" w:sz="4" w:space="0"/>
                    <w:right w:val="single" w:color="000000" w:sz="4" w:space="0"/>
                  </w:tcBorders>
                  <w:vAlign w:val="center"/>
                </w:tcPr>
                <w:p w14:paraId="6FD93500">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0.001</w:t>
                  </w:r>
                </w:p>
              </w:tc>
              <w:tc>
                <w:tcPr>
                  <w:tcW w:w="365" w:type="pct"/>
                  <w:tcBorders>
                    <w:top w:val="single" w:color="000000" w:sz="4" w:space="0"/>
                    <w:left w:val="single" w:color="000000" w:sz="4" w:space="0"/>
                    <w:bottom w:val="single" w:color="000000" w:sz="4" w:space="0"/>
                    <w:right w:val="single" w:color="000000" w:sz="4" w:space="0"/>
                  </w:tcBorders>
                  <w:vAlign w:val="center"/>
                </w:tcPr>
                <w:p w14:paraId="7AD32E18">
                  <w:pPr>
                    <w:widowControl/>
                    <w:jc w:val="center"/>
                    <w:textAlignment w:val="center"/>
                    <w:rPr>
                      <w:rFonts w:eastAsiaTheme="minorEastAsia"/>
                      <w:color w:val="auto"/>
                      <w:kern w:val="0"/>
                      <w:szCs w:val="21"/>
                      <w:lang w:bidi="ar"/>
                    </w:rPr>
                  </w:pPr>
                  <w:r>
                    <w:rPr>
                      <w:color w:val="auto"/>
                      <w:kern w:val="0"/>
                      <w:szCs w:val="21"/>
                      <w:lang w:bidi="ar"/>
                    </w:rPr>
                    <w:t xml:space="preserve">0.020 </w:t>
                  </w:r>
                </w:p>
              </w:tc>
              <w:tc>
                <w:tcPr>
                  <w:tcW w:w="344" w:type="pct"/>
                  <w:tcBorders>
                    <w:top w:val="single" w:color="000000" w:sz="4" w:space="0"/>
                    <w:left w:val="single" w:color="000000" w:sz="4" w:space="0"/>
                    <w:bottom w:val="single" w:color="000000" w:sz="4" w:space="0"/>
                    <w:right w:val="single" w:color="000000" w:sz="4" w:space="0"/>
                  </w:tcBorders>
                  <w:vAlign w:val="center"/>
                </w:tcPr>
                <w:p w14:paraId="6C377145">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r w14:paraId="39D55D17">
              <w:tblPrEx>
                <w:tblCellMar>
                  <w:top w:w="0" w:type="dxa"/>
                  <w:left w:w="108" w:type="dxa"/>
                  <w:bottom w:w="0" w:type="dxa"/>
                  <w:right w:w="108" w:type="dxa"/>
                </w:tblCellMar>
              </w:tblPrEx>
              <w:trPr>
                <w:jc w:val="center"/>
              </w:trPr>
              <w:tc>
                <w:tcPr>
                  <w:tcW w:w="310" w:type="pct"/>
                  <w:vMerge w:val="continue"/>
                  <w:tcBorders>
                    <w:top w:val="single" w:color="000000" w:sz="4" w:space="0"/>
                    <w:left w:val="single" w:color="000000" w:sz="4" w:space="0"/>
                    <w:bottom w:val="single" w:color="000000" w:sz="4" w:space="0"/>
                    <w:right w:val="single" w:color="000000" w:sz="4" w:space="0"/>
                  </w:tcBorders>
                  <w:vAlign w:val="center"/>
                </w:tcPr>
                <w:p w14:paraId="0E7EA8A9">
                  <w:pPr>
                    <w:widowControl/>
                    <w:jc w:val="center"/>
                    <w:textAlignment w:val="center"/>
                    <w:rPr>
                      <w:rFonts w:eastAsiaTheme="minorEastAsia"/>
                      <w:color w:val="auto"/>
                      <w:kern w:val="0"/>
                      <w:szCs w:val="21"/>
                      <w:lang w:bidi="ar"/>
                    </w:rPr>
                  </w:pPr>
                </w:p>
              </w:tc>
              <w:tc>
                <w:tcPr>
                  <w:tcW w:w="1035" w:type="pct"/>
                  <w:tcBorders>
                    <w:top w:val="single" w:color="000000" w:sz="4" w:space="0"/>
                    <w:left w:val="single" w:color="000000" w:sz="4" w:space="0"/>
                    <w:bottom w:val="single" w:color="000000" w:sz="4" w:space="0"/>
                    <w:right w:val="single" w:color="000000" w:sz="4" w:space="0"/>
                  </w:tcBorders>
                  <w:vAlign w:val="center"/>
                </w:tcPr>
                <w:p w14:paraId="2C191DC8">
                  <w:pPr>
                    <w:widowControl/>
                    <w:jc w:val="center"/>
                    <w:textAlignment w:val="center"/>
                    <w:rPr>
                      <w:rFonts w:eastAsiaTheme="minorEastAsia"/>
                      <w:color w:val="auto"/>
                      <w:kern w:val="0"/>
                      <w:szCs w:val="21"/>
                      <w:lang w:bidi="ar"/>
                    </w:rPr>
                  </w:pPr>
                  <w:r>
                    <w:rPr>
                      <w:rFonts w:eastAsiaTheme="minorEastAsia"/>
                      <w:color w:val="auto"/>
                      <w:kern w:val="0"/>
                      <w:szCs w:val="21"/>
                      <w:lang w:bidi="ar"/>
                    </w:rPr>
                    <w:t>粪大肠菌群数</w:t>
                  </w:r>
                </w:p>
              </w:tc>
              <w:tc>
                <w:tcPr>
                  <w:tcW w:w="439" w:type="pct"/>
                  <w:tcBorders>
                    <w:top w:val="single" w:color="000000" w:sz="4" w:space="0"/>
                    <w:left w:val="single" w:color="000000" w:sz="4" w:space="0"/>
                    <w:bottom w:val="single" w:color="000000" w:sz="4" w:space="0"/>
                    <w:right w:val="single" w:color="000000" w:sz="4" w:space="0"/>
                  </w:tcBorders>
                  <w:vAlign w:val="center"/>
                </w:tcPr>
                <w:p w14:paraId="5A9858F2">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个</w:t>
                  </w:r>
                  <w:r>
                    <w:rPr>
                      <w:rFonts w:eastAsiaTheme="minorEastAsia"/>
                      <w:color w:val="auto"/>
                      <w:kern w:val="0"/>
                      <w:szCs w:val="21"/>
                      <w:lang w:bidi="ar"/>
                    </w:rPr>
                    <w:t>/L</w:t>
                  </w:r>
                </w:p>
              </w:tc>
              <w:tc>
                <w:tcPr>
                  <w:tcW w:w="544" w:type="pct"/>
                  <w:tcBorders>
                    <w:top w:val="single" w:color="000000" w:sz="4" w:space="0"/>
                    <w:left w:val="single" w:color="000000" w:sz="4" w:space="0"/>
                    <w:bottom w:val="single" w:color="000000" w:sz="4" w:space="0"/>
                    <w:right w:val="single" w:color="000000" w:sz="4" w:space="0"/>
                  </w:tcBorders>
                  <w:vAlign w:val="center"/>
                </w:tcPr>
                <w:p w14:paraId="21992D35">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170</w:t>
                  </w:r>
                </w:p>
              </w:tc>
              <w:tc>
                <w:tcPr>
                  <w:tcW w:w="544" w:type="pct"/>
                  <w:tcBorders>
                    <w:top w:val="single" w:color="000000" w:sz="4" w:space="0"/>
                    <w:left w:val="single" w:color="000000" w:sz="4" w:space="0"/>
                    <w:bottom w:val="single" w:color="000000" w:sz="4" w:space="0"/>
                    <w:right w:val="single" w:color="000000" w:sz="4" w:space="0"/>
                  </w:tcBorders>
                  <w:vAlign w:val="center"/>
                </w:tcPr>
                <w:p w14:paraId="0C68164F">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170</w:t>
                  </w:r>
                </w:p>
              </w:tc>
              <w:tc>
                <w:tcPr>
                  <w:tcW w:w="545" w:type="pct"/>
                  <w:tcBorders>
                    <w:top w:val="single" w:color="000000" w:sz="4" w:space="0"/>
                    <w:left w:val="single" w:color="000000" w:sz="4" w:space="0"/>
                    <w:bottom w:val="single" w:color="000000" w:sz="4" w:space="0"/>
                    <w:right w:val="single" w:color="000000" w:sz="4" w:space="0"/>
                  </w:tcBorders>
                  <w:vAlign w:val="center"/>
                </w:tcPr>
                <w:p w14:paraId="102C9631">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210</w:t>
                  </w:r>
                </w:p>
              </w:tc>
              <w:tc>
                <w:tcPr>
                  <w:tcW w:w="476" w:type="pct"/>
                  <w:tcBorders>
                    <w:top w:val="single" w:color="000000" w:sz="4" w:space="0"/>
                    <w:left w:val="single" w:color="000000" w:sz="4" w:space="0"/>
                    <w:bottom w:val="single" w:color="000000" w:sz="4" w:space="0"/>
                    <w:right w:val="single" w:color="000000" w:sz="4" w:space="0"/>
                  </w:tcBorders>
                  <w:vAlign w:val="center"/>
                </w:tcPr>
                <w:p w14:paraId="198A7FD7">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183</w:t>
                  </w:r>
                </w:p>
              </w:tc>
              <w:tc>
                <w:tcPr>
                  <w:tcW w:w="393" w:type="pct"/>
                  <w:tcBorders>
                    <w:top w:val="single" w:color="000000" w:sz="4" w:space="0"/>
                    <w:left w:val="single" w:color="000000" w:sz="4" w:space="0"/>
                    <w:bottom w:val="single" w:color="000000" w:sz="4" w:space="0"/>
                    <w:right w:val="single" w:color="000000" w:sz="4" w:space="0"/>
                  </w:tcBorders>
                  <w:vAlign w:val="center"/>
                </w:tcPr>
                <w:p w14:paraId="71570AC2">
                  <w:pPr>
                    <w:widowControl/>
                    <w:jc w:val="center"/>
                    <w:textAlignment w:val="center"/>
                    <w:rPr>
                      <w:rFonts w:eastAsiaTheme="minorEastAsia"/>
                      <w:color w:val="auto"/>
                      <w:kern w:val="0"/>
                      <w:szCs w:val="21"/>
                      <w:lang w:bidi="ar"/>
                    </w:rPr>
                  </w:pPr>
                  <w:r>
                    <w:rPr>
                      <w:rFonts w:hint="eastAsia" w:eastAsiaTheme="minorEastAsia"/>
                      <w:color w:val="auto"/>
                      <w:kern w:val="0"/>
                      <w:szCs w:val="21"/>
                      <w:lang w:bidi="ar"/>
                    </w:rPr>
                    <w:t>40000</w:t>
                  </w:r>
                </w:p>
              </w:tc>
              <w:tc>
                <w:tcPr>
                  <w:tcW w:w="365" w:type="pct"/>
                  <w:tcBorders>
                    <w:top w:val="single" w:color="000000" w:sz="4" w:space="0"/>
                    <w:left w:val="single" w:color="000000" w:sz="4" w:space="0"/>
                    <w:bottom w:val="single" w:color="000000" w:sz="4" w:space="0"/>
                    <w:right w:val="single" w:color="000000" w:sz="4" w:space="0"/>
                  </w:tcBorders>
                  <w:vAlign w:val="center"/>
                </w:tcPr>
                <w:p w14:paraId="3344A266">
                  <w:pPr>
                    <w:widowControl/>
                    <w:jc w:val="center"/>
                    <w:textAlignment w:val="center"/>
                    <w:rPr>
                      <w:rFonts w:eastAsiaTheme="minorEastAsia"/>
                      <w:color w:val="auto"/>
                      <w:kern w:val="0"/>
                      <w:szCs w:val="21"/>
                      <w:lang w:bidi="ar"/>
                    </w:rPr>
                  </w:pPr>
                  <w:r>
                    <w:rPr>
                      <w:color w:val="auto"/>
                      <w:kern w:val="0"/>
                      <w:szCs w:val="21"/>
                      <w:lang w:bidi="ar"/>
                    </w:rPr>
                    <w:t xml:space="preserve">0.005 </w:t>
                  </w:r>
                </w:p>
              </w:tc>
              <w:tc>
                <w:tcPr>
                  <w:tcW w:w="344" w:type="pct"/>
                  <w:tcBorders>
                    <w:top w:val="single" w:color="000000" w:sz="4" w:space="0"/>
                    <w:left w:val="single" w:color="000000" w:sz="4" w:space="0"/>
                    <w:bottom w:val="single" w:color="000000" w:sz="4" w:space="0"/>
                    <w:right w:val="single" w:color="000000" w:sz="4" w:space="0"/>
                  </w:tcBorders>
                  <w:vAlign w:val="center"/>
                </w:tcPr>
                <w:p w14:paraId="28C37BC0">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0</w:t>
                  </w:r>
                </w:p>
              </w:tc>
            </w:tr>
          </w:tbl>
          <w:p w14:paraId="68E2D20A">
            <w:pPr>
              <w:spacing w:line="360" w:lineRule="auto"/>
              <w:ind w:firstLine="480" w:firstLineChars="200"/>
              <w:rPr>
                <w:color w:val="auto"/>
                <w:sz w:val="24"/>
              </w:rPr>
            </w:pPr>
          </w:p>
          <w:p w14:paraId="60A0AB90">
            <w:pPr>
              <w:spacing w:line="360" w:lineRule="auto"/>
              <w:ind w:firstLine="480" w:firstLineChars="200"/>
              <w:rPr>
                <w:color w:val="auto"/>
                <w:sz w:val="24"/>
              </w:rPr>
            </w:pPr>
            <w:r>
              <w:rPr>
                <w:rFonts w:hint="eastAsia"/>
                <w:color w:val="auto"/>
                <w:sz w:val="24"/>
              </w:rPr>
              <w:t>根据上表结果可知，中心排渠汇入里波水下游</w:t>
            </w:r>
            <w:r>
              <w:rPr>
                <w:color w:val="auto"/>
                <w:sz w:val="24"/>
              </w:rPr>
              <w:t>500m</w:t>
            </w:r>
            <w:r>
              <w:rPr>
                <w:rFonts w:hint="eastAsia"/>
                <w:color w:val="auto"/>
                <w:sz w:val="24"/>
              </w:rPr>
              <w:t>处</w:t>
            </w:r>
            <w:r>
              <w:rPr>
                <w:color w:val="auto"/>
                <w:sz w:val="24"/>
              </w:rPr>
              <w:t>W3</w:t>
            </w:r>
            <w:r>
              <w:rPr>
                <w:rFonts w:hint="eastAsia"/>
                <w:color w:val="auto"/>
                <w:sz w:val="24"/>
              </w:rPr>
              <w:t>断面各监测因子的标准指数均小于</w:t>
            </w:r>
            <w:r>
              <w:rPr>
                <w:color w:val="auto"/>
                <w:sz w:val="24"/>
              </w:rPr>
              <w:t>1</w:t>
            </w:r>
            <w:r>
              <w:rPr>
                <w:rFonts w:hint="eastAsia"/>
                <w:color w:val="auto"/>
                <w:sz w:val="24"/>
              </w:rPr>
              <w:t>，均能达到《地表水环境质量标准》（</w:t>
            </w:r>
            <w:r>
              <w:rPr>
                <w:color w:val="auto"/>
                <w:sz w:val="24"/>
              </w:rPr>
              <w:t>GB3838-2002</w:t>
            </w:r>
            <w:r>
              <w:rPr>
                <w:rFonts w:hint="eastAsia"/>
                <w:color w:val="auto"/>
                <w:sz w:val="24"/>
              </w:rPr>
              <w:t>）</w:t>
            </w:r>
            <w:r>
              <w:rPr>
                <w:rFonts w:eastAsia="微软雅黑"/>
                <w:color w:val="auto"/>
                <w:sz w:val="24"/>
              </w:rPr>
              <w:t>Ⅴ</w:t>
            </w:r>
            <w:r>
              <w:rPr>
                <w:rFonts w:hint="eastAsia"/>
                <w:color w:val="auto"/>
                <w:sz w:val="24"/>
              </w:rPr>
              <w:t>类标准，说明里波水的水质现状较好。</w:t>
            </w:r>
          </w:p>
          <w:p w14:paraId="0EE29CAA">
            <w:pPr>
              <w:numPr>
                <w:ilvl w:val="0"/>
                <w:numId w:val="16"/>
              </w:numPr>
              <w:adjustRightInd w:val="0"/>
              <w:snapToGrid w:val="0"/>
              <w:spacing w:line="360" w:lineRule="auto"/>
              <w:ind w:firstLine="482" w:firstLineChars="200"/>
              <w:rPr>
                <w:b/>
                <w:bCs/>
                <w:color w:val="auto"/>
                <w:kern w:val="0"/>
                <w:sz w:val="24"/>
              </w:rPr>
            </w:pPr>
            <w:r>
              <w:rPr>
                <w:b/>
                <w:bCs/>
                <w:color w:val="auto"/>
                <w:kern w:val="0"/>
                <w:sz w:val="24"/>
              </w:rPr>
              <w:t>声环境</w:t>
            </w:r>
          </w:p>
          <w:p w14:paraId="26A0E812">
            <w:pPr>
              <w:tabs>
                <w:tab w:val="left" w:pos="9360"/>
              </w:tabs>
              <w:adjustRightInd w:val="0"/>
              <w:snapToGrid w:val="0"/>
              <w:spacing w:line="360" w:lineRule="auto"/>
              <w:ind w:firstLine="480" w:firstLineChars="200"/>
              <w:rPr>
                <w:color w:val="auto"/>
                <w:sz w:val="24"/>
              </w:rPr>
            </w:pPr>
            <w:r>
              <w:rPr>
                <w:rFonts w:hint="eastAsia"/>
                <w:color w:val="auto"/>
                <w:kern w:val="0"/>
                <w:sz w:val="24"/>
              </w:rPr>
              <w:t>根据《惠州市生态环境局关于印发&lt;惠州市声环境功能区划分方案（2022年）&gt;的通知》（惠市环[2022]33号），项目所在位置不属于1、3、4类区，为2类区声环境功能区，</w:t>
            </w:r>
            <w:r>
              <w:rPr>
                <w:color w:val="auto"/>
                <w:kern w:val="0"/>
                <w:sz w:val="24"/>
              </w:rPr>
              <w:t>执行《声环境质量标准》（GB3096－2008）的</w:t>
            </w:r>
            <w:r>
              <w:rPr>
                <w:rFonts w:hint="eastAsia"/>
                <w:color w:val="auto"/>
                <w:kern w:val="0"/>
                <w:sz w:val="24"/>
              </w:rPr>
              <w:t>2</w:t>
            </w:r>
            <w:r>
              <w:rPr>
                <w:color w:val="auto"/>
                <w:kern w:val="0"/>
                <w:sz w:val="24"/>
              </w:rPr>
              <w:t>类标准</w:t>
            </w:r>
            <w:r>
              <w:rPr>
                <w:color w:val="auto"/>
                <w:sz w:val="24"/>
              </w:rPr>
              <w:t>，即昼间≤6</w:t>
            </w:r>
            <w:r>
              <w:rPr>
                <w:rFonts w:hint="eastAsia"/>
                <w:color w:val="auto"/>
                <w:sz w:val="24"/>
              </w:rPr>
              <w:t>0</w:t>
            </w:r>
            <w:r>
              <w:rPr>
                <w:color w:val="auto"/>
                <w:sz w:val="24"/>
              </w:rPr>
              <w:t>dB(A)、夜间≤5</w:t>
            </w:r>
            <w:r>
              <w:rPr>
                <w:rFonts w:hint="eastAsia"/>
                <w:color w:val="auto"/>
                <w:sz w:val="24"/>
              </w:rPr>
              <w:t>0</w:t>
            </w:r>
            <w:r>
              <w:rPr>
                <w:color w:val="auto"/>
                <w:sz w:val="24"/>
              </w:rPr>
              <w:t>dB(A)。</w:t>
            </w:r>
          </w:p>
          <w:p w14:paraId="05F3CADE">
            <w:pPr>
              <w:adjustRightInd w:val="0"/>
              <w:snapToGrid w:val="0"/>
              <w:spacing w:line="360" w:lineRule="auto"/>
              <w:ind w:firstLine="480" w:firstLineChars="200"/>
              <w:rPr>
                <w:color w:val="auto"/>
                <w:kern w:val="0"/>
                <w:sz w:val="24"/>
              </w:rPr>
            </w:pPr>
            <w:r>
              <w:rPr>
                <w:color w:val="auto"/>
                <w:sz w:val="24"/>
              </w:rPr>
              <w:t>项目厂界外周边50米范围内不存在声环境保护目标，因此无需监测声环境质量现状</w:t>
            </w:r>
            <w:r>
              <w:rPr>
                <w:bCs/>
                <w:color w:val="auto"/>
                <w:sz w:val="24"/>
                <w:lang w:bidi="ar"/>
              </w:rPr>
              <w:t>。</w:t>
            </w:r>
          </w:p>
          <w:p w14:paraId="74BA4F55">
            <w:pPr>
              <w:numPr>
                <w:ilvl w:val="0"/>
                <w:numId w:val="16"/>
              </w:numPr>
              <w:adjustRightInd w:val="0"/>
              <w:snapToGrid w:val="0"/>
              <w:spacing w:line="360" w:lineRule="auto"/>
              <w:ind w:firstLine="482" w:firstLineChars="200"/>
              <w:rPr>
                <w:b/>
                <w:bCs/>
                <w:color w:val="auto"/>
                <w:kern w:val="0"/>
                <w:sz w:val="24"/>
              </w:rPr>
            </w:pPr>
            <w:r>
              <w:rPr>
                <w:b/>
                <w:bCs/>
                <w:color w:val="auto"/>
                <w:kern w:val="0"/>
                <w:sz w:val="24"/>
              </w:rPr>
              <w:t>生态环境质量现状</w:t>
            </w:r>
          </w:p>
          <w:p w14:paraId="2A8261EC">
            <w:pPr>
              <w:wordWrap w:val="0"/>
              <w:spacing w:line="360" w:lineRule="auto"/>
              <w:ind w:firstLine="480" w:firstLineChars="200"/>
              <w:rPr>
                <w:color w:val="auto"/>
                <w:sz w:val="24"/>
              </w:rPr>
            </w:pPr>
            <w:r>
              <w:rPr>
                <w:color w:val="auto"/>
                <w:sz w:val="24"/>
              </w:rPr>
              <w:t>项目位于</w:t>
            </w:r>
            <w:r>
              <w:rPr>
                <w:rFonts w:hint="eastAsia"/>
                <w:color w:val="auto"/>
                <w:sz w:val="24"/>
              </w:rPr>
              <w:t>广东省惠州市博罗县石湾镇黄西村宝居乐工业园A1栋4-7楼</w:t>
            </w:r>
            <w:r>
              <w:rPr>
                <w:color w:val="auto"/>
                <w:sz w:val="24"/>
              </w:rPr>
              <w:t>，在</w:t>
            </w:r>
            <w:r>
              <w:rPr>
                <w:rFonts w:hint="eastAsia"/>
                <w:color w:val="auto"/>
                <w:sz w:val="24"/>
              </w:rPr>
              <w:t>已建成</w:t>
            </w:r>
            <w:r>
              <w:rPr>
                <w:color w:val="auto"/>
                <w:sz w:val="24"/>
              </w:rPr>
              <w:t>厂房进行建设，不新增用地，且用地范围内不涉及生态环境保护目标，无需进行生态现状调查。</w:t>
            </w:r>
          </w:p>
          <w:p w14:paraId="66F35FE4">
            <w:pPr>
              <w:numPr>
                <w:ilvl w:val="0"/>
                <w:numId w:val="16"/>
              </w:numPr>
              <w:adjustRightInd w:val="0"/>
              <w:snapToGrid w:val="0"/>
              <w:spacing w:line="360" w:lineRule="auto"/>
              <w:ind w:firstLine="482" w:firstLineChars="200"/>
              <w:rPr>
                <w:b/>
                <w:bCs/>
                <w:color w:val="auto"/>
                <w:kern w:val="0"/>
                <w:sz w:val="24"/>
              </w:rPr>
            </w:pPr>
            <w:r>
              <w:rPr>
                <w:b/>
                <w:bCs/>
                <w:color w:val="auto"/>
                <w:kern w:val="0"/>
                <w:sz w:val="24"/>
              </w:rPr>
              <w:t>地下水</w:t>
            </w:r>
            <w:r>
              <w:rPr>
                <w:rFonts w:hint="eastAsia"/>
                <w:b/>
                <w:bCs/>
                <w:color w:val="auto"/>
                <w:kern w:val="0"/>
                <w:sz w:val="24"/>
              </w:rPr>
              <w:t>、土壤环境</w:t>
            </w:r>
          </w:p>
          <w:p w14:paraId="21B2A0C5">
            <w:pPr>
              <w:adjustRightInd w:val="0"/>
              <w:snapToGrid w:val="0"/>
              <w:spacing w:line="360" w:lineRule="auto"/>
              <w:ind w:firstLine="480" w:firstLineChars="200"/>
              <w:rPr>
                <w:color w:val="auto"/>
                <w:sz w:val="24"/>
              </w:rPr>
            </w:pPr>
            <w:r>
              <w:rPr>
                <w:rFonts w:hint="eastAsia"/>
                <w:color w:val="auto"/>
                <w:sz w:val="24"/>
              </w:rPr>
              <w:t>项目用地范围内将已做好地面硬底化处理，危废仓库、原料仓库、成品仓库、生产车间等区域均将做好防渗防漏防雨等措施，项目产生的污染物将不会与土壤直接接触，故不存在地下水、土壤污染途径，不会对周边土壤、地下水环境造成不利影响，故不开展土壤、地下水环境质量现状监测。</w:t>
            </w:r>
          </w:p>
          <w:p w14:paraId="5CCE7178">
            <w:pPr>
              <w:numPr>
                <w:ilvl w:val="0"/>
                <w:numId w:val="16"/>
              </w:numPr>
              <w:adjustRightInd w:val="0"/>
              <w:snapToGrid w:val="0"/>
              <w:spacing w:line="360" w:lineRule="auto"/>
              <w:ind w:firstLine="482" w:firstLineChars="200"/>
              <w:rPr>
                <w:b/>
                <w:bCs/>
                <w:color w:val="auto"/>
                <w:kern w:val="0"/>
                <w:sz w:val="24"/>
              </w:rPr>
            </w:pPr>
            <w:r>
              <w:rPr>
                <w:b/>
                <w:bCs/>
                <w:color w:val="auto"/>
                <w:kern w:val="0"/>
                <w:sz w:val="24"/>
              </w:rPr>
              <w:t>电磁辐射</w:t>
            </w:r>
          </w:p>
          <w:p w14:paraId="76E3E281">
            <w:pPr>
              <w:adjustRightInd w:val="0"/>
              <w:snapToGrid w:val="0"/>
              <w:spacing w:line="360" w:lineRule="auto"/>
              <w:ind w:firstLine="480" w:firstLineChars="200"/>
              <w:rPr>
                <w:color w:val="auto"/>
                <w:kern w:val="0"/>
                <w:sz w:val="24"/>
              </w:rPr>
            </w:pPr>
            <w:r>
              <w:rPr>
                <w:color w:val="auto"/>
                <w:kern w:val="0"/>
                <w:sz w:val="24"/>
              </w:rPr>
              <w:t>项目不属于广播电台、差转台、电视塔台、卫星地球上行站、雷达等电磁辐射类项目，无需开展电磁辐射现状监测与评价。</w:t>
            </w:r>
          </w:p>
          <w:p w14:paraId="1F756DDE">
            <w:pPr>
              <w:pStyle w:val="43"/>
              <w:ind w:firstLine="0" w:firstLineChars="0"/>
              <w:rPr>
                <w:color w:val="auto"/>
              </w:rPr>
            </w:pPr>
          </w:p>
        </w:tc>
      </w:tr>
      <w:tr w14:paraId="254A5F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800" w:type="dxa"/>
            <w:vAlign w:val="center"/>
          </w:tcPr>
          <w:p w14:paraId="0A538FD8">
            <w:pPr>
              <w:adjustRightInd w:val="0"/>
              <w:snapToGrid w:val="0"/>
              <w:jc w:val="center"/>
              <w:rPr>
                <w:color w:val="auto"/>
                <w:kern w:val="0"/>
                <w:sz w:val="24"/>
              </w:rPr>
            </w:pPr>
            <w:r>
              <w:rPr>
                <w:color w:val="auto"/>
                <w:kern w:val="0"/>
                <w:sz w:val="24"/>
              </w:rPr>
              <w:t>环境</w:t>
            </w:r>
          </w:p>
          <w:p w14:paraId="42C215BB">
            <w:pPr>
              <w:adjustRightInd w:val="0"/>
              <w:snapToGrid w:val="0"/>
              <w:jc w:val="center"/>
              <w:rPr>
                <w:color w:val="auto"/>
                <w:kern w:val="0"/>
                <w:sz w:val="24"/>
              </w:rPr>
            </w:pPr>
            <w:r>
              <w:rPr>
                <w:color w:val="auto"/>
                <w:kern w:val="0"/>
                <w:sz w:val="24"/>
              </w:rPr>
              <w:t>保护</w:t>
            </w:r>
          </w:p>
          <w:p w14:paraId="2AC86C9E">
            <w:pPr>
              <w:adjustRightInd w:val="0"/>
              <w:snapToGrid w:val="0"/>
              <w:jc w:val="center"/>
              <w:rPr>
                <w:color w:val="auto"/>
                <w:kern w:val="0"/>
                <w:sz w:val="24"/>
              </w:rPr>
            </w:pPr>
            <w:r>
              <w:rPr>
                <w:color w:val="auto"/>
                <w:kern w:val="0"/>
                <w:sz w:val="24"/>
              </w:rPr>
              <w:t>目标</w:t>
            </w:r>
          </w:p>
        </w:tc>
        <w:tc>
          <w:tcPr>
            <w:tcW w:w="8190" w:type="dxa"/>
            <w:vAlign w:val="center"/>
          </w:tcPr>
          <w:p w14:paraId="65FBC063">
            <w:pPr>
              <w:wordWrap w:val="0"/>
              <w:spacing w:line="360" w:lineRule="auto"/>
              <w:ind w:firstLine="482" w:firstLineChars="200"/>
              <w:rPr>
                <w:b/>
                <w:bCs/>
                <w:color w:val="auto"/>
                <w:sz w:val="24"/>
              </w:rPr>
            </w:pPr>
            <w:r>
              <w:rPr>
                <w:b/>
                <w:bCs/>
                <w:color w:val="auto"/>
                <w:sz w:val="24"/>
              </w:rPr>
              <w:t>1、</w:t>
            </w:r>
            <w:r>
              <w:rPr>
                <w:rFonts w:hint="eastAsia"/>
                <w:b/>
                <w:bCs/>
                <w:color w:val="auto"/>
                <w:sz w:val="24"/>
              </w:rPr>
              <w:t>大气环境</w:t>
            </w:r>
          </w:p>
          <w:p w14:paraId="061091C0">
            <w:pPr>
              <w:wordWrap w:val="0"/>
              <w:spacing w:line="360" w:lineRule="auto"/>
              <w:ind w:firstLine="480" w:firstLineChars="200"/>
              <w:rPr>
                <w:color w:val="auto"/>
                <w:sz w:val="24"/>
              </w:rPr>
            </w:pPr>
            <w:r>
              <w:rPr>
                <w:color w:val="auto"/>
                <w:sz w:val="24"/>
              </w:rPr>
              <w:t>保护目标为周边的环境空气，使其符合《环境空气质量标准》（GB3095-2012）及其修改单中的二级标准；保护项目周边的地表水环境质量；项目500米范围内的环境敏感点及保护目标详见下表。</w:t>
            </w:r>
          </w:p>
          <w:p w14:paraId="44B428EC">
            <w:pPr>
              <w:widowControl/>
              <w:numPr>
                <w:ilvl w:val="0"/>
                <w:numId w:val="17"/>
              </w:numPr>
              <w:autoSpaceDE w:val="0"/>
              <w:autoSpaceDN w:val="0"/>
              <w:adjustRightInd w:val="0"/>
              <w:snapToGrid w:val="0"/>
              <w:jc w:val="center"/>
              <w:rPr>
                <w:color w:val="auto"/>
                <w:sz w:val="24"/>
              </w:rPr>
            </w:pPr>
            <w:r>
              <w:rPr>
                <w:b/>
                <w:snapToGrid w:val="0"/>
                <w:color w:val="auto"/>
              </w:rPr>
              <w:t xml:space="preserve">  项目大气环境保护目标一览表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889"/>
              <w:gridCol w:w="1214"/>
              <w:gridCol w:w="1262"/>
              <w:gridCol w:w="717"/>
              <w:gridCol w:w="720"/>
              <w:gridCol w:w="988"/>
              <w:gridCol w:w="874"/>
              <w:gridCol w:w="967"/>
              <w:gridCol w:w="970"/>
            </w:tblGrid>
            <w:tr w14:paraId="40BCF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364" w:type="pct"/>
                  <w:vMerge w:val="restart"/>
                  <w:vAlign w:val="center"/>
                </w:tcPr>
                <w:p w14:paraId="4E92CC16">
                  <w:pPr>
                    <w:adjustRightInd w:val="0"/>
                    <w:snapToGrid w:val="0"/>
                    <w:jc w:val="center"/>
                    <w:rPr>
                      <w:b/>
                      <w:bCs/>
                      <w:color w:val="auto"/>
                      <w:kern w:val="0"/>
                      <w:szCs w:val="21"/>
                    </w:rPr>
                  </w:pPr>
                  <w:r>
                    <w:rPr>
                      <w:b/>
                      <w:bCs/>
                      <w:color w:val="auto"/>
                      <w:kern w:val="0"/>
                      <w:szCs w:val="21"/>
                    </w:rPr>
                    <w:t>环境要素</w:t>
                  </w:r>
                </w:p>
              </w:tc>
              <w:tc>
                <w:tcPr>
                  <w:tcW w:w="479" w:type="pct"/>
                  <w:vMerge w:val="restart"/>
                  <w:vAlign w:val="center"/>
                </w:tcPr>
                <w:p w14:paraId="70AC4679">
                  <w:pPr>
                    <w:adjustRightInd w:val="0"/>
                    <w:snapToGrid w:val="0"/>
                    <w:jc w:val="center"/>
                    <w:rPr>
                      <w:b/>
                      <w:bCs/>
                      <w:color w:val="auto"/>
                      <w:kern w:val="0"/>
                      <w:szCs w:val="21"/>
                    </w:rPr>
                  </w:pPr>
                  <w:r>
                    <w:rPr>
                      <w:b/>
                      <w:bCs/>
                      <w:color w:val="auto"/>
                      <w:kern w:val="0"/>
                      <w:szCs w:val="21"/>
                    </w:rPr>
                    <w:t>名称</w:t>
                  </w:r>
                </w:p>
              </w:tc>
              <w:tc>
                <w:tcPr>
                  <w:tcW w:w="1334" w:type="pct"/>
                  <w:gridSpan w:val="2"/>
                  <w:vAlign w:val="center"/>
                </w:tcPr>
                <w:p w14:paraId="1C189209">
                  <w:pPr>
                    <w:adjustRightInd w:val="0"/>
                    <w:snapToGrid w:val="0"/>
                    <w:jc w:val="center"/>
                    <w:rPr>
                      <w:b/>
                      <w:bCs/>
                      <w:color w:val="auto"/>
                      <w:kern w:val="0"/>
                      <w:szCs w:val="21"/>
                    </w:rPr>
                  </w:pPr>
                  <w:r>
                    <w:rPr>
                      <w:b/>
                      <w:bCs/>
                      <w:color w:val="auto"/>
                      <w:szCs w:val="21"/>
                    </w:rPr>
                    <w:t>经纬度坐标</w:t>
                  </w:r>
                </w:p>
              </w:tc>
              <w:tc>
                <w:tcPr>
                  <w:tcW w:w="386" w:type="pct"/>
                  <w:vMerge w:val="restart"/>
                  <w:vAlign w:val="center"/>
                </w:tcPr>
                <w:p w14:paraId="75A72355">
                  <w:pPr>
                    <w:adjustRightInd w:val="0"/>
                    <w:snapToGrid w:val="0"/>
                    <w:jc w:val="center"/>
                    <w:rPr>
                      <w:b/>
                      <w:bCs/>
                      <w:color w:val="auto"/>
                      <w:kern w:val="0"/>
                      <w:szCs w:val="21"/>
                    </w:rPr>
                  </w:pPr>
                  <w:r>
                    <w:rPr>
                      <w:b/>
                      <w:bCs/>
                      <w:color w:val="auto"/>
                      <w:kern w:val="0"/>
                      <w:szCs w:val="21"/>
                    </w:rPr>
                    <w:t>保护对象</w:t>
                  </w:r>
                </w:p>
              </w:tc>
              <w:tc>
                <w:tcPr>
                  <w:tcW w:w="388" w:type="pct"/>
                  <w:vMerge w:val="restart"/>
                  <w:vAlign w:val="center"/>
                </w:tcPr>
                <w:p w14:paraId="27F7D8D6">
                  <w:pPr>
                    <w:adjustRightInd w:val="0"/>
                    <w:snapToGrid w:val="0"/>
                    <w:jc w:val="center"/>
                    <w:rPr>
                      <w:rFonts w:hint="default" w:eastAsia="宋体"/>
                      <w:b/>
                      <w:bCs/>
                      <w:color w:val="auto"/>
                      <w:kern w:val="0"/>
                      <w:szCs w:val="21"/>
                      <w:lang w:val="en-US" w:eastAsia="zh-CN"/>
                    </w:rPr>
                  </w:pPr>
                  <w:r>
                    <w:rPr>
                      <w:rFonts w:hint="eastAsia"/>
                      <w:b/>
                      <w:bCs/>
                      <w:color w:val="auto"/>
                      <w:kern w:val="0"/>
                      <w:szCs w:val="21"/>
                      <w:lang w:val="en-US" w:eastAsia="zh-CN"/>
                    </w:rPr>
                    <w:t>保护规模</w:t>
                  </w:r>
                </w:p>
              </w:tc>
              <w:tc>
                <w:tcPr>
                  <w:tcW w:w="532" w:type="pct"/>
                  <w:vMerge w:val="restart"/>
                  <w:vAlign w:val="center"/>
                </w:tcPr>
                <w:p w14:paraId="28035955">
                  <w:pPr>
                    <w:adjustRightInd w:val="0"/>
                    <w:snapToGrid w:val="0"/>
                    <w:jc w:val="center"/>
                    <w:rPr>
                      <w:b/>
                      <w:bCs/>
                      <w:color w:val="auto"/>
                      <w:kern w:val="0"/>
                      <w:szCs w:val="21"/>
                    </w:rPr>
                  </w:pPr>
                  <w:r>
                    <w:rPr>
                      <w:b/>
                      <w:bCs/>
                      <w:color w:val="auto"/>
                      <w:kern w:val="0"/>
                      <w:szCs w:val="21"/>
                    </w:rPr>
                    <w:t>环境功能区</w:t>
                  </w:r>
                </w:p>
              </w:tc>
              <w:tc>
                <w:tcPr>
                  <w:tcW w:w="471" w:type="pct"/>
                  <w:vMerge w:val="restart"/>
                  <w:vAlign w:val="center"/>
                </w:tcPr>
                <w:p w14:paraId="2386E99F">
                  <w:pPr>
                    <w:adjustRightInd w:val="0"/>
                    <w:snapToGrid w:val="0"/>
                    <w:jc w:val="center"/>
                    <w:rPr>
                      <w:b/>
                      <w:bCs/>
                      <w:color w:val="auto"/>
                      <w:kern w:val="0"/>
                      <w:szCs w:val="21"/>
                    </w:rPr>
                  </w:pPr>
                  <w:r>
                    <w:rPr>
                      <w:b/>
                      <w:bCs/>
                      <w:color w:val="auto"/>
                      <w:kern w:val="0"/>
                      <w:szCs w:val="21"/>
                    </w:rPr>
                    <w:t>方位</w:t>
                  </w:r>
                </w:p>
              </w:tc>
              <w:tc>
                <w:tcPr>
                  <w:tcW w:w="521" w:type="pct"/>
                  <w:vMerge w:val="restart"/>
                  <w:vAlign w:val="center"/>
                </w:tcPr>
                <w:p w14:paraId="09BD4724">
                  <w:pPr>
                    <w:adjustRightInd w:val="0"/>
                    <w:snapToGrid w:val="0"/>
                    <w:jc w:val="center"/>
                    <w:rPr>
                      <w:b/>
                      <w:bCs/>
                      <w:color w:val="auto"/>
                      <w:kern w:val="0"/>
                      <w:szCs w:val="21"/>
                    </w:rPr>
                  </w:pPr>
                  <w:r>
                    <w:rPr>
                      <w:b/>
                      <w:bCs/>
                      <w:color w:val="auto"/>
                      <w:kern w:val="0"/>
                      <w:szCs w:val="21"/>
                    </w:rPr>
                    <w:t>与厂界距离/m</w:t>
                  </w:r>
                </w:p>
              </w:tc>
              <w:tc>
                <w:tcPr>
                  <w:tcW w:w="522" w:type="pct"/>
                  <w:vMerge w:val="restart"/>
                  <w:vAlign w:val="center"/>
                </w:tcPr>
                <w:p w14:paraId="2941522B">
                  <w:pPr>
                    <w:adjustRightInd w:val="0"/>
                    <w:snapToGrid w:val="0"/>
                    <w:jc w:val="center"/>
                    <w:rPr>
                      <w:rFonts w:hint="default" w:eastAsia="宋体"/>
                      <w:b/>
                      <w:bCs/>
                      <w:color w:val="auto"/>
                      <w:kern w:val="0"/>
                      <w:szCs w:val="21"/>
                      <w:lang w:val="en-US" w:eastAsia="zh-CN"/>
                    </w:rPr>
                  </w:pPr>
                  <w:r>
                    <w:rPr>
                      <w:rFonts w:hint="eastAsia"/>
                      <w:b/>
                      <w:bCs/>
                      <w:color w:val="auto"/>
                      <w:kern w:val="0"/>
                      <w:szCs w:val="21"/>
                      <w:lang w:val="en-US" w:eastAsia="zh-CN"/>
                    </w:rPr>
                    <w:t>与产污车间距离/m</w:t>
                  </w:r>
                </w:p>
              </w:tc>
            </w:tr>
            <w:tr w14:paraId="3CA10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64" w:type="pct"/>
                  <w:vMerge w:val="continue"/>
                  <w:vAlign w:val="center"/>
                </w:tcPr>
                <w:p w14:paraId="7C46D083">
                  <w:pPr>
                    <w:adjustRightInd w:val="0"/>
                    <w:snapToGrid w:val="0"/>
                    <w:jc w:val="center"/>
                    <w:rPr>
                      <w:color w:val="auto"/>
                      <w:kern w:val="0"/>
                      <w:szCs w:val="21"/>
                    </w:rPr>
                  </w:pPr>
                </w:p>
              </w:tc>
              <w:tc>
                <w:tcPr>
                  <w:tcW w:w="479" w:type="pct"/>
                  <w:vMerge w:val="continue"/>
                  <w:vAlign w:val="center"/>
                </w:tcPr>
                <w:p w14:paraId="43BA3996">
                  <w:pPr>
                    <w:adjustRightInd w:val="0"/>
                    <w:snapToGrid w:val="0"/>
                    <w:jc w:val="center"/>
                    <w:rPr>
                      <w:color w:val="auto"/>
                      <w:kern w:val="0"/>
                      <w:szCs w:val="21"/>
                    </w:rPr>
                  </w:pPr>
                </w:p>
              </w:tc>
              <w:tc>
                <w:tcPr>
                  <w:tcW w:w="654" w:type="pct"/>
                  <w:vAlign w:val="center"/>
                </w:tcPr>
                <w:p w14:paraId="5A3FFD0B">
                  <w:pPr>
                    <w:adjustRightInd w:val="0"/>
                    <w:snapToGrid w:val="0"/>
                    <w:jc w:val="center"/>
                    <w:rPr>
                      <w:color w:val="auto"/>
                      <w:kern w:val="0"/>
                      <w:szCs w:val="21"/>
                    </w:rPr>
                  </w:pPr>
                  <w:r>
                    <w:rPr>
                      <w:color w:val="auto"/>
                      <w:kern w:val="0"/>
                      <w:szCs w:val="21"/>
                    </w:rPr>
                    <w:t>E</w:t>
                  </w:r>
                </w:p>
              </w:tc>
              <w:tc>
                <w:tcPr>
                  <w:tcW w:w="680" w:type="pct"/>
                  <w:vAlign w:val="center"/>
                </w:tcPr>
                <w:p w14:paraId="63DB68C2">
                  <w:pPr>
                    <w:adjustRightInd w:val="0"/>
                    <w:snapToGrid w:val="0"/>
                    <w:jc w:val="center"/>
                    <w:rPr>
                      <w:color w:val="auto"/>
                      <w:kern w:val="0"/>
                      <w:szCs w:val="21"/>
                    </w:rPr>
                  </w:pPr>
                  <w:r>
                    <w:rPr>
                      <w:color w:val="auto"/>
                      <w:kern w:val="0"/>
                      <w:szCs w:val="21"/>
                    </w:rPr>
                    <w:t>N</w:t>
                  </w:r>
                </w:p>
              </w:tc>
              <w:tc>
                <w:tcPr>
                  <w:tcW w:w="386" w:type="pct"/>
                  <w:vMerge w:val="continue"/>
                  <w:vAlign w:val="center"/>
                </w:tcPr>
                <w:p w14:paraId="734ECB8A">
                  <w:pPr>
                    <w:adjustRightInd w:val="0"/>
                    <w:snapToGrid w:val="0"/>
                    <w:jc w:val="center"/>
                    <w:rPr>
                      <w:color w:val="auto"/>
                      <w:kern w:val="0"/>
                      <w:szCs w:val="21"/>
                    </w:rPr>
                  </w:pPr>
                </w:p>
              </w:tc>
              <w:tc>
                <w:tcPr>
                  <w:tcW w:w="388" w:type="pct"/>
                  <w:vMerge w:val="continue"/>
                  <w:vAlign w:val="center"/>
                </w:tcPr>
                <w:p w14:paraId="6B534077">
                  <w:pPr>
                    <w:adjustRightInd w:val="0"/>
                    <w:snapToGrid w:val="0"/>
                    <w:jc w:val="center"/>
                    <w:rPr>
                      <w:color w:val="auto"/>
                      <w:kern w:val="0"/>
                      <w:szCs w:val="21"/>
                    </w:rPr>
                  </w:pPr>
                </w:p>
              </w:tc>
              <w:tc>
                <w:tcPr>
                  <w:tcW w:w="532" w:type="pct"/>
                  <w:vMerge w:val="continue"/>
                  <w:vAlign w:val="center"/>
                </w:tcPr>
                <w:p w14:paraId="0C4ADBB3">
                  <w:pPr>
                    <w:adjustRightInd w:val="0"/>
                    <w:snapToGrid w:val="0"/>
                    <w:jc w:val="center"/>
                    <w:rPr>
                      <w:color w:val="auto"/>
                      <w:kern w:val="0"/>
                      <w:szCs w:val="21"/>
                    </w:rPr>
                  </w:pPr>
                </w:p>
              </w:tc>
              <w:tc>
                <w:tcPr>
                  <w:tcW w:w="471" w:type="pct"/>
                  <w:vMerge w:val="continue"/>
                  <w:vAlign w:val="center"/>
                </w:tcPr>
                <w:p w14:paraId="20732794">
                  <w:pPr>
                    <w:adjustRightInd w:val="0"/>
                    <w:snapToGrid w:val="0"/>
                    <w:jc w:val="center"/>
                    <w:rPr>
                      <w:color w:val="auto"/>
                      <w:kern w:val="0"/>
                      <w:szCs w:val="21"/>
                    </w:rPr>
                  </w:pPr>
                </w:p>
              </w:tc>
              <w:tc>
                <w:tcPr>
                  <w:tcW w:w="521" w:type="pct"/>
                  <w:vMerge w:val="continue"/>
                  <w:vAlign w:val="center"/>
                </w:tcPr>
                <w:p w14:paraId="7CC22809">
                  <w:pPr>
                    <w:adjustRightInd w:val="0"/>
                    <w:snapToGrid w:val="0"/>
                    <w:jc w:val="center"/>
                    <w:rPr>
                      <w:color w:val="auto"/>
                      <w:kern w:val="0"/>
                      <w:szCs w:val="21"/>
                    </w:rPr>
                  </w:pPr>
                </w:p>
              </w:tc>
              <w:tc>
                <w:tcPr>
                  <w:tcW w:w="522" w:type="pct"/>
                  <w:vMerge w:val="continue"/>
                  <w:vAlign w:val="center"/>
                </w:tcPr>
                <w:p w14:paraId="4628E906">
                  <w:pPr>
                    <w:adjustRightInd w:val="0"/>
                    <w:snapToGrid w:val="0"/>
                    <w:jc w:val="center"/>
                    <w:rPr>
                      <w:color w:val="auto"/>
                      <w:kern w:val="0"/>
                      <w:szCs w:val="21"/>
                    </w:rPr>
                  </w:pPr>
                </w:p>
              </w:tc>
            </w:tr>
            <w:tr w14:paraId="42331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4" w:type="pct"/>
                  <w:vAlign w:val="center"/>
                </w:tcPr>
                <w:p w14:paraId="35876511">
                  <w:pPr>
                    <w:adjustRightInd w:val="0"/>
                    <w:snapToGrid w:val="0"/>
                    <w:jc w:val="center"/>
                    <w:rPr>
                      <w:color w:val="auto"/>
                      <w:kern w:val="0"/>
                      <w:szCs w:val="21"/>
                    </w:rPr>
                  </w:pPr>
                  <w:r>
                    <w:rPr>
                      <w:color w:val="auto"/>
                      <w:kern w:val="0"/>
                      <w:szCs w:val="21"/>
                    </w:rPr>
                    <w:t>大气</w:t>
                  </w:r>
                </w:p>
              </w:tc>
              <w:tc>
                <w:tcPr>
                  <w:tcW w:w="479" w:type="pct"/>
                  <w:vAlign w:val="center"/>
                </w:tcPr>
                <w:p w14:paraId="263D03E9">
                  <w:pPr>
                    <w:widowControl/>
                    <w:jc w:val="center"/>
                    <w:rPr>
                      <w:color w:val="auto"/>
                      <w:kern w:val="0"/>
                      <w:szCs w:val="21"/>
                    </w:rPr>
                  </w:pPr>
                  <w:r>
                    <w:rPr>
                      <w:rFonts w:hint="eastAsia"/>
                      <w:color w:val="auto"/>
                      <w:kern w:val="0"/>
                      <w:szCs w:val="21"/>
                    </w:rPr>
                    <w:t>关扎村</w:t>
                  </w:r>
                </w:p>
              </w:tc>
              <w:tc>
                <w:tcPr>
                  <w:tcW w:w="654" w:type="pct"/>
                  <w:vAlign w:val="center"/>
                </w:tcPr>
                <w:p w14:paraId="0DCBC71B">
                  <w:pPr>
                    <w:jc w:val="center"/>
                    <w:rPr>
                      <w:color w:val="auto"/>
                      <w:szCs w:val="21"/>
                    </w:rPr>
                  </w:pPr>
                  <w:r>
                    <w:rPr>
                      <w:rFonts w:hint="eastAsia"/>
                      <w:color w:val="auto"/>
                      <w:szCs w:val="21"/>
                    </w:rPr>
                    <w:t>113.887707</w:t>
                  </w:r>
                </w:p>
              </w:tc>
              <w:tc>
                <w:tcPr>
                  <w:tcW w:w="680" w:type="pct"/>
                  <w:vAlign w:val="center"/>
                </w:tcPr>
                <w:p w14:paraId="5DA218E5">
                  <w:pPr>
                    <w:jc w:val="center"/>
                    <w:rPr>
                      <w:color w:val="auto"/>
                      <w:szCs w:val="21"/>
                    </w:rPr>
                  </w:pPr>
                  <w:r>
                    <w:rPr>
                      <w:rFonts w:hint="eastAsia"/>
                      <w:color w:val="auto"/>
                      <w:szCs w:val="21"/>
                    </w:rPr>
                    <w:t>23.193872</w:t>
                  </w:r>
                </w:p>
              </w:tc>
              <w:tc>
                <w:tcPr>
                  <w:tcW w:w="386" w:type="pct"/>
                  <w:vAlign w:val="center"/>
                </w:tcPr>
                <w:p w14:paraId="2EA1EAF9">
                  <w:pPr>
                    <w:adjustRightInd w:val="0"/>
                    <w:snapToGrid w:val="0"/>
                    <w:jc w:val="center"/>
                    <w:rPr>
                      <w:rFonts w:hint="default" w:eastAsia="宋体"/>
                      <w:color w:val="auto"/>
                      <w:kern w:val="0"/>
                      <w:szCs w:val="21"/>
                      <w:lang w:val="en-US" w:eastAsia="zh-CN"/>
                    </w:rPr>
                  </w:pPr>
                  <w:r>
                    <w:rPr>
                      <w:color w:val="auto"/>
                      <w:kern w:val="0"/>
                      <w:szCs w:val="21"/>
                    </w:rPr>
                    <w:t>居住人群</w:t>
                  </w:r>
                </w:p>
              </w:tc>
              <w:tc>
                <w:tcPr>
                  <w:tcW w:w="388" w:type="pct"/>
                  <w:vAlign w:val="center"/>
                </w:tcPr>
                <w:p w14:paraId="68ECABC5">
                  <w:pPr>
                    <w:adjustRightInd w:val="0"/>
                    <w:snapToGrid w:val="0"/>
                    <w:jc w:val="center"/>
                    <w:rPr>
                      <w:color w:val="auto"/>
                      <w:kern w:val="0"/>
                      <w:szCs w:val="21"/>
                    </w:rPr>
                  </w:pPr>
                  <w:r>
                    <w:rPr>
                      <w:rFonts w:hint="eastAsia"/>
                      <w:color w:val="auto"/>
                      <w:kern w:val="0"/>
                      <w:szCs w:val="21"/>
                      <w:lang w:val="en-US" w:eastAsia="zh-CN"/>
                    </w:rPr>
                    <w:t>1500人</w:t>
                  </w:r>
                </w:p>
              </w:tc>
              <w:tc>
                <w:tcPr>
                  <w:tcW w:w="532" w:type="pct"/>
                  <w:vAlign w:val="center"/>
                </w:tcPr>
                <w:p w14:paraId="14C02DDF">
                  <w:pPr>
                    <w:adjustRightInd w:val="0"/>
                    <w:snapToGrid w:val="0"/>
                    <w:jc w:val="center"/>
                    <w:rPr>
                      <w:color w:val="auto"/>
                      <w:kern w:val="0"/>
                      <w:szCs w:val="21"/>
                    </w:rPr>
                  </w:pPr>
                  <w:r>
                    <w:rPr>
                      <w:color w:val="auto"/>
                      <w:kern w:val="0"/>
                      <w:szCs w:val="21"/>
                    </w:rPr>
                    <w:t>环境空气：二类</w:t>
                  </w:r>
                </w:p>
              </w:tc>
              <w:tc>
                <w:tcPr>
                  <w:tcW w:w="471" w:type="pct"/>
                  <w:vAlign w:val="center"/>
                </w:tcPr>
                <w:p w14:paraId="2BAC8E91">
                  <w:pPr>
                    <w:adjustRightInd w:val="0"/>
                    <w:snapToGrid w:val="0"/>
                    <w:jc w:val="center"/>
                    <w:rPr>
                      <w:color w:val="auto"/>
                      <w:kern w:val="0"/>
                      <w:szCs w:val="21"/>
                    </w:rPr>
                  </w:pPr>
                  <w:r>
                    <w:rPr>
                      <w:rFonts w:hint="eastAsia"/>
                      <w:color w:val="auto"/>
                      <w:kern w:val="0"/>
                      <w:szCs w:val="21"/>
                    </w:rPr>
                    <w:t>东</w:t>
                  </w:r>
                  <w:r>
                    <w:rPr>
                      <w:color w:val="auto"/>
                      <w:kern w:val="0"/>
                      <w:szCs w:val="21"/>
                    </w:rPr>
                    <w:t>北侧</w:t>
                  </w:r>
                </w:p>
              </w:tc>
              <w:tc>
                <w:tcPr>
                  <w:tcW w:w="521" w:type="pct"/>
                  <w:vAlign w:val="center"/>
                </w:tcPr>
                <w:p w14:paraId="15E62041">
                  <w:pPr>
                    <w:adjustRightInd w:val="0"/>
                    <w:snapToGrid w:val="0"/>
                    <w:jc w:val="center"/>
                    <w:rPr>
                      <w:color w:val="auto"/>
                      <w:kern w:val="0"/>
                      <w:szCs w:val="21"/>
                    </w:rPr>
                  </w:pPr>
                  <w:r>
                    <w:rPr>
                      <w:rFonts w:hint="eastAsia"/>
                      <w:color w:val="auto"/>
                      <w:kern w:val="0"/>
                      <w:szCs w:val="21"/>
                    </w:rPr>
                    <w:t>487</w:t>
                  </w:r>
                </w:p>
              </w:tc>
              <w:tc>
                <w:tcPr>
                  <w:tcW w:w="522" w:type="pct"/>
                  <w:vAlign w:val="center"/>
                </w:tcPr>
                <w:p w14:paraId="113318AD">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487</w:t>
                  </w:r>
                </w:p>
              </w:tc>
            </w:tr>
          </w:tbl>
          <w:p w14:paraId="3DBCB77E">
            <w:pPr>
              <w:wordWrap w:val="0"/>
              <w:spacing w:line="360" w:lineRule="auto"/>
              <w:ind w:firstLine="482" w:firstLineChars="200"/>
              <w:rPr>
                <w:b/>
                <w:bCs/>
                <w:color w:val="auto"/>
                <w:sz w:val="24"/>
              </w:rPr>
            </w:pPr>
            <w:r>
              <w:rPr>
                <w:rFonts w:hint="eastAsia"/>
                <w:b/>
                <w:bCs/>
                <w:color w:val="auto"/>
                <w:sz w:val="24"/>
              </w:rPr>
              <w:t>2</w:t>
            </w:r>
            <w:r>
              <w:rPr>
                <w:b/>
                <w:bCs/>
                <w:color w:val="auto"/>
                <w:sz w:val="24"/>
              </w:rPr>
              <w:t>、声环境保护目标</w:t>
            </w:r>
          </w:p>
          <w:p w14:paraId="0BD84467">
            <w:pPr>
              <w:wordWrap w:val="0"/>
              <w:spacing w:line="360" w:lineRule="auto"/>
              <w:ind w:firstLine="480" w:firstLineChars="200"/>
              <w:rPr>
                <w:color w:val="auto"/>
                <w:sz w:val="24"/>
              </w:rPr>
            </w:pPr>
            <w:r>
              <w:rPr>
                <w:color w:val="auto"/>
                <w:sz w:val="24"/>
              </w:rPr>
              <w:t>项目50m范围内不涉及声环境保护目标。</w:t>
            </w:r>
          </w:p>
          <w:p w14:paraId="02C4DEEA">
            <w:pPr>
              <w:spacing w:line="360" w:lineRule="auto"/>
              <w:ind w:firstLine="482" w:firstLineChars="200"/>
              <w:rPr>
                <w:b/>
                <w:bCs/>
                <w:color w:val="auto"/>
                <w:sz w:val="24"/>
              </w:rPr>
            </w:pPr>
            <w:r>
              <w:rPr>
                <w:rFonts w:hint="eastAsia"/>
                <w:b/>
                <w:bCs/>
                <w:color w:val="auto"/>
                <w:sz w:val="24"/>
              </w:rPr>
              <w:t>3</w:t>
            </w:r>
            <w:r>
              <w:rPr>
                <w:b/>
                <w:bCs/>
                <w:color w:val="auto"/>
                <w:sz w:val="24"/>
              </w:rPr>
              <w:t>、地下水环境保护目标</w:t>
            </w:r>
          </w:p>
          <w:p w14:paraId="55A87306">
            <w:pPr>
              <w:spacing w:line="360" w:lineRule="auto"/>
              <w:ind w:firstLine="480" w:firstLineChars="200"/>
              <w:rPr>
                <w:color w:val="auto"/>
                <w:sz w:val="24"/>
              </w:rPr>
            </w:pPr>
            <w:r>
              <w:rPr>
                <w:color w:val="auto"/>
                <w:sz w:val="24"/>
                <w:lang w:bidi="ar"/>
              </w:rPr>
              <w:t>项目500m范围内无地下水集中式饮用水水源和热水、矿泉水、温泉等特殊地下水资源。</w:t>
            </w:r>
          </w:p>
          <w:p w14:paraId="3A5199FB">
            <w:pPr>
              <w:wordWrap w:val="0"/>
              <w:spacing w:line="360" w:lineRule="auto"/>
              <w:ind w:firstLine="482" w:firstLineChars="200"/>
              <w:rPr>
                <w:b/>
                <w:bCs/>
                <w:color w:val="auto"/>
                <w:sz w:val="24"/>
              </w:rPr>
            </w:pPr>
            <w:r>
              <w:rPr>
                <w:rFonts w:hint="eastAsia"/>
                <w:b/>
                <w:bCs/>
                <w:color w:val="auto"/>
                <w:sz w:val="24"/>
              </w:rPr>
              <w:t>4</w:t>
            </w:r>
            <w:r>
              <w:rPr>
                <w:b/>
                <w:bCs/>
                <w:color w:val="auto"/>
                <w:sz w:val="24"/>
              </w:rPr>
              <w:t>、生态环境保护目标</w:t>
            </w:r>
          </w:p>
          <w:p w14:paraId="678CF2C5">
            <w:pPr>
              <w:adjustRightInd w:val="0"/>
              <w:snapToGrid w:val="0"/>
              <w:spacing w:line="360" w:lineRule="auto"/>
              <w:ind w:firstLine="480" w:firstLineChars="200"/>
              <w:rPr>
                <w:color w:val="auto"/>
                <w:sz w:val="24"/>
                <w:lang w:bidi="ar"/>
              </w:rPr>
            </w:pPr>
            <w:r>
              <w:rPr>
                <w:color w:val="auto"/>
                <w:sz w:val="24"/>
                <w:lang w:bidi="ar"/>
              </w:rPr>
              <w:t>项目所在区域周边无风景名胜区、自然保护区及文化遗产等特殊保护目标，生态环境不属于敏感区，不涉及生态环境保护目标。</w:t>
            </w:r>
          </w:p>
          <w:p w14:paraId="04A3DFE1">
            <w:pPr>
              <w:pStyle w:val="2"/>
              <w:rPr>
                <w:color w:val="auto"/>
                <w:sz w:val="24"/>
                <w:lang w:bidi="ar"/>
              </w:rPr>
            </w:pPr>
          </w:p>
          <w:p w14:paraId="6D8ECB5F">
            <w:pPr>
              <w:rPr>
                <w:color w:val="auto"/>
                <w:sz w:val="24"/>
                <w:lang w:bidi="ar"/>
              </w:rPr>
            </w:pPr>
          </w:p>
          <w:p w14:paraId="79D5BD12">
            <w:pPr>
              <w:pStyle w:val="2"/>
              <w:rPr>
                <w:color w:val="auto"/>
              </w:rPr>
            </w:pPr>
          </w:p>
        </w:tc>
      </w:tr>
      <w:tr w14:paraId="3AEC65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tcMar>
              <w:left w:w="28" w:type="dxa"/>
              <w:right w:w="28" w:type="dxa"/>
            </w:tcMar>
            <w:vAlign w:val="center"/>
          </w:tcPr>
          <w:p w14:paraId="313C066F">
            <w:pPr>
              <w:adjustRightInd w:val="0"/>
              <w:snapToGrid w:val="0"/>
              <w:jc w:val="center"/>
              <w:rPr>
                <w:color w:val="auto"/>
                <w:kern w:val="0"/>
                <w:sz w:val="24"/>
              </w:rPr>
            </w:pPr>
            <w:r>
              <w:rPr>
                <w:color w:val="auto"/>
                <w:kern w:val="0"/>
                <w:sz w:val="24"/>
              </w:rPr>
              <w:t>污染</w:t>
            </w:r>
          </w:p>
          <w:p w14:paraId="66CF9362">
            <w:pPr>
              <w:adjustRightInd w:val="0"/>
              <w:snapToGrid w:val="0"/>
              <w:jc w:val="center"/>
              <w:rPr>
                <w:color w:val="auto"/>
                <w:kern w:val="0"/>
                <w:sz w:val="24"/>
              </w:rPr>
            </w:pPr>
            <w:r>
              <w:rPr>
                <w:color w:val="auto"/>
                <w:kern w:val="0"/>
                <w:sz w:val="24"/>
              </w:rPr>
              <w:t>物排</w:t>
            </w:r>
          </w:p>
          <w:p w14:paraId="4456063F">
            <w:pPr>
              <w:adjustRightInd w:val="0"/>
              <w:snapToGrid w:val="0"/>
              <w:jc w:val="center"/>
              <w:rPr>
                <w:color w:val="auto"/>
                <w:kern w:val="0"/>
                <w:sz w:val="24"/>
              </w:rPr>
            </w:pPr>
            <w:r>
              <w:rPr>
                <w:color w:val="auto"/>
                <w:kern w:val="0"/>
                <w:sz w:val="24"/>
              </w:rPr>
              <w:t>放控</w:t>
            </w:r>
          </w:p>
          <w:p w14:paraId="333A6B17">
            <w:pPr>
              <w:adjustRightInd w:val="0"/>
              <w:snapToGrid w:val="0"/>
              <w:jc w:val="center"/>
              <w:rPr>
                <w:color w:val="auto"/>
                <w:kern w:val="0"/>
                <w:sz w:val="24"/>
              </w:rPr>
            </w:pPr>
            <w:r>
              <w:rPr>
                <w:color w:val="auto"/>
                <w:kern w:val="0"/>
                <w:sz w:val="24"/>
              </w:rPr>
              <w:t>制标</w:t>
            </w:r>
          </w:p>
          <w:p w14:paraId="632B20C7">
            <w:pPr>
              <w:adjustRightInd w:val="0"/>
              <w:snapToGrid w:val="0"/>
              <w:jc w:val="center"/>
              <w:rPr>
                <w:color w:val="auto"/>
                <w:kern w:val="0"/>
                <w:sz w:val="24"/>
              </w:rPr>
            </w:pPr>
            <w:r>
              <w:rPr>
                <w:color w:val="auto"/>
                <w:kern w:val="0"/>
                <w:sz w:val="24"/>
              </w:rPr>
              <w:t>准</w:t>
            </w:r>
          </w:p>
        </w:tc>
        <w:tc>
          <w:tcPr>
            <w:tcW w:w="8190" w:type="dxa"/>
            <w:vAlign w:val="center"/>
          </w:tcPr>
          <w:p w14:paraId="089560D1">
            <w:pPr>
              <w:wordWrap w:val="0"/>
              <w:spacing w:line="360" w:lineRule="auto"/>
              <w:ind w:firstLine="482" w:firstLineChars="200"/>
              <w:rPr>
                <w:b/>
                <w:bCs/>
                <w:color w:val="auto"/>
                <w:sz w:val="24"/>
              </w:rPr>
            </w:pPr>
            <w:r>
              <w:rPr>
                <w:b/>
                <w:bCs/>
                <w:color w:val="auto"/>
                <w:sz w:val="24"/>
              </w:rPr>
              <w:t>1、水污染物排放标准</w:t>
            </w:r>
          </w:p>
          <w:p w14:paraId="65AFE254">
            <w:pPr>
              <w:wordWrap w:val="0"/>
              <w:spacing w:line="360" w:lineRule="auto"/>
              <w:ind w:firstLine="482" w:firstLineChars="200"/>
              <w:rPr>
                <w:b/>
                <w:color w:val="auto"/>
                <w:sz w:val="24"/>
                <w:lang w:bidi="ar"/>
              </w:rPr>
            </w:pPr>
            <w:r>
              <w:rPr>
                <w:b/>
                <w:color w:val="auto"/>
                <w:sz w:val="24"/>
                <w:lang w:bidi="ar"/>
              </w:rPr>
              <w:t>（1）生产废水</w:t>
            </w:r>
          </w:p>
          <w:p w14:paraId="278A9765">
            <w:pPr>
              <w:wordWrap w:val="0"/>
              <w:spacing w:line="360" w:lineRule="auto"/>
              <w:ind w:firstLine="480" w:firstLineChars="200"/>
              <w:rPr>
                <w:color w:val="auto"/>
                <w:sz w:val="24"/>
                <w:lang w:bidi="ar"/>
              </w:rPr>
            </w:pPr>
            <w:r>
              <w:rPr>
                <w:color w:val="auto"/>
                <w:sz w:val="24"/>
                <w:lang w:bidi="ar"/>
              </w:rPr>
              <w:t>本项目生产废水经自建废水处理设施处理后全部回用，不外排，共设置1个回用口，无排放口。项目回用水执行《城市污水再生利用工业用水水质》（GB/T19923-2024）</w:t>
            </w:r>
            <w:r>
              <w:rPr>
                <w:color w:val="auto"/>
                <w:kern w:val="0"/>
                <w:sz w:val="24"/>
                <w:lang w:bidi="ar"/>
              </w:rPr>
              <w:t>“工艺用水、产品用水和直流冷却水、洗涤用水”水质标准较严值</w:t>
            </w:r>
            <w:r>
              <w:rPr>
                <w:rFonts w:hint="eastAsia"/>
                <w:color w:val="auto"/>
                <w:sz w:val="24"/>
                <w:lang w:bidi="ar"/>
              </w:rPr>
              <w:t>后</w:t>
            </w:r>
            <w:r>
              <w:rPr>
                <w:color w:val="auto"/>
                <w:sz w:val="24"/>
                <w:lang w:bidi="ar"/>
              </w:rPr>
              <w:t>回用</w:t>
            </w:r>
            <w:r>
              <w:rPr>
                <w:color w:val="auto"/>
                <w:spacing w:val="-2"/>
                <w:sz w:val="24"/>
              </w:rPr>
              <w:t>于生产</w:t>
            </w:r>
            <w:r>
              <w:rPr>
                <w:color w:val="auto"/>
                <w:sz w:val="24"/>
                <w:lang w:bidi="ar"/>
              </w:rPr>
              <w:t>。</w:t>
            </w:r>
          </w:p>
          <w:p w14:paraId="0ADEC03B">
            <w:pPr>
              <w:widowControl/>
              <w:numPr>
                <w:ilvl w:val="0"/>
                <w:numId w:val="17"/>
              </w:numPr>
              <w:autoSpaceDE w:val="0"/>
              <w:autoSpaceDN w:val="0"/>
              <w:adjustRightInd w:val="0"/>
              <w:snapToGrid w:val="0"/>
              <w:jc w:val="center"/>
              <w:rPr>
                <w:b/>
                <w:snapToGrid w:val="0"/>
                <w:color w:val="auto"/>
              </w:rPr>
            </w:pPr>
            <w:r>
              <w:rPr>
                <w:b/>
                <w:snapToGrid w:val="0"/>
                <w:color w:val="auto"/>
              </w:rPr>
              <w:t xml:space="preserve">  项目生产废水回用标准（单位：mg/L）</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2970"/>
              <w:gridCol w:w="813"/>
              <w:gridCol w:w="2517"/>
              <w:gridCol w:w="1101"/>
              <w:gridCol w:w="1000"/>
            </w:tblGrid>
            <w:tr w14:paraId="1E272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474" w:type="pct"/>
                  <w:vAlign w:val="center"/>
                </w:tcPr>
                <w:p w14:paraId="1E81564D">
                  <w:pPr>
                    <w:jc w:val="center"/>
                    <w:rPr>
                      <w:b/>
                      <w:color w:val="auto"/>
                      <w:lang w:bidi="ar"/>
                    </w:rPr>
                  </w:pPr>
                  <w:r>
                    <w:rPr>
                      <w:b/>
                      <w:color w:val="auto"/>
                      <w:lang w:bidi="ar"/>
                    </w:rPr>
                    <w:t>序号</w:t>
                  </w:r>
                </w:p>
              </w:tc>
              <w:tc>
                <w:tcPr>
                  <w:tcW w:w="2038" w:type="pct"/>
                  <w:gridSpan w:val="2"/>
                  <w:vAlign w:val="center"/>
                </w:tcPr>
                <w:p w14:paraId="62D88AA8">
                  <w:pPr>
                    <w:jc w:val="center"/>
                    <w:rPr>
                      <w:b/>
                      <w:color w:val="auto"/>
                      <w:lang w:bidi="ar"/>
                    </w:rPr>
                  </w:pPr>
                  <w:r>
                    <w:rPr>
                      <w:b/>
                      <w:color w:val="auto"/>
                      <w:lang w:bidi="ar"/>
                    </w:rPr>
                    <w:t>项目</w:t>
                  </w:r>
                </w:p>
              </w:tc>
              <w:tc>
                <w:tcPr>
                  <w:tcW w:w="1356" w:type="pct"/>
                  <w:vAlign w:val="center"/>
                </w:tcPr>
                <w:p w14:paraId="284C4233">
                  <w:pPr>
                    <w:jc w:val="center"/>
                    <w:rPr>
                      <w:b/>
                      <w:color w:val="auto"/>
                      <w:lang w:bidi="ar"/>
                    </w:rPr>
                  </w:pPr>
                  <w:r>
                    <w:rPr>
                      <w:b/>
                      <w:color w:val="auto"/>
                      <w:lang w:bidi="ar"/>
                    </w:rPr>
                    <w:t>间冷开式循环冷却水补充水、锅炉补给水、工艺用水、产品用水</w:t>
                  </w:r>
                </w:p>
              </w:tc>
              <w:tc>
                <w:tcPr>
                  <w:tcW w:w="592" w:type="pct"/>
                  <w:vAlign w:val="center"/>
                </w:tcPr>
                <w:p w14:paraId="109458FA">
                  <w:pPr>
                    <w:jc w:val="center"/>
                    <w:rPr>
                      <w:b/>
                      <w:color w:val="auto"/>
                      <w:lang w:bidi="ar"/>
                    </w:rPr>
                  </w:pPr>
                  <w:r>
                    <w:rPr>
                      <w:b/>
                      <w:color w:val="auto"/>
                      <w:lang w:bidi="ar"/>
                    </w:rPr>
                    <w:t>直流冷却水、洗涤用水</w:t>
                  </w:r>
                </w:p>
              </w:tc>
              <w:tc>
                <w:tcPr>
                  <w:tcW w:w="538" w:type="pct"/>
                  <w:vAlign w:val="center"/>
                </w:tcPr>
                <w:p w14:paraId="26261602">
                  <w:pPr>
                    <w:jc w:val="center"/>
                    <w:rPr>
                      <w:b/>
                      <w:color w:val="auto"/>
                      <w:lang w:bidi="ar"/>
                    </w:rPr>
                  </w:pPr>
                  <w:r>
                    <w:rPr>
                      <w:b/>
                      <w:color w:val="auto"/>
                      <w:lang w:bidi="ar"/>
                    </w:rPr>
                    <w:t>本项目</w:t>
                  </w:r>
                </w:p>
              </w:tc>
            </w:tr>
            <w:tr w14:paraId="7BA16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5EAFC07A">
                  <w:pPr>
                    <w:jc w:val="center"/>
                    <w:rPr>
                      <w:color w:val="auto"/>
                      <w:lang w:bidi="ar"/>
                    </w:rPr>
                  </w:pPr>
                  <w:r>
                    <w:rPr>
                      <w:color w:val="auto"/>
                      <w:lang w:bidi="ar"/>
                    </w:rPr>
                    <w:t>1</w:t>
                  </w:r>
                </w:p>
              </w:tc>
              <w:tc>
                <w:tcPr>
                  <w:tcW w:w="1600" w:type="pct"/>
                  <w:vAlign w:val="center"/>
                </w:tcPr>
                <w:p w14:paraId="1777E5D5">
                  <w:pPr>
                    <w:jc w:val="center"/>
                    <w:rPr>
                      <w:color w:val="auto"/>
                      <w:lang w:bidi="ar"/>
                    </w:rPr>
                  </w:pPr>
                  <w:r>
                    <w:rPr>
                      <w:color w:val="auto"/>
                      <w:lang w:bidi="ar"/>
                    </w:rPr>
                    <w:t>pH</w:t>
                  </w:r>
                </w:p>
              </w:tc>
              <w:tc>
                <w:tcPr>
                  <w:tcW w:w="437" w:type="pct"/>
                  <w:vAlign w:val="center"/>
                </w:tcPr>
                <w:p w14:paraId="6DB8EA3A">
                  <w:pPr>
                    <w:jc w:val="center"/>
                    <w:rPr>
                      <w:color w:val="auto"/>
                      <w:lang w:bidi="ar"/>
                    </w:rPr>
                  </w:pPr>
                </w:p>
              </w:tc>
              <w:tc>
                <w:tcPr>
                  <w:tcW w:w="1949" w:type="pct"/>
                  <w:gridSpan w:val="2"/>
                  <w:vAlign w:val="center"/>
                </w:tcPr>
                <w:p w14:paraId="69FEA8B5">
                  <w:pPr>
                    <w:jc w:val="center"/>
                    <w:rPr>
                      <w:color w:val="auto"/>
                      <w:lang w:bidi="ar"/>
                    </w:rPr>
                  </w:pPr>
                  <w:r>
                    <w:rPr>
                      <w:color w:val="auto"/>
                      <w:lang w:bidi="ar"/>
                    </w:rPr>
                    <w:t>6~9</w:t>
                  </w:r>
                </w:p>
              </w:tc>
              <w:tc>
                <w:tcPr>
                  <w:tcW w:w="538" w:type="pct"/>
                  <w:vAlign w:val="center"/>
                </w:tcPr>
                <w:p w14:paraId="699B087C">
                  <w:pPr>
                    <w:jc w:val="center"/>
                    <w:rPr>
                      <w:color w:val="auto"/>
                      <w:lang w:bidi="ar"/>
                    </w:rPr>
                  </w:pPr>
                  <w:r>
                    <w:rPr>
                      <w:color w:val="auto"/>
                      <w:lang w:bidi="ar"/>
                    </w:rPr>
                    <w:t>6~9</w:t>
                  </w:r>
                </w:p>
              </w:tc>
            </w:tr>
            <w:tr w14:paraId="2820B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7A6C1328">
                  <w:pPr>
                    <w:jc w:val="center"/>
                    <w:rPr>
                      <w:color w:val="auto"/>
                      <w:lang w:bidi="ar"/>
                    </w:rPr>
                  </w:pPr>
                  <w:r>
                    <w:rPr>
                      <w:color w:val="auto"/>
                      <w:lang w:bidi="ar"/>
                    </w:rPr>
                    <w:t>2</w:t>
                  </w:r>
                </w:p>
              </w:tc>
              <w:tc>
                <w:tcPr>
                  <w:tcW w:w="1600" w:type="pct"/>
                  <w:vAlign w:val="center"/>
                </w:tcPr>
                <w:p w14:paraId="1F27D64D">
                  <w:pPr>
                    <w:jc w:val="center"/>
                    <w:rPr>
                      <w:color w:val="auto"/>
                      <w:lang w:bidi="ar"/>
                    </w:rPr>
                  </w:pPr>
                  <w:r>
                    <w:rPr>
                      <w:color w:val="auto"/>
                      <w:lang w:bidi="ar"/>
                    </w:rPr>
                    <w:t>悬浮物（mg/L）</w:t>
                  </w:r>
                </w:p>
              </w:tc>
              <w:tc>
                <w:tcPr>
                  <w:tcW w:w="437" w:type="pct"/>
                  <w:vAlign w:val="center"/>
                </w:tcPr>
                <w:p w14:paraId="565509AF">
                  <w:pPr>
                    <w:jc w:val="center"/>
                    <w:rPr>
                      <w:color w:val="auto"/>
                      <w:lang w:bidi="ar"/>
                    </w:rPr>
                  </w:pPr>
                  <w:r>
                    <w:rPr>
                      <w:color w:val="auto"/>
                      <w:lang w:bidi="ar"/>
                    </w:rPr>
                    <w:t>≤</w:t>
                  </w:r>
                </w:p>
              </w:tc>
              <w:tc>
                <w:tcPr>
                  <w:tcW w:w="1356" w:type="pct"/>
                  <w:vAlign w:val="center"/>
                </w:tcPr>
                <w:p w14:paraId="176163E1">
                  <w:pPr>
                    <w:jc w:val="center"/>
                    <w:rPr>
                      <w:color w:val="auto"/>
                      <w:lang w:bidi="ar"/>
                    </w:rPr>
                  </w:pPr>
                  <w:r>
                    <w:rPr>
                      <w:color w:val="auto"/>
                      <w:lang w:bidi="ar"/>
                    </w:rPr>
                    <w:t>30</w:t>
                  </w:r>
                </w:p>
              </w:tc>
              <w:tc>
                <w:tcPr>
                  <w:tcW w:w="592" w:type="pct"/>
                  <w:vAlign w:val="center"/>
                </w:tcPr>
                <w:p w14:paraId="0E417865">
                  <w:pPr>
                    <w:jc w:val="center"/>
                    <w:rPr>
                      <w:color w:val="auto"/>
                      <w:lang w:bidi="ar"/>
                    </w:rPr>
                  </w:pPr>
                  <w:r>
                    <w:rPr>
                      <w:color w:val="auto"/>
                      <w:lang w:bidi="ar"/>
                    </w:rPr>
                    <w:t>—</w:t>
                  </w:r>
                </w:p>
              </w:tc>
              <w:tc>
                <w:tcPr>
                  <w:tcW w:w="538" w:type="pct"/>
                  <w:vAlign w:val="center"/>
                </w:tcPr>
                <w:p w14:paraId="00B48360">
                  <w:pPr>
                    <w:jc w:val="center"/>
                    <w:rPr>
                      <w:color w:val="auto"/>
                      <w:lang w:bidi="ar"/>
                    </w:rPr>
                  </w:pPr>
                  <w:r>
                    <w:rPr>
                      <w:color w:val="auto"/>
                      <w:lang w:bidi="ar"/>
                    </w:rPr>
                    <w:t>30</w:t>
                  </w:r>
                </w:p>
              </w:tc>
            </w:tr>
            <w:tr w14:paraId="34CB3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09C0DAB3">
                  <w:pPr>
                    <w:jc w:val="center"/>
                    <w:rPr>
                      <w:color w:val="auto"/>
                      <w:lang w:bidi="ar"/>
                    </w:rPr>
                  </w:pPr>
                  <w:r>
                    <w:rPr>
                      <w:color w:val="auto"/>
                      <w:lang w:bidi="ar"/>
                    </w:rPr>
                    <w:t>3</w:t>
                  </w:r>
                </w:p>
              </w:tc>
              <w:tc>
                <w:tcPr>
                  <w:tcW w:w="1600" w:type="pct"/>
                  <w:vAlign w:val="center"/>
                </w:tcPr>
                <w:p w14:paraId="4692AF53">
                  <w:pPr>
                    <w:jc w:val="center"/>
                    <w:rPr>
                      <w:color w:val="auto"/>
                      <w:lang w:bidi="ar"/>
                    </w:rPr>
                  </w:pPr>
                  <w:r>
                    <w:rPr>
                      <w:color w:val="auto"/>
                      <w:lang w:bidi="ar"/>
                    </w:rPr>
                    <w:t>浊度（NTU）</w:t>
                  </w:r>
                </w:p>
              </w:tc>
              <w:tc>
                <w:tcPr>
                  <w:tcW w:w="437" w:type="pct"/>
                  <w:vAlign w:val="center"/>
                </w:tcPr>
                <w:p w14:paraId="045CDE62">
                  <w:pPr>
                    <w:jc w:val="center"/>
                    <w:rPr>
                      <w:color w:val="auto"/>
                      <w:lang w:bidi="ar"/>
                    </w:rPr>
                  </w:pPr>
                  <w:r>
                    <w:rPr>
                      <w:color w:val="auto"/>
                      <w:lang w:bidi="ar"/>
                    </w:rPr>
                    <w:t>≤</w:t>
                  </w:r>
                </w:p>
              </w:tc>
              <w:tc>
                <w:tcPr>
                  <w:tcW w:w="1356" w:type="pct"/>
                  <w:vAlign w:val="center"/>
                </w:tcPr>
                <w:p w14:paraId="79CBFB83">
                  <w:pPr>
                    <w:jc w:val="center"/>
                    <w:rPr>
                      <w:color w:val="auto"/>
                      <w:lang w:bidi="ar"/>
                    </w:rPr>
                  </w:pPr>
                  <w:r>
                    <w:rPr>
                      <w:color w:val="auto"/>
                      <w:lang w:bidi="ar"/>
                    </w:rPr>
                    <w:t>5</w:t>
                  </w:r>
                </w:p>
              </w:tc>
              <w:tc>
                <w:tcPr>
                  <w:tcW w:w="592" w:type="pct"/>
                  <w:vAlign w:val="center"/>
                </w:tcPr>
                <w:p w14:paraId="217CCD59">
                  <w:pPr>
                    <w:jc w:val="center"/>
                    <w:rPr>
                      <w:color w:val="auto"/>
                      <w:lang w:bidi="ar"/>
                    </w:rPr>
                  </w:pPr>
                  <w:r>
                    <w:rPr>
                      <w:color w:val="auto"/>
                      <w:lang w:bidi="ar"/>
                    </w:rPr>
                    <w:t>—</w:t>
                  </w:r>
                </w:p>
              </w:tc>
              <w:tc>
                <w:tcPr>
                  <w:tcW w:w="538" w:type="pct"/>
                  <w:vAlign w:val="center"/>
                </w:tcPr>
                <w:p w14:paraId="4BDE9371">
                  <w:pPr>
                    <w:jc w:val="center"/>
                    <w:rPr>
                      <w:color w:val="auto"/>
                      <w:lang w:bidi="ar"/>
                    </w:rPr>
                  </w:pPr>
                  <w:r>
                    <w:rPr>
                      <w:color w:val="auto"/>
                      <w:lang w:bidi="ar"/>
                    </w:rPr>
                    <w:t>5</w:t>
                  </w:r>
                </w:p>
              </w:tc>
            </w:tr>
            <w:tr w14:paraId="6A3F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729CE820">
                  <w:pPr>
                    <w:jc w:val="center"/>
                    <w:rPr>
                      <w:color w:val="auto"/>
                      <w:lang w:bidi="ar"/>
                    </w:rPr>
                  </w:pPr>
                  <w:r>
                    <w:rPr>
                      <w:color w:val="auto"/>
                      <w:lang w:bidi="ar"/>
                    </w:rPr>
                    <w:t>4</w:t>
                  </w:r>
                </w:p>
              </w:tc>
              <w:tc>
                <w:tcPr>
                  <w:tcW w:w="1600" w:type="pct"/>
                  <w:vAlign w:val="center"/>
                </w:tcPr>
                <w:p w14:paraId="08820EA9">
                  <w:pPr>
                    <w:jc w:val="center"/>
                    <w:rPr>
                      <w:color w:val="auto"/>
                      <w:lang w:bidi="ar"/>
                    </w:rPr>
                  </w:pPr>
                  <w:r>
                    <w:rPr>
                      <w:color w:val="auto"/>
                      <w:lang w:bidi="ar"/>
                    </w:rPr>
                    <w:t>色度（度）</w:t>
                  </w:r>
                </w:p>
              </w:tc>
              <w:tc>
                <w:tcPr>
                  <w:tcW w:w="437" w:type="pct"/>
                  <w:vAlign w:val="center"/>
                </w:tcPr>
                <w:p w14:paraId="007926C4">
                  <w:pPr>
                    <w:jc w:val="center"/>
                    <w:rPr>
                      <w:color w:val="auto"/>
                      <w:lang w:bidi="ar"/>
                    </w:rPr>
                  </w:pPr>
                  <w:r>
                    <w:rPr>
                      <w:color w:val="auto"/>
                      <w:lang w:bidi="ar"/>
                    </w:rPr>
                    <w:t>≤</w:t>
                  </w:r>
                </w:p>
              </w:tc>
              <w:tc>
                <w:tcPr>
                  <w:tcW w:w="1949" w:type="pct"/>
                  <w:gridSpan w:val="2"/>
                  <w:vAlign w:val="center"/>
                </w:tcPr>
                <w:p w14:paraId="42D0D79D">
                  <w:pPr>
                    <w:jc w:val="center"/>
                    <w:rPr>
                      <w:color w:val="auto"/>
                      <w:lang w:bidi="ar"/>
                    </w:rPr>
                  </w:pPr>
                  <w:r>
                    <w:rPr>
                      <w:color w:val="auto"/>
                      <w:lang w:bidi="ar"/>
                    </w:rPr>
                    <w:t>20</w:t>
                  </w:r>
                </w:p>
              </w:tc>
              <w:tc>
                <w:tcPr>
                  <w:tcW w:w="538" w:type="pct"/>
                  <w:vAlign w:val="center"/>
                </w:tcPr>
                <w:p w14:paraId="60EC7488">
                  <w:pPr>
                    <w:jc w:val="center"/>
                    <w:rPr>
                      <w:color w:val="auto"/>
                      <w:lang w:bidi="ar"/>
                    </w:rPr>
                  </w:pPr>
                  <w:r>
                    <w:rPr>
                      <w:color w:val="auto"/>
                      <w:lang w:bidi="ar"/>
                    </w:rPr>
                    <w:t>20</w:t>
                  </w:r>
                </w:p>
              </w:tc>
            </w:tr>
            <w:tr w14:paraId="6AF7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1DD972AE">
                  <w:pPr>
                    <w:jc w:val="center"/>
                    <w:rPr>
                      <w:color w:val="auto"/>
                      <w:lang w:bidi="ar"/>
                    </w:rPr>
                  </w:pPr>
                  <w:r>
                    <w:rPr>
                      <w:color w:val="auto"/>
                      <w:lang w:bidi="ar"/>
                    </w:rPr>
                    <w:t>5</w:t>
                  </w:r>
                </w:p>
              </w:tc>
              <w:tc>
                <w:tcPr>
                  <w:tcW w:w="1600" w:type="pct"/>
                  <w:vAlign w:val="center"/>
                </w:tcPr>
                <w:p w14:paraId="3A113C60">
                  <w:pPr>
                    <w:jc w:val="center"/>
                    <w:rPr>
                      <w:color w:val="auto"/>
                      <w:lang w:bidi="ar"/>
                    </w:rPr>
                  </w:pPr>
                  <w:r>
                    <w:rPr>
                      <w:color w:val="auto"/>
                      <w:lang w:bidi="ar"/>
                    </w:rPr>
                    <w:t>五日生化需氧量（mg/L）</w:t>
                  </w:r>
                </w:p>
              </w:tc>
              <w:tc>
                <w:tcPr>
                  <w:tcW w:w="437" w:type="pct"/>
                  <w:vAlign w:val="center"/>
                </w:tcPr>
                <w:p w14:paraId="42460D6F">
                  <w:pPr>
                    <w:jc w:val="center"/>
                    <w:rPr>
                      <w:color w:val="auto"/>
                      <w:lang w:bidi="ar"/>
                    </w:rPr>
                  </w:pPr>
                  <w:r>
                    <w:rPr>
                      <w:color w:val="auto"/>
                      <w:lang w:bidi="ar"/>
                    </w:rPr>
                    <w:t>≤</w:t>
                  </w:r>
                </w:p>
              </w:tc>
              <w:tc>
                <w:tcPr>
                  <w:tcW w:w="1949" w:type="pct"/>
                  <w:gridSpan w:val="2"/>
                  <w:vAlign w:val="center"/>
                </w:tcPr>
                <w:p w14:paraId="147E3E02">
                  <w:pPr>
                    <w:jc w:val="center"/>
                    <w:rPr>
                      <w:color w:val="auto"/>
                      <w:lang w:bidi="ar"/>
                    </w:rPr>
                  </w:pPr>
                  <w:r>
                    <w:rPr>
                      <w:color w:val="auto"/>
                      <w:lang w:bidi="ar"/>
                    </w:rPr>
                    <w:t>10</w:t>
                  </w:r>
                </w:p>
              </w:tc>
              <w:tc>
                <w:tcPr>
                  <w:tcW w:w="538" w:type="pct"/>
                  <w:vAlign w:val="center"/>
                </w:tcPr>
                <w:p w14:paraId="4A1D8EAB">
                  <w:pPr>
                    <w:jc w:val="center"/>
                    <w:rPr>
                      <w:color w:val="auto"/>
                      <w:lang w:bidi="ar"/>
                    </w:rPr>
                  </w:pPr>
                  <w:r>
                    <w:rPr>
                      <w:color w:val="auto"/>
                      <w:lang w:bidi="ar"/>
                    </w:rPr>
                    <w:t>10</w:t>
                  </w:r>
                </w:p>
              </w:tc>
            </w:tr>
            <w:tr w14:paraId="27F33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24F80D59">
                  <w:pPr>
                    <w:jc w:val="center"/>
                    <w:rPr>
                      <w:color w:val="auto"/>
                      <w:lang w:bidi="ar"/>
                    </w:rPr>
                  </w:pPr>
                  <w:r>
                    <w:rPr>
                      <w:color w:val="auto"/>
                      <w:lang w:bidi="ar"/>
                    </w:rPr>
                    <w:t>6</w:t>
                  </w:r>
                </w:p>
              </w:tc>
              <w:tc>
                <w:tcPr>
                  <w:tcW w:w="1600" w:type="pct"/>
                  <w:vAlign w:val="center"/>
                </w:tcPr>
                <w:p w14:paraId="5B24E1AD">
                  <w:pPr>
                    <w:jc w:val="center"/>
                    <w:rPr>
                      <w:color w:val="auto"/>
                      <w:lang w:bidi="ar"/>
                    </w:rPr>
                  </w:pPr>
                  <w:r>
                    <w:rPr>
                      <w:color w:val="auto"/>
                      <w:lang w:bidi="ar"/>
                    </w:rPr>
                    <w:t>化学需氧量（mg/L）</w:t>
                  </w:r>
                </w:p>
              </w:tc>
              <w:tc>
                <w:tcPr>
                  <w:tcW w:w="437" w:type="pct"/>
                  <w:vAlign w:val="center"/>
                </w:tcPr>
                <w:p w14:paraId="30F29B97">
                  <w:pPr>
                    <w:jc w:val="center"/>
                    <w:rPr>
                      <w:color w:val="auto"/>
                      <w:lang w:bidi="ar"/>
                    </w:rPr>
                  </w:pPr>
                  <w:r>
                    <w:rPr>
                      <w:color w:val="auto"/>
                      <w:lang w:bidi="ar"/>
                    </w:rPr>
                    <w:t>≤</w:t>
                  </w:r>
                </w:p>
              </w:tc>
              <w:tc>
                <w:tcPr>
                  <w:tcW w:w="1949" w:type="pct"/>
                  <w:gridSpan w:val="2"/>
                  <w:vAlign w:val="center"/>
                </w:tcPr>
                <w:p w14:paraId="6647BF5A">
                  <w:pPr>
                    <w:jc w:val="center"/>
                    <w:rPr>
                      <w:color w:val="auto"/>
                      <w:lang w:bidi="ar"/>
                    </w:rPr>
                  </w:pPr>
                  <w:r>
                    <w:rPr>
                      <w:color w:val="auto"/>
                      <w:lang w:bidi="ar"/>
                    </w:rPr>
                    <w:t>50</w:t>
                  </w:r>
                </w:p>
              </w:tc>
              <w:tc>
                <w:tcPr>
                  <w:tcW w:w="538" w:type="pct"/>
                  <w:vAlign w:val="center"/>
                </w:tcPr>
                <w:p w14:paraId="6984D52E">
                  <w:pPr>
                    <w:jc w:val="center"/>
                    <w:rPr>
                      <w:color w:val="auto"/>
                      <w:lang w:bidi="ar"/>
                    </w:rPr>
                  </w:pPr>
                  <w:r>
                    <w:rPr>
                      <w:color w:val="auto"/>
                      <w:lang w:bidi="ar"/>
                    </w:rPr>
                    <w:t>50</w:t>
                  </w:r>
                </w:p>
              </w:tc>
            </w:tr>
            <w:tr w14:paraId="7C974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39BA0018">
                  <w:pPr>
                    <w:jc w:val="center"/>
                    <w:rPr>
                      <w:color w:val="auto"/>
                      <w:lang w:bidi="ar"/>
                    </w:rPr>
                  </w:pPr>
                  <w:r>
                    <w:rPr>
                      <w:color w:val="auto"/>
                      <w:lang w:bidi="ar"/>
                    </w:rPr>
                    <w:t>7</w:t>
                  </w:r>
                </w:p>
              </w:tc>
              <w:tc>
                <w:tcPr>
                  <w:tcW w:w="1600" w:type="pct"/>
                  <w:vAlign w:val="center"/>
                </w:tcPr>
                <w:p w14:paraId="2FA27E19">
                  <w:pPr>
                    <w:jc w:val="center"/>
                    <w:rPr>
                      <w:color w:val="auto"/>
                      <w:lang w:bidi="ar"/>
                    </w:rPr>
                  </w:pPr>
                  <w:r>
                    <w:rPr>
                      <w:color w:val="auto"/>
                      <w:lang w:bidi="ar"/>
                    </w:rPr>
                    <w:t>铁（mg/L）</w:t>
                  </w:r>
                </w:p>
              </w:tc>
              <w:tc>
                <w:tcPr>
                  <w:tcW w:w="437" w:type="pct"/>
                  <w:vAlign w:val="center"/>
                </w:tcPr>
                <w:p w14:paraId="07CC55B5">
                  <w:pPr>
                    <w:jc w:val="center"/>
                    <w:rPr>
                      <w:color w:val="auto"/>
                      <w:lang w:bidi="ar"/>
                    </w:rPr>
                  </w:pPr>
                  <w:r>
                    <w:rPr>
                      <w:color w:val="auto"/>
                      <w:lang w:bidi="ar"/>
                    </w:rPr>
                    <w:t>≤</w:t>
                  </w:r>
                </w:p>
              </w:tc>
              <w:tc>
                <w:tcPr>
                  <w:tcW w:w="1356" w:type="pct"/>
                  <w:vAlign w:val="center"/>
                </w:tcPr>
                <w:p w14:paraId="4500C550">
                  <w:pPr>
                    <w:jc w:val="center"/>
                    <w:rPr>
                      <w:color w:val="auto"/>
                      <w:lang w:bidi="ar"/>
                    </w:rPr>
                  </w:pPr>
                  <w:r>
                    <w:rPr>
                      <w:color w:val="auto"/>
                      <w:lang w:bidi="ar"/>
                    </w:rPr>
                    <w:t>0.3</w:t>
                  </w:r>
                </w:p>
              </w:tc>
              <w:tc>
                <w:tcPr>
                  <w:tcW w:w="592" w:type="pct"/>
                  <w:vAlign w:val="center"/>
                </w:tcPr>
                <w:p w14:paraId="499E6F9E">
                  <w:pPr>
                    <w:jc w:val="center"/>
                    <w:rPr>
                      <w:color w:val="auto"/>
                      <w:lang w:bidi="ar"/>
                    </w:rPr>
                  </w:pPr>
                  <w:r>
                    <w:rPr>
                      <w:color w:val="auto"/>
                      <w:lang w:bidi="ar"/>
                    </w:rPr>
                    <w:t>0.5</w:t>
                  </w:r>
                </w:p>
              </w:tc>
              <w:tc>
                <w:tcPr>
                  <w:tcW w:w="538" w:type="pct"/>
                  <w:vAlign w:val="center"/>
                </w:tcPr>
                <w:p w14:paraId="5E2CED45">
                  <w:pPr>
                    <w:jc w:val="center"/>
                    <w:rPr>
                      <w:color w:val="auto"/>
                      <w:lang w:bidi="ar"/>
                    </w:rPr>
                  </w:pPr>
                  <w:r>
                    <w:rPr>
                      <w:color w:val="auto"/>
                      <w:lang w:bidi="ar"/>
                    </w:rPr>
                    <w:t>0.3</w:t>
                  </w:r>
                </w:p>
              </w:tc>
            </w:tr>
            <w:tr w14:paraId="372AC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528AFFFF">
                  <w:pPr>
                    <w:jc w:val="center"/>
                    <w:rPr>
                      <w:color w:val="auto"/>
                      <w:lang w:bidi="ar"/>
                    </w:rPr>
                  </w:pPr>
                  <w:r>
                    <w:rPr>
                      <w:color w:val="auto"/>
                      <w:lang w:bidi="ar"/>
                    </w:rPr>
                    <w:t>8</w:t>
                  </w:r>
                </w:p>
              </w:tc>
              <w:tc>
                <w:tcPr>
                  <w:tcW w:w="1600" w:type="pct"/>
                  <w:vAlign w:val="center"/>
                </w:tcPr>
                <w:p w14:paraId="398BBA5F">
                  <w:pPr>
                    <w:jc w:val="center"/>
                    <w:rPr>
                      <w:color w:val="auto"/>
                      <w:lang w:bidi="ar"/>
                    </w:rPr>
                  </w:pPr>
                  <w:r>
                    <w:rPr>
                      <w:color w:val="auto"/>
                      <w:lang w:bidi="ar"/>
                    </w:rPr>
                    <w:t>锰（mg/L）</w:t>
                  </w:r>
                </w:p>
              </w:tc>
              <w:tc>
                <w:tcPr>
                  <w:tcW w:w="437" w:type="pct"/>
                  <w:vAlign w:val="center"/>
                </w:tcPr>
                <w:p w14:paraId="40799518">
                  <w:pPr>
                    <w:jc w:val="center"/>
                    <w:rPr>
                      <w:color w:val="auto"/>
                      <w:lang w:bidi="ar"/>
                    </w:rPr>
                  </w:pPr>
                  <w:r>
                    <w:rPr>
                      <w:color w:val="auto"/>
                      <w:lang w:bidi="ar"/>
                    </w:rPr>
                    <w:t>≤</w:t>
                  </w:r>
                </w:p>
              </w:tc>
              <w:tc>
                <w:tcPr>
                  <w:tcW w:w="1356" w:type="pct"/>
                  <w:vAlign w:val="center"/>
                </w:tcPr>
                <w:p w14:paraId="1359979B">
                  <w:pPr>
                    <w:jc w:val="center"/>
                    <w:rPr>
                      <w:color w:val="auto"/>
                      <w:lang w:bidi="ar"/>
                    </w:rPr>
                  </w:pPr>
                  <w:r>
                    <w:rPr>
                      <w:color w:val="auto"/>
                      <w:lang w:bidi="ar"/>
                    </w:rPr>
                    <w:t>0.1</w:t>
                  </w:r>
                </w:p>
              </w:tc>
              <w:tc>
                <w:tcPr>
                  <w:tcW w:w="592" w:type="pct"/>
                  <w:vAlign w:val="center"/>
                </w:tcPr>
                <w:p w14:paraId="6F19DFA3">
                  <w:pPr>
                    <w:jc w:val="center"/>
                    <w:rPr>
                      <w:color w:val="auto"/>
                      <w:lang w:bidi="ar"/>
                    </w:rPr>
                  </w:pPr>
                  <w:r>
                    <w:rPr>
                      <w:color w:val="auto"/>
                      <w:lang w:bidi="ar"/>
                    </w:rPr>
                    <w:t>0.2</w:t>
                  </w:r>
                </w:p>
              </w:tc>
              <w:tc>
                <w:tcPr>
                  <w:tcW w:w="538" w:type="pct"/>
                  <w:vAlign w:val="center"/>
                </w:tcPr>
                <w:p w14:paraId="4EA5513F">
                  <w:pPr>
                    <w:jc w:val="center"/>
                    <w:rPr>
                      <w:color w:val="auto"/>
                      <w:lang w:bidi="ar"/>
                    </w:rPr>
                  </w:pPr>
                  <w:r>
                    <w:rPr>
                      <w:color w:val="auto"/>
                      <w:lang w:bidi="ar"/>
                    </w:rPr>
                    <w:t>0.1</w:t>
                  </w:r>
                </w:p>
              </w:tc>
            </w:tr>
            <w:tr w14:paraId="3FDED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7E249D3D">
                  <w:pPr>
                    <w:jc w:val="center"/>
                    <w:rPr>
                      <w:color w:val="auto"/>
                      <w:lang w:bidi="ar"/>
                    </w:rPr>
                  </w:pPr>
                  <w:r>
                    <w:rPr>
                      <w:color w:val="auto"/>
                      <w:lang w:bidi="ar"/>
                    </w:rPr>
                    <w:t>9</w:t>
                  </w:r>
                </w:p>
              </w:tc>
              <w:tc>
                <w:tcPr>
                  <w:tcW w:w="1600" w:type="pct"/>
                  <w:vAlign w:val="center"/>
                </w:tcPr>
                <w:p w14:paraId="5DB11B3A">
                  <w:pPr>
                    <w:jc w:val="center"/>
                    <w:rPr>
                      <w:color w:val="auto"/>
                      <w:lang w:bidi="ar"/>
                    </w:rPr>
                  </w:pPr>
                  <w:r>
                    <w:rPr>
                      <w:color w:val="auto"/>
                      <w:lang w:bidi="ar"/>
                    </w:rPr>
                    <w:t>氯化物（mg/L）</w:t>
                  </w:r>
                </w:p>
              </w:tc>
              <w:tc>
                <w:tcPr>
                  <w:tcW w:w="437" w:type="pct"/>
                  <w:vAlign w:val="center"/>
                </w:tcPr>
                <w:p w14:paraId="6E6E79D4">
                  <w:pPr>
                    <w:jc w:val="center"/>
                    <w:rPr>
                      <w:color w:val="auto"/>
                      <w:lang w:bidi="ar"/>
                    </w:rPr>
                  </w:pPr>
                  <w:r>
                    <w:rPr>
                      <w:color w:val="auto"/>
                      <w:lang w:bidi="ar"/>
                    </w:rPr>
                    <w:t>≤</w:t>
                  </w:r>
                </w:p>
              </w:tc>
              <w:tc>
                <w:tcPr>
                  <w:tcW w:w="1356" w:type="pct"/>
                  <w:vAlign w:val="center"/>
                </w:tcPr>
                <w:p w14:paraId="1F449A3A">
                  <w:pPr>
                    <w:jc w:val="center"/>
                    <w:rPr>
                      <w:color w:val="auto"/>
                      <w:lang w:bidi="ar"/>
                    </w:rPr>
                  </w:pPr>
                  <w:r>
                    <w:rPr>
                      <w:color w:val="auto"/>
                      <w:lang w:bidi="ar"/>
                    </w:rPr>
                    <w:t>250</w:t>
                  </w:r>
                </w:p>
              </w:tc>
              <w:tc>
                <w:tcPr>
                  <w:tcW w:w="592" w:type="pct"/>
                  <w:vAlign w:val="center"/>
                </w:tcPr>
                <w:p w14:paraId="25DD5F3D">
                  <w:pPr>
                    <w:jc w:val="center"/>
                    <w:rPr>
                      <w:color w:val="auto"/>
                      <w:lang w:bidi="ar"/>
                    </w:rPr>
                  </w:pPr>
                  <w:r>
                    <w:rPr>
                      <w:color w:val="auto"/>
                      <w:lang w:bidi="ar"/>
                    </w:rPr>
                    <w:t>400</w:t>
                  </w:r>
                </w:p>
              </w:tc>
              <w:tc>
                <w:tcPr>
                  <w:tcW w:w="538" w:type="pct"/>
                  <w:vAlign w:val="center"/>
                </w:tcPr>
                <w:p w14:paraId="389B7B88">
                  <w:pPr>
                    <w:jc w:val="center"/>
                    <w:rPr>
                      <w:color w:val="auto"/>
                      <w:lang w:bidi="ar"/>
                    </w:rPr>
                  </w:pPr>
                  <w:r>
                    <w:rPr>
                      <w:color w:val="auto"/>
                      <w:lang w:bidi="ar"/>
                    </w:rPr>
                    <w:t>250</w:t>
                  </w:r>
                </w:p>
              </w:tc>
            </w:tr>
            <w:tr w14:paraId="23316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6315A3DB">
                  <w:pPr>
                    <w:jc w:val="center"/>
                    <w:rPr>
                      <w:color w:val="auto"/>
                      <w:lang w:bidi="ar"/>
                    </w:rPr>
                  </w:pPr>
                  <w:r>
                    <w:rPr>
                      <w:color w:val="auto"/>
                      <w:lang w:bidi="ar"/>
                    </w:rPr>
                    <w:t>10</w:t>
                  </w:r>
                </w:p>
              </w:tc>
              <w:tc>
                <w:tcPr>
                  <w:tcW w:w="1600" w:type="pct"/>
                  <w:vAlign w:val="center"/>
                </w:tcPr>
                <w:p w14:paraId="503BE1CC">
                  <w:pPr>
                    <w:jc w:val="center"/>
                    <w:rPr>
                      <w:color w:val="auto"/>
                      <w:lang w:bidi="ar"/>
                    </w:rPr>
                  </w:pPr>
                  <w:r>
                    <w:rPr>
                      <w:color w:val="auto"/>
                      <w:lang w:bidi="ar"/>
                    </w:rPr>
                    <w:t>二氧化硅</w:t>
                  </w:r>
                </w:p>
              </w:tc>
              <w:tc>
                <w:tcPr>
                  <w:tcW w:w="437" w:type="pct"/>
                  <w:vAlign w:val="center"/>
                </w:tcPr>
                <w:p w14:paraId="245235C3">
                  <w:pPr>
                    <w:jc w:val="center"/>
                    <w:rPr>
                      <w:color w:val="auto"/>
                      <w:lang w:bidi="ar"/>
                    </w:rPr>
                  </w:pPr>
                  <w:r>
                    <w:rPr>
                      <w:color w:val="auto"/>
                      <w:lang w:bidi="ar"/>
                    </w:rPr>
                    <w:t>≤</w:t>
                  </w:r>
                </w:p>
              </w:tc>
              <w:tc>
                <w:tcPr>
                  <w:tcW w:w="1356" w:type="pct"/>
                  <w:vAlign w:val="center"/>
                </w:tcPr>
                <w:p w14:paraId="00E54DD7">
                  <w:pPr>
                    <w:jc w:val="center"/>
                    <w:rPr>
                      <w:color w:val="auto"/>
                      <w:lang w:bidi="ar"/>
                    </w:rPr>
                  </w:pPr>
                  <w:r>
                    <w:rPr>
                      <w:color w:val="auto"/>
                      <w:lang w:bidi="ar"/>
                    </w:rPr>
                    <w:t>30</w:t>
                  </w:r>
                </w:p>
              </w:tc>
              <w:tc>
                <w:tcPr>
                  <w:tcW w:w="592" w:type="pct"/>
                  <w:vAlign w:val="center"/>
                </w:tcPr>
                <w:p w14:paraId="77E7D5F8">
                  <w:pPr>
                    <w:jc w:val="center"/>
                    <w:rPr>
                      <w:color w:val="auto"/>
                      <w:lang w:bidi="ar"/>
                    </w:rPr>
                  </w:pPr>
                  <w:r>
                    <w:rPr>
                      <w:color w:val="auto"/>
                      <w:lang w:bidi="ar"/>
                    </w:rPr>
                    <w:t>50</w:t>
                  </w:r>
                </w:p>
              </w:tc>
              <w:tc>
                <w:tcPr>
                  <w:tcW w:w="538" w:type="pct"/>
                  <w:vAlign w:val="center"/>
                </w:tcPr>
                <w:p w14:paraId="14087306">
                  <w:pPr>
                    <w:jc w:val="center"/>
                    <w:rPr>
                      <w:color w:val="auto"/>
                      <w:lang w:bidi="ar"/>
                    </w:rPr>
                  </w:pPr>
                  <w:r>
                    <w:rPr>
                      <w:color w:val="auto"/>
                      <w:lang w:bidi="ar"/>
                    </w:rPr>
                    <w:t>30</w:t>
                  </w:r>
                </w:p>
              </w:tc>
            </w:tr>
            <w:tr w14:paraId="79598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39B48EED">
                  <w:pPr>
                    <w:jc w:val="center"/>
                    <w:rPr>
                      <w:color w:val="auto"/>
                      <w:lang w:bidi="ar"/>
                    </w:rPr>
                  </w:pPr>
                  <w:r>
                    <w:rPr>
                      <w:color w:val="auto"/>
                      <w:lang w:bidi="ar"/>
                    </w:rPr>
                    <w:t>11</w:t>
                  </w:r>
                </w:p>
              </w:tc>
              <w:tc>
                <w:tcPr>
                  <w:tcW w:w="1600" w:type="pct"/>
                  <w:vAlign w:val="center"/>
                </w:tcPr>
                <w:p w14:paraId="5EDBEF70">
                  <w:pPr>
                    <w:jc w:val="center"/>
                    <w:rPr>
                      <w:color w:val="auto"/>
                      <w:lang w:bidi="ar"/>
                    </w:rPr>
                  </w:pPr>
                  <w:r>
                    <w:rPr>
                      <w:color w:val="auto"/>
                      <w:lang w:bidi="ar"/>
                    </w:rPr>
                    <w:t>总硬度（以CaCO</w:t>
                  </w:r>
                  <w:r>
                    <w:rPr>
                      <w:color w:val="auto"/>
                      <w:vertAlign w:val="subscript"/>
                      <w:lang w:bidi="ar"/>
                    </w:rPr>
                    <w:t>3</w:t>
                  </w:r>
                  <w:r>
                    <w:rPr>
                      <w:color w:val="auto"/>
                      <w:lang w:bidi="ar"/>
                    </w:rPr>
                    <w:t>计/mg/L）</w:t>
                  </w:r>
                </w:p>
              </w:tc>
              <w:tc>
                <w:tcPr>
                  <w:tcW w:w="437" w:type="pct"/>
                  <w:vAlign w:val="center"/>
                </w:tcPr>
                <w:p w14:paraId="367D979F">
                  <w:pPr>
                    <w:jc w:val="center"/>
                    <w:rPr>
                      <w:color w:val="auto"/>
                      <w:lang w:bidi="ar"/>
                    </w:rPr>
                  </w:pPr>
                  <w:r>
                    <w:rPr>
                      <w:color w:val="auto"/>
                      <w:lang w:bidi="ar"/>
                    </w:rPr>
                    <w:t>≤</w:t>
                  </w:r>
                </w:p>
              </w:tc>
              <w:tc>
                <w:tcPr>
                  <w:tcW w:w="1949" w:type="pct"/>
                  <w:gridSpan w:val="2"/>
                  <w:vAlign w:val="center"/>
                </w:tcPr>
                <w:p w14:paraId="0B2E72E0">
                  <w:pPr>
                    <w:jc w:val="center"/>
                    <w:rPr>
                      <w:color w:val="auto"/>
                      <w:lang w:bidi="ar"/>
                    </w:rPr>
                  </w:pPr>
                  <w:r>
                    <w:rPr>
                      <w:color w:val="auto"/>
                      <w:lang w:bidi="ar"/>
                    </w:rPr>
                    <w:t>450</w:t>
                  </w:r>
                </w:p>
              </w:tc>
              <w:tc>
                <w:tcPr>
                  <w:tcW w:w="538" w:type="pct"/>
                  <w:vAlign w:val="center"/>
                </w:tcPr>
                <w:p w14:paraId="0FF9B320">
                  <w:pPr>
                    <w:jc w:val="center"/>
                    <w:rPr>
                      <w:color w:val="auto"/>
                      <w:lang w:bidi="ar"/>
                    </w:rPr>
                  </w:pPr>
                  <w:r>
                    <w:rPr>
                      <w:color w:val="auto"/>
                      <w:lang w:bidi="ar"/>
                    </w:rPr>
                    <w:t>450</w:t>
                  </w:r>
                </w:p>
              </w:tc>
            </w:tr>
            <w:tr w14:paraId="546C4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7B495BCD">
                  <w:pPr>
                    <w:jc w:val="center"/>
                    <w:rPr>
                      <w:color w:val="auto"/>
                      <w:lang w:bidi="ar"/>
                    </w:rPr>
                  </w:pPr>
                  <w:r>
                    <w:rPr>
                      <w:color w:val="auto"/>
                      <w:lang w:bidi="ar"/>
                    </w:rPr>
                    <w:t>12</w:t>
                  </w:r>
                </w:p>
              </w:tc>
              <w:tc>
                <w:tcPr>
                  <w:tcW w:w="1600" w:type="pct"/>
                  <w:vAlign w:val="center"/>
                </w:tcPr>
                <w:p w14:paraId="4853D191">
                  <w:pPr>
                    <w:jc w:val="center"/>
                    <w:rPr>
                      <w:color w:val="auto"/>
                      <w:lang w:bidi="ar"/>
                    </w:rPr>
                  </w:pPr>
                  <w:r>
                    <w:rPr>
                      <w:color w:val="auto"/>
                      <w:lang w:bidi="ar"/>
                    </w:rPr>
                    <w:t>总碱度（以CaCO</w:t>
                  </w:r>
                  <w:r>
                    <w:rPr>
                      <w:color w:val="auto"/>
                      <w:vertAlign w:val="subscript"/>
                      <w:lang w:bidi="ar"/>
                    </w:rPr>
                    <w:t>3</w:t>
                  </w:r>
                  <w:r>
                    <w:rPr>
                      <w:color w:val="auto"/>
                      <w:lang w:bidi="ar"/>
                    </w:rPr>
                    <w:t>计/mg/L）</w:t>
                  </w:r>
                </w:p>
              </w:tc>
              <w:tc>
                <w:tcPr>
                  <w:tcW w:w="437" w:type="pct"/>
                  <w:vAlign w:val="center"/>
                </w:tcPr>
                <w:p w14:paraId="529B7886">
                  <w:pPr>
                    <w:jc w:val="center"/>
                    <w:rPr>
                      <w:color w:val="auto"/>
                      <w:lang w:bidi="ar"/>
                    </w:rPr>
                  </w:pPr>
                  <w:r>
                    <w:rPr>
                      <w:color w:val="auto"/>
                      <w:lang w:bidi="ar"/>
                    </w:rPr>
                    <w:t>≤</w:t>
                  </w:r>
                </w:p>
              </w:tc>
              <w:tc>
                <w:tcPr>
                  <w:tcW w:w="1949" w:type="pct"/>
                  <w:gridSpan w:val="2"/>
                  <w:vAlign w:val="center"/>
                </w:tcPr>
                <w:p w14:paraId="316B8625">
                  <w:pPr>
                    <w:jc w:val="center"/>
                    <w:rPr>
                      <w:color w:val="auto"/>
                      <w:lang w:bidi="ar"/>
                    </w:rPr>
                  </w:pPr>
                  <w:r>
                    <w:rPr>
                      <w:color w:val="auto"/>
                      <w:lang w:bidi="ar"/>
                    </w:rPr>
                    <w:t>350</w:t>
                  </w:r>
                </w:p>
              </w:tc>
              <w:tc>
                <w:tcPr>
                  <w:tcW w:w="538" w:type="pct"/>
                  <w:vAlign w:val="center"/>
                </w:tcPr>
                <w:p w14:paraId="05060EA4">
                  <w:pPr>
                    <w:jc w:val="center"/>
                    <w:rPr>
                      <w:color w:val="auto"/>
                      <w:lang w:bidi="ar"/>
                    </w:rPr>
                  </w:pPr>
                  <w:r>
                    <w:rPr>
                      <w:color w:val="auto"/>
                      <w:lang w:bidi="ar"/>
                    </w:rPr>
                    <w:t>350</w:t>
                  </w:r>
                </w:p>
              </w:tc>
            </w:tr>
            <w:tr w14:paraId="3CA9F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474" w:type="pct"/>
                  <w:vAlign w:val="center"/>
                </w:tcPr>
                <w:p w14:paraId="5980332F">
                  <w:pPr>
                    <w:jc w:val="center"/>
                    <w:rPr>
                      <w:color w:val="auto"/>
                      <w:lang w:bidi="ar"/>
                    </w:rPr>
                  </w:pPr>
                  <w:r>
                    <w:rPr>
                      <w:color w:val="auto"/>
                      <w:lang w:bidi="ar"/>
                    </w:rPr>
                    <w:t>13</w:t>
                  </w:r>
                </w:p>
              </w:tc>
              <w:tc>
                <w:tcPr>
                  <w:tcW w:w="1600" w:type="pct"/>
                  <w:vAlign w:val="center"/>
                </w:tcPr>
                <w:p w14:paraId="26386F70">
                  <w:pPr>
                    <w:jc w:val="center"/>
                    <w:rPr>
                      <w:color w:val="auto"/>
                      <w:lang w:bidi="ar"/>
                    </w:rPr>
                  </w:pPr>
                  <w:r>
                    <w:rPr>
                      <w:color w:val="auto"/>
                      <w:lang w:bidi="ar"/>
                    </w:rPr>
                    <w:t>硫酸盐（mg/L）</w:t>
                  </w:r>
                </w:p>
              </w:tc>
              <w:tc>
                <w:tcPr>
                  <w:tcW w:w="437" w:type="pct"/>
                  <w:vAlign w:val="center"/>
                </w:tcPr>
                <w:p w14:paraId="5E17DB9A">
                  <w:pPr>
                    <w:jc w:val="center"/>
                    <w:rPr>
                      <w:color w:val="auto"/>
                    </w:rPr>
                  </w:pPr>
                  <w:r>
                    <w:rPr>
                      <w:color w:val="auto"/>
                      <w:lang w:bidi="ar"/>
                    </w:rPr>
                    <w:t>≤</w:t>
                  </w:r>
                </w:p>
              </w:tc>
              <w:tc>
                <w:tcPr>
                  <w:tcW w:w="1356" w:type="pct"/>
                  <w:vAlign w:val="center"/>
                </w:tcPr>
                <w:p w14:paraId="54507A76">
                  <w:pPr>
                    <w:jc w:val="center"/>
                    <w:rPr>
                      <w:color w:val="auto"/>
                      <w:lang w:bidi="ar"/>
                    </w:rPr>
                  </w:pPr>
                  <w:r>
                    <w:rPr>
                      <w:color w:val="auto"/>
                      <w:lang w:bidi="ar"/>
                    </w:rPr>
                    <w:t>250</w:t>
                  </w:r>
                </w:p>
              </w:tc>
              <w:tc>
                <w:tcPr>
                  <w:tcW w:w="592" w:type="pct"/>
                  <w:vAlign w:val="center"/>
                </w:tcPr>
                <w:p w14:paraId="2E76E0B4">
                  <w:pPr>
                    <w:jc w:val="center"/>
                    <w:rPr>
                      <w:color w:val="auto"/>
                      <w:lang w:bidi="ar"/>
                    </w:rPr>
                  </w:pPr>
                  <w:r>
                    <w:rPr>
                      <w:color w:val="auto"/>
                      <w:lang w:bidi="ar"/>
                    </w:rPr>
                    <w:t>600</w:t>
                  </w:r>
                </w:p>
              </w:tc>
              <w:tc>
                <w:tcPr>
                  <w:tcW w:w="538" w:type="pct"/>
                  <w:vAlign w:val="center"/>
                </w:tcPr>
                <w:p w14:paraId="21971915">
                  <w:pPr>
                    <w:jc w:val="center"/>
                    <w:rPr>
                      <w:color w:val="auto"/>
                      <w:lang w:bidi="ar"/>
                    </w:rPr>
                  </w:pPr>
                  <w:r>
                    <w:rPr>
                      <w:color w:val="auto"/>
                      <w:lang w:bidi="ar"/>
                    </w:rPr>
                    <w:t>250</w:t>
                  </w:r>
                </w:p>
              </w:tc>
            </w:tr>
            <w:tr w14:paraId="0047D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6064F95B">
                  <w:pPr>
                    <w:jc w:val="center"/>
                    <w:rPr>
                      <w:color w:val="auto"/>
                      <w:lang w:bidi="ar"/>
                    </w:rPr>
                  </w:pPr>
                  <w:r>
                    <w:rPr>
                      <w:color w:val="auto"/>
                      <w:lang w:bidi="ar"/>
                    </w:rPr>
                    <w:t>14</w:t>
                  </w:r>
                </w:p>
              </w:tc>
              <w:tc>
                <w:tcPr>
                  <w:tcW w:w="1600" w:type="pct"/>
                  <w:vAlign w:val="center"/>
                </w:tcPr>
                <w:p w14:paraId="1CBEFCFD">
                  <w:pPr>
                    <w:jc w:val="center"/>
                    <w:rPr>
                      <w:color w:val="auto"/>
                      <w:lang w:bidi="ar"/>
                    </w:rPr>
                  </w:pPr>
                  <w:r>
                    <w:rPr>
                      <w:color w:val="auto"/>
                      <w:lang w:bidi="ar"/>
                    </w:rPr>
                    <w:t>氨氮（以N计/mg/L）</w:t>
                  </w:r>
                </w:p>
              </w:tc>
              <w:tc>
                <w:tcPr>
                  <w:tcW w:w="437" w:type="pct"/>
                  <w:vAlign w:val="center"/>
                </w:tcPr>
                <w:p w14:paraId="65FC4316">
                  <w:pPr>
                    <w:jc w:val="center"/>
                    <w:rPr>
                      <w:color w:val="auto"/>
                    </w:rPr>
                  </w:pPr>
                  <w:r>
                    <w:rPr>
                      <w:color w:val="auto"/>
                      <w:lang w:bidi="ar"/>
                    </w:rPr>
                    <w:t>≤</w:t>
                  </w:r>
                </w:p>
              </w:tc>
              <w:tc>
                <w:tcPr>
                  <w:tcW w:w="1949" w:type="pct"/>
                  <w:gridSpan w:val="2"/>
                  <w:vAlign w:val="center"/>
                </w:tcPr>
                <w:p w14:paraId="19A68048">
                  <w:pPr>
                    <w:jc w:val="center"/>
                    <w:rPr>
                      <w:color w:val="auto"/>
                      <w:lang w:bidi="ar"/>
                    </w:rPr>
                  </w:pPr>
                  <w:r>
                    <w:rPr>
                      <w:color w:val="auto"/>
                      <w:lang w:bidi="ar"/>
                    </w:rPr>
                    <w:t>5</w:t>
                  </w:r>
                  <w:r>
                    <w:rPr>
                      <w:color w:val="auto"/>
                      <w:vertAlign w:val="superscript"/>
                      <w:lang w:bidi="ar"/>
                    </w:rPr>
                    <w:t>a</w:t>
                  </w:r>
                </w:p>
              </w:tc>
              <w:tc>
                <w:tcPr>
                  <w:tcW w:w="538" w:type="pct"/>
                  <w:vAlign w:val="center"/>
                </w:tcPr>
                <w:p w14:paraId="2394031B">
                  <w:pPr>
                    <w:jc w:val="center"/>
                    <w:rPr>
                      <w:color w:val="auto"/>
                      <w:lang w:bidi="ar"/>
                    </w:rPr>
                  </w:pPr>
                  <w:r>
                    <w:rPr>
                      <w:color w:val="auto"/>
                      <w:lang w:bidi="ar"/>
                    </w:rPr>
                    <w:t>5</w:t>
                  </w:r>
                </w:p>
              </w:tc>
            </w:tr>
            <w:tr w14:paraId="140D7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5F397D16">
                  <w:pPr>
                    <w:jc w:val="center"/>
                    <w:rPr>
                      <w:color w:val="auto"/>
                      <w:lang w:bidi="ar"/>
                    </w:rPr>
                  </w:pPr>
                  <w:r>
                    <w:rPr>
                      <w:color w:val="auto"/>
                      <w:lang w:bidi="ar"/>
                    </w:rPr>
                    <w:t>15</w:t>
                  </w:r>
                </w:p>
              </w:tc>
              <w:tc>
                <w:tcPr>
                  <w:tcW w:w="1600" w:type="pct"/>
                  <w:vAlign w:val="center"/>
                </w:tcPr>
                <w:p w14:paraId="3B809E91">
                  <w:pPr>
                    <w:jc w:val="center"/>
                    <w:rPr>
                      <w:color w:val="auto"/>
                      <w:lang w:bidi="ar"/>
                    </w:rPr>
                  </w:pPr>
                  <w:r>
                    <w:rPr>
                      <w:color w:val="auto"/>
                      <w:lang w:bidi="ar"/>
                    </w:rPr>
                    <w:t>总氮（以N计/mg/L）</w:t>
                  </w:r>
                </w:p>
              </w:tc>
              <w:tc>
                <w:tcPr>
                  <w:tcW w:w="437" w:type="pct"/>
                  <w:vAlign w:val="center"/>
                </w:tcPr>
                <w:p w14:paraId="50500647">
                  <w:pPr>
                    <w:jc w:val="center"/>
                    <w:rPr>
                      <w:color w:val="auto"/>
                      <w:lang w:bidi="ar"/>
                    </w:rPr>
                  </w:pPr>
                  <w:r>
                    <w:rPr>
                      <w:color w:val="auto"/>
                      <w:lang w:bidi="ar"/>
                    </w:rPr>
                    <w:t>≤</w:t>
                  </w:r>
                </w:p>
              </w:tc>
              <w:tc>
                <w:tcPr>
                  <w:tcW w:w="1949" w:type="pct"/>
                  <w:gridSpan w:val="2"/>
                  <w:vAlign w:val="center"/>
                </w:tcPr>
                <w:p w14:paraId="290DB753">
                  <w:pPr>
                    <w:jc w:val="center"/>
                    <w:rPr>
                      <w:color w:val="auto"/>
                      <w:lang w:bidi="ar"/>
                    </w:rPr>
                  </w:pPr>
                  <w:r>
                    <w:rPr>
                      <w:color w:val="auto"/>
                      <w:lang w:bidi="ar"/>
                    </w:rPr>
                    <w:t>15</w:t>
                  </w:r>
                </w:p>
              </w:tc>
              <w:tc>
                <w:tcPr>
                  <w:tcW w:w="538" w:type="pct"/>
                  <w:vAlign w:val="center"/>
                </w:tcPr>
                <w:p w14:paraId="0E3EA35A">
                  <w:pPr>
                    <w:jc w:val="center"/>
                    <w:rPr>
                      <w:color w:val="auto"/>
                      <w:lang w:bidi="ar"/>
                    </w:rPr>
                  </w:pPr>
                  <w:r>
                    <w:rPr>
                      <w:color w:val="auto"/>
                      <w:lang w:bidi="ar"/>
                    </w:rPr>
                    <w:t>15</w:t>
                  </w:r>
                </w:p>
              </w:tc>
            </w:tr>
            <w:tr w14:paraId="6A626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628F0565">
                  <w:pPr>
                    <w:jc w:val="center"/>
                    <w:rPr>
                      <w:color w:val="auto"/>
                      <w:lang w:bidi="ar"/>
                    </w:rPr>
                  </w:pPr>
                  <w:r>
                    <w:rPr>
                      <w:color w:val="auto"/>
                      <w:lang w:bidi="ar"/>
                    </w:rPr>
                    <w:t>16</w:t>
                  </w:r>
                </w:p>
              </w:tc>
              <w:tc>
                <w:tcPr>
                  <w:tcW w:w="1600" w:type="pct"/>
                  <w:vAlign w:val="center"/>
                </w:tcPr>
                <w:p w14:paraId="23CED985">
                  <w:pPr>
                    <w:jc w:val="center"/>
                    <w:rPr>
                      <w:color w:val="auto"/>
                      <w:lang w:bidi="ar"/>
                    </w:rPr>
                  </w:pPr>
                  <w:r>
                    <w:rPr>
                      <w:color w:val="auto"/>
                      <w:lang w:bidi="ar"/>
                    </w:rPr>
                    <w:t>总磷（以P计/mg/L）</w:t>
                  </w:r>
                </w:p>
              </w:tc>
              <w:tc>
                <w:tcPr>
                  <w:tcW w:w="437" w:type="pct"/>
                  <w:vAlign w:val="center"/>
                </w:tcPr>
                <w:p w14:paraId="517B9763">
                  <w:pPr>
                    <w:jc w:val="center"/>
                    <w:rPr>
                      <w:color w:val="auto"/>
                    </w:rPr>
                  </w:pPr>
                  <w:r>
                    <w:rPr>
                      <w:color w:val="auto"/>
                      <w:lang w:bidi="ar"/>
                    </w:rPr>
                    <w:t>≤</w:t>
                  </w:r>
                </w:p>
              </w:tc>
              <w:tc>
                <w:tcPr>
                  <w:tcW w:w="1949" w:type="pct"/>
                  <w:gridSpan w:val="2"/>
                  <w:vAlign w:val="center"/>
                </w:tcPr>
                <w:p w14:paraId="0D6B832A">
                  <w:pPr>
                    <w:jc w:val="center"/>
                    <w:rPr>
                      <w:color w:val="auto"/>
                      <w:lang w:bidi="ar"/>
                    </w:rPr>
                  </w:pPr>
                  <w:r>
                    <w:rPr>
                      <w:color w:val="auto"/>
                      <w:lang w:bidi="ar"/>
                    </w:rPr>
                    <w:t>0.5</w:t>
                  </w:r>
                </w:p>
              </w:tc>
              <w:tc>
                <w:tcPr>
                  <w:tcW w:w="538" w:type="pct"/>
                  <w:vAlign w:val="center"/>
                </w:tcPr>
                <w:p w14:paraId="70939FB2">
                  <w:pPr>
                    <w:jc w:val="center"/>
                    <w:rPr>
                      <w:color w:val="auto"/>
                      <w:lang w:bidi="ar"/>
                    </w:rPr>
                  </w:pPr>
                  <w:r>
                    <w:rPr>
                      <w:color w:val="auto"/>
                      <w:lang w:bidi="ar"/>
                    </w:rPr>
                    <w:t>0.5</w:t>
                  </w:r>
                </w:p>
              </w:tc>
            </w:tr>
            <w:tr w14:paraId="36E6B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5D19ED04">
                  <w:pPr>
                    <w:jc w:val="center"/>
                    <w:rPr>
                      <w:color w:val="auto"/>
                      <w:lang w:bidi="ar"/>
                    </w:rPr>
                  </w:pPr>
                  <w:r>
                    <w:rPr>
                      <w:color w:val="auto"/>
                      <w:lang w:bidi="ar"/>
                    </w:rPr>
                    <w:t>17</w:t>
                  </w:r>
                </w:p>
              </w:tc>
              <w:tc>
                <w:tcPr>
                  <w:tcW w:w="1600" w:type="pct"/>
                  <w:vAlign w:val="center"/>
                </w:tcPr>
                <w:p w14:paraId="46A6931C">
                  <w:pPr>
                    <w:jc w:val="center"/>
                    <w:rPr>
                      <w:color w:val="auto"/>
                      <w:lang w:bidi="ar"/>
                    </w:rPr>
                  </w:pPr>
                  <w:r>
                    <w:rPr>
                      <w:color w:val="auto"/>
                      <w:lang w:bidi="ar"/>
                    </w:rPr>
                    <w:t>溶解性总固体（mg/L）</w:t>
                  </w:r>
                </w:p>
              </w:tc>
              <w:tc>
                <w:tcPr>
                  <w:tcW w:w="437" w:type="pct"/>
                  <w:vAlign w:val="center"/>
                </w:tcPr>
                <w:p w14:paraId="7F667F25">
                  <w:pPr>
                    <w:jc w:val="center"/>
                    <w:rPr>
                      <w:color w:val="auto"/>
                    </w:rPr>
                  </w:pPr>
                  <w:r>
                    <w:rPr>
                      <w:color w:val="auto"/>
                      <w:lang w:bidi="ar"/>
                    </w:rPr>
                    <w:t>≤</w:t>
                  </w:r>
                </w:p>
              </w:tc>
              <w:tc>
                <w:tcPr>
                  <w:tcW w:w="1356" w:type="pct"/>
                  <w:vAlign w:val="center"/>
                </w:tcPr>
                <w:p w14:paraId="1A28B6D0">
                  <w:pPr>
                    <w:jc w:val="center"/>
                    <w:rPr>
                      <w:color w:val="auto"/>
                      <w:lang w:bidi="ar"/>
                    </w:rPr>
                  </w:pPr>
                  <w:r>
                    <w:rPr>
                      <w:color w:val="auto"/>
                      <w:lang w:bidi="ar"/>
                    </w:rPr>
                    <w:t>1000</w:t>
                  </w:r>
                </w:p>
              </w:tc>
              <w:tc>
                <w:tcPr>
                  <w:tcW w:w="592" w:type="pct"/>
                  <w:vAlign w:val="center"/>
                </w:tcPr>
                <w:p w14:paraId="26FA1385">
                  <w:pPr>
                    <w:jc w:val="center"/>
                    <w:rPr>
                      <w:color w:val="auto"/>
                      <w:lang w:bidi="ar"/>
                    </w:rPr>
                  </w:pPr>
                  <w:r>
                    <w:rPr>
                      <w:color w:val="auto"/>
                      <w:lang w:bidi="ar"/>
                    </w:rPr>
                    <w:t>1500</w:t>
                  </w:r>
                </w:p>
              </w:tc>
              <w:tc>
                <w:tcPr>
                  <w:tcW w:w="538" w:type="pct"/>
                  <w:vAlign w:val="center"/>
                </w:tcPr>
                <w:p w14:paraId="62CB9381">
                  <w:pPr>
                    <w:jc w:val="center"/>
                    <w:rPr>
                      <w:color w:val="auto"/>
                      <w:lang w:bidi="ar"/>
                    </w:rPr>
                  </w:pPr>
                  <w:r>
                    <w:rPr>
                      <w:color w:val="auto"/>
                      <w:lang w:bidi="ar"/>
                    </w:rPr>
                    <w:t>1000</w:t>
                  </w:r>
                </w:p>
              </w:tc>
            </w:tr>
            <w:tr w14:paraId="1A1AA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4B6AF9A0">
                  <w:pPr>
                    <w:jc w:val="center"/>
                    <w:rPr>
                      <w:color w:val="auto"/>
                      <w:lang w:bidi="ar"/>
                    </w:rPr>
                  </w:pPr>
                  <w:r>
                    <w:rPr>
                      <w:color w:val="auto"/>
                      <w:lang w:bidi="ar"/>
                    </w:rPr>
                    <w:t>18</w:t>
                  </w:r>
                </w:p>
              </w:tc>
              <w:tc>
                <w:tcPr>
                  <w:tcW w:w="1600" w:type="pct"/>
                  <w:vAlign w:val="center"/>
                </w:tcPr>
                <w:p w14:paraId="61F74C8F">
                  <w:pPr>
                    <w:jc w:val="center"/>
                    <w:rPr>
                      <w:color w:val="auto"/>
                      <w:lang w:bidi="ar"/>
                    </w:rPr>
                  </w:pPr>
                  <w:r>
                    <w:rPr>
                      <w:color w:val="auto"/>
                      <w:lang w:bidi="ar"/>
                    </w:rPr>
                    <w:t>石油类（mg/L）</w:t>
                  </w:r>
                </w:p>
              </w:tc>
              <w:tc>
                <w:tcPr>
                  <w:tcW w:w="437" w:type="pct"/>
                  <w:vAlign w:val="center"/>
                </w:tcPr>
                <w:p w14:paraId="6740F731">
                  <w:pPr>
                    <w:jc w:val="center"/>
                    <w:rPr>
                      <w:color w:val="auto"/>
                      <w:lang w:bidi="ar"/>
                    </w:rPr>
                  </w:pPr>
                  <w:r>
                    <w:rPr>
                      <w:color w:val="auto"/>
                      <w:lang w:bidi="ar"/>
                    </w:rPr>
                    <w:t>≤</w:t>
                  </w:r>
                </w:p>
              </w:tc>
              <w:tc>
                <w:tcPr>
                  <w:tcW w:w="1949" w:type="pct"/>
                  <w:gridSpan w:val="2"/>
                  <w:vAlign w:val="center"/>
                </w:tcPr>
                <w:p w14:paraId="42580C8F">
                  <w:pPr>
                    <w:jc w:val="center"/>
                    <w:rPr>
                      <w:color w:val="auto"/>
                      <w:lang w:bidi="ar"/>
                    </w:rPr>
                  </w:pPr>
                  <w:r>
                    <w:rPr>
                      <w:color w:val="auto"/>
                      <w:lang w:bidi="ar"/>
                    </w:rPr>
                    <w:t>1.0</w:t>
                  </w:r>
                </w:p>
              </w:tc>
              <w:tc>
                <w:tcPr>
                  <w:tcW w:w="538" w:type="pct"/>
                  <w:vAlign w:val="center"/>
                </w:tcPr>
                <w:p w14:paraId="46E6AA28">
                  <w:pPr>
                    <w:jc w:val="center"/>
                    <w:rPr>
                      <w:color w:val="auto"/>
                      <w:lang w:bidi="ar"/>
                    </w:rPr>
                  </w:pPr>
                  <w:r>
                    <w:rPr>
                      <w:color w:val="auto"/>
                      <w:lang w:bidi="ar"/>
                    </w:rPr>
                    <w:t>1</w:t>
                  </w:r>
                </w:p>
              </w:tc>
            </w:tr>
            <w:tr w14:paraId="1D5C8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0AEE712F">
                  <w:pPr>
                    <w:jc w:val="center"/>
                    <w:rPr>
                      <w:color w:val="auto"/>
                      <w:lang w:bidi="ar"/>
                    </w:rPr>
                  </w:pPr>
                  <w:r>
                    <w:rPr>
                      <w:color w:val="auto"/>
                      <w:lang w:bidi="ar"/>
                    </w:rPr>
                    <w:t>19</w:t>
                  </w:r>
                </w:p>
              </w:tc>
              <w:tc>
                <w:tcPr>
                  <w:tcW w:w="1600" w:type="pct"/>
                  <w:vAlign w:val="center"/>
                </w:tcPr>
                <w:p w14:paraId="7878DFC7">
                  <w:pPr>
                    <w:jc w:val="center"/>
                    <w:rPr>
                      <w:color w:val="auto"/>
                      <w:lang w:bidi="ar"/>
                    </w:rPr>
                  </w:pPr>
                  <w:r>
                    <w:rPr>
                      <w:color w:val="auto"/>
                      <w:lang w:bidi="ar"/>
                    </w:rPr>
                    <w:t>阴离子表面活性剂（mg/L）</w:t>
                  </w:r>
                </w:p>
              </w:tc>
              <w:tc>
                <w:tcPr>
                  <w:tcW w:w="437" w:type="pct"/>
                  <w:vAlign w:val="center"/>
                </w:tcPr>
                <w:p w14:paraId="502DCEFA">
                  <w:pPr>
                    <w:jc w:val="center"/>
                    <w:rPr>
                      <w:color w:val="auto"/>
                      <w:lang w:bidi="ar"/>
                    </w:rPr>
                  </w:pPr>
                  <w:r>
                    <w:rPr>
                      <w:color w:val="auto"/>
                      <w:lang w:bidi="ar"/>
                    </w:rPr>
                    <w:t>≤</w:t>
                  </w:r>
                </w:p>
              </w:tc>
              <w:tc>
                <w:tcPr>
                  <w:tcW w:w="1356" w:type="pct"/>
                  <w:vAlign w:val="center"/>
                </w:tcPr>
                <w:p w14:paraId="086A2610">
                  <w:pPr>
                    <w:jc w:val="center"/>
                    <w:rPr>
                      <w:color w:val="auto"/>
                      <w:lang w:bidi="ar"/>
                    </w:rPr>
                  </w:pPr>
                  <w:r>
                    <w:rPr>
                      <w:color w:val="auto"/>
                      <w:lang w:bidi="ar"/>
                    </w:rPr>
                    <w:t>—</w:t>
                  </w:r>
                </w:p>
              </w:tc>
              <w:tc>
                <w:tcPr>
                  <w:tcW w:w="592" w:type="pct"/>
                  <w:vAlign w:val="center"/>
                </w:tcPr>
                <w:p w14:paraId="6B42F419">
                  <w:pPr>
                    <w:jc w:val="center"/>
                    <w:rPr>
                      <w:color w:val="auto"/>
                      <w:lang w:bidi="ar"/>
                    </w:rPr>
                  </w:pPr>
                  <w:r>
                    <w:rPr>
                      <w:color w:val="auto"/>
                      <w:lang w:bidi="ar"/>
                    </w:rPr>
                    <w:t>0.5</w:t>
                  </w:r>
                </w:p>
              </w:tc>
              <w:tc>
                <w:tcPr>
                  <w:tcW w:w="538" w:type="pct"/>
                  <w:vAlign w:val="center"/>
                </w:tcPr>
                <w:p w14:paraId="029B5D72">
                  <w:pPr>
                    <w:jc w:val="center"/>
                    <w:rPr>
                      <w:color w:val="auto"/>
                      <w:lang w:bidi="ar"/>
                    </w:rPr>
                  </w:pPr>
                  <w:r>
                    <w:rPr>
                      <w:color w:val="auto"/>
                      <w:lang w:bidi="ar"/>
                    </w:rPr>
                    <w:t>0.5</w:t>
                  </w:r>
                </w:p>
              </w:tc>
            </w:tr>
            <w:tr w14:paraId="2DA54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01280298">
                  <w:pPr>
                    <w:jc w:val="center"/>
                    <w:rPr>
                      <w:color w:val="auto"/>
                      <w:lang w:bidi="ar"/>
                    </w:rPr>
                  </w:pPr>
                  <w:r>
                    <w:rPr>
                      <w:color w:val="auto"/>
                      <w:lang w:bidi="ar"/>
                    </w:rPr>
                    <w:t>20</w:t>
                  </w:r>
                </w:p>
              </w:tc>
              <w:tc>
                <w:tcPr>
                  <w:tcW w:w="1600" w:type="pct"/>
                  <w:vAlign w:val="center"/>
                </w:tcPr>
                <w:p w14:paraId="76F8451A">
                  <w:pPr>
                    <w:jc w:val="center"/>
                    <w:rPr>
                      <w:color w:val="auto"/>
                      <w:lang w:bidi="ar"/>
                    </w:rPr>
                  </w:pPr>
                  <w:r>
                    <w:rPr>
                      <w:color w:val="auto"/>
                      <w:lang w:bidi="ar"/>
                    </w:rPr>
                    <w:t>总余氯</w:t>
                  </w:r>
                  <w:r>
                    <w:rPr>
                      <w:color w:val="auto"/>
                      <w:vertAlign w:val="superscript"/>
                      <w:lang w:bidi="ar"/>
                    </w:rPr>
                    <w:t>b</w:t>
                  </w:r>
                  <w:r>
                    <w:rPr>
                      <w:color w:val="auto"/>
                      <w:lang w:bidi="ar"/>
                    </w:rPr>
                    <w:t>（mg/L）</w:t>
                  </w:r>
                </w:p>
              </w:tc>
              <w:tc>
                <w:tcPr>
                  <w:tcW w:w="437" w:type="pct"/>
                  <w:vAlign w:val="center"/>
                </w:tcPr>
                <w:p w14:paraId="2D7FE604">
                  <w:pPr>
                    <w:jc w:val="center"/>
                    <w:rPr>
                      <w:color w:val="auto"/>
                      <w:lang w:bidi="ar"/>
                    </w:rPr>
                  </w:pPr>
                  <w:r>
                    <w:rPr>
                      <w:color w:val="auto"/>
                      <w:lang w:bidi="ar"/>
                    </w:rPr>
                    <w:t>/</w:t>
                  </w:r>
                </w:p>
              </w:tc>
              <w:tc>
                <w:tcPr>
                  <w:tcW w:w="1949" w:type="pct"/>
                  <w:gridSpan w:val="2"/>
                  <w:vAlign w:val="center"/>
                </w:tcPr>
                <w:p w14:paraId="1EA7F84E">
                  <w:pPr>
                    <w:jc w:val="center"/>
                    <w:rPr>
                      <w:color w:val="auto"/>
                      <w:lang w:bidi="ar"/>
                    </w:rPr>
                  </w:pPr>
                  <w:r>
                    <w:rPr>
                      <w:color w:val="auto"/>
                      <w:lang w:bidi="ar"/>
                    </w:rPr>
                    <w:t>0.1~0.2</w:t>
                  </w:r>
                </w:p>
              </w:tc>
              <w:tc>
                <w:tcPr>
                  <w:tcW w:w="538" w:type="pct"/>
                  <w:vAlign w:val="center"/>
                </w:tcPr>
                <w:p w14:paraId="2CED7B70">
                  <w:pPr>
                    <w:jc w:val="center"/>
                    <w:rPr>
                      <w:color w:val="auto"/>
                      <w:lang w:bidi="ar"/>
                    </w:rPr>
                  </w:pPr>
                  <w:r>
                    <w:rPr>
                      <w:color w:val="auto"/>
                      <w:lang w:bidi="ar"/>
                    </w:rPr>
                    <w:t>0.2</w:t>
                  </w:r>
                </w:p>
              </w:tc>
            </w:tr>
            <w:tr w14:paraId="6FDE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398341BC">
                  <w:pPr>
                    <w:jc w:val="center"/>
                    <w:rPr>
                      <w:color w:val="auto"/>
                      <w:lang w:bidi="ar"/>
                    </w:rPr>
                  </w:pPr>
                  <w:r>
                    <w:rPr>
                      <w:color w:val="auto"/>
                      <w:lang w:bidi="ar"/>
                    </w:rPr>
                    <w:t>21</w:t>
                  </w:r>
                </w:p>
              </w:tc>
              <w:tc>
                <w:tcPr>
                  <w:tcW w:w="1600" w:type="pct"/>
                  <w:vAlign w:val="center"/>
                </w:tcPr>
                <w:p w14:paraId="7B7D95A5">
                  <w:pPr>
                    <w:autoSpaceDE w:val="0"/>
                    <w:autoSpaceDN w:val="0"/>
                    <w:adjustRightInd w:val="0"/>
                    <w:jc w:val="center"/>
                    <w:rPr>
                      <w:color w:val="auto"/>
                      <w:szCs w:val="21"/>
                    </w:rPr>
                  </w:pPr>
                  <w:r>
                    <w:rPr>
                      <w:color w:val="auto"/>
                      <w:szCs w:val="21"/>
                    </w:rPr>
                    <w:t>粪大肠菌群/（MPN/L）</w:t>
                  </w:r>
                </w:p>
              </w:tc>
              <w:tc>
                <w:tcPr>
                  <w:tcW w:w="437" w:type="pct"/>
                  <w:vAlign w:val="center"/>
                </w:tcPr>
                <w:p w14:paraId="1BE2DEAB">
                  <w:pPr>
                    <w:jc w:val="center"/>
                    <w:rPr>
                      <w:color w:val="auto"/>
                      <w:lang w:bidi="ar"/>
                    </w:rPr>
                  </w:pPr>
                  <w:r>
                    <w:rPr>
                      <w:color w:val="auto"/>
                      <w:lang w:bidi="ar"/>
                    </w:rPr>
                    <w:t>≤</w:t>
                  </w:r>
                </w:p>
              </w:tc>
              <w:tc>
                <w:tcPr>
                  <w:tcW w:w="1949" w:type="pct"/>
                  <w:gridSpan w:val="2"/>
                  <w:vAlign w:val="center"/>
                </w:tcPr>
                <w:p w14:paraId="6985062F">
                  <w:pPr>
                    <w:jc w:val="center"/>
                    <w:rPr>
                      <w:color w:val="auto"/>
                      <w:lang w:bidi="ar"/>
                    </w:rPr>
                  </w:pPr>
                  <w:r>
                    <w:rPr>
                      <w:color w:val="auto"/>
                      <w:lang w:bidi="ar"/>
                    </w:rPr>
                    <w:t>1000</w:t>
                  </w:r>
                </w:p>
              </w:tc>
              <w:tc>
                <w:tcPr>
                  <w:tcW w:w="538" w:type="pct"/>
                  <w:vAlign w:val="center"/>
                </w:tcPr>
                <w:p w14:paraId="2F4B1E87">
                  <w:pPr>
                    <w:jc w:val="center"/>
                    <w:rPr>
                      <w:color w:val="auto"/>
                      <w:lang w:bidi="ar"/>
                    </w:rPr>
                  </w:pPr>
                  <w:r>
                    <w:rPr>
                      <w:color w:val="auto"/>
                      <w:lang w:bidi="ar"/>
                    </w:rPr>
                    <w:t>1000</w:t>
                  </w:r>
                </w:p>
              </w:tc>
            </w:tr>
            <w:tr w14:paraId="3468D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4" w:type="pct"/>
                  <w:vAlign w:val="center"/>
                </w:tcPr>
                <w:p w14:paraId="57F545A7">
                  <w:pPr>
                    <w:jc w:val="center"/>
                    <w:rPr>
                      <w:color w:val="auto"/>
                      <w:lang w:bidi="ar"/>
                    </w:rPr>
                  </w:pPr>
                  <w:r>
                    <w:rPr>
                      <w:color w:val="auto"/>
                      <w:lang w:bidi="ar"/>
                    </w:rPr>
                    <w:t>22</w:t>
                  </w:r>
                </w:p>
              </w:tc>
              <w:tc>
                <w:tcPr>
                  <w:tcW w:w="1600" w:type="pct"/>
                  <w:vAlign w:val="center"/>
                </w:tcPr>
                <w:p w14:paraId="777DF999">
                  <w:pPr>
                    <w:jc w:val="center"/>
                    <w:rPr>
                      <w:color w:val="auto"/>
                      <w:lang w:bidi="ar"/>
                    </w:rPr>
                  </w:pPr>
                  <w:r>
                    <w:rPr>
                      <w:color w:val="auto"/>
                      <w:lang w:bidi="ar"/>
                    </w:rPr>
                    <w:t>电导率</w:t>
                  </w:r>
                  <w:r>
                    <w:rPr>
                      <w:color w:val="auto"/>
                      <w:vertAlign w:val="superscript"/>
                      <w:lang w:bidi="ar"/>
                    </w:rPr>
                    <w:t>c</w:t>
                  </w:r>
                </w:p>
              </w:tc>
              <w:tc>
                <w:tcPr>
                  <w:tcW w:w="437" w:type="pct"/>
                  <w:vAlign w:val="center"/>
                </w:tcPr>
                <w:p w14:paraId="36DD4BEF">
                  <w:pPr>
                    <w:jc w:val="center"/>
                    <w:rPr>
                      <w:color w:val="auto"/>
                      <w:lang w:bidi="ar"/>
                    </w:rPr>
                  </w:pPr>
                  <w:r>
                    <w:rPr>
                      <w:color w:val="auto"/>
                      <w:lang w:bidi="ar"/>
                    </w:rPr>
                    <w:t>≤</w:t>
                  </w:r>
                </w:p>
              </w:tc>
              <w:tc>
                <w:tcPr>
                  <w:tcW w:w="1356" w:type="pct"/>
                  <w:vAlign w:val="center"/>
                </w:tcPr>
                <w:p w14:paraId="62B6D249">
                  <w:pPr>
                    <w:jc w:val="center"/>
                    <w:rPr>
                      <w:color w:val="auto"/>
                      <w:lang w:bidi="ar"/>
                    </w:rPr>
                  </w:pPr>
                  <w:r>
                    <w:rPr>
                      <w:color w:val="auto"/>
                      <w:lang w:bidi="ar"/>
                    </w:rPr>
                    <w:t>—</w:t>
                  </w:r>
                </w:p>
              </w:tc>
              <w:tc>
                <w:tcPr>
                  <w:tcW w:w="592" w:type="pct"/>
                  <w:vAlign w:val="center"/>
                </w:tcPr>
                <w:p w14:paraId="1AAE18C8">
                  <w:pPr>
                    <w:jc w:val="center"/>
                    <w:rPr>
                      <w:color w:val="auto"/>
                      <w:lang w:bidi="ar"/>
                    </w:rPr>
                  </w:pPr>
                  <w:r>
                    <w:rPr>
                      <w:color w:val="auto"/>
                      <w:lang w:bidi="ar"/>
                    </w:rPr>
                    <w:t>—</w:t>
                  </w:r>
                </w:p>
              </w:tc>
              <w:tc>
                <w:tcPr>
                  <w:tcW w:w="538" w:type="pct"/>
                  <w:vAlign w:val="center"/>
                </w:tcPr>
                <w:p w14:paraId="23F97777">
                  <w:pPr>
                    <w:jc w:val="center"/>
                    <w:rPr>
                      <w:color w:val="auto"/>
                      <w:lang w:bidi="ar"/>
                    </w:rPr>
                  </w:pPr>
                  <w:r>
                    <w:rPr>
                      <w:color w:val="auto"/>
                      <w:lang w:bidi="ar"/>
                    </w:rPr>
                    <w:t>3</w:t>
                  </w:r>
                  <w:r>
                    <w:rPr>
                      <w:rFonts w:hint="eastAsia"/>
                      <w:color w:val="auto"/>
                      <w:lang w:bidi="ar"/>
                    </w:rPr>
                    <w:t>5</w:t>
                  </w:r>
                  <w:r>
                    <w:rPr>
                      <w:color w:val="auto"/>
                      <w:lang w:bidi="ar"/>
                    </w:rPr>
                    <w:t>0</w:t>
                  </w:r>
                </w:p>
              </w:tc>
            </w:tr>
            <w:tr w14:paraId="791D1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vAlign w:val="center"/>
                </w:tcPr>
                <w:p w14:paraId="35E5FD5C">
                  <w:pPr>
                    <w:jc w:val="left"/>
                    <w:rPr>
                      <w:color w:val="auto"/>
                      <w:lang w:bidi="ar"/>
                    </w:rPr>
                  </w:pPr>
                  <w:r>
                    <w:rPr>
                      <w:color w:val="auto"/>
                      <w:lang w:bidi="ar"/>
                    </w:rPr>
                    <w:t>注：</w:t>
                  </w:r>
                </w:p>
                <w:p w14:paraId="53359494">
                  <w:pPr>
                    <w:rPr>
                      <w:color w:val="auto"/>
                      <w:lang w:bidi="ar"/>
                    </w:rPr>
                  </w:pPr>
                  <w:r>
                    <w:rPr>
                      <w:color w:val="auto"/>
                      <w:lang w:bidi="ar"/>
                    </w:rPr>
                    <w:t>a：用于间冷开式循环冷却水系统补充水。且换热器为铜合金材质时，氨氮指标应小于1 mg/L。</w:t>
                  </w:r>
                </w:p>
                <w:p w14:paraId="4991C9A8">
                  <w:pPr>
                    <w:jc w:val="left"/>
                    <w:rPr>
                      <w:color w:val="auto"/>
                      <w:lang w:bidi="ar"/>
                    </w:rPr>
                  </w:pPr>
                  <w:r>
                    <w:rPr>
                      <w:color w:val="auto"/>
                      <w:lang w:bidi="ar"/>
                    </w:rPr>
                    <w:t>b：“与用户管道连接处再生水中总余氧值。</w:t>
                  </w:r>
                </w:p>
                <w:p w14:paraId="78F20E57">
                  <w:pPr>
                    <w:jc w:val="left"/>
                    <w:rPr>
                      <w:color w:val="auto"/>
                    </w:rPr>
                  </w:pPr>
                  <w:r>
                    <w:rPr>
                      <w:rFonts w:hint="eastAsia"/>
                      <w:color w:val="auto"/>
                      <w:lang w:bidi="ar"/>
                    </w:rPr>
                    <w:t>c</w:t>
                  </w:r>
                  <w:r>
                    <w:rPr>
                      <w:color w:val="auto"/>
                      <w:lang w:bidi="ar"/>
                    </w:rPr>
                    <w:t>：项目产品对清洗用水水质要求：电导率≤3</w:t>
                  </w:r>
                  <w:r>
                    <w:rPr>
                      <w:rFonts w:hint="eastAsia"/>
                      <w:color w:val="auto"/>
                      <w:lang w:bidi="ar"/>
                    </w:rPr>
                    <w:t>5</w:t>
                  </w:r>
                  <w:r>
                    <w:rPr>
                      <w:color w:val="auto"/>
                      <w:lang w:bidi="ar"/>
                    </w:rPr>
                    <w:t>0us/cm。</w:t>
                  </w:r>
                </w:p>
              </w:tc>
            </w:tr>
          </w:tbl>
          <w:p w14:paraId="6C18286E">
            <w:pPr>
              <w:wordWrap w:val="0"/>
              <w:spacing w:line="360" w:lineRule="auto"/>
              <w:ind w:firstLine="482" w:firstLineChars="200"/>
              <w:rPr>
                <w:b/>
                <w:color w:val="auto"/>
                <w:sz w:val="24"/>
                <w:lang w:bidi="ar"/>
              </w:rPr>
            </w:pPr>
            <w:r>
              <w:rPr>
                <w:b/>
                <w:color w:val="auto"/>
                <w:sz w:val="24"/>
                <w:lang w:bidi="ar"/>
              </w:rPr>
              <w:t>（2）生活污水</w:t>
            </w:r>
          </w:p>
          <w:p w14:paraId="75D3E597">
            <w:pPr>
              <w:wordWrap w:val="0"/>
              <w:spacing w:line="360" w:lineRule="auto"/>
              <w:ind w:firstLine="480" w:firstLineChars="200"/>
              <w:rPr>
                <w:color w:val="auto"/>
                <w:sz w:val="24"/>
                <w:lang w:bidi="ar"/>
              </w:rPr>
            </w:pPr>
            <w:r>
              <w:rPr>
                <w:color w:val="auto"/>
                <w:sz w:val="24"/>
                <w:lang w:bidi="ar"/>
              </w:rPr>
              <w:t>项目的生活污水经三级化粪池处理</w:t>
            </w:r>
            <w:r>
              <w:rPr>
                <w:rFonts w:hint="eastAsia"/>
                <w:color w:val="auto"/>
                <w:sz w:val="24"/>
                <w:lang w:bidi="ar"/>
              </w:rPr>
              <w:t>达到</w:t>
            </w:r>
            <w:r>
              <w:rPr>
                <w:color w:val="auto"/>
                <w:sz w:val="24"/>
                <w:lang w:bidi="ar"/>
              </w:rPr>
              <w:t>广东省地方标准《水污染物排放限值》（DB44/26-2001）第二时段</w:t>
            </w:r>
            <w:r>
              <w:rPr>
                <w:rFonts w:hint="eastAsia"/>
                <w:color w:val="auto"/>
                <w:sz w:val="24"/>
                <w:lang w:bidi="ar"/>
              </w:rPr>
              <w:t>三</w:t>
            </w:r>
            <w:r>
              <w:rPr>
                <w:color w:val="auto"/>
                <w:sz w:val="24"/>
                <w:lang w:bidi="ar"/>
              </w:rPr>
              <w:t>级标准后</w:t>
            </w:r>
            <w:r>
              <w:rPr>
                <w:rFonts w:hint="eastAsia"/>
                <w:color w:val="auto"/>
                <w:sz w:val="24"/>
                <w:lang w:bidi="ar"/>
              </w:rPr>
              <w:t>，</w:t>
            </w:r>
            <w:r>
              <w:rPr>
                <w:color w:val="auto"/>
                <w:sz w:val="24"/>
                <w:lang w:bidi="ar"/>
              </w:rPr>
              <w:t>通过市政污水管网排入</w:t>
            </w:r>
            <w:r>
              <w:rPr>
                <w:rFonts w:hint="eastAsia"/>
                <w:color w:val="auto"/>
                <w:sz w:val="24"/>
                <w:lang w:bidi="ar"/>
              </w:rPr>
              <w:t>石湾镇西基生活污水厂</w:t>
            </w:r>
            <w:r>
              <w:rPr>
                <w:color w:val="auto"/>
                <w:sz w:val="24"/>
                <w:lang w:bidi="ar"/>
              </w:rPr>
              <w:t>进行处理</w:t>
            </w:r>
            <w:r>
              <w:rPr>
                <w:rFonts w:hint="eastAsia"/>
                <w:color w:val="auto"/>
                <w:sz w:val="24"/>
                <w:lang w:bidi="ar"/>
              </w:rPr>
              <w:t>，处理</w:t>
            </w:r>
            <w:r>
              <w:rPr>
                <w:color w:val="auto"/>
                <w:sz w:val="24"/>
                <w:lang w:bidi="ar"/>
              </w:rPr>
              <w:t>达标后排入</w:t>
            </w:r>
            <w:r>
              <w:rPr>
                <w:rFonts w:hint="eastAsia"/>
                <w:color w:val="auto"/>
                <w:kern w:val="0"/>
                <w:sz w:val="24"/>
              </w:rPr>
              <w:t>联和排渠（里波水）</w:t>
            </w:r>
            <w:r>
              <w:rPr>
                <w:color w:val="auto"/>
                <w:sz w:val="24"/>
                <w:lang w:bidi="ar"/>
              </w:rPr>
              <w:t>，</w:t>
            </w:r>
            <w:r>
              <w:rPr>
                <w:rFonts w:hint="eastAsia"/>
                <w:color w:val="auto"/>
                <w:sz w:val="24"/>
                <w:lang w:bidi="ar"/>
              </w:rPr>
              <w:t>石湾镇西基生活污水厂</w:t>
            </w:r>
            <w:r>
              <w:rPr>
                <w:color w:val="auto"/>
                <w:sz w:val="24"/>
                <w:lang w:bidi="ar"/>
              </w:rPr>
              <w:t>的尾水执行《城镇污水处理厂污染物排放标准》（GB18918-2002）的一级A标准</w:t>
            </w:r>
            <w:r>
              <w:rPr>
                <w:rFonts w:hint="eastAsia"/>
                <w:color w:val="auto"/>
                <w:sz w:val="24"/>
                <w:lang w:bidi="ar"/>
              </w:rPr>
              <w:t>和</w:t>
            </w:r>
            <w:r>
              <w:rPr>
                <w:color w:val="auto"/>
                <w:sz w:val="24"/>
                <w:lang w:bidi="ar"/>
              </w:rPr>
              <w:t>广东省地方标准《水污染物排放限值》（DB44/26-2001）第二时段一级标准</w:t>
            </w:r>
            <w:r>
              <w:rPr>
                <w:rFonts w:hint="eastAsia"/>
                <w:color w:val="auto"/>
                <w:sz w:val="24"/>
                <w:lang w:bidi="ar"/>
              </w:rPr>
              <w:t>两者中</w:t>
            </w:r>
            <w:r>
              <w:rPr>
                <w:color w:val="auto"/>
                <w:sz w:val="24"/>
                <w:lang w:bidi="ar"/>
              </w:rPr>
              <w:t>较严值</w:t>
            </w:r>
            <w:r>
              <w:rPr>
                <w:rFonts w:hint="eastAsia"/>
                <w:color w:val="auto"/>
                <w:sz w:val="24"/>
                <w:lang w:bidi="ar"/>
              </w:rPr>
              <w:t>，其中氨氮、总磷排放执行国家《地表水环境质量》（GB3838-2002）</w:t>
            </w:r>
            <w:r>
              <w:rPr>
                <w:color w:val="auto"/>
                <w:sz w:val="24"/>
                <w:lang w:bidi="ar"/>
              </w:rPr>
              <w:t>Ⅴ</w:t>
            </w:r>
            <w:r>
              <w:rPr>
                <w:rFonts w:hint="eastAsia"/>
                <w:color w:val="auto"/>
                <w:sz w:val="24"/>
                <w:lang w:bidi="ar"/>
              </w:rPr>
              <w:t>类标准</w:t>
            </w:r>
            <w:r>
              <w:rPr>
                <w:color w:val="auto"/>
                <w:sz w:val="24"/>
                <w:lang w:bidi="ar"/>
              </w:rPr>
              <w:t>。</w:t>
            </w:r>
          </w:p>
          <w:p w14:paraId="5D1BC5C5">
            <w:pPr>
              <w:widowControl/>
              <w:numPr>
                <w:ilvl w:val="0"/>
                <w:numId w:val="17"/>
              </w:numPr>
              <w:autoSpaceDE w:val="0"/>
              <w:autoSpaceDN w:val="0"/>
              <w:adjustRightInd w:val="0"/>
              <w:snapToGrid w:val="0"/>
              <w:jc w:val="center"/>
              <w:rPr>
                <w:b/>
                <w:bCs/>
                <w:color w:val="auto"/>
                <w:szCs w:val="22"/>
              </w:rPr>
            </w:pPr>
            <w:r>
              <w:rPr>
                <w:b/>
                <w:bCs/>
                <w:color w:val="auto"/>
                <w:szCs w:val="22"/>
              </w:rPr>
              <w:t xml:space="preserve">  </w:t>
            </w:r>
            <w:r>
              <w:rPr>
                <w:rFonts w:hint="eastAsia"/>
                <w:b/>
                <w:bCs/>
                <w:color w:val="auto"/>
                <w:szCs w:val="22"/>
              </w:rPr>
              <w:t>石湾镇西基生活污水厂</w:t>
            </w:r>
            <w:r>
              <w:rPr>
                <w:b/>
                <w:bCs/>
                <w:color w:val="auto"/>
                <w:szCs w:val="22"/>
              </w:rPr>
              <w:t>尾水排放标准（单位：mg/L）</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7"/>
              <w:gridCol w:w="1077"/>
              <w:gridCol w:w="923"/>
              <w:gridCol w:w="960"/>
              <w:gridCol w:w="729"/>
              <w:gridCol w:w="1095"/>
              <w:gridCol w:w="646"/>
            </w:tblGrid>
            <w:tr w14:paraId="7D89F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073" w:type="pct"/>
                  <w:vAlign w:val="center"/>
                </w:tcPr>
                <w:p w14:paraId="0D7EF069">
                  <w:pPr>
                    <w:pStyle w:val="24"/>
                    <w:ind w:firstLine="0"/>
                    <w:jc w:val="center"/>
                    <w:rPr>
                      <w:b/>
                      <w:color w:val="auto"/>
                      <w:sz w:val="21"/>
                      <w:szCs w:val="21"/>
                    </w:rPr>
                  </w:pPr>
                  <w:r>
                    <w:rPr>
                      <w:b/>
                      <w:color w:val="auto"/>
                      <w:sz w:val="21"/>
                      <w:szCs w:val="21"/>
                    </w:rPr>
                    <w:t>项目</w:t>
                  </w:r>
                </w:p>
              </w:tc>
              <w:tc>
                <w:tcPr>
                  <w:tcW w:w="580" w:type="pct"/>
                  <w:vAlign w:val="center"/>
                </w:tcPr>
                <w:p w14:paraId="59D99774">
                  <w:pPr>
                    <w:pStyle w:val="24"/>
                    <w:ind w:firstLine="0"/>
                    <w:jc w:val="center"/>
                    <w:rPr>
                      <w:b/>
                      <w:color w:val="auto"/>
                      <w:sz w:val="21"/>
                      <w:szCs w:val="21"/>
                    </w:rPr>
                  </w:pPr>
                  <w:r>
                    <w:rPr>
                      <w:b/>
                      <w:color w:val="auto"/>
                      <w:sz w:val="21"/>
                      <w:szCs w:val="21"/>
                    </w:rPr>
                    <w:t>COD</w:t>
                  </w:r>
                  <w:r>
                    <w:rPr>
                      <w:rFonts w:hint="eastAsia"/>
                      <w:b/>
                      <w:color w:val="auto"/>
                      <w:sz w:val="21"/>
                      <w:szCs w:val="21"/>
                      <w:vertAlign w:val="subscript"/>
                    </w:rPr>
                    <w:t>C</w:t>
                  </w:r>
                  <w:r>
                    <w:rPr>
                      <w:b/>
                      <w:color w:val="auto"/>
                      <w:sz w:val="21"/>
                      <w:szCs w:val="21"/>
                      <w:vertAlign w:val="subscript"/>
                    </w:rPr>
                    <w:t>r</w:t>
                  </w:r>
                </w:p>
              </w:tc>
              <w:tc>
                <w:tcPr>
                  <w:tcW w:w="497" w:type="pct"/>
                  <w:vAlign w:val="center"/>
                </w:tcPr>
                <w:p w14:paraId="0B941689">
                  <w:pPr>
                    <w:pStyle w:val="24"/>
                    <w:ind w:firstLine="0"/>
                    <w:jc w:val="center"/>
                    <w:rPr>
                      <w:b/>
                      <w:color w:val="auto"/>
                      <w:sz w:val="21"/>
                      <w:szCs w:val="21"/>
                    </w:rPr>
                  </w:pPr>
                  <w:r>
                    <w:rPr>
                      <w:b/>
                      <w:color w:val="auto"/>
                      <w:sz w:val="21"/>
                      <w:szCs w:val="21"/>
                    </w:rPr>
                    <w:t>BOD</w:t>
                  </w:r>
                  <w:r>
                    <w:rPr>
                      <w:b/>
                      <w:color w:val="auto"/>
                      <w:sz w:val="21"/>
                      <w:szCs w:val="21"/>
                      <w:vertAlign w:val="subscript"/>
                    </w:rPr>
                    <w:t>5</w:t>
                  </w:r>
                </w:p>
              </w:tc>
              <w:tc>
                <w:tcPr>
                  <w:tcW w:w="517" w:type="pct"/>
                  <w:vAlign w:val="center"/>
                </w:tcPr>
                <w:p w14:paraId="4B312DA2">
                  <w:pPr>
                    <w:pStyle w:val="24"/>
                    <w:ind w:firstLine="0"/>
                    <w:jc w:val="center"/>
                    <w:rPr>
                      <w:b/>
                      <w:color w:val="auto"/>
                      <w:sz w:val="21"/>
                      <w:szCs w:val="21"/>
                    </w:rPr>
                  </w:pPr>
                  <w:r>
                    <w:rPr>
                      <w:b/>
                      <w:color w:val="auto"/>
                      <w:sz w:val="21"/>
                      <w:szCs w:val="21"/>
                    </w:rPr>
                    <w:t>NH</w:t>
                  </w:r>
                  <w:r>
                    <w:rPr>
                      <w:b/>
                      <w:color w:val="auto"/>
                      <w:sz w:val="21"/>
                      <w:szCs w:val="21"/>
                      <w:vertAlign w:val="subscript"/>
                    </w:rPr>
                    <w:t>3</w:t>
                  </w:r>
                  <w:r>
                    <w:rPr>
                      <w:b/>
                      <w:color w:val="auto"/>
                      <w:sz w:val="21"/>
                      <w:szCs w:val="21"/>
                    </w:rPr>
                    <w:t>-N</w:t>
                  </w:r>
                </w:p>
              </w:tc>
              <w:tc>
                <w:tcPr>
                  <w:tcW w:w="393" w:type="pct"/>
                  <w:vAlign w:val="center"/>
                </w:tcPr>
                <w:p w14:paraId="38B06B9B">
                  <w:pPr>
                    <w:pStyle w:val="24"/>
                    <w:ind w:firstLine="0"/>
                    <w:jc w:val="center"/>
                    <w:rPr>
                      <w:b/>
                      <w:color w:val="auto"/>
                      <w:sz w:val="21"/>
                      <w:szCs w:val="21"/>
                    </w:rPr>
                  </w:pPr>
                  <w:r>
                    <w:rPr>
                      <w:b/>
                      <w:color w:val="auto"/>
                      <w:sz w:val="21"/>
                      <w:szCs w:val="21"/>
                    </w:rPr>
                    <w:t>SS</w:t>
                  </w:r>
                </w:p>
              </w:tc>
              <w:tc>
                <w:tcPr>
                  <w:tcW w:w="590" w:type="pct"/>
                  <w:vAlign w:val="center"/>
                </w:tcPr>
                <w:p w14:paraId="631CE549">
                  <w:pPr>
                    <w:pStyle w:val="24"/>
                    <w:ind w:firstLine="0"/>
                    <w:jc w:val="center"/>
                    <w:rPr>
                      <w:b/>
                      <w:color w:val="auto"/>
                      <w:sz w:val="21"/>
                      <w:szCs w:val="21"/>
                    </w:rPr>
                  </w:pPr>
                  <w:r>
                    <w:rPr>
                      <w:b/>
                      <w:color w:val="auto"/>
                      <w:sz w:val="21"/>
                      <w:szCs w:val="21"/>
                    </w:rPr>
                    <w:t>TP</w:t>
                  </w:r>
                </w:p>
              </w:tc>
              <w:tc>
                <w:tcPr>
                  <w:tcW w:w="348" w:type="pct"/>
                  <w:vAlign w:val="center"/>
                </w:tcPr>
                <w:p w14:paraId="66950266">
                  <w:pPr>
                    <w:pStyle w:val="24"/>
                    <w:ind w:firstLine="0"/>
                    <w:jc w:val="center"/>
                    <w:rPr>
                      <w:b/>
                      <w:color w:val="auto"/>
                      <w:sz w:val="21"/>
                      <w:szCs w:val="21"/>
                    </w:rPr>
                  </w:pPr>
                  <w:r>
                    <w:rPr>
                      <w:b/>
                      <w:color w:val="auto"/>
                      <w:sz w:val="21"/>
                      <w:szCs w:val="21"/>
                    </w:rPr>
                    <w:t>TN</w:t>
                  </w:r>
                </w:p>
              </w:tc>
            </w:tr>
            <w:tr w14:paraId="2CADE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073" w:type="pct"/>
                  <w:vAlign w:val="center"/>
                </w:tcPr>
                <w:p w14:paraId="31DFB5D5">
                  <w:pPr>
                    <w:pStyle w:val="24"/>
                    <w:ind w:firstLine="0"/>
                    <w:jc w:val="center"/>
                    <w:rPr>
                      <w:color w:val="auto"/>
                      <w:sz w:val="21"/>
                      <w:szCs w:val="21"/>
                    </w:rPr>
                  </w:pPr>
                  <w:r>
                    <w:rPr>
                      <w:color w:val="auto"/>
                      <w:sz w:val="21"/>
                      <w:szCs w:val="21"/>
                    </w:rPr>
                    <w:t>广东省地方标准《水污染物排放限值》（DB44/26-2001）第二时段三级标准</w:t>
                  </w:r>
                </w:p>
              </w:tc>
              <w:tc>
                <w:tcPr>
                  <w:tcW w:w="580" w:type="pct"/>
                  <w:vAlign w:val="center"/>
                </w:tcPr>
                <w:p w14:paraId="6E4F7788">
                  <w:pPr>
                    <w:pStyle w:val="24"/>
                    <w:ind w:firstLine="0"/>
                    <w:jc w:val="center"/>
                    <w:rPr>
                      <w:color w:val="auto"/>
                      <w:sz w:val="21"/>
                      <w:szCs w:val="21"/>
                    </w:rPr>
                  </w:pPr>
                  <w:r>
                    <w:rPr>
                      <w:rFonts w:hint="eastAsia"/>
                      <w:color w:val="auto"/>
                      <w:sz w:val="21"/>
                      <w:szCs w:val="21"/>
                    </w:rPr>
                    <w:t>500</w:t>
                  </w:r>
                </w:p>
              </w:tc>
              <w:tc>
                <w:tcPr>
                  <w:tcW w:w="497" w:type="pct"/>
                  <w:vAlign w:val="center"/>
                </w:tcPr>
                <w:p w14:paraId="79A97D5C">
                  <w:pPr>
                    <w:pStyle w:val="24"/>
                    <w:ind w:firstLine="0"/>
                    <w:jc w:val="center"/>
                    <w:rPr>
                      <w:color w:val="auto"/>
                      <w:sz w:val="21"/>
                      <w:szCs w:val="21"/>
                    </w:rPr>
                  </w:pPr>
                  <w:r>
                    <w:rPr>
                      <w:rFonts w:hint="eastAsia"/>
                      <w:color w:val="auto"/>
                      <w:sz w:val="21"/>
                      <w:szCs w:val="21"/>
                    </w:rPr>
                    <w:t>300</w:t>
                  </w:r>
                </w:p>
              </w:tc>
              <w:tc>
                <w:tcPr>
                  <w:tcW w:w="517" w:type="pct"/>
                  <w:vAlign w:val="center"/>
                </w:tcPr>
                <w:p w14:paraId="763B346B">
                  <w:pPr>
                    <w:pStyle w:val="24"/>
                    <w:ind w:firstLine="0"/>
                    <w:jc w:val="center"/>
                    <w:rPr>
                      <w:color w:val="auto"/>
                      <w:sz w:val="21"/>
                      <w:szCs w:val="21"/>
                    </w:rPr>
                  </w:pPr>
                  <w:r>
                    <w:rPr>
                      <w:rFonts w:hint="eastAsia"/>
                      <w:color w:val="auto"/>
                      <w:sz w:val="21"/>
                      <w:szCs w:val="21"/>
                    </w:rPr>
                    <w:t>--</w:t>
                  </w:r>
                </w:p>
              </w:tc>
              <w:tc>
                <w:tcPr>
                  <w:tcW w:w="393" w:type="pct"/>
                  <w:vAlign w:val="center"/>
                </w:tcPr>
                <w:p w14:paraId="5856F2C4">
                  <w:pPr>
                    <w:pStyle w:val="24"/>
                    <w:ind w:firstLine="0"/>
                    <w:jc w:val="center"/>
                    <w:rPr>
                      <w:color w:val="auto"/>
                      <w:sz w:val="21"/>
                      <w:szCs w:val="21"/>
                    </w:rPr>
                  </w:pPr>
                  <w:r>
                    <w:rPr>
                      <w:rFonts w:hint="eastAsia"/>
                      <w:color w:val="auto"/>
                      <w:sz w:val="21"/>
                      <w:szCs w:val="21"/>
                    </w:rPr>
                    <w:t>400</w:t>
                  </w:r>
                </w:p>
              </w:tc>
              <w:tc>
                <w:tcPr>
                  <w:tcW w:w="590" w:type="pct"/>
                  <w:vAlign w:val="center"/>
                </w:tcPr>
                <w:p w14:paraId="1AAC39D3">
                  <w:pPr>
                    <w:pStyle w:val="24"/>
                    <w:ind w:firstLine="0"/>
                    <w:jc w:val="center"/>
                    <w:rPr>
                      <w:color w:val="auto"/>
                      <w:sz w:val="21"/>
                      <w:szCs w:val="21"/>
                    </w:rPr>
                  </w:pPr>
                  <w:r>
                    <w:rPr>
                      <w:rFonts w:hint="eastAsia"/>
                      <w:color w:val="auto"/>
                      <w:sz w:val="21"/>
                      <w:szCs w:val="21"/>
                    </w:rPr>
                    <w:t>--</w:t>
                  </w:r>
                </w:p>
              </w:tc>
              <w:tc>
                <w:tcPr>
                  <w:tcW w:w="348" w:type="pct"/>
                  <w:vAlign w:val="center"/>
                </w:tcPr>
                <w:p w14:paraId="5C33075A">
                  <w:pPr>
                    <w:pStyle w:val="24"/>
                    <w:ind w:firstLine="0"/>
                    <w:jc w:val="center"/>
                    <w:rPr>
                      <w:color w:val="auto"/>
                      <w:sz w:val="21"/>
                      <w:szCs w:val="21"/>
                    </w:rPr>
                  </w:pPr>
                  <w:r>
                    <w:rPr>
                      <w:rFonts w:hint="eastAsia"/>
                      <w:color w:val="auto"/>
                      <w:sz w:val="21"/>
                      <w:szCs w:val="21"/>
                    </w:rPr>
                    <w:t>--</w:t>
                  </w:r>
                </w:p>
              </w:tc>
            </w:tr>
            <w:tr w14:paraId="78447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2073" w:type="pct"/>
                  <w:vAlign w:val="center"/>
                </w:tcPr>
                <w:p w14:paraId="279AC075">
                  <w:pPr>
                    <w:pStyle w:val="24"/>
                    <w:ind w:firstLine="0"/>
                    <w:jc w:val="center"/>
                    <w:rPr>
                      <w:color w:val="auto"/>
                      <w:sz w:val="21"/>
                      <w:szCs w:val="21"/>
                    </w:rPr>
                  </w:pPr>
                  <w:r>
                    <w:rPr>
                      <w:color w:val="auto"/>
                      <w:sz w:val="21"/>
                      <w:szCs w:val="21"/>
                    </w:rPr>
                    <w:t>《城镇污水处理厂污染物排放标准》（GB18918-2002）的一级A标准</w:t>
                  </w:r>
                </w:p>
              </w:tc>
              <w:tc>
                <w:tcPr>
                  <w:tcW w:w="580" w:type="pct"/>
                  <w:vAlign w:val="center"/>
                </w:tcPr>
                <w:p w14:paraId="76D617DA">
                  <w:pPr>
                    <w:pStyle w:val="24"/>
                    <w:ind w:firstLine="0"/>
                    <w:jc w:val="center"/>
                    <w:rPr>
                      <w:color w:val="auto"/>
                      <w:sz w:val="21"/>
                      <w:szCs w:val="21"/>
                    </w:rPr>
                  </w:pPr>
                  <w:r>
                    <w:rPr>
                      <w:color w:val="auto"/>
                      <w:sz w:val="21"/>
                      <w:szCs w:val="21"/>
                    </w:rPr>
                    <w:t>50</w:t>
                  </w:r>
                </w:p>
              </w:tc>
              <w:tc>
                <w:tcPr>
                  <w:tcW w:w="497" w:type="pct"/>
                  <w:vAlign w:val="center"/>
                </w:tcPr>
                <w:p w14:paraId="0E5DEDC0">
                  <w:pPr>
                    <w:pStyle w:val="24"/>
                    <w:ind w:firstLine="0"/>
                    <w:jc w:val="center"/>
                    <w:rPr>
                      <w:color w:val="auto"/>
                      <w:sz w:val="21"/>
                      <w:szCs w:val="21"/>
                    </w:rPr>
                  </w:pPr>
                  <w:r>
                    <w:rPr>
                      <w:color w:val="auto"/>
                      <w:sz w:val="21"/>
                      <w:szCs w:val="21"/>
                    </w:rPr>
                    <w:t>10</w:t>
                  </w:r>
                </w:p>
              </w:tc>
              <w:tc>
                <w:tcPr>
                  <w:tcW w:w="517" w:type="pct"/>
                  <w:vAlign w:val="center"/>
                </w:tcPr>
                <w:p w14:paraId="4476936D">
                  <w:pPr>
                    <w:pStyle w:val="24"/>
                    <w:ind w:firstLine="0"/>
                    <w:jc w:val="center"/>
                    <w:rPr>
                      <w:color w:val="auto"/>
                      <w:sz w:val="21"/>
                      <w:szCs w:val="21"/>
                    </w:rPr>
                  </w:pPr>
                  <w:r>
                    <w:rPr>
                      <w:color w:val="auto"/>
                      <w:sz w:val="21"/>
                      <w:szCs w:val="21"/>
                    </w:rPr>
                    <w:t>5</w:t>
                  </w:r>
                </w:p>
              </w:tc>
              <w:tc>
                <w:tcPr>
                  <w:tcW w:w="393" w:type="pct"/>
                  <w:vAlign w:val="center"/>
                </w:tcPr>
                <w:p w14:paraId="14028AAD">
                  <w:pPr>
                    <w:pStyle w:val="24"/>
                    <w:ind w:firstLine="0"/>
                    <w:jc w:val="center"/>
                    <w:rPr>
                      <w:color w:val="auto"/>
                      <w:sz w:val="21"/>
                      <w:szCs w:val="21"/>
                    </w:rPr>
                  </w:pPr>
                  <w:r>
                    <w:rPr>
                      <w:color w:val="auto"/>
                      <w:sz w:val="21"/>
                      <w:szCs w:val="21"/>
                    </w:rPr>
                    <w:t>10</w:t>
                  </w:r>
                </w:p>
              </w:tc>
              <w:tc>
                <w:tcPr>
                  <w:tcW w:w="590" w:type="pct"/>
                  <w:vAlign w:val="center"/>
                </w:tcPr>
                <w:p w14:paraId="408ECCAA">
                  <w:pPr>
                    <w:pStyle w:val="24"/>
                    <w:ind w:firstLine="0"/>
                    <w:jc w:val="center"/>
                    <w:rPr>
                      <w:color w:val="auto"/>
                      <w:sz w:val="21"/>
                      <w:szCs w:val="21"/>
                    </w:rPr>
                  </w:pPr>
                  <w:r>
                    <w:rPr>
                      <w:color w:val="auto"/>
                      <w:sz w:val="21"/>
                      <w:szCs w:val="21"/>
                    </w:rPr>
                    <w:t>0.5</w:t>
                  </w:r>
                </w:p>
              </w:tc>
              <w:tc>
                <w:tcPr>
                  <w:tcW w:w="348" w:type="pct"/>
                  <w:vAlign w:val="center"/>
                </w:tcPr>
                <w:p w14:paraId="414E69FA">
                  <w:pPr>
                    <w:pStyle w:val="24"/>
                    <w:ind w:firstLine="0"/>
                    <w:jc w:val="center"/>
                    <w:rPr>
                      <w:color w:val="auto"/>
                      <w:sz w:val="21"/>
                      <w:szCs w:val="21"/>
                    </w:rPr>
                  </w:pPr>
                  <w:r>
                    <w:rPr>
                      <w:color w:val="auto"/>
                      <w:sz w:val="21"/>
                      <w:szCs w:val="21"/>
                    </w:rPr>
                    <w:t>15</w:t>
                  </w:r>
                </w:p>
              </w:tc>
            </w:tr>
            <w:tr w14:paraId="702B8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2073" w:type="pct"/>
                  <w:vAlign w:val="center"/>
                </w:tcPr>
                <w:p w14:paraId="76541B33">
                  <w:pPr>
                    <w:pStyle w:val="24"/>
                    <w:ind w:firstLine="0"/>
                    <w:jc w:val="center"/>
                    <w:rPr>
                      <w:color w:val="auto"/>
                      <w:sz w:val="21"/>
                      <w:szCs w:val="21"/>
                    </w:rPr>
                  </w:pPr>
                  <w:r>
                    <w:rPr>
                      <w:color w:val="auto"/>
                      <w:sz w:val="21"/>
                      <w:szCs w:val="21"/>
                    </w:rPr>
                    <w:t>广东省地方标准《水污染物排放限值》（DB44/26-2001）第二时段一级标准</w:t>
                  </w:r>
                </w:p>
              </w:tc>
              <w:tc>
                <w:tcPr>
                  <w:tcW w:w="580" w:type="pct"/>
                  <w:vAlign w:val="center"/>
                </w:tcPr>
                <w:p w14:paraId="13A47289">
                  <w:pPr>
                    <w:pStyle w:val="24"/>
                    <w:ind w:firstLine="0"/>
                    <w:jc w:val="center"/>
                    <w:rPr>
                      <w:color w:val="auto"/>
                      <w:sz w:val="21"/>
                      <w:szCs w:val="21"/>
                    </w:rPr>
                  </w:pPr>
                  <w:r>
                    <w:rPr>
                      <w:color w:val="auto"/>
                      <w:sz w:val="21"/>
                      <w:szCs w:val="21"/>
                    </w:rPr>
                    <w:t>40</w:t>
                  </w:r>
                </w:p>
              </w:tc>
              <w:tc>
                <w:tcPr>
                  <w:tcW w:w="497" w:type="pct"/>
                  <w:vAlign w:val="center"/>
                </w:tcPr>
                <w:p w14:paraId="26CAA0C0">
                  <w:pPr>
                    <w:pStyle w:val="24"/>
                    <w:ind w:firstLine="0"/>
                    <w:jc w:val="center"/>
                    <w:rPr>
                      <w:color w:val="auto"/>
                      <w:sz w:val="21"/>
                      <w:szCs w:val="21"/>
                    </w:rPr>
                  </w:pPr>
                  <w:r>
                    <w:rPr>
                      <w:rFonts w:hint="eastAsia"/>
                      <w:color w:val="auto"/>
                      <w:sz w:val="21"/>
                      <w:szCs w:val="21"/>
                    </w:rPr>
                    <w:t>20</w:t>
                  </w:r>
                </w:p>
              </w:tc>
              <w:tc>
                <w:tcPr>
                  <w:tcW w:w="517" w:type="pct"/>
                  <w:vAlign w:val="center"/>
                </w:tcPr>
                <w:p w14:paraId="4685BB51">
                  <w:pPr>
                    <w:pStyle w:val="24"/>
                    <w:ind w:firstLine="0"/>
                    <w:jc w:val="center"/>
                    <w:rPr>
                      <w:color w:val="auto"/>
                      <w:sz w:val="21"/>
                      <w:szCs w:val="21"/>
                    </w:rPr>
                  </w:pPr>
                  <w:r>
                    <w:rPr>
                      <w:rFonts w:hint="eastAsia"/>
                      <w:color w:val="auto"/>
                      <w:sz w:val="21"/>
                      <w:szCs w:val="21"/>
                    </w:rPr>
                    <w:t>10</w:t>
                  </w:r>
                </w:p>
              </w:tc>
              <w:tc>
                <w:tcPr>
                  <w:tcW w:w="393" w:type="pct"/>
                  <w:vAlign w:val="center"/>
                </w:tcPr>
                <w:p w14:paraId="136FFCE7">
                  <w:pPr>
                    <w:pStyle w:val="24"/>
                    <w:ind w:firstLine="0"/>
                    <w:jc w:val="center"/>
                    <w:rPr>
                      <w:color w:val="auto"/>
                      <w:sz w:val="21"/>
                      <w:szCs w:val="21"/>
                    </w:rPr>
                  </w:pPr>
                  <w:r>
                    <w:rPr>
                      <w:rFonts w:hint="eastAsia"/>
                      <w:color w:val="auto"/>
                      <w:sz w:val="21"/>
                      <w:szCs w:val="21"/>
                    </w:rPr>
                    <w:t>20</w:t>
                  </w:r>
                </w:p>
              </w:tc>
              <w:tc>
                <w:tcPr>
                  <w:tcW w:w="590" w:type="pct"/>
                  <w:vAlign w:val="center"/>
                </w:tcPr>
                <w:p w14:paraId="4A45E1AA">
                  <w:pPr>
                    <w:pStyle w:val="24"/>
                    <w:ind w:firstLine="0"/>
                    <w:jc w:val="center"/>
                    <w:rPr>
                      <w:color w:val="auto"/>
                      <w:sz w:val="21"/>
                      <w:szCs w:val="21"/>
                    </w:rPr>
                  </w:pPr>
                  <w:r>
                    <w:rPr>
                      <w:rFonts w:hint="eastAsia"/>
                      <w:color w:val="auto"/>
                      <w:sz w:val="21"/>
                      <w:szCs w:val="21"/>
                    </w:rPr>
                    <w:t>0.5（参考磷酸盐）</w:t>
                  </w:r>
                </w:p>
              </w:tc>
              <w:tc>
                <w:tcPr>
                  <w:tcW w:w="348" w:type="pct"/>
                  <w:vAlign w:val="center"/>
                </w:tcPr>
                <w:p w14:paraId="75EF15FD">
                  <w:pPr>
                    <w:pStyle w:val="24"/>
                    <w:ind w:firstLine="0"/>
                    <w:jc w:val="center"/>
                    <w:rPr>
                      <w:color w:val="auto"/>
                      <w:sz w:val="21"/>
                      <w:szCs w:val="21"/>
                    </w:rPr>
                  </w:pPr>
                  <w:r>
                    <w:rPr>
                      <w:rFonts w:hint="eastAsia"/>
                      <w:color w:val="auto"/>
                      <w:sz w:val="21"/>
                      <w:szCs w:val="21"/>
                    </w:rPr>
                    <w:t>--</w:t>
                  </w:r>
                </w:p>
              </w:tc>
            </w:tr>
            <w:tr w14:paraId="170CE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2073" w:type="pct"/>
                  <w:vAlign w:val="center"/>
                </w:tcPr>
                <w:p w14:paraId="50BE5248">
                  <w:pPr>
                    <w:pStyle w:val="24"/>
                    <w:ind w:firstLine="0"/>
                    <w:jc w:val="center"/>
                    <w:rPr>
                      <w:color w:val="auto"/>
                      <w:sz w:val="21"/>
                      <w:szCs w:val="21"/>
                    </w:rPr>
                  </w:pPr>
                  <w:r>
                    <w:rPr>
                      <w:rFonts w:hint="eastAsia"/>
                      <w:color w:val="auto"/>
                      <w:sz w:val="21"/>
                      <w:szCs w:val="21"/>
                    </w:rPr>
                    <w:t>国家《地表水环境质量》（GB3838-2002）</w:t>
                  </w:r>
                  <w:r>
                    <w:rPr>
                      <w:color w:val="auto"/>
                      <w:sz w:val="21"/>
                      <w:szCs w:val="21"/>
                    </w:rPr>
                    <w:t>Ⅴ</w:t>
                  </w:r>
                  <w:r>
                    <w:rPr>
                      <w:rFonts w:hint="eastAsia"/>
                      <w:color w:val="auto"/>
                      <w:sz w:val="21"/>
                      <w:szCs w:val="21"/>
                    </w:rPr>
                    <w:t>类标准</w:t>
                  </w:r>
                </w:p>
              </w:tc>
              <w:tc>
                <w:tcPr>
                  <w:tcW w:w="580" w:type="pct"/>
                  <w:vAlign w:val="center"/>
                </w:tcPr>
                <w:p w14:paraId="30676501">
                  <w:pPr>
                    <w:pStyle w:val="24"/>
                    <w:ind w:firstLine="0"/>
                    <w:jc w:val="center"/>
                    <w:rPr>
                      <w:color w:val="auto"/>
                      <w:sz w:val="21"/>
                      <w:szCs w:val="21"/>
                    </w:rPr>
                  </w:pPr>
                  <w:r>
                    <w:rPr>
                      <w:rFonts w:hint="eastAsia"/>
                      <w:color w:val="auto"/>
                      <w:sz w:val="21"/>
                      <w:szCs w:val="21"/>
                    </w:rPr>
                    <w:t>--</w:t>
                  </w:r>
                </w:p>
              </w:tc>
              <w:tc>
                <w:tcPr>
                  <w:tcW w:w="497" w:type="pct"/>
                  <w:vAlign w:val="center"/>
                </w:tcPr>
                <w:p w14:paraId="099AB0D5">
                  <w:pPr>
                    <w:pStyle w:val="24"/>
                    <w:ind w:firstLine="0"/>
                    <w:jc w:val="center"/>
                    <w:rPr>
                      <w:color w:val="auto"/>
                      <w:sz w:val="21"/>
                      <w:szCs w:val="21"/>
                    </w:rPr>
                  </w:pPr>
                  <w:r>
                    <w:rPr>
                      <w:rFonts w:hint="eastAsia"/>
                      <w:color w:val="auto"/>
                      <w:sz w:val="21"/>
                      <w:szCs w:val="21"/>
                    </w:rPr>
                    <w:t>--</w:t>
                  </w:r>
                </w:p>
              </w:tc>
              <w:tc>
                <w:tcPr>
                  <w:tcW w:w="517" w:type="pct"/>
                  <w:vAlign w:val="center"/>
                </w:tcPr>
                <w:p w14:paraId="0E7E8A36">
                  <w:pPr>
                    <w:pStyle w:val="24"/>
                    <w:ind w:firstLine="0"/>
                    <w:jc w:val="center"/>
                    <w:rPr>
                      <w:color w:val="auto"/>
                      <w:sz w:val="21"/>
                      <w:szCs w:val="21"/>
                    </w:rPr>
                  </w:pPr>
                  <w:r>
                    <w:rPr>
                      <w:rFonts w:hint="eastAsia"/>
                      <w:color w:val="auto"/>
                      <w:sz w:val="21"/>
                      <w:szCs w:val="21"/>
                    </w:rPr>
                    <w:t>2</w:t>
                  </w:r>
                </w:p>
              </w:tc>
              <w:tc>
                <w:tcPr>
                  <w:tcW w:w="393" w:type="pct"/>
                  <w:vAlign w:val="center"/>
                </w:tcPr>
                <w:p w14:paraId="27890140">
                  <w:pPr>
                    <w:pStyle w:val="24"/>
                    <w:ind w:firstLine="0"/>
                    <w:jc w:val="center"/>
                    <w:rPr>
                      <w:color w:val="auto"/>
                      <w:sz w:val="21"/>
                      <w:szCs w:val="21"/>
                    </w:rPr>
                  </w:pPr>
                  <w:r>
                    <w:rPr>
                      <w:rFonts w:hint="eastAsia"/>
                      <w:color w:val="auto"/>
                      <w:sz w:val="21"/>
                      <w:szCs w:val="21"/>
                    </w:rPr>
                    <w:t>--</w:t>
                  </w:r>
                </w:p>
              </w:tc>
              <w:tc>
                <w:tcPr>
                  <w:tcW w:w="590" w:type="pct"/>
                  <w:vAlign w:val="center"/>
                </w:tcPr>
                <w:p w14:paraId="4E01C09A">
                  <w:pPr>
                    <w:pStyle w:val="24"/>
                    <w:ind w:firstLine="0"/>
                    <w:jc w:val="center"/>
                    <w:rPr>
                      <w:color w:val="auto"/>
                      <w:sz w:val="21"/>
                      <w:szCs w:val="21"/>
                    </w:rPr>
                  </w:pPr>
                  <w:r>
                    <w:rPr>
                      <w:rFonts w:hint="eastAsia"/>
                      <w:color w:val="auto"/>
                      <w:sz w:val="21"/>
                      <w:szCs w:val="21"/>
                    </w:rPr>
                    <w:t>0.4</w:t>
                  </w:r>
                </w:p>
              </w:tc>
              <w:tc>
                <w:tcPr>
                  <w:tcW w:w="348" w:type="pct"/>
                  <w:vAlign w:val="center"/>
                </w:tcPr>
                <w:p w14:paraId="3446B14F">
                  <w:pPr>
                    <w:pStyle w:val="24"/>
                    <w:ind w:firstLine="0"/>
                    <w:jc w:val="center"/>
                    <w:rPr>
                      <w:color w:val="auto"/>
                      <w:sz w:val="21"/>
                      <w:szCs w:val="21"/>
                    </w:rPr>
                  </w:pPr>
                  <w:r>
                    <w:rPr>
                      <w:rFonts w:hint="eastAsia"/>
                      <w:color w:val="auto"/>
                      <w:sz w:val="21"/>
                      <w:szCs w:val="21"/>
                    </w:rPr>
                    <w:t>--</w:t>
                  </w:r>
                </w:p>
              </w:tc>
            </w:tr>
            <w:tr w14:paraId="53DA6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2073" w:type="pct"/>
                  <w:vAlign w:val="center"/>
                </w:tcPr>
                <w:p w14:paraId="6484D58D">
                  <w:pPr>
                    <w:pStyle w:val="24"/>
                    <w:ind w:firstLine="0"/>
                    <w:jc w:val="center"/>
                    <w:rPr>
                      <w:color w:val="auto"/>
                      <w:sz w:val="21"/>
                      <w:szCs w:val="21"/>
                    </w:rPr>
                  </w:pPr>
                  <w:r>
                    <w:rPr>
                      <w:rFonts w:hint="eastAsia"/>
                      <w:color w:val="auto"/>
                      <w:sz w:val="21"/>
                      <w:szCs w:val="21"/>
                    </w:rPr>
                    <w:t>石湾镇西基生活污水厂</w:t>
                  </w:r>
                  <w:r>
                    <w:rPr>
                      <w:color w:val="auto"/>
                      <w:sz w:val="21"/>
                      <w:szCs w:val="21"/>
                    </w:rPr>
                    <w:t>排放标准值</w:t>
                  </w:r>
                </w:p>
              </w:tc>
              <w:tc>
                <w:tcPr>
                  <w:tcW w:w="580" w:type="pct"/>
                  <w:vAlign w:val="center"/>
                </w:tcPr>
                <w:p w14:paraId="5701620E">
                  <w:pPr>
                    <w:pStyle w:val="24"/>
                    <w:ind w:firstLine="0"/>
                    <w:jc w:val="center"/>
                    <w:rPr>
                      <w:color w:val="auto"/>
                      <w:sz w:val="21"/>
                      <w:szCs w:val="21"/>
                    </w:rPr>
                  </w:pPr>
                  <w:r>
                    <w:rPr>
                      <w:color w:val="auto"/>
                      <w:sz w:val="21"/>
                      <w:szCs w:val="21"/>
                    </w:rPr>
                    <w:t>40</w:t>
                  </w:r>
                </w:p>
              </w:tc>
              <w:tc>
                <w:tcPr>
                  <w:tcW w:w="497" w:type="pct"/>
                  <w:vAlign w:val="center"/>
                </w:tcPr>
                <w:p w14:paraId="6B1B9923">
                  <w:pPr>
                    <w:pStyle w:val="24"/>
                    <w:ind w:firstLine="0"/>
                    <w:jc w:val="center"/>
                    <w:rPr>
                      <w:color w:val="auto"/>
                      <w:sz w:val="21"/>
                      <w:szCs w:val="21"/>
                    </w:rPr>
                  </w:pPr>
                  <w:r>
                    <w:rPr>
                      <w:color w:val="auto"/>
                      <w:sz w:val="21"/>
                      <w:szCs w:val="21"/>
                    </w:rPr>
                    <w:t>10</w:t>
                  </w:r>
                </w:p>
              </w:tc>
              <w:tc>
                <w:tcPr>
                  <w:tcW w:w="517" w:type="pct"/>
                  <w:vAlign w:val="center"/>
                </w:tcPr>
                <w:p w14:paraId="1CCEBCB1">
                  <w:pPr>
                    <w:pStyle w:val="24"/>
                    <w:ind w:firstLine="0"/>
                    <w:jc w:val="center"/>
                    <w:rPr>
                      <w:color w:val="auto"/>
                      <w:sz w:val="21"/>
                      <w:szCs w:val="21"/>
                    </w:rPr>
                  </w:pPr>
                  <w:r>
                    <w:rPr>
                      <w:color w:val="auto"/>
                      <w:sz w:val="21"/>
                      <w:szCs w:val="21"/>
                    </w:rPr>
                    <w:t>2</w:t>
                  </w:r>
                </w:p>
              </w:tc>
              <w:tc>
                <w:tcPr>
                  <w:tcW w:w="393" w:type="pct"/>
                  <w:vAlign w:val="center"/>
                </w:tcPr>
                <w:p w14:paraId="42299836">
                  <w:pPr>
                    <w:pStyle w:val="24"/>
                    <w:ind w:firstLine="0"/>
                    <w:jc w:val="center"/>
                    <w:rPr>
                      <w:color w:val="auto"/>
                      <w:sz w:val="21"/>
                      <w:szCs w:val="21"/>
                    </w:rPr>
                  </w:pPr>
                  <w:r>
                    <w:rPr>
                      <w:color w:val="auto"/>
                      <w:sz w:val="21"/>
                      <w:szCs w:val="21"/>
                    </w:rPr>
                    <w:t>10</w:t>
                  </w:r>
                </w:p>
              </w:tc>
              <w:tc>
                <w:tcPr>
                  <w:tcW w:w="590" w:type="pct"/>
                  <w:vAlign w:val="center"/>
                </w:tcPr>
                <w:p w14:paraId="50C11526">
                  <w:pPr>
                    <w:pStyle w:val="24"/>
                    <w:ind w:firstLine="0"/>
                    <w:jc w:val="center"/>
                    <w:rPr>
                      <w:color w:val="auto"/>
                      <w:sz w:val="21"/>
                      <w:szCs w:val="21"/>
                    </w:rPr>
                  </w:pPr>
                  <w:r>
                    <w:rPr>
                      <w:color w:val="auto"/>
                      <w:sz w:val="21"/>
                      <w:szCs w:val="21"/>
                    </w:rPr>
                    <w:t>0.4</w:t>
                  </w:r>
                </w:p>
              </w:tc>
              <w:tc>
                <w:tcPr>
                  <w:tcW w:w="348" w:type="pct"/>
                  <w:vAlign w:val="center"/>
                </w:tcPr>
                <w:p w14:paraId="1A55423A">
                  <w:pPr>
                    <w:pStyle w:val="24"/>
                    <w:ind w:firstLine="0"/>
                    <w:jc w:val="center"/>
                    <w:rPr>
                      <w:color w:val="auto"/>
                      <w:sz w:val="21"/>
                      <w:szCs w:val="21"/>
                    </w:rPr>
                  </w:pPr>
                  <w:r>
                    <w:rPr>
                      <w:color w:val="auto"/>
                      <w:sz w:val="21"/>
                      <w:szCs w:val="21"/>
                    </w:rPr>
                    <w:t>15</w:t>
                  </w:r>
                </w:p>
              </w:tc>
            </w:tr>
          </w:tbl>
          <w:p w14:paraId="7BFC8BEF">
            <w:pPr>
              <w:wordWrap w:val="0"/>
              <w:spacing w:before="120" w:beforeLines="50" w:line="360" w:lineRule="auto"/>
              <w:ind w:firstLine="482" w:firstLineChars="200"/>
              <w:rPr>
                <w:color w:val="auto"/>
                <w:sz w:val="24"/>
              </w:rPr>
            </w:pPr>
            <w:r>
              <w:rPr>
                <w:b/>
                <w:bCs/>
                <w:color w:val="auto"/>
                <w:sz w:val="24"/>
              </w:rPr>
              <w:t>2、废气排放标准</w:t>
            </w:r>
          </w:p>
          <w:p w14:paraId="22913D39">
            <w:pPr>
              <w:pStyle w:val="43"/>
              <w:ind w:firstLine="482"/>
              <w:rPr>
                <w:b/>
                <w:color w:val="auto"/>
              </w:rPr>
            </w:pPr>
            <w:r>
              <w:rPr>
                <w:b/>
                <w:color w:val="auto"/>
              </w:rPr>
              <w:t>（1）生产有组织废气</w:t>
            </w:r>
          </w:p>
          <w:p w14:paraId="38E66EAD">
            <w:pPr>
              <w:adjustRightInd w:val="0"/>
              <w:snapToGrid w:val="0"/>
              <w:spacing w:line="360" w:lineRule="auto"/>
              <w:ind w:firstLine="480" w:firstLineChars="200"/>
              <w:rPr>
                <w:bCs/>
                <w:color w:val="auto"/>
                <w:sz w:val="24"/>
              </w:rPr>
            </w:pPr>
            <w:r>
              <w:rPr>
                <w:bCs/>
                <w:color w:val="auto"/>
                <w:sz w:val="24"/>
              </w:rPr>
              <w:t>喷粉</w:t>
            </w:r>
            <w:r>
              <w:rPr>
                <w:rFonts w:hint="eastAsia"/>
                <w:bCs/>
                <w:color w:val="auto"/>
                <w:sz w:val="24"/>
              </w:rPr>
              <w:t>、喷漆</w:t>
            </w:r>
            <w:r>
              <w:rPr>
                <w:bCs/>
                <w:color w:val="auto"/>
                <w:sz w:val="24"/>
              </w:rPr>
              <w:t>工序产生的颗粒物、</w:t>
            </w:r>
            <w:r>
              <w:rPr>
                <w:rFonts w:hint="eastAsia"/>
                <w:bCs/>
                <w:color w:val="auto"/>
                <w:sz w:val="24"/>
              </w:rPr>
              <w:t>除锈</w:t>
            </w:r>
            <w:r>
              <w:rPr>
                <w:bCs/>
                <w:color w:val="auto"/>
                <w:sz w:val="24"/>
              </w:rPr>
              <w:t>工序产生的硫酸雾执行广东省《大气污染物排放限值》(DB44/27-2001)中第二时段二级标准。</w:t>
            </w:r>
          </w:p>
          <w:p w14:paraId="7B30BACF">
            <w:pPr>
              <w:pStyle w:val="43"/>
              <w:rPr>
                <w:color w:val="auto"/>
              </w:rPr>
            </w:pPr>
            <w:r>
              <w:rPr>
                <w:color w:val="auto"/>
              </w:rPr>
              <w:t>喷粉固化、</w:t>
            </w:r>
            <w:r>
              <w:rPr>
                <w:rFonts w:hint="eastAsia"/>
                <w:color w:val="auto"/>
              </w:rPr>
              <w:t>喷漆烘烤产生的TVOC和NMHC</w:t>
            </w:r>
            <w:r>
              <w:rPr>
                <w:color w:val="auto"/>
              </w:rPr>
              <w:t>有组织排放执行广东省《固定污染源挥发性有机物综合排放标准》（DB44/2367-2022）中表1挥发性有机物排放限值。</w:t>
            </w:r>
          </w:p>
          <w:p w14:paraId="177BA0D8">
            <w:pPr>
              <w:pStyle w:val="43"/>
              <w:rPr>
                <w:color w:val="auto"/>
                <w:szCs w:val="21"/>
              </w:rPr>
            </w:pPr>
            <w:r>
              <w:rPr>
                <w:rFonts w:hint="eastAsia"/>
                <w:color w:val="auto"/>
                <w:szCs w:val="21"/>
              </w:rPr>
              <w:t>喷漆、烘烤过程产生臭气浓度排放执行</w:t>
            </w:r>
            <w:r>
              <w:rPr>
                <w:rFonts w:hint="eastAsia"/>
                <w:color w:val="auto"/>
                <w:szCs w:val="20"/>
              </w:rPr>
              <w:t>《恶臭污染物排放标准》（GB14554-93）表2臭气浓度排气筒高度50m排放标准值。</w:t>
            </w:r>
          </w:p>
          <w:p w14:paraId="7CD64BDE">
            <w:pPr>
              <w:pStyle w:val="43"/>
              <w:rPr>
                <w:color w:val="auto"/>
              </w:rPr>
            </w:pPr>
            <w:r>
              <w:rPr>
                <w:rFonts w:hint="eastAsia"/>
                <w:color w:val="auto"/>
                <w:szCs w:val="21"/>
              </w:rPr>
              <w:t>烘烤柜炉、隧道炉等</w:t>
            </w:r>
            <w:r>
              <w:rPr>
                <w:color w:val="auto"/>
                <w:szCs w:val="21"/>
              </w:rPr>
              <w:t>天然气燃烧机燃烧废气属于工业炉窑废气，执行《工业炉窑大气污染物排放标准》（GB9078-1996），根据《广东省生态环境厅 广东省发展和改革委员会 广东省工业和信息化厅 广东省财政厅关于贯彻落实&lt;工业炉窑大气污染综合治理方案&gt;的实施意见》（粤环函[2019]1112号）要求：珠江三角洲地区原则上按照《工业炉窑大气污染综合治理方案》（大气[2019]56号）重点区域排放限值，即颗粒物30mg/m</w:t>
            </w:r>
            <w:r>
              <w:rPr>
                <w:color w:val="auto"/>
                <w:szCs w:val="21"/>
                <w:vertAlign w:val="superscript"/>
              </w:rPr>
              <w:t>3</w:t>
            </w:r>
            <w:r>
              <w:rPr>
                <w:color w:val="auto"/>
                <w:szCs w:val="21"/>
              </w:rPr>
              <w:t>、二氧化硫200mg/m</w:t>
            </w:r>
            <w:r>
              <w:rPr>
                <w:color w:val="auto"/>
                <w:szCs w:val="21"/>
                <w:vertAlign w:val="superscript"/>
              </w:rPr>
              <w:t>3</w:t>
            </w:r>
            <w:r>
              <w:rPr>
                <w:color w:val="auto"/>
                <w:szCs w:val="21"/>
              </w:rPr>
              <w:t>、氮氧化物300mg/m</w:t>
            </w:r>
            <w:r>
              <w:rPr>
                <w:color w:val="auto"/>
                <w:szCs w:val="21"/>
                <w:vertAlign w:val="superscript"/>
              </w:rPr>
              <w:t>3</w:t>
            </w:r>
            <w:r>
              <w:rPr>
                <w:color w:val="auto"/>
              </w:rPr>
              <w:t>。</w:t>
            </w:r>
          </w:p>
          <w:p w14:paraId="442975D7">
            <w:pPr>
              <w:pStyle w:val="43"/>
              <w:rPr>
                <w:color w:val="auto"/>
              </w:rPr>
            </w:pPr>
            <w:r>
              <w:rPr>
                <w:rFonts w:hint="eastAsia"/>
                <w:color w:val="auto"/>
              </w:rPr>
              <w:t>其中，排气筒DA003、DA004、DA005同时排放天然气燃烧废气和喷漆废气，故颗粒物有组织排放执行《大气污染物排放限值》（DB44/27-2001）第二时段二级标准与《广东省生态环境厅 广东省发展和改革委员会 广东省工业和信息化厅广东省财政厅关于贯彻落实&lt;工业炉窑大气污染综合治理方案&gt;的实施意见》（粤环函〔2019〕1112 号）要求珠江三角洲地区原则上按照环大气[2019]56 号文国家重点区域工业炉窑治理要求较严值。</w:t>
            </w:r>
          </w:p>
          <w:p w14:paraId="059A8C0E">
            <w:pPr>
              <w:pStyle w:val="43"/>
              <w:rPr>
                <w:rFonts w:hint="eastAsia"/>
                <w:color w:val="auto"/>
              </w:rPr>
            </w:pPr>
            <w:r>
              <w:rPr>
                <w:rFonts w:hint="eastAsia"/>
                <w:color w:val="auto"/>
              </w:rPr>
              <w:t>各排气筒具体执行标准如下表：</w:t>
            </w:r>
          </w:p>
          <w:p w14:paraId="14FBAB7D">
            <w:pPr>
              <w:widowControl/>
              <w:numPr>
                <w:ilvl w:val="0"/>
                <w:numId w:val="17"/>
              </w:numPr>
              <w:autoSpaceDE w:val="0"/>
              <w:autoSpaceDN w:val="0"/>
              <w:adjustRightInd w:val="0"/>
              <w:snapToGrid w:val="0"/>
              <w:jc w:val="center"/>
              <w:rPr>
                <w:b/>
                <w:bCs/>
                <w:color w:val="auto"/>
                <w:szCs w:val="22"/>
              </w:rPr>
            </w:pPr>
            <w:r>
              <w:rPr>
                <w:rFonts w:hint="eastAsia"/>
                <w:b/>
                <w:bCs/>
                <w:color w:val="auto"/>
                <w:szCs w:val="22"/>
              </w:rPr>
              <w:t xml:space="preserve">   </w:t>
            </w:r>
            <w:r>
              <w:rPr>
                <w:b/>
                <w:bCs/>
                <w:color w:val="auto"/>
                <w:szCs w:val="22"/>
              </w:rPr>
              <w:t>污染物排放</w:t>
            </w:r>
            <w:r>
              <w:rPr>
                <w:rFonts w:hint="eastAsia"/>
                <w:b/>
                <w:bCs/>
                <w:color w:val="auto"/>
                <w:szCs w:val="22"/>
              </w:rPr>
              <w:t>执行标准一览表</w:t>
            </w:r>
          </w:p>
          <w:tbl>
            <w:tblPr>
              <w:tblStyle w:val="35"/>
              <w:tblW w:w="503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1240"/>
              <w:gridCol w:w="1461"/>
              <w:gridCol w:w="1025"/>
              <w:gridCol w:w="1231"/>
              <w:gridCol w:w="1102"/>
              <w:gridCol w:w="2317"/>
            </w:tblGrid>
            <w:tr w14:paraId="3D612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522" w:type="pct"/>
                  <w:vAlign w:val="center"/>
                </w:tcPr>
                <w:p w14:paraId="15EE88F2">
                  <w:pPr>
                    <w:pStyle w:val="127"/>
                    <w:rPr>
                      <w:b/>
                      <w:bCs/>
                      <w:color w:val="auto"/>
                      <w:kern w:val="2"/>
                      <w:szCs w:val="21"/>
                    </w:rPr>
                  </w:pPr>
                  <w:r>
                    <w:rPr>
                      <w:rFonts w:hint="eastAsia"/>
                      <w:b/>
                      <w:bCs/>
                      <w:color w:val="auto"/>
                      <w:szCs w:val="21"/>
                    </w:rPr>
                    <w:t>排气筒编号</w:t>
                  </w:r>
                </w:p>
              </w:tc>
              <w:tc>
                <w:tcPr>
                  <w:tcW w:w="663" w:type="pct"/>
                  <w:vAlign w:val="center"/>
                </w:tcPr>
                <w:p w14:paraId="7B0857AB">
                  <w:pPr>
                    <w:pStyle w:val="127"/>
                    <w:rPr>
                      <w:b/>
                      <w:bCs/>
                      <w:color w:val="auto"/>
                      <w:szCs w:val="21"/>
                    </w:rPr>
                  </w:pPr>
                  <w:r>
                    <w:rPr>
                      <w:rFonts w:hint="eastAsia"/>
                      <w:b/>
                      <w:bCs/>
                      <w:color w:val="auto"/>
                      <w:szCs w:val="21"/>
                    </w:rPr>
                    <w:t>产污工序</w:t>
                  </w:r>
                </w:p>
              </w:tc>
              <w:tc>
                <w:tcPr>
                  <w:tcW w:w="781" w:type="pct"/>
                  <w:vAlign w:val="center"/>
                </w:tcPr>
                <w:p w14:paraId="0A183E53">
                  <w:pPr>
                    <w:pStyle w:val="127"/>
                    <w:rPr>
                      <w:b/>
                      <w:bCs/>
                      <w:color w:val="auto"/>
                      <w:kern w:val="2"/>
                      <w:szCs w:val="21"/>
                    </w:rPr>
                  </w:pPr>
                  <w:r>
                    <w:rPr>
                      <w:b/>
                      <w:bCs/>
                      <w:color w:val="auto"/>
                      <w:szCs w:val="21"/>
                    </w:rPr>
                    <w:t>污染物</w:t>
                  </w:r>
                </w:p>
              </w:tc>
              <w:tc>
                <w:tcPr>
                  <w:tcW w:w="548" w:type="pct"/>
                  <w:vAlign w:val="center"/>
                </w:tcPr>
                <w:p w14:paraId="5F1BABB9">
                  <w:pPr>
                    <w:pStyle w:val="127"/>
                    <w:rPr>
                      <w:b/>
                      <w:bCs/>
                      <w:color w:val="auto"/>
                      <w:szCs w:val="21"/>
                    </w:rPr>
                  </w:pPr>
                  <w:r>
                    <w:rPr>
                      <w:b/>
                      <w:bCs/>
                      <w:color w:val="auto"/>
                      <w:szCs w:val="21"/>
                    </w:rPr>
                    <w:t>排气筒高度（m）</w:t>
                  </w:r>
                </w:p>
              </w:tc>
              <w:tc>
                <w:tcPr>
                  <w:tcW w:w="658" w:type="pct"/>
                  <w:vAlign w:val="center"/>
                </w:tcPr>
                <w:p w14:paraId="4397D38A">
                  <w:pPr>
                    <w:pStyle w:val="127"/>
                    <w:rPr>
                      <w:b/>
                      <w:bCs/>
                      <w:color w:val="auto"/>
                      <w:kern w:val="2"/>
                      <w:szCs w:val="21"/>
                    </w:rPr>
                  </w:pPr>
                  <w:r>
                    <w:rPr>
                      <w:b/>
                      <w:bCs/>
                      <w:color w:val="auto"/>
                      <w:szCs w:val="21"/>
                    </w:rPr>
                    <w:t>最高允许排放浓度（mg/m</w:t>
                  </w:r>
                  <w:r>
                    <w:rPr>
                      <w:b/>
                      <w:bCs/>
                      <w:color w:val="auto"/>
                      <w:szCs w:val="21"/>
                      <w:vertAlign w:val="superscript"/>
                    </w:rPr>
                    <w:t>3</w:t>
                  </w:r>
                  <w:r>
                    <w:rPr>
                      <w:b/>
                      <w:bCs/>
                      <w:color w:val="auto"/>
                      <w:szCs w:val="21"/>
                    </w:rPr>
                    <w:t>）</w:t>
                  </w:r>
                </w:p>
              </w:tc>
              <w:tc>
                <w:tcPr>
                  <w:tcW w:w="589" w:type="pct"/>
                  <w:vAlign w:val="center"/>
                </w:tcPr>
                <w:p w14:paraId="329B2E39">
                  <w:pPr>
                    <w:pStyle w:val="127"/>
                    <w:rPr>
                      <w:b/>
                      <w:bCs/>
                      <w:color w:val="auto"/>
                      <w:szCs w:val="21"/>
                    </w:rPr>
                  </w:pPr>
                  <w:r>
                    <w:rPr>
                      <w:b/>
                      <w:bCs/>
                      <w:color w:val="auto"/>
                      <w:szCs w:val="21"/>
                    </w:rPr>
                    <w:t>最高允许排放速率（kg/h）</w:t>
                  </w:r>
                </w:p>
              </w:tc>
              <w:tc>
                <w:tcPr>
                  <w:tcW w:w="1237" w:type="pct"/>
                  <w:vAlign w:val="center"/>
                </w:tcPr>
                <w:p w14:paraId="0649196D">
                  <w:pPr>
                    <w:pStyle w:val="127"/>
                    <w:rPr>
                      <w:b/>
                      <w:bCs/>
                      <w:color w:val="auto"/>
                      <w:szCs w:val="21"/>
                    </w:rPr>
                  </w:pPr>
                  <w:r>
                    <w:rPr>
                      <w:b/>
                      <w:bCs/>
                      <w:color w:val="auto"/>
                      <w:szCs w:val="21"/>
                    </w:rPr>
                    <w:t>执行标准</w:t>
                  </w:r>
                </w:p>
              </w:tc>
            </w:tr>
            <w:tr w14:paraId="4A02C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Align w:val="center"/>
                </w:tcPr>
                <w:p w14:paraId="52278C6F">
                  <w:pPr>
                    <w:pStyle w:val="127"/>
                    <w:rPr>
                      <w:color w:val="auto"/>
                      <w:kern w:val="2"/>
                      <w:szCs w:val="21"/>
                    </w:rPr>
                  </w:pPr>
                  <w:r>
                    <w:rPr>
                      <w:rFonts w:hint="eastAsia"/>
                      <w:color w:val="auto"/>
                      <w:kern w:val="2"/>
                      <w:szCs w:val="21"/>
                    </w:rPr>
                    <w:t>DA001</w:t>
                  </w:r>
                </w:p>
              </w:tc>
              <w:tc>
                <w:tcPr>
                  <w:tcW w:w="663" w:type="pct"/>
                  <w:vAlign w:val="center"/>
                </w:tcPr>
                <w:p w14:paraId="52436D4B">
                  <w:pPr>
                    <w:pStyle w:val="127"/>
                    <w:rPr>
                      <w:color w:val="auto"/>
                      <w:kern w:val="2"/>
                      <w:szCs w:val="21"/>
                    </w:rPr>
                  </w:pPr>
                  <w:r>
                    <w:rPr>
                      <w:rFonts w:hint="eastAsia"/>
                      <w:color w:val="auto"/>
                      <w:kern w:val="2"/>
                      <w:szCs w:val="21"/>
                    </w:rPr>
                    <w:t>喷粉</w:t>
                  </w:r>
                </w:p>
              </w:tc>
              <w:tc>
                <w:tcPr>
                  <w:tcW w:w="781" w:type="pct"/>
                  <w:vAlign w:val="center"/>
                </w:tcPr>
                <w:p w14:paraId="7FC4B075">
                  <w:pPr>
                    <w:pStyle w:val="127"/>
                    <w:rPr>
                      <w:color w:val="auto"/>
                      <w:kern w:val="2"/>
                      <w:szCs w:val="21"/>
                    </w:rPr>
                  </w:pPr>
                  <w:r>
                    <w:rPr>
                      <w:rFonts w:hint="eastAsia"/>
                      <w:color w:val="auto"/>
                      <w:kern w:val="2"/>
                      <w:szCs w:val="21"/>
                    </w:rPr>
                    <w:t>颗粒物</w:t>
                  </w:r>
                </w:p>
              </w:tc>
              <w:tc>
                <w:tcPr>
                  <w:tcW w:w="548" w:type="pct"/>
                  <w:vAlign w:val="center"/>
                </w:tcPr>
                <w:p w14:paraId="37B26D05">
                  <w:pPr>
                    <w:pStyle w:val="127"/>
                    <w:rPr>
                      <w:color w:val="auto"/>
                      <w:kern w:val="2"/>
                      <w:szCs w:val="21"/>
                    </w:rPr>
                  </w:pPr>
                  <w:r>
                    <w:rPr>
                      <w:rFonts w:hint="eastAsia"/>
                      <w:color w:val="auto"/>
                      <w:kern w:val="2"/>
                      <w:szCs w:val="21"/>
                    </w:rPr>
                    <w:t>45</w:t>
                  </w:r>
                </w:p>
              </w:tc>
              <w:tc>
                <w:tcPr>
                  <w:tcW w:w="658" w:type="pct"/>
                  <w:vAlign w:val="center"/>
                </w:tcPr>
                <w:p w14:paraId="530D1DAD">
                  <w:pPr>
                    <w:pStyle w:val="127"/>
                    <w:rPr>
                      <w:color w:val="auto"/>
                      <w:kern w:val="2"/>
                      <w:szCs w:val="21"/>
                    </w:rPr>
                  </w:pPr>
                  <w:r>
                    <w:rPr>
                      <w:rFonts w:hint="eastAsia"/>
                      <w:color w:val="auto"/>
                      <w:kern w:val="2"/>
                      <w:szCs w:val="21"/>
                    </w:rPr>
                    <w:t>120</w:t>
                  </w:r>
                </w:p>
              </w:tc>
              <w:tc>
                <w:tcPr>
                  <w:tcW w:w="589" w:type="pct"/>
                  <w:vAlign w:val="center"/>
                </w:tcPr>
                <w:p w14:paraId="39384CEA">
                  <w:pPr>
                    <w:pStyle w:val="127"/>
                    <w:rPr>
                      <w:color w:val="auto"/>
                      <w:kern w:val="2"/>
                      <w:szCs w:val="21"/>
                    </w:rPr>
                  </w:pPr>
                  <w:r>
                    <w:rPr>
                      <w:rFonts w:hint="eastAsia"/>
                      <w:color w:val="auto"/>
                      <w:kern w:val="2"/>
                      <w:szCs w:val="21"/>
                    </w:rPr>
                    <w:t>19.25</w:t>
                  </w:r>
                </w:p>
              </w:tc>
              <w:tc>
                <w:tcPr>
                  <w:tcW w:w="1237" w:type="pct"/>
                  <w:vAlign w:val="center"/>
                </w:tcPr>
                <w:p w14:paraId="3FEB8965">
                  <w:pPr>
                    <w:pStyle w:val="127"/>
                    <w:rPr>
                      <w:color w:val="auto"/>
                      <w:kern w:val="2"/>
                      <w:szCs w:val="21"/>
                    </w:rPr>
                  </w:pPr>
                  <w:r>
                    <w:rPr>
                      <w:color w:val="auto"/>
                      <w:szCs w:val="21"/>
                    </w:rPr>
                    <w:t>DB44/27-2001</w:t>
                  </w:r>
                </w:p>
              </w:tc>
            </w:tr>
            <w:tr w14:paraId="3E742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Align w:val="center"/>
                </w:tcPr>
                <w:p w14:paraId="6690B289">
                  <w:pPr>
                    <w:pStyle w:val="127"/>
                    <w:rPr>
                      <w:color w:val="auto"/>
                      <w:kern w:val="2"/>
                      <w:szCs w:val="21"/>
                    </w:rPr>
                  </w:pPr>
                  <w:r>
                    <w:rPr>
                      <w:rFonts w:hint="eastAsia"/>
                      <w:color w:val="auto"/>
                      <w:kern w:val="2"/>
                      <w:szCs w:val="21"/>
                    </w:rPr>
                    <w:t>DA002</w:t>
                  </w:r>
                </w:p>
              </w:tc>
              <w:tc>
                <w:tcPr>
                  <w:tcW w:w="663" w:type="pct"/>
                  <w:vAlign w:val="center"/>
                </w:tcPr>
                <w:p w14:paraId="581E0CBB">
                  <w:pPr>
                    <w:pStyle w:val="127"/>
                    <w:rPr>
                      <w:color w:val="auto"/>
                      <w:kern w:val="2"/>
                      <w:szCs w:val="21"/>
                    </w:rPr>
                  </w:pPr>
                  <w:r>
                    <w:rPr>
                      <w:rFonts w:hint="eastAsia"/>
                      <w:color w:val="auto"/>
                      <w:kern w:val="2"/>
                      <w:szCs w:val="21"/>
                    </w:rPr>
                    <w:t>喷粉</w:t>
                  </w:r>
                </w:p>
              </w:tc>
              <w:tc>
                <w:tcPr>
                  <w:tcW w:w="781" w:type="pct"/>
                  <w:vAlign w:val="center"/>
                </w:tcPr>
                <w:p w14:paraId="13DB4F68">
                  <w:pPr>
                    <w:pStyle w:val="127"/>
                    <w:rPr>
                      <w:color w:val="auto"/>
                      <w:kern w:val="2"/>
                      <w:szCs w:val="21"/>
                    </w:rPr>
                  </w:pPr>
                  <w:r>
                    <w:rPr>
                      <w:rFonts w:hint="eastAsia"/>
                      <w:color w:val="auto"/>
                      <w:kern w:val="2"/>
                      <w:szCs w:val="21"/>
                    </w:rPr>
                    <w:t>颗粒物</w:t>
                  </w:r>
                </w:p>
              </w:tc>
              <w:tc>
                <w:tcPr>
                  <w:tcW w:w="548" w:type="pct"/>
                  <w:vAlign w:val="center"/>
                </w:tcPr>
                <w:p w14:paraId="5F820AB7">
                  <w:pPr>
                    <w:pStyle w:val="127"/>
                    <w:rPr>
                      <w:color w:val="auto"/>
                      <w:kern w:val="2"/>
                      <w:szCs w:val="21"/>
                    </w:rPr>
                  </w:pPr>
                  <w:r>
                    <w:rPr>
                      <w:rFonts w:hint="eastAsia"/>
                      <w:color w:val="auto"/>
                      <w:kern w:val="2"/>
                      <w:szCs w:val="21"/>
                    </w:rPr>
                    <w:t>45</w:t>
                  </w:r>
                </w:p>
              </w:tc>
              <w:tc>
                <w:tcPr>
                  <w:tcW w:w="658" w:type="pct"/>
                  <w:vAlign w:val="center"/>
                </w:tcPr>
                <w:p w14:paraId="1AE208B1">
                  <w:pPr>
                    <w:pStyle w:val="127"/>
                    <w:rPr>
                      <w:color w:val="auto"/>
                      <w:kern w:val="2"/>
                      <w:szCs w:val="21"/>
                    </w:rPr>
                  </w:pPr>
                  <w:r>
                    <w:rPr>
                      <w:rFonts w:hint="eastAsia"/>
                      <w:color w:val="auto"/>
                      <w:kern w:val="2"/>
                      <w:szCs w:val="21"/>
                    </w:rPr>
                    <w:t>120</w:t>
                  </w:r>
                </w:p>
              </w:tc>
              <w:tc>
                <w:tcPr>
                  <w:tcW w:w="589" w:type="pct"/>
                  <w:vAlign w:val="center"/>
                </w:tcPr>
                <w:p w14:paraId="6C742B97">
                  <w:pPr>
                    <w:pStyle w:val="127"/>
                    <w:rPr>
                      <w:color w:val="auto"/>
                      <w:kern w:val="2"/>
                      <w:szCs w:val="21"/>
                    </w:rPr>
                  </w:pPr>
                  <w:r>
                    <w:rPr>
                      <w:rFonts w:hint="eastAsia"/>
                      <w:color w:val="auto"/>
                      <w:kern w:val="2"/>
                      <w:szCs w:val="21"/>
                    </w:rPr>
                    <w:t>19.25</w:t>
                  </w:r>
                </w:p>
              </w:tc>
              <w:tc>
                <w:tcPr>
                  <w:tcW w:w="1237" w:type="pct"/>
                  <w:vAlign w:val="center"/>
                </w:tcPr>
                <w:p w14:paraId="3FB93006">
                  <w:pPr>
                    <w:pStyle w:val="127"/>
                    <w:rPr>
                      <w:color w:val="auto"/>
                      <w:kern w:val="2"/>
                      <w:szCs w:val="21"/>
                    </w:rPr>
                  </w:pPr>
                  <w:r>
                    <w:rPr>
                      <w:color w:val="auto"/>
                      <w:szCs w:val="21"/>
                    </w:rPr>
                    <w:t>DB44/27-2001</w:t>
                  </w:r>
                </w:p>
              </w:tc>
            </w:tr>
            <w:tr w14:paraId="18622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restart"/>
                  <w:vAlign w:val="center"/>
                </w:tcPr>
                <w:p w14:paraId="09EA46EC">
                  <w:pPr>
                    <w:pStyle w:val="127"/>
                    <w:rPr>
                      <w:color w:val="auto"/>
                      <w:kern w:val="2"/>
                      <w:szCs w:val="21"/>
                    </w:rPr>
                  </w:pPr>
                  <w:r>
                    <w:rPr>
                      <w:rFonts w:hint="eastAsia"/>
                      <w:color w:val="auto"/>
                      <w:kern w:val="2"/>
                      <w:szCs w:val="21"/>
                    </w:rPr>
                    <w:t>DA003</w:t>
                  </w:r>
                </w:p>
              </w:tc>
              <w:tc>
                <w:tcPr>
                  <w:tcW w:w="663" w:type="pct"/>
                  <w:vMerge w:val="restart"/>
                  <w:vAlign w:val="center"/>
                </w:tcPr>
                <w:p w14:paraId="7BAF9263">
                  <w:pPr>
                    <w:pStyle w:val="127"/>
                    <w:rPr>
                      <w:color w:val="auto"/>
                      <w:kern w:val="2"/>
                      <w:szCs w:val="21"/>
                    </w:rPr>
                  </w:pPr>
                  <w:r>
                    <w:rPr>
                      <w:rFonts w:hint="eastAsia"/>
                      <w:color w:val="auto"/>
                    </w:rPr>
                    <w:t>喷漆、烘烤、固化废气、天然气燃烧</w:t>
                  </w:r>
                </w:p>
              </w:tc>
              <w:tc>
                <w:tcPr>
                  <w:tcW w:w="781" w:type="pct"/>
                  <w:vAlign w:val="center"/>
                </w:tcPr>
                <w:p w14:paraId="198FEB2F">
                  <w:pPr>
                    <w:pStyle w:val="127"/>
                    <w:rPr>
                      <w:color w:val="auto"/>
                      <w:kern w:val="2"/>
                      <w:szCs w:val="21"/>
                    </w:rPr>
                  </w:pPr>
                  <w:r>
                    <w:rPr>
                      <w:rFonts w:hint="eastAsia"/>
                      <w:color w:val="auto"/>
                      <w:kern w:val="2"/>
                      <w:szCs w:val="21"/>
                    </w:rPr>
                    <w:t>TVOC</w:t>
                  </w:r>
                </w:p>
              </w:tc>
              <w:tc>
                <w:tcPr>
                  <w:tcW w:w="548" w:type="pct"/>
                  <w:vMerge w:val="restart"/>
                  <w:vAlign w:val="center"/>
                </w:tcPr>
                <w:p w14:paraId="413E306F">
                  <w:pPr>
                    <w:pStyle w:val="127"/>
                    <w:rPr>
                      <w:color w:val="auto"/>
                      <w:kern w:val="2"/>
                      <w:szCs w:val="21"/>
                    </w:rPr>
                  </w:pPr>
                  <w:r>
                    <w:rPr>
                      <w:rFonts w:hint="eastAsia"/>
                      <w:color w:val="auto"/>
                      <w:kern w:val="2"/>
                      <w:szCs w:val="21"/>
                    </w:rPr>
                    <w:t>45</w:t>
                  </w:r>
                </w:p>
              </w:tc>
              <w:tc>
                <w:tcPr>
                  <w:tcW w:w="658" w:type="pct"/>
                  <w:vAlign w:val="center"/>
                </w:tcPr>
                <w:p w14:paraId="09D4DB4F">
                  <w:pPr>
                    <w:pStyle w:val="127"/>
                    <w:rPr>
                      <w:color w:val="auto"/>
                      <w:kern w:val="2"/>
                      <w:szCs w:val="21"/>
                    </w:rPr>
                  </w:pPr>
                  <w:r>
                    <w:rPr>
                      <w:rFonts w:hint="eastAsia"/>
                      <w:color w:val="auto"/>
                      <w:kern w:val="2"/>
                      <w:szCs w:val="21"/>
                    </w:rPr>
                    <w:t>100</w:t>
                  </w:r>
                </w:p>
              </w:tc>
              <w:tc>
                <w:tcPr>
                  <w:tcW w:w="589" w:type="pct"/>
                  <w:vAlign w:val="center"/>
                </w:tcPr>
                <w:p w14:paraId="45EE1607">
                  <w:pPr>
                    <w:pStyle w:val="127"/>
                    <w:rPr>
                      <w:color w:val="auto"/>
                      <w:kern w:val="2"/>
                      <w:szCs w:val="21"/>
                    </w:rPr>
                  </w:pPr>
                  <w:r>
                    <w:rPr>
                      <w:rFonts w:hint="eastAsia"/>
                      <w:color w:val="auto"/>
                      <w:kern w:val="2"/>
                      <w:szCs w:val="21"/>
                    </w:rPr>
                    <w:t>/</w:t>
                  </w:r>
                </w:p>
              </w:tc>
              <w:tc>
                <w:tcPr>
                  <w:tcW w:w="1237" w:type="pct"/>
                  <w:vAlign w:val="center"/>
                </w:tcPr>
                <w:p w14:paraId="59CFEA73">
                  <w:pPr>
                    <w:pStyle w:val="127"/>
                    <w:rPr>
                      <w:color w:val="auto"/>
                      <w:szCs w:val="21"/>
                    </w:rPr>
                  </w:pPr>
                  <w:r>
                    <w:rPr>
                      <w:color w:val="auto"/>
                      <w:szCs w:val="21"/>
                    </w:rPr>
                    <w:t>DB44/2367-2022</w:t>
                  </w:r>
                </w:p>
              </w:tc>
            </w:tr>
            <w:tr w14:paraId="3C7C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14:paraId="0910B8F7">
                  <w:pPr>
                    <w:pStyle w:val="127"/>
                    <w:rPr>
                      <w:color w:val="auto"/>
                      <w:kern w:val="2"/>
                      <w:szCs w:val="21"/>
                    </w:rPr>
                  </w:pPr>
                </w:p>
              </w:tc>
              <w:tc>
                <w:tcPr>
                  <w:tcW w:w="663" w:type="pct"/>
                  <w:vMerge w:val="continue"/>
                  <w:vAlign w:val="center"/>
                </w:tcPr>
                <w:p w14:paraId="6194A1F0">
                  <w:pPr>
                    <w:pStyle w:val="127"/>
                    <w:rPr>
                      <w:color w:val="auto"/>
                    </w:rPr>
                  </w:pPr>
                </w:p>
              </w:tc>
              <w:tc>
                <w:tcPr>
                  <w:tcW w:w="781" w:type="pct"/>
                  <w:vAlign w:val="center"/>
                </w:tcPr>
                <w:p w14:paraId="1E155599">
                  <w:pPr>
                    <w:pStyle w:val="127"/>
                    <w:rPr>
                      <w:color w:val="auto"/>
                      <w:kern w:val="2"/>
                      <w:szCs w:val="21"/>
                    </w:rPr>
                  </w:pPr>
                  <w:r>
                    <w:rPr>
                      <w:rFonts w:hint="eastAsia"/>
                      <w:color w:val="auto"/>
                      <w:kern w:val="2"/>
                      <w:szCs w:val="21"/>
                    </w:rPr>
                    <w:t>NMHC</w:t>
                  </w:r>
                </w:p>
              </w:tc>
              <w:tc>
                <w:tcPr>
                  <w:tcW w:w="548" w:type="pct"/>
                  <w:vMerge w:val="continue"/>
                  <w:vAlign w:val="center"/>
                </w:tcPr>
                <w:p w14:paraId="33818727">
                  <w:pPr>
                    <w:pStyle w:val="127"/>
                    <w:rPr>
                      <w:color w:val="auto"/>
                      <w:kern w:val="2"/>
                      <w:szCs w:val="21"/>
                    </w:rPr>
                  </w:pPr>
                </w:p>
              </w:tc>
              <w:tc>
                <w:tcPr>
                  <w:tcW w:w="658" w:type="pct"/>
                  <w:vAlign w:val="center"/>
                </w:tcPr>
                <w:p w14:paraId="0B2AC255">
                  <w:pPr>
                    <w:pStyle w:val="127"/>
                    <w:rPr>
                      <w:color w:val="auto"/>
                      <w:kern w:val="2"/>
                      <w:szCs w:val="21"/>
                    </w:rPr>
                  </w:pPr>
                  <w:r>
                    <w:rPr>
                      <w:rFonts w:hint="eastAsia"/>
                      <w:color w:val="auto"/>
                      <w:kern w:val="2"/>
                      <w:szCs w:val="21"/>
                    </w:rPr>
                    <w:t>80</w:t>
                  </w:r>
                </w:p>
              </w:tc>
              <w:tc>
                <w:tcPr>
                  <w:tcW w:w="589" w:type="pct"/>
                  <w:vAlign w:val="center"/>
                </w:tcPr>
                <w:p w14:paraId="026DDE38">
                  <w:pPr>
                    <w:pStyle w:val="127"/>
                    <w:rPr>
                      <w:color w:val="auto"/>
                      <w:kern w:val="2"/>
                      <w:szCs w:val="21"/>
                    </w:rPr>
                  </w:pPr>
                  <w:r>
                    <w:rPr>
                      <w:rFonts w:hint="eastAsia"/>
                      <w:color w:val="auto"/>
                      <w:kern w:val="2"/>
                      <w:szCs w:val="21"/>
                    </w:rPr>
                    <w:t>/</w:t>
                  </w:r>
                </w:p>
              </w:tc>
              <w:tc>
                <w:tcPr>
                  <w:tcW w:w="1237" w:type="pct"/>
                  <w:vAlign w:val="center"/>
                </w:tcPr>
                <w:p w14:paraId="4BF2CBAE">
                  <w:pPr>
                    <w:pStyle w:val="127"/>
                    <w:rPr>
                      <w:color w:val="auto"/>
                      <w:szCs w:val="21"/>
                    </w:rPr>
                  </w:pPr>
                  <w:r>
                    <w:rPr>
                      <w:color w:val="auto"/>
                      <w:szCs w:val="21"/>
                    </w:rPr>
                    <w:t>DB44/2367-2022</w:t>
                  </w:r>
                </w:p>
              </w:tc>
            </w:tr>
            <w:tr w14:paraId="1982D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14:paraId="18203D89">
                  <w:pPr>
                    <w:pStyle w:val="127"/>
                    <w:rPr>
                      <w:color w:val="auto"/>
                      <w:kern w:val="2"/>
                      <w:szCs w:val="21"/>
                    </w:rPr>
                  </w:pPr>
                </w:p>
              </w:tc>
              <w:tc>
                <w:tcPr>
                  <w:tcW w:w="663" w:type="pct"/>
                  <w:vMerge w:val="continue"/>
                  <w:vAlign w:val="center"/>
                </w:tcPr>
                <w:p w14:paraId="27E56E83">
                  <w:pPr>
                    <w:pStyle w:val="127"/>
                    <w:rPr>
                      <w:color w:val="auto"/>
                      <w:kern w:val="2"/>
                      <w:szCs w:val="21"/>
                    </w:rPr>
                  </w:pPr>
                </w:p>
              </w:tc>
              <w:tc>
                <w:tcPr>
                  <w:tcW w:w="781" w:type="pct"/>
                  <w:vAlign w:val="center"/>
                </w:tcPr>
                <w:p w14:paraId="27CD64D8">
                  <w:pPr>
                    <w:pStyle w:val="127"/>
                    <w:rPr>
                      <w:color w:val="auto"/>
                      <w:kern w:val="2"/>
                      <w:szCs w:val="21"/>
                    </w:rPr>
                  </w:pPr>
                  <w:r>
                    <w:rPr>
                      <w:rFonts w:hint="eastAsia"/>
                      <w:color w:val="auto"/>
                      <w:kern w:val="2"/>
                      <w:szCs w:val="21"/>
                    </w:rPr>
                    <w:t>颗粒物</w:t>
                  </w:r>
                </w:p>
              </w:tc>
              <w:tc>
                <w:tcPr>
                  <w:tcW w:w="548" w:type="pct"/>
                  <w:vMerge w:val="continue"/>
                  <w:vAlign w:val="center"/>
                </w:tcPr>
                <w:p w14:paraId="0DA2705D">
                  <w:pPr>
                    <w:pStyle w:val="127"/>
                    <w:rPr>
                      <w:color w:val="auto"/>
                      <w:kern w:val="2"/>
                      <w:szCs w:val="21"/>
                    </w:rPr>
                  </w:pPr>
                </w:p>
              </w:tc>
              <w:tc>
                <w:tcPr>
                  <w:tcW w:w="658" w:type="pct"/>
                  <w:vAlign w:val="center"/>
                </w:tcPr>
                <w:p w14:paraId="2BBD549C">
                  <w:pPr>
                    <w:pStyle w:val="127"/>
                    <w:rPr>
                      <w:color w:val="auto"/>
                      <w:kern w:val="2"/>
                      <w:szCs w:val="21"/>
                    </w:rPr>
                  </w:pPr>
                  <w:r>
                    <w:rPr>
                      <w:rFonts w:hint="eastAsia"/>
                      <w:color w:val="auto"/>
                      <w:kern w:val="2"/>
                      <w:szCs w:val="21"/>
                    </w:rPr>
                    <w:t>30</w:t>
                  </w:r>
                </w:p>
              </w:tc>
              <w:tc>
                <w:tcPr>
                  <w:tcW w:w="589" w:type="pct"/>
                  <w:vAlign w:val="center"/>
                </w:tcPr>
                <w:p w14:paraId="1963C0B0">
                  <w:pPr>
                    <w:pStyle w:val="127"/>
                    <w:rPr>
                      <w:color w:val="auto"/>
                      <w:kern w:val="2"/>
                      <w:szCs w:val="21"/>
                    </w:rPr>
                  </w:pPr>
                  <w:r>
                    <w:rPr>
                      <w:rFonts w:hint="eastAsia"/>
                      <w:color w:val="auto"/>
                      <w:kern w:val="2"/>
                      <w:szCs w:val="21"/>
                    </w:rPr>
                    <w:t>/</w:t>
                  </w:r>
                </w:p>
              </w:tc>
              <w:tc>
                <w:tcPr>
                  <w:tcW w:w="1237" w:type="pct"/>
                  <w:vAlign w:val="center"/>
                </w:tcPr>
                <w:p w14:paraId="22E3D583">
                  <w:pPr>
                    <w:pStyle w:val="127"/>
                    <w:rPr>
                      <w:color w:val="auto"/>
                      <w:szCs w:val="21"/>
                    </w:rPr>
                  </w:pPr>
                  <w:r>
                    <w:rPr>
                      <w:color w:val="auto"/>
                      <w:szCs w:val="21"/>
                    </w:rPr>
                    <w:t>DB44/27-2001</w:t>
                  </w:r>
                  <w:r>
                    <w:rPr>
                      <w:rFonts w:hint="eastAsia"/>
                      <w:color w:val="auto"/>
                      <w:szCs w:val="21"/>
                    </w:rPr>
                    <w:t>与</w:t>
                  </w:r>
                  <w:r>
                    <w:rPr>
                      <w:bCs/>
                      <w:color w:val="auto"/>
                      <w:szCs w:val="21"/>
                    </w:rPr>
                    <w:t>大气[2019]56号</w:t>
                  </w:r>
                  <w:r>
                    <w:rPr>
                      <w:rFonts w:hint="eastAsia"/>
                      <w:color w:val="auto"/>
                    </w:rPr>
                    <w:t>较严值</w:t>
                  </w:r>
                </w:p>
              </w:tc>
            </w:tr>
            <w:tr w14:paraId="29B68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14:paraId="4B94620A">
                  <w:pPr>
                    <w:pStyle w:val="127"/>
                    <w:rPr>
                      <w:color w:val="auto"/>
                      <w:kern w:val="2"/>
                      <w:szCs w:val="21"/>
                    </w:rPr>
                  </w:pPr>
                </w:p>
              </w:tc>
              <w:tc>
                <w:tcPr>
                  <w:tcW w:w="663" w:type="pct"/>
                  <w:vMerge w:val="continue"/>
                  <w:vAlign w:val="center"/>
                </w:tcPr>
                <w:p w14:paraId="1681F25A">
                  <w:pPr>
                    <w:pStyle w:val="127"/>
                    <w:rPr>
                      <w:color w:val="auto"/>
                      <w:kern w:val="2"/>
                      <w:szCs w:val="21"/>
                    </w:rPr>
                  </w:pPr>
                </w:p>
              </w:tc>
              <w:tc>
                <w:tcPr>
                  <w:tcW w:w="781" w:type="pct"/>
                  <w:vAlign w:val="center"/>
                </w:tcPr>
                <w:p w14:paraId="123B1C92">
                  <w:pPr>
                    <w:pStyle w:val="127"/>
                    <w:rPr>
                      <w:color w:val="auto"/>
                      <w:kern w:val="2"/>
                      <w:szCs w:val="21"/>
                    </w:rPr>
                  </w:pPr>
                  <w:r>
                    <w:rPr>
                      <w:rFonts w:hint="eastAsia"/>
                      <w:color w:val="auto"/>
                      <w:kern w:val="2"/>
                      <w:szCs w:val="21"/>
                    </w:rPr>
                    <w:t>臭气浓度</w:t>
                  </w:r>
                </w:p>
              </w:tc>
              <w:tc>
                <w:tcPr>
                  <w:tcW w:w="548" w:type="pct"/>
                  <w:vMerge w:val="continue"/>
                  <w:vAlign w:val="center"/>
                </w:tcPr>
                <w:p w14:paraId="00C3D786">
                  <w:pPr>
                    <w:pStyle w:val="127"/>
                    <w:rPr>
                      <w:color w:val="auto"/>
                      <w:kern w:val="2"/>
                      <w:szCs w:val="21"/>
                    </w:rPr>
                  </w:pPr>
                </w:p>
              </w:tc>
              <w:tc>
                <w:tcPr>
                  <w:tcW w:w="658" w:type="pct"/>
                  <w:vAlign w:val="center"/>
                </w:tcPr>
                <w:p w14:paraId="742FD1EB">
                  <w:pPr>
                    <w:pStyle w:val="127"/>
                    <w:rPr>
                      <w:color w:val="auto"/>
                      <w:kern w:val="2"/>
                      <w:szCs w:val="21"/>
                    </w:rPr>
                  </w:pPr>
                  <w:r>
                    <w:rPr>
                      <w:rFonts w:hint="eastAsia"/>
                      <w:color w:val="auto"/>
                      <w:kern w:val="2"/>
                      <w:szCs w:val="21"/>
                    </w:rPr>
                    <w:t>4000</w:t>
                  </w:r>
                </w:p>
              </w:tc>
              <w:tc>
                <w:tcPr>
                  <w:tcW w:w="589" w:type="pct"/>
                  <w:vAlign w:val="center"/>
                </w:tcPr>
                <w:p w14:paraId="699524F2">
                  <w:pPr>
                    <w:pStyle w:val="127"/>
                    <w:rPr>
                      <w:color w:val="auto"/>
                      <w:kern w:val="2"/>
                      <w:szCs w:val="21"/>
                    </w:rPr>
                  </w:pPr>
                  <w:r>
                    <w:rPr>
                      <w:rFonts w:hint="eastAsia"/>
                      <w:color w:val="auto"/>
                      <w:kern w:val="2"/>
                      <w:szCs w:val="21"/>
                    </w:rPr>
                    <w:t>/</w:t>
                  </w:r>
                </w:p>
              </w:tc>
              <w:tc>
                <w:tcPr>
                  <w:tcW w:w="1237" w:type="pct"/>
                  <w:vAlign w:val="center"/>
                </w:tcPr>
                <w:p w14:paraId="19B757F8">
                  <w:pPr>
                    <w:pStyle w:val="127"/>
                    <w:rPr>
                      <w:color w:val="auto"/>
                      <w:szCs w:val="21"/>
                    </w:rPr>
                  </w:pPr>
                  <w:r>
                    <w:rPr>
                      <w:rFonts w:hint="eastAsia"/>
                      <w:color w:val="auto"/>
                      <w:szCs w:val="21"/>
                    </w:rPr>
                    <w:t>GB14554-93</w:t>
                  </w:r>
                </w:p>
              </w:tc>
            </w:tr>
            <w:tr w14:paraId="5F089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14:paraId="5AAC0EA5">
                  <w:pPr>
                    <w:pStyle w:val="127"/>
                    <w:rPr>
                      <w:color w:val="auto"/>
                      <w:kern w:val="2"/>
                      <w:szCs w:val="21"/>
                    </w:rPr>
                  </w:pPr>
                </w:p>
              </w:tc>
              <w:tc>
                <w:tcPr>
                  <w:tcW w:w="663" w:type="pct"/>
                  <w:vMerge w:val="continue"/>
                  <w:vAlign w:val="center"/>
                </w:tcPr>
                <w:p w14:paraId="15BAC3C9">
                  <w:pPr>
                    <w:pStyle w:val="127"/>
                    <w:rPr>
                      <w:color w:val="auto"/>
                      <w:kern w:val="2"/>
                      <w:szCs w:val="21"/>
                    </w:rPr>
                  </w:pPr>
                </w:p>
              </w:tc>
              <w:tc>
                <w:tcPr>
                  <w:tcW w:w="781" w:type="pct"/>
                  <w:vAlign w:val="center"/>
                </w:tcPr>
                <w:p w14:paraId="38F5A274">
                  <w:pPr>
                    <w:pStyle w:val="127"/>
                    <w:rPr>
                      <w:color w:val="auto"/>
                      <w:kern w:val="2"/>
                      <w:szCs w:val="21"/>
                    </w:rPr>
                  </w:pPr>
                  <w:r>
                    <w:rPr>
                      <w:rFonts w:hint="eastAsia"/>
                      <w:color w:val="auto"/>
                      <w:kern w:val="2"/>
                      <w:szCs w:val="21"/>
                    </w:rPr>
                    <w:t>氮氧化物</w:t>
                  </w:r>
                </w:p>
              </w:tc>
              <w:tc>
                <w:tcPr>
                  <w:tcW w:w="548" w:type="pct"/>
                  <w:vMerge w:val="continue"/>
                  <w:vAlign w:val="center"/>
                </w:tcPr>
                <w:p w14:paraId="42660AF7">
                  <w:pPr>
                    <w:pStyle w:val="127"/>
                    <w:rPr>
                      <w:color w:val="auto"/>
                      <w:kern w:val="2"/>
                      <w:szCs w:val="21"/>
                    </w:rPr>
                  </w:pPr>
                </w:p>
              </w:tc>
              <w:tc>
                <w:tcPr>
                  <w:tcW w:w="658" w:type="pct"/>
                  <w:vAlign w:val="center"/>
                </w:tcPr>
                <w:p w14:paraId="5FBF82DD">
                  <w:pPr>
                    <w:pStyle w:val="127"/>
                    <w:rPr>
                      <w:color w:val="auto"/>
                      <w:kern w:val="2"/>
                      <w:szCs w:val="21"/>
                    </w:rPr>
                  </w:pPr>
                  <w:r>
                    <w:rPr>
                      <w:rFonts w:hint="eastAsia"/>
                      <w:color w:val="auto"/>
                      <w:kern w:val="2"/>
                      <w:szCs w:val="21"/>
                    </w:rPr>
                    <w:t>300</w:t>
                  </w:r>
                </w:p>
              </w:tc>
              <w:tc>
                <w:tcPr>
                  <w:tcW w:w="589" w:type="pct"/>
                  <w:vAlign w:val="center"/>
                </w:tcPr>
                <w:p w14:paraId="510C5005">
                  <w:pPr>
                    <w:pStyle w:val="127"/>
                    <w:rPr>
                      <w:color w:val="auto"/>
                      <w:kern w:val="2"/>
                      <w:szCs w:val="21"/>
                    </w:rPr>
                  </w:pPr>
                  <w:r>
                    <w:rPr>
                      <w:rFonts w:hint="eastAsia"/>
                      <w:color w:val="auto"/>
                      <w:kern w:val="2"/>
                      <w:szCs w:val="21"/>
                    </w:rPr>
                    <w:t>/</w:t>
                  </w:r>
                </w:p>
              </w:tc>
              <w:tc>
                <w:tcPr>
                  <w:tcW w:w="1237" w:type="pct"/>
                  <w:vAlign w:val="center"/>
                </w:tcPr>
                <w:p w14:paraId="6066B3B2">
                  <w:pPr>
                    <w:pStyle w:val="127"/>
                    <w:rPr>
                      <w:color w:val="auto"/>
                      <w:szCs w:val="21"/>
                    </w:rPr>
                  </w:pPr>
                  <w:r>
                    <w:rPr>
                      <w:bCs/>
                      <w:color w:val="auto"/>
                      <w:szCs w:val="21"/>
                    </w:rPr>
                    <w:t>大气[2019]56号</w:t>
                  </w:r>
                </w:p>
              </w:tc>
            </w:tr>
            <w:tr w14:paraId="6A45B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14:paraId="66E43720">
                  <w:pPr>
                    <w:pStyle w:val="127"/>
                    <w:rPr>
                      <w:color w:val="auto"/>
                      <w:kern w:val="2"/>
                      <w:szCs w:val="21"/>
                    </w:rPr>
                  </w:pPr>
                </w:p>
              </w:tc>
              <w:tc>
                <w:tcPr>
                  <w:tcW w:w="663" w:type="pct"/>
                  <w:vMerge w:val="continue"/>
                  <w:vAlign w:val="center"/>
                </w:tcPr>
                <w:p w14:paraId="5C23C70D">
                  <w:pPr>
                    <w:pStyle w:val="127"/>
                    <w:rPr>
                      <w:color w:val="auto"/>
                      <w:kern w:val="2"/>
                      <w:szCs w:val="21"/>
                    </w:rPr>
                  </w:pPr>
                </w:p>
              </w:tc>
              <w:tc>
                <w:tcPr>
                  <w:tcW w:w="781" w:type="pct"/>
                  <w:vAlign w:val="center"/>
                </w:tcPr>
                <w:p w14:paraId="6398244C">
                  <w:pPr>
                    <w:pStyle w:val="127"/>
                    <w:rPr>
                      <w:color w:val="auto"/>
                      <w:kern w:val="2"/>
                      <w:szCs w:val="21"/>
                    </w:rPr>
                  </w:pPr>
                  <w:r>
                    <w:rPr>
                      <w:rFonts w:hint="eastAsia"/>
                      <w:color w:val="auto"/>
                      <w:kern w:val="2"/>
                      <w:szCs w:val="21"/>
                    </w:rPr>
                    <w:t>二氧化硫</w:t>
                  </w:r>
                </w:p>
              </w:tc>
              <w:tc>
                <w:tcPr>
                  <w:tcW w:w="548" w:type="pct"/>
                  <w:vMerge w:val="continue"/>
                  <w:vAlign w:val="center"/>
                </w:tcPr>
                <w:p w14:paraId="5EB56AFF">
                  <w:pPr>
                    <w:pStyle w:val="127"/>
                    <w:rPr>
                      <w:color w:val="auto"/>
                      <w:kern w:val="2"/>
                      <w:szCs w:val="21"/>
                    </w:rPr>
                  </w:pPr>
                </w:p>
              </w:tc>
              <w:tc>
                <w:tcPr>
                  <w:tcW w:w="658" w:type="pct"/>
                  <w:vAlign w:val="center"/>
                </w:tcPr>
                <w:p w14:paraId="70D6AE59">
                  <w:pPr>
                    <w:pStyle w:val="127"/>
                    <w:rPr>
                      <w:color w:val="auto"/>
                      <w:kern w:val="2"/>
                      <w:szCs w:val="21"/>
                    </w:rPr>
                  </w:pPr>
                  <w:r>
                    <w:rPr>
                      <w:rFonts w:hint="eastAsia"/>
                      <w:color w:val="auto"/>
                      <w:kern w:val="2"/>
                      <w:szCs w:val="21"/>
                    </w:rPr>
                    <w:t>200</w:t>
                  </w:r>
                </w:p>
              </w:tc>
              <w:tc>
                <w:tcPr>
                  <w:tcW w:w="589" w:type="pct"/>
                  <w:vAlign w:val="center"/>
                </w:tcPr>
                <w:p w14:paraId="76EB73E1">
                  <w:pPr>
                    <w:pStyle w:val="127"/>
                    <w:rPr>
                      <w:color w:val="auto"/>
                      <w:kern w:val="2"/>
                      <w:szCs w:val="21"/>
                    </w:rPr>
                  </w:pPr>
                  <w:r>
                    <w:rPr>
                      <w:rFonts w:hint="eastAsia"/>
                      <w:color w:val="auto"/>
                      <w:kern w:val="2"/>
                      <w:szCs w:val="21"/>
                    </w:rPr>
                    <w:t>/</w:t>
                  </w:r>
                </w:p>
              </w:tc>
              <w:tc>
                <w:tcPr>
                  <w:tcW w:w="1237" w:type="pct"/>
                  <w:vAlign w:val="center"/>
                </w:tcPr>
                <w:p w14:paraId="41C98024">
                  <w:pPr>
                    <w:pStyle w:val="127"/>
                    <w:rPr>
                      <w:color w:val="auto"/>
                      <w:szCs w:val="21"/>
                    </w:rPr>
                  </w:pPr>
                  <w:r>
                    <w:rPr>
                      <w:bCs/>
                      <w:color w:val="auto"/>
                      <w:szCs w:val="21"/>
                    </w:rPr>
                    <w:t>大气[2019]56号</w:t>
                  </w:r>
                </w:p>
              </w:tc>
            </w:tr>
            <w:tr w14:paraId="19151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restart"/>
                  <w:vAlign w:val="center"/>
                </w:tcPr>
                <w:p w14:paraId="0EF9A339">
                  <w:pPr>
                    <w:pStyle w:val="127"/>
                    <w:rPr>
                      <w:color w:val="auto"/>
                      <w:kern w:val="2"/>
                      <w:szCs w:val="21"/>
                    </w:rPr>
                  </w:pPr>
                  <w:r>
                    <w:rPr>
                      <w:rFonts w:hint="eastAsia"/>
                      <w:color w:val="auto"/>
                      <w:kern w:val="2"/>
                      <w:szCs w:val="21"/>
                    </w:rPr>
                    <w:t>DA004</w:t>
                  </w:r>
                </w:p>
              </w:tc>
              <w:tc>
                <w:tcPr>
                  <w:tcW w:w="663" w:type="pct"/>
                  <w:vMerge w:val="restart"/>
                  <w:vAlign w:val="center"/>
                </w:tcPr>
                <w:p w14:paraId="19F76B72">
                  <w:pPr>
                    <w:pStyle w:val="127"/>
                    <w:rPr>
                      <w:color w:val="auto"/>
                      <w:kern w:val="2"/>
                      <w:szCs w:val="21"/>
                    </w:rPr>
                  </w:pPr>
                  <w:r>
                    <w:rPr>
                      <w:rFonts w:hint="eastAsia"/>
                      <w:color w:val="auto"/>
                    </w:rPr>
                    <w:t>喷漆、烘烤废气、天然气燃烧</w:t>
                  </w:r>
                </w:p>
              </w:tc>
              <w:tc>
                <w:tcPr>
                  <w:tcW w:w="781" w:type="pct"/>
                  <w:vAlign w:val="center"/>
                </w:tcPr>
                <w:p w14:paraId="43E1AE8F">
                  <w:pPr>
                    <w:pStyle w:val="127"/>
                    <w:rPr>
                      <w:color w:val="auto"/>
                      <w:kern w:val="2"/>
                      <w:szCs w:val="21"/>
                    </w:rPr>
                  </w:pPr>
                  <w:r>
                    <w:rPr>
                      <w:rFonts w:hint="eastAsia"/>
                      <w:color w:val="auto"/>
                      <w:kern w:val="2"/>
                      <w:szCs w:val="21"/>
                    </w:rPr>
                    <w:t>TVOC</w:t>
                  </w:r>
                </w:p>
              </w:tc>
              <w:tc>
                <w:tcPr>
                  <w:tcW w:w="548" w:type="pct"/>
                  <w:vMerge w:val="restart"/>
                  <w:vAlign w:val="center"/>
                </w:tcPr>
                <w:p w14:paraId="43F27BFD">
                  <w:pPr>
                    <w:pStyle w:val="127"/>
                    <w:rPr>
                      <w:color w:val="auto"/>
                      <w:kern w:val="2"/>
                      <w:szCs w:val="21"/>
                    </w:rPr>
                  </w:pPr>
                  <w:r>
                    <w:rPr>
                      <w:rFonts w:hint="eastAsia"/>
                      <w:color w:val="auto"/>
                      <w:kern w:val="2"/>
                      <w:szCs w:val="21"/>
                    </w:rPr>
                    <w:t>45</w:t>
                  </w:r>
                </w:p>
              </w:tc>
              <w:tc>
                <w:tcPr>
                  <w:tcW w:w="658" w:type="pct"/>
                  <w:vAlign w:val="center"/>
                </w:tcPr>
                <w:p w14:paraId="488B8329">
                  <w:pPr>
                    <w:pStyle w:val="127"/>
                    <w:rPr>
                      <w:color w:val="auto"/>
                      <w:kern w:val="2"/>
                      <w:szCs w:val="21"/>
                    </w:rPr>
                  </w:pPr>
                  <w:r>
                    <w:rPr>
                      <w:rFonts w:hint="eastAsia"/>
                      <w:color w:val="auto"/>
                      <w:kern w:val="2"/>
                      <w:szCs w:val="21"/>
                    </w:rPr>
                    <w:t>100</w:t>
                  </w:r>
                </w:p>
              </w:tc>
              <w:tc>
                <w:tcPr>
                  <w:tcW w:w="589" w:type="pct"/>
                  <w:vAlign w:val="center"/>
                </w:tcPr>
                <w:p w14:paraId="2B33851A">
                  <w:pPr>
                    <w:pStyle w:val="127"/>
                    <w:rPr>
                      <w:color w:val="auto"/>
                      <w:kern w:val="2"/>
                      <w:szCs w:val="21"/>
                    </w:rPr>
                  </w:pPr>
                  <w:r>
                    <w:rPr>
                      <w:rFonts w:hint="eastAsia"/>
                      <w:color w:val="auto"/>
                      <w:kern w:val="2"/>
                      <w:szCs w:val="21"/>
                    </w:rPr>
                    <w:t>/</w:t>
                  </w:r>
                </w:p>
              </w:tc>
              <w:tc>
                <w:tcPr>
                  <w:tcW w:w="1237" w:type="pct"/>
                  <w:vAlign w:val="center"/>
                </w:tcPr>
                <w:p w14:paraId="7285FBAD">
                  <w:pPr>
                    <w:pStyle w:val="127"/>
                    <w:rPr>
                      <w:color w:val="auto"/>
                      <w:szCs w:val="21"/>
                    </w:rPr>
                  </w:pPr>
                  <w:r>
                    <w:rPr>
                      <w:color w:val="auto"/>
                      <w:szCs w:val="21"/>
                    </w:rPr>
                    <w:t>DB44/2367-2022</w:t>
                  </w:r>
                </w:p>
              </w:tc>
            </w:tr>
            <w:tr w14:paraId="2415A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58F07B55">
                  <w:pPr>
                    <w:pStyle w:val="127"/>
                    <w:rPr>
                      <w:color w:val="auto"/>
                      <w:kern w:val="2"/>
                      <w:szCs w:val="21"/>
                    </w:rPr>
                  </w:pPr>
                </w:p>
              </w:tc>
              <w:tc>
                <w:tcPr>
                  <w:tcW w:w="663" w:type="pct"/>
                  <w:vMerge w:val="continue"/>
                  <w:vAlign w:val="center"/>
                </w:tcPr>
                <w:p w14:paraId="1CB84D23">
                  <w:pPr>
                    <w:pStyle w:val="127"/>
                    <w:rPr>
                      <w:color w:val="auto"/>
                    </w:rPr>
                  </w:pPr>
                </w:p>
              </w:tc>
              <w:tc>
                <w:tcPr>
                  <w:tcW w:w="781" w:type="pct"/>
                  <w:vAlign w:val="center"/>
                </w:tcPr>
                <w:p w14:paraId="657408B6">
                  <w:pPr>
                    <w:pStyle w:val="127"/>
                    <w:rPr>
                      <w:color w:val="auto"/>
                      <w:kern w:val="2"/>
                      <w:szCs w:val="21"/>
                    </w:rPr>
                  </w:pPr>
                  <w:r>
                    <w:rPr>
                      <w:rFonts w:hint="eastAsia"/>
                      <w:color w:val="auto"/>
                      <w:kern w:val="2"/>
                      <w:szCs w:val="21"/>
                    </w:rPr>
                    <w:t>NMHC</w:t>
                  </w:r>
                </w:p>
              </w:tc>
              <w:tc>
                <w:tcPr>
                  <w:tcW w:w="548" w:type="pct"/>
                  <w:vMerge w:val="continue"/>
                  <w:vAlign w:val="center"/>
                </w:tcPr>
                <w:p w14:paraId="2F7F1585">
                  <w:pPr>
                    <w:pStyle w:val="127"/>
                    <w:rPr>
                      <w:color w:val="auto"/>
                      <w:kern w:val="2"/>
                      <w:szCs w:val="21"/>
                    </w:rPr>
                  </w:pPr>
                </w:p>
              </w:tc>
              <w:tc>
                <w:tcPr>
                  <w:tcW w:w="658" w:type="pct"/>
                  <w:vAlign w:val="center"/>
                </w:tcPr>
                <w:p w14:paraId="39695C45">
                  <w:pPr>
                    <w:pStyle w:val="127"/>
                    <w:rPr>
                      <w:color w:val="auto"/>
                      <w:kern w:val="2"/>
                      <w:szCs w:val="21"/>
                    </w:rPr>
                  </w:pPr>
                  <w:r>
                    <w:rPr>
                      <w:rFonts w:hint="eastAsia"/>
                      <w:color w:val="auto"/>
                      <w:kern w:val="2"/>
                      <w:szCs w:val="21"/>
                    </w:rPr>
                    <w:t>80</w:t>
                  </w:r>
                </w:p>
              </w:tc>
              <w:tc>
                <w:tcPr>
                  <w:tcW w:w="589" w:type="pct"/>
                  <w:vAlign w:val="center"/>
                </w:tcPr>
                <w:p w14:paraId="1A058B73">
                  <w:pPr>
                    <w:pStyle w:val="127"/>
                    <w:rPr>
                      <w:color w:val="auto"/>
                      <w:kern w:val="2"/>
                      <w:szCs w:val="21"/>
                    </w:rPr>
                  </w:pPr>
                  <w:r>
                    <w:rPr>
                      <w:rFonts w:hint="eastAsia"/>
                      <w:color w:val="auto"/>
                      <w:kern w:val="2"/>
                      <w:szCs w:val="21"/>
                    </w:rPr>
                    <w:t>/</w:t>
                  </w:r>
                </w:p>
              </w:tc>
              <w:tc>
                <w:tcPr>
                  <w:tcW w:w="1237" w:type="pct"/>
                  <w:vAlign w:val="center"/>
                </w:tcPr>
                <w:p w14:paraId="61C38016">
                  <w:pPr>
                    <w:pStyle w:val="127"/>
                    <w:rPr>
                      <w:color w:val="auto"/>
                      <w:szCs w:val="21"/>
                    </w:rPr>
                  </w:pPr>
                  <w:r>
                    <w:rPr>
                      <w:color w:val="auto"/>
                      <w:szCs w:val="21"/>
                    </w:rPr>
                    <w:t>DB44/2367-2022</w:t>
                  </w:r>
                </w:p>
              </w:tc>
            </w:tr>
            <w:tr w14:paraId="41B1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6DA18CE2">
                  <w:pPr>
                    <w:pStyle w:val="127"/>
                    <w:rPr>
                      <w:color w:val="auto"/>
                    </w:rPr>
                  </w:pPr>
                </w:p>
              </w:tc>
              <w:tc>
                <w:tcPr>
                  <w:tcW w:w="663" w:type="pct"/>
                  <w:vMerge w:val="continue"/>
                  <w:vAlign w:val="center"/>
                </w:tcPr>
                <w:p w14:paraId="69A6BB20">
                  <w:pPr>
                    <w:pStyle w:val="127"/>
                    <w:rPr>
                      <w:color w:val="auto"/>
                    </w:rPr>
                  </w:pPr>
                </w:p>
              </w:tc>
              <w:tc>
                <w:tcPr>
                  <w:tcW w:w="781" w:type="pct"/>
                  <w:vAlign w:val="center"/>
                </w:tcPr>
                <w:p w14:paraId="3C65B2BC">
                  <w:pPr>
                    <w:pStyle w:val="127"/>
                    <w:rPr>
                      <w:color w:val="auto"/>
                      <w:kern w:val="2"/>
                      <w:szCs w:val="21"/>
                    </w:rPr>
                  </w:pPr>
                  <w:r>
                    <w:rPr>
                      <w:rFonts w:hint="eastAsia"/>
                      <w:color w:val="auto"/>
                      <w:kern w:val="2"/>
                      <w:szCs w:val="21"/>
                    </w:rPr>
                    <w:t>颗粒物</w:t>
                  </w:r>
                </w:p>
              </w:tc>
              <w:tc>
                <w:tcPr>
                  <w:tcW w:w="548" w:type="pct"/>
                  <w:vMerge w:val="continue"/>
                  <w:vAlign w:val="center"/>
                </w:tcPr>
                <w:p w14:paraId="2486B6A8">
                  <w:pPr>
                    <w:pStyle w:val="127"/>
                    <w:rPr>
                      <w:color w:val="auto"/>
                      <w:kern w:val="2"/>
                      <w:szCs w:val="21"/>
                    </w:rPr>
                  </w:pPr>
                </w:p>
              </w:tc>
              <w:tc>
                <w:tcPr>
                  <w:tcW w:w="658" w:type="pct"/>
                  <w:vAlign w:val="center"/>
                </w:tcPr>
                <w:p w14:paraId="5F1A1522">
                  <w:pPr>
                    <w:pStyle w:val="127"/>
                    <w:rPr>
                      <w:color w:val="auto"/>
                      <w:kern w:val="2"/>
                      <w:szCs w:val="21"/>
                    </w:rPr>
                  </w:pPr>
                  <w:r>
                    <w:rPr>
                      <w:rFonts w:hint="eastAsia"/>
                      <w:color w:val="auto"/>
                      <w:kern w:val="2"/>
                      <w:szCs w:val="21"/>
                    </w:rPr>
                    <w:t>30</w:t>
                  </w:r>
                </w:p>
              </w:tc>
              <w:tc>
                <w:tcPr>
                  <w:tcW w:w="589" w:type="pct"/>
                  <w:vAlign w:val="center"/>
                </w:tcPr>
                <w:p w14:paraId="06A9ABD9">
                  <w:pPr>
                    <w:pStyle w:val="127"/>
                    <w:rPr>
                      <w:color w:val="auto"/>
                      <w:kern w:val="2"/>
                      <w:szCs w:val="21"/>
                    </w:rPr>
                  </w:pPr>
                  <w:r>
                    <w:rPr>
                      <w:rFonts w:hint="eastAsia"/>
                      <w:color w:val="auto"/>
                      <w:kern w:val="2"/>
                      <w:szCs w:val="21"/>
                    </w:rPr>
                    <w:t>/</w:t>
                  </w:r>
                </w:p>
              </w:tc>
              <w:tc>
                <w:tcPr>
                  <w:tcW w:w="1237" w:type="pct"/>
                  <w:vAlign w:val="center"/>
                </w:tcPr>
                <w:p w14:paraId="363245ED">
                  <w:pPr>
                    <w:pStyle w:val="127"/>
                    <w:rPr>
                      <w:color w:val="auto"/>
                      <w:kern w:val="2"/>
                      <w:szCs w:val="21"/>
                    </w:rPr>
                  </w:pPr>
                  <w:r>
                    <w:rPr>
                      <w:color w:val="auto"/>
                      <w:szCs w:val="21"/>
                    </w:rPr>
                    <w:t>DB44/27-2001</w:t>
                  </w:r>
                  <w:r>
                    <w:rPr>
                      <w:rFonts w:hint="eastAsia"/>
                      <w:color w:val="auto"/>
                      <w:szCs w:val="21"/>
                    </w:rPr>
                    <w:t>与</w:t>
                  </w:r>
                  <w:r>
                    <w:rPr>
                      <w:bCs/>
                      <w:color w:val="auto"/>
                      <w:szCs w:val="21"/>
                    </w:rPr>
                    <w:t>大气[2019]56号</w:t>
                  </w:r>
                  <w:r>
                    <w:rPr>
                      <w:rFonts w:hint="eastAsia"/>
                      <w:color w:val="auto"/>
                    </w:rPr>
                    <w:t>较严值</w:t>
                  </w:r>
                </w:p>
              </w:tc>
            </w:tr>
            <w:tr w14:paraId="5BFD8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4CF17644">
                  <w:pPr>
                    <w:pStyle w:val="127"/>
                    <w:rPr>
                      <w:color w:val="auto"/>
                      <w:kern w:val="2"/>
                      <w:szCs w:val="21"/>
                    </w:rPr>
                  </w:pPr>
                </w:p>
              </w:tc>
              <w:tc>
                <w:tcPr>
                  <w:tcW w:w="663" w:type="pct"/>
                  <w:vMerge w:val="continue"/>
                  <w:vAlign w:val="center"/>
                </w:tcPr>
                <w:p w14:paraId="6652F919">
                  <w:pPr>
                    <w:pStyle w:val="127"/>
                    <w:rPr>
                      <w:color w:val="auto"/>
                      <w:kern w:val="2"/>
                      <w:szCs w:val="21"/>
                    </w:rPr>
                  </w:pPr>
                </w:p>
              </w:tc>
              <w:tc>
                <w:tcPr>
                  <w:tcW w:w="781" w:type="pct"/>
                  <w:vAlign w:val="center"/>
                </w:tcPr>
                <w:p w14:paraId="182B3197">
                  <w:pPr>
                    <w:pStyle w:val="127"/>
                    <w:rPr>
                      <w:color w:val="auto"/>
                      <w:kern w:val="2"/>
                      <w:szCs w:val="21"/>
                    </w:rPr>
                  </w:pPr>
                  <w:r>
                    <w:rPr>
                      <w:rFonts w:hint="eastAsia"/>
                      <w:color w:val="auto"/>
                      <w:kern w:val="2"/>
                      <w:szCs w:val="21"/>
                    </w:rPr>
                    <w:t>臭气浓度</w:t>
                  </w:r>
                </w:p>
              </w:tc>
              <w:tc>
                <w:tcPr>
                  <w:tcW w:w="548" w:type="pct"/>
                  <w:vMerge w:val="continue"/>
                  <w:vAlign w:val="center"/>
                </w:tcPr>
                <w:p w14:paraId="4C1A2AD9">
                  <w:pPr>
                    <w:pStyle w:val="127"/>
                    <w:rPr>
                      <w:color w:val="auto"/>
                      <w:kern w:val="2"/>
                      <w:szCs w:val="21"/>
                    </w:rPr>
                  </w:pPr>
                </w:p>
              </w:tc>
              <w:tc>
                <w:tcPr>
                  <w:tcW w:w="1231" w:type="dxa"/>
                  <w:vAlign w:val="center"/>
                </w:tcPr>
                <w:p w14:paraId="22EA9B21">
                  <w:pPr>
                    <w:pStyle w:val="127"/>
                    <w:rPr>
                      <w:color w:val="auto"/>
                      <w:kern w:val="2"/>
                      <w:szCs w:val="21"/>
                    </w:rPr>
                  </w:pPr>
                  <w:r>
                    <w:rPr>
                      <w:rFonts w:hint="eastAsia"/>
                      <w:color w:val="auto"/>
                      <w:kern w:val="2"/>
                      <w:szCs w:val="21"/>
                    </w:rPr>
                    <w:t>4000</w:t>
                  </w:r>
                </w:p>
              </w:tc>
              <w:tc>
                <w:tcPr>
                  <w:tcW w:w="1102" w:type="dxa"/>
                  <w:vAlign w:val="center"/>
                </w:tcPr>
                <w:p w14:paraId="1D4E01BB">
                  <w:pPr>
                    <w:pStyle w:val="127"/>
                    <w:rPr>
                      <w:color w:val="auto"/>
                      <w:kern w:val="2"/>
                      <w:szCs w:val="21"/>
                    </w:rPr>
                  </w:pPr>
                  <w:r>
                    <w:rPr>
                      <w:rFonts w:hint="eastAsia"/>
                      <w:color w:val="auto"/>
                      <w:kern w:val="2"/>
                      <w:szCs w:val="21"/>
                    </w:rPr>
                    <w:t>/</w:t>
                  </w:r>
                </w:p>
              </w:tc>
              <w:tc>
                <w:tcPr>
                  <w:tcW w:w="1237" w:type="pct"/>
                  <w:vAlign w:val="center"/>
                </w:tcPr>
                <w:p w14:paraId="54A51403">
                  <w:pPr>
                    <w:pStyle w:val="127"/>
                    <w:rPr>
                      <w:color w:val="auto"/>
                      <w:kern w:val="2"/>
                      <w:szCs w:val="21"/>
                    </w:rPr>
                  </w:pPr>
                  <w:r>
                    <w:rPr>
                      <w:rFonts w:hint="eastAsia"/>
                      <w:color w:val="auto"/>
                      <w:szCs w:val="21"/>
                    </w:rPr>
                    <w:t>GB14554-93</w:t>
                  </w:r>
                </w:p>
              </w:tc>
            </w:tr>
            <w:tr w14:paraId="3972F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29886DD1">
                  <w:pPr>
                    <w:pStyle w:val="127"/>
                    <w:rPr>
                      <w:color w:val="auto"/>
                      <w:kern w:val="2"/>
                      <w:szCs w:val="21"/>
                    </w:rPr>
                  </w:pPr>
                </w:p>
              </w:tc>
              <w:tc>
                <w:tcPr>
                  <w:tcW w:w="663" w:type="pct"/>
                  <w:vMerge w:val="continue"/>
                  <w:vAlign w:val="center"/>
                </w:tcPr>
                <w:p w14:paraId="71E9AD29">
                  <w:pPr>
                    <w:pStyle w:val="127"/>
                    <w:rPr>
                      <w:color w:val="auto"/>
                      <w:kern w:val="2"/>
                      <w:szCs w:val="21"/>
                    </w:rPr>
                  </w:pPr>
                </w:p>
              </w:tc>
              <w:tc>
                <w:tcPr>
                  <w:tcW w:w="781" w:type="pct"/>
                  <w:vAlign w:val="center"/>
                </w:tcPr>
                <w:p w14:paraId="2CA4ED9D">
                  <w:pPr>
                    <w:pStyle w:val="127"/>
                    <w:rPr>
                      <w:color w:val="auto"/>
                      <w:kern w:val="2"/>
                      <w:szCs w:val="21"/>
                    </w:rPr>
                  </w:pPr>
                  <w:r>
                    <w:rPr>
                      <w:rFonts w:hint="eastAsia"/>
                      <w:color w:val="auto"/>
                      <w:kern w:val="2"/>
                      <w:szCs w:val="21"/>
                    </w:rPr>
                    <w:t>氮氧化物</w:t>
                  </w:r>
                </w:p>
              </w:tc>
              <w:tc>
                <w:tcPr>
                  <w:tcW w:w="548" w:type="pct"/>
                  <w:vMerge w:val="continue"/>
                  <w:vAlign w:val="center"/>
                </w:tcPr>
                <w:p w14:paraId="4E3C7348">
                  <w:pPr>
                    <w:pStyle w:val="127"/>
                    <w:rPr>
                      <w:color w:val="auto"/>
                      <w:kern w:val="2"/>
                      <w:szCs w:val="21"/>
                    </w:rPr>
                  </w:pPr>
                </w:p>
              </w:tc>
              <w:tc>
                <w:tcPr>
                  <w:tcW w:w="658" w:type="pct"/>
                  <w:vAlign w:val="center"/>
                </w:tcPr>
                <w:p w14:paraId="001F636F">
                  <w:pPr>
                    <w:pStyle w:val="127"/>
                    <w:rPr>
                      <w:color w:val="auto"/>
                      <w:kern w:val="2"/>
                      <w:szCs w:val="21"/>
                    </w:rPr>
                  </w:pPr>
                  <w:r>
                    <w:rPr>
                      <w:rFonts w:hint="eastAsia"/>
                      <w:color w:val="auto"/>
                      <w:kern w:val="2"/>
                      <w:szCs w:val="21"/>
                    </w:rPr>
                    <w:t>300</w:t>
                  </w:r>
                </w:p>
              </w:tc>
              <w:tc>
                <w:tcPr>
                  <w:tcW w:w="589" w:type="pct"/>
                  <w:vAlign w:val="center"/>
                </w:tcPr>
                <w:p w14:paraId="4F36375F">
                  <w:pPr>
                    <w:pStyle w:val="127"/>
                    <w:rPr>
                      <w:color w:val="auto"/>
                      <w:kern w:val="2"/>
                      <w:szCs w:val="21"/>
                    </w:rPr>
                  </w:pPr>
                  <w:r>
                    <w:rPr>
                      <w:rFonts w:hint="eastAsia"/>
                      <w:color w:val="auto"/>
                      <w:kern w:val="2"/>
                      <w:szCs w:val="21"/>
                    </w:rPr>
                    <w:t>/</w:t>
                  </w:r>
                </w:p>
              </w:tc>
              <w:tc>
                <w:tcPr>
                  <w:tcW w:w="1237" w:type="pct"/>
                  <w:vAlign w:val="center"/>
                </w:tcPr>
                <w:p w14:paraId="6DF70B21">
                  <w:pPr>
                    <w:pStyle w:val="127"/>
                    <w:rPr>
                      <w:color w:val="auto"/>
                      <w:kern w:val="2"/>
                      <w:szCs w:val="21"/>
                    </w:rPr>
                  </w:pPr>
                  <w:r>
                    <w:rPr>
                      <w:bCs/>
                      <w:color w:val="auto"/>
                      <w:szCs w:val="21"/>
                    </w:rPr>
                    <w:t>大气[2019]56号</w:t>
                  </w:r>
                </w:p>
              </w:tc>
            </w:tr>
            <w:tr w14:paraId="4EE5F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0A1A30DC">
                  <w:pPr>
                    <w:pStyle w:val="127"/>
                    <w:rPr>
                      <w:color w:val="auto"/>
                      <w:kern w:val="2"/>
                      <w:szCs w:val="21"/>
                    </w:rPr>
                  </w:pPr>
                </w:p>
              </w:tc>
              <w:tc>
                <w:tcPr>
                  <w:tcW w:w="663" w:type="pct"/>
                  <w:vMerge w:val="continue"/>
                  <w:vAlign w:val="center"/>
                </w:tcPr>
                <w:p w14:paraId="29D12C68">
                  <w:pPr>
                    <w:pStyle w:val="127"/>
                    <w:rPr>
                      <w:color w:val="auto"/>
                      <w:kern w:val="2"/>
                      <w:szCs w:val="21"/>
                    </w:rPr>
                  </w:pPr>
                </w:p>
              </w:tc>
              <w:tc>
                <w:tcPr>
                  <w:tcW w:w="781" w:type="pct"/>
                  <w:vAlign w:val="center"/>
                </w:tcPr>
                <w:p w14:paraId="58A16C5E">
                  <w:pPr>
                    <w:pStyle w:val="127"/>
                    <w:rPr>
                      <w:color w:val="auto"/>
                      <w:kern w:val="2"/>
                      <w:szCs w:val="21"/>
                    </w:rPr>
                  </w:pPr>
                  <w:r>
                    <w:rPr>
                      <w:rFonts w:hint="eastAsia"/>
                      <w:color w:val="auto"/>
                      <w:kern w:val="2"/>
                      <w:szCs w:val="21"/>
                    </w:rPr>
                    <w:t>二氧化硫</w:t>
                  </w:r>
                </w:p>
              </w:tc>
              <w:tc>
                <w:tcPr>
                  <w:tcW w:w="548" w:type="pct"/>
                  <w:vMerge w:val="continue"/>
                  <w:vAlign w:val="center"/>
                </w:tcPr>
                <w:p w14:paraId="43C74324">
                  <w:pPr>
                    <w:pStyle w:val="127"/>
                    <w:rPr>
                      <w:color w:val="auto"/>
                      <w:kern w:val="2"/>
                      <w:szCs w:val="21"/>
                    </w:rPr>
                  </w:pPr>
                </w:p>
              </w:tc>
              <w:tc>
                <w:tcPr>
                  <w:tcW w:w="658" w:type="pct"/>
                  <w:vAlign w:val="center"/>
                </w:tcPr>
                <w:p w14:paraId="4E67929F">
                  <w:pPr>
                    <w:pStyle w:val="127"/>
                    <w:rPr>
                      <w:color w:val="auto"/>
                      <w:kern w:val="2"/>
                      <w:szCs w:val="21"/>
                    </w:rPr>
                  </w:pPr>
                  <w:r>
                    <w:rPr>
                      <w:rFonts w:hint="eastAsia"/>
                      <w:color w:val="auto"/>
                      <w:kern w:val="2"/>
                      <w:szCs w:val="21"/>
                    </w:rPr>
                    <w:t>200</w:t>
                  </w:r>
                </w:p>
              </w:tc>
              <w:tc>
                <w:tcPr>
                  <w:tcW w:w="589" w:type="pct"/>
                  <w:vAlign w:val="center"/>
                </w:tcPr>
                <w:p w14:paraId="7670AFBB">
                  <w:pPr>
                    <w:pStyle w:val="127"/>
                    <w:rPr>
                      <w:color w:val="auto"/>
                      <w:kern w:val="2"/>
                      <w:szCs w:val="21"/>
                    </w:rPr>
                  </w:pPr>
                  <w:r>
                    <w:rPr>
                      <w:rFonts w:hint="eastAsia"/>
                      <w:color w:val="auto"/>
                      <w:kern w:val="2"/>
                      <w:szCs w:val="21"/>
                    </w:rPr>
                    <w:t>/</w:t>
                  </w:r>
                </w:p>
              </w:tc>
              <w:tc>
                <w:tcPr>
                  <w:tcW w:w="1237" w:type="pct"/>
                  <w:vAlign w:val="center"/>
                </w:tcPr>
                <w:p w14:paraId="5C128E32">
                  <w:pPr>
                    <w:pStyle w:val="127"/>
                    <w:rPr>
                      <w:color w:val="auto"/>
                      <w:kern w:val="2"/>
                      <w:szCs w:val="21"/>
                    </w:rPr>
                  </w:pPr>
                  <w:r>
                    <w:rPr>
                      <w:bCs/>
                      <w:color w:val="auto"/>
                      <w:szCs w:val="21"/>
                    </w:rPr>
                    <w:t>大气[2019]56号</w:t>
                  </w:r>
                </w:p>
              </w:tc>
            </w:tr>
            <w:tr w14:paraId="633ED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restart"/>
                  <w:vAlign w:val="center"/>
                </w:tcPr>
                <w:p w14:paraId="67751C30">
                  <w:pPr>
                    <w:pStyle w:val="127"/>
                    <w:rPr>
                      <w:color w:val="auto"/>
                      <w:kern w:val="2"/>
                      <w:szCs w:val="21"/>
                    </w:rPr>
                  </w:pPr>
                  <w:r>
                    <w:rPr>
                      <w:rFonts w:hint="eastAsia"/>
                      <w:color w:val="auto"/>
                      <w:kern w:val="2"/>
                      <w:szCs w:val="21"/>
                    </w:rPr>
                    <w:t>DA005</w:t>
                  </w:r>
                </w:p>
              </w:tc>
              <w:tc>
                <w:tcPr>
                  <w:tcW w:w="663" w:type="pct"/>
                  <w:vMerge w:val="restart"/>
                  <w:vAlign w:val="center"/>
                </w:tcPr>
                <w:p w14:paraId="12C73D93">
                  <w:pPr>
                    <w:pStyle w:val="127"/>
                    <w:rPr>
                      <w:color w:val="auto"/>
                      <w:kern w:val="2"/>
                      <w:szCs w:val="21"/>
                    </w:rPr>
                  </w:pPr>
                  <w:r>
                    <w:rPr>
                      <w:rFonts w:hint="eastAsia"/>
                      <w:color w:val="auto"/>
                    </w:rPr>
                    <w:t>喷漆、烘烤废气、天然气燃烧</w:t>
                  </w:r>
                </w:p>
              </w:tc>
              <w:tc>
                <w:tcPr>
                  <w:tcW w:w="781" w:type="pct"/>
                  <w:vAlign w:val="center"/>
                </w:tcPr>
                <w:p w14:paraId="0091E59B">
                  <w:pPr>
                    <w:pStyle w:val="127"/>
                    <w:rPr>
                      <w:color w:val="auto"/>
                      <w:kern w:val="2"/>
                      <w:szCs w:val="21"/>
                    </w:rPr>
                  </w:pPr>
                  <w:r>
                    <w:rPr>
                      <w:rFonts w:hint="eastAsia"/>
                      <w:color w:val="auto"/>
                      <w:kern w:val="2"/>
                      <w:szCs w:val="21"/>
                    </w:rPr>
                    <w:t>TVOC</w:t>
                  </w:r>
                </w:p>
              </w:tc>
              <w:tc>
                <w:tcPr>
                  <w:tcW w:w="548" w:type="pct"/>
                  <w:vMerge w:val="restart"/>
                  <w:vAlign w:val="center"/>
                </w:tcPr>
                <w:p w14:paraId="78221D6F">
                  <w:pPr>
                    <w:pStyle w:val="127"/>
                    <w:rPr>
                      <w:color w:val="auto"/>
                      <w:kern w:val="2"/>
                      <w:szCs w:val="21"/>
                    </w:rPr>
                  </w:pPr>
                  <w:r>
                    <w:rPr>
                      <w:rFonts w:hint="eastAsia"/>
                      <w:color w:val="auto"/>
                      <w:kern w:val="2"/>
                      <w:szCs w:val="21"/>
                    </w:rPr>
                    <w:t>45</w:t>
                  </w:r>
                </w:p>
              </w:tc>
              <w:tc>
                <w:tcPr>
                  <w:tcW w:w="658" w:type="pct"/>
                  <w:vAlign w:val="center"/>
                </w:tcPr>
                <w:p w14:paraId="4FD01905">
                  <w:pPr>
                    <w:pStyle w:val="127"/>
                    <w:rPr>
                      <w:color w:val="auto"/>
                      <w:kern w:val="2"/>
                      <w:szCs w:val="21"/>
                    </w:rPr>
                  </w:pPr>
                  <w:r>
                    <w:rPr>
                      <w:rFonts w:hint="eastAsia"/>
                      <w:color w:val="auto"/>
                      <w:kern w:val="2"/>
                      <w:szCs w:val="21"/>
                    </w:rPr>
                    <w:t>100</w:t>
                  </w:r>
                </w:p>
              </w:tc>
              <w:tc>
                <w:tcPr>
                  <w:tcW w:w="589" w:type="pct"/>
                  <w:vAlign w:val="center"/>
                </w:tcPr>
                <w:p w14:paraId="7D5CB732">
                  <w:pPr>
                    <w:pStyle w:val="127"/>
                    <w:rPr>
                      <w:color w:val="auto"/>
                      <w:kern w:val="2"/>
                      <w:szCs w:val="21"/>
                    </w:rPr>
                  </w:pPr>
                  <w:r>
                    <w:rPr>
                      <w:rFonts w:hint="eastAsia"/>
                      <w:color w:val="auto"/>
                      <w:kern w:val="2"/>
                      <w:szCs w:val="21"/>
                    </w:rPr>
                    <w:t>/</w:t>
                  </w:r>
                </w:p>
              </w:tc>
              <w:tc>
                <w:tcPr>
                  <w:tcW w:w="1237" w:type="pct"/>
                  <w:vAlign w:val="center"/>
                </w:tcPr>
                <w:p w14:paraId="68ECE5F5">
                  <w:pPr>
                    <w:pStyle w:val="127"/>
                    <w:rPr>
                      <w:color w:val="auto"/>
                      <w:szCs w:val="21"/>
                    </w:rPr>
                  </w:pPr>
                  <w:r>
                    <w:rPr>
                      <w:color w:val="auto"/>
                      <w:szCs w:val="21"/>
                    </w:rPr>
                    <w:t>DB44/2367-2022</w:t>
                  </w:r>
                </w:p>
              </w:tc>
            </w:tr>
            <w:tr w14:paraId="4A744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7DE39BFE">
                  <w:pPr>
                    <w:pStyle w:val="127"/>
                    <w:rPr>
                      <w:color w:val="auto"/>
                      <w:kern w:val="2"/>
                      <w:szCs w:val="21"/>
                    </w:rPr>
                  </w:pPr>
                </w:p>
              </w:tc>
              <w:tc>
                <w:tcPr>
                  <w:tcW w:w="663" w:type="pct"/>
                  <w:vMerge w:val="continue"/>
                  <w:vAlign w:val="center"/>
                </w:tcPr>
                <w:p w14:paraId="1FE465EC">
                  <w:pPr>
                    <w:pStyle w:val="127"/>
                    <w:rPr>
                      <w:color w:val="auto"/>
                    </w:rPr>
                  </w:pPr>
                </w:p>
              </w:tc>
              <w:tc>
                <w:tcPr>
                  <w:tcW w:w="781" w:type="pct"/>
                  <w:vAlign w:val="center"/>
                </w:tcPr>
                <w:p w14:paraId="1826D1F3">
                  <w:pPr>
                    <w:pStyle w:val="127"/>
                    <w:rPr>
                      <w:color w:val="auto"/>
                      <w:kern w:val="2"/>
                      <w:szCs w:val="21"/>
                    </w:rPr>
                  </w:pPr>
                  <w:r>
                    <w:rPr>
                      <w:rFonts w:hint="eastAsia"/>
                      <w:color w:val="auto"/>
                      <w:kern w:val="2"/>
                      <w:szCs w:val="21"/>
                    </w:rPr>
                    <w:t>NMHC</w:t>
                  </w:r>
                </w:p>
              </w:tc>
              <w:tc>
                <w:tcPr>
                  <w:tcW w:w="548" w:type="pct"/>
                  <w:vMerge w:val="continue"/>
                  <w:vAlign w:val="center"/>
                </w:tcPr>
                <w:p w14:paraId="24510822">
                  <w:pPr>
                    <w:pStyle w:val="127"/>
                    <w:rPr>
                      <w:color w:val="auto"/>
                      <w:kern w:val="2"/>
                      <w:szCs w:val="21"/>
                    </w:rPr>
                  </w:pPr>
                </w:p>
              </w:tc>
              <w:tc>
                <w:tcPr>
                  <w:tcW w:w="658" w:type="pct"/>
                  <w:vAlign w:val="center"/>
                </w:tcPr>
                <w:p w14:paraId="53B1C450">
                  <w:pPr>
                    <w:pStyle w:val="127"/>
                    <w:rPr>
                      <w:color w:val="auto"/>
                      <w:kern w:val="2"/>
                      <w:szCs w:val="21"/>
                    </w:rPr>
                  </w:pPr>
                  <w:r>
                    <w:rPr>
                      <w:rFonts w:hint="eastAsia"/>
                      <w:color w:val="auto"/>
                      <w:kern w:val="2"/>
                      <w:szCs w:val="21"/>
                    </w:rPr>
                    <w:t>80</w:t>
                  </w:r>
                </w:p>
              </w:tc>
              <w:tc>
                <w:tcPr>
                  <w:tcW w:w="589" w:type="pct"/>
                  <w:vAlign w:val="center"/>
                </w:tcPr>
                <w:p w14:paraId="65C5013C">
                  <w:pPr>
                    <w:pStyle w:val="127"/>
                    <w:rPr>
                      <w:color w:val="auto"/>
                      <w:kern w:val="2"/>
                      <w:szCs w:val="21"/>
                    </w:rPr>
                  </w:pPr>
                  <w:r>
                    <w:rPr>
                      <w:rFonts w:hint="eastAsia"/>
                      <w:color w:val="auto"/>
                      <w:kern w:val="2"/>
                      <w:szCs w:val="21"/>
                    </w:rPr>
                    <w:t>/</w:t>
                  </w:r>
                </w:p>
              </w:tc>
              <w:tc>
                <w:tcPr>
                  <w:tcW w:w="1237" w:type="pct"/>
                  <w:vAlign w:val="center"/>
                </w:tcPr>
                <w:p w14:paraId="51CD4246">
                  <w:pPr>
                    <w:pStyle w:val="127"/>
                    <w:rPr>
                      <w:color w:val="auto"/>
                      <w:szCs w:val="21"/>
                    </w:rPr>
                  </w:pPr>
                  <w:r>
                    <w:rPr>
                      <w:color w:val="auto"/>
                      <w:szCs w:val="21"/>
                    </w:rPr>
                    <w:t>DB44/2367-2022</w:t>
                  </w:r>
                </w:p>
              </w:tc>
            </w:tr>
            <w:tr w14:paraId="6B5C9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6A7B7FF4">
                  <w:pPr>
                    <w:pStyle w:val="127"/>
                    <w:rPr>
                      <w:color w:val="auto"/>
                      <w:kern w:val="2"/>
                      <w:szCs w:val="21"/>
                    </w:rPr>
                  </w:pPr>
                </w:p>
              </w:tc>
              <w:tc>
                <w:tcPr>
                  <w:tcW w:w="663" w:type="pct"/>
                  <w:vMerge w:val="continue"/>
                  <w:vAlign w:val="center"/>
                </w:tcPr>
                <w:p w14:paraId="1EE89FB1">
                  <w:pPr>
                    <w:pStyle w:val="127"/>
                    <w:rPr>
                      <w:color w:val="auto"/>
                      <w:kern w:val="2"/>
                      <w:szCs w:val="21"/>
                    </w:rPr>
                  </w:pPr>
                </w:p>
              </w:tc>
              <w:tc>
                <w:tcPr>
                  <w:tcW w:w="781" w:type="pct"/>
                  <w:vAlign w:val="center"/>
                </w:tcPr>
                <w:p w14:paraId="5D42F9EE">
                  <w:pPr>
                    <w:pStyle w:val="127"/>
                    <w:rPr>
                      <w:color w:val="auto"/>
                      <w:kern w:val="2"/>
                      <w:szCs w:val="21"/>
                    </w:rPr>
                  </w:pPr>
                  <w:r>
                    <w:rPr>
                      <w:rFonts w:hint="eastAsia"/>
                      <w:color w:val="auto"/>
                      <w:kern w:val="2"/>
                      <w:szCs w:val="21"/>
                    </w:rPr>
                    <w:t>颗粒物</w:t>
                  </w:r>
                </w:p>
              </w:tc>
              <w:tc>
                <w:tcPr>
                  <w:tcW w:w="548" w:type="pct"/>
                  <w:vMerge w:val="continue"/>
                  <w:vAlign w:val="center"/>
                </w:tcPr>
                <w:p w14:paraId="6D7AF4E0">
                  <w:pPr>
                    <w:pStyle w:val="127"/>
                    <w:rPr>
                      <w:color w:val="auto"/>
                      <w:kern w:val="2"/>
                      <w:szCs w:val="21"/>
                    </w:rPr>
                  </w:pPr>
                </w:p>
              </w:tc>
              <w:tc>
                <w:tcPr>
                  <w:tcW w:w="658" w:type="pct"/>
                  <w:vAlign w:val="center"/>
                </w:tcPr>
                <w:p w14:paraId="21113847">
                  <w:pPr>
                    <w:pStyle w:val="127"/>
                    <w:rPr>
                      <w:color w:val="auto"/>
                      <w:kern w:val="2"/>
                      <w:szCs w:val="21"/>
                    </w:rPr>
                  </w:pPr>
                  <w:r>
                    <w:rPr>
                      <w:rFonts w:hint="eastAsia"/>
                      <w:color w:val="auto"/>
                      <w:kern w:val="2"/>
                      <w:szCs w:val="21"/>
                    </w:rPr>
                    <w:t>30</w:t>
                  </w:r>
                </w:p>
              </w:tc>
              <w:tc>
                <w:tcPr>
                  <w:tcW w:w="589" w:type="pct"/>
                  <w:vAlign w:val="center"/>
                </w:tcPr>
                <w:p w14:paraId="2CA8BBDC">
                  <w:pPr>
                    <w:pStyle w:val="127"/>
                    <w:rPr>
                      <w:color w:val="auto"/>
                      <w:kern w:val="2"/>
                      <w:szCs w:val="21"/>
                    </w:rPr>
                  </w:pPr>
                  <w:r>
                    <w:rPr>
                      <w:rFonts w:hint="eastAsia"/>
                      <w:color w:val="auto"/>
                      <w:kern w:val="2"/>
                      <w:szCs w:val="21"/>
                    </w:rPr>
                    <w:t>/</w:t>
                  </w:r>
                </w:p>
              </w:tc>
              <w:tc>
                <w:tcPr>
                  <w:tcW w:w="1237" w:type="pct"/>
                  <w:vAlign w:val="center"/>
                </w:tcPr>
                <w:p w14:paraId="603BA603">
                  <w:pPr>
                    <w:pStyle w:val="127"/>
                    <w:rPr>
                      <w:color w:val="auto"/>
                      <w:kern w:val="2"/>
                      <w:szCs w:val="21"/>
                    </w:rPr>
                  </w:pPr>
                  <w:r>
                    <w:rPr>
                      <w:color w:val="auto"/>
                      <w:szCs w:val="21"/>
                    </w:rPr>
                    <w:t>DB44/27-2001</w:t>
                  </w:r>
                  <w:r>
                    <w:rPr>
                      <w:rFonts w:hint="eastAsia"/>
                      <w:color w:val="auto"/>
                      <w:szCs w:val="21"/>
                    </w:rPr>
                    <w:t>与</w:t>
                  </w:r>
                  <w:r>
                    <w:rPr>
                      <w:bCs/>
                      <w:color w:val="auto"/>
                      <w:szCs w:val="21"/>
                    </w:rPr>
                    <w:t>大气[2019]56号</w:t>
                  </w:r>
                  <w:r>
                    <w:rPr>
                      <w:rFonts w:hint="eastAsia"/>
                      <w:color w:val="auto"/>
                    </w:rPr>
                    <w:t>较严值</w:t>
                  </w:r>
                </w:p>
              </w:tc>
            </w:tr>
            <w:tr w14:paraId="69DC1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5A5A3203">
                  <w:pPr>
                    <w:pStyle w:val="127"/>
                    <w:rPr>
                      <w:color w:val="auto"/>
                      <w:kern w:val="2"/>
                      <w:szCs w:val="21"/>
                    </w:rPr>
                  </w:pPr>
                </w:p>
              </w:tc>
              <w:tc>
                <w:tcPr>
                  <w:tcW w:w="663" w:type="pct"/>
                  <w:vMerge w:val="continue"/>
                  <w:vAlign w:val="center"/>
                </w:tcPr>
                <w:p w14:paraId="513D7F05">
                  <w:pPr>
                    <w:pStyle w:val="127"/>
                    <w:rPr>
                      <w:color w:val="auto"/>
                      <w:kern w:val="2"/>
                      <w:szCs w:val="21"/>
                    </w:rPr>
                  </w:pPr>
                </w:p>
              </w:tc>
              <w:tc>
                <w:tcPr>
                  <w:tcW w:w="781" w:type="pct"/>
                  <w:vAlign w:val="center"/>
                </w:tcPr>
                <w:p w14:paraId="3F3ECC2A">
                  <w:pPr>
                    <w:pStyle w:val="127"/>
                    <w:rPr>
                      <w:color w:val="auto"/>
                      <w:kern w:val="2"/>
                      <w:szCs w:val="21"/>
                    </w:rPr>
                  </w:pPr>
                  <w:r>
                    <w:rPr>
                      <w:rFonts w:hint="eastAsia"/>
                      <w:color w:val="auto"/>
                      <w:kern w:val="2"/>
                      <w:szCs w:val="21"/>
                    </w:rPr>
                    <w:t>臭气浓度</w:t>
                  </w:r>
                </w:p>
              </w:tc>
              <w:tc>
                <w:tcPr>
                  <w:tcW w:w="548" w:type="pct"/>
                  <w:vMerge w:val="continue"/>
                  <w:vAlign w:val="center"/>
                </w:tcPr>
                <w:p w14:paraId="672B4FEE">
                  <w:pPr>
                    <w:pStyle w:val="127"/>
                    <w:rPr>
                      <w:color w:val="auto"/>
                      <w:kern w:val="2"/>
                      <w:szCs w:val="21"/>
                    </w:rPr>
                  </w:pPr>
                </w:p>
              </w:tc>
              <w:tc>
                <w:tcPr>
                  <w:tcW w:w="1231" w:type="dxa"/>
                  <w:vAlign w:val="center"/>
                </w:tcPr>
                <w:p w14:paraId="03A65427">
                  <w:pPr>
                    <w:pStyle w:val="127"/>
                    <w:rPr>
                      <w:color w:val="auto"/>
                      <w:kern w:val="2"/>
                      <w:szCs w:val="21"/>
                    </w:rPr>
                  </w:pPr>
                  <w:r>
                    <w:rPr>
                      <w:rFonts w:hint="eastAsia"/>
                      <w:color w:val="auto"/>
                      <w:kern w:val="2"/>
                      <w:szCs w:val="21"/>
                    </w:rPr>
                    <w:t>4000</w:t>
                  </w:r>
                </w:p>
              </w:tc>
              <w:tc>
                <w:tcPr>
                  <w:tcW w:w="1102" w:type="dxa"/>
                  <w:vAlign w:val="center"/>
                </w:tcPr>
                <w:p w14:paraId="1EF704DB">
                  <w:pPr>
                    <w:pStyle w:val="127"/>
                    <w:rPr>
                      <w:color w:val="auto"/>
                      <w:kern w:val="2"/>
                      <w:szCs w:val="21"/>
                    </w:rPr>
                  </w:pPr>
                  <w:r>
                    <w:rPr>
                      <w:rFonts w:hint="eastAsia"/>
                      <w:color w:val="auto"/>
                      <w:kern w:val="2"/>
                      <w:szCs w:val="21"/>
                    </w:rPr>
                    <w:t>/</w:t>
                  </w:r>
                </w:p>
              </w:tc>
              <w:tc>
                <w:tcPr>
                  <w:tcW w:w="1237" w:type="pct"/>
                  <w:vAlign w:val="center"/>
                </w:tcPr>
                <w:p w14:paraId="0582113D">
                  <w:pPr>
                    <w:pStyle w:val="127"/>
                    <w:rPr>
                      <w:color w:val="auto"/>
                      <w:kern w:val="2"/>
                      <w:szCs w:val="21"/>
                    </w:rPr>
                  </w:pPr>
                  <w:r>
                    <w:rPr>
                      <w:rFonts w:hint="eastAsia"/>
                      <w:color w:val="auto"/>
                      <w:szCs w:val="21"/>
                    </w:rPr>
                    <w:t>GB14554-93</w:t>
                  </w:r>
                </w:p>
              </w:tc>
            </w:tr>
            <w:tr w14:paraId="43E84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3B4B54A0">
                  <w:pPr>
                    <w:pStyle w:val="127"/>
                    <w:rPr>
                      <w:color w:val="auto"/>
                      <w:kern w:val="2"/>
                      <w:szCs w:val="21"/>
                    </w:rPr>
                  </w:pPr>
                </w:p>
              </w:tc>
              <w:tc>
                <w:tcPr>
                  <w:tcW w:w="663" w:type="pct"/>
                  <w:vMerge w:val="continue"/>
                  <w:vAlign w:val="center"/>
                </w:tcPr>
                <w:p w14:paraId="53FA5245">
                  <w:pPr>
                    <w:pStyle w:val="127"/>
                    <w:rPr>
                      <w:color w:val="auto"/>
                      <w:kern w:val="2"/>
                      <w:szCs w:val="21"/>
                    </w:rPr>
                  </w:pPr>
                </w:p>
              </w:tc>
              <w:tc>
                <w:tcPr>
                  <w:tcW w:w="781" w:type="pct"/>
                  <w:vAlign w:val="center"/>
                </w:tcPr>
                <w:p w14:paraId="4532FA3B">
                  <w:pPr>
                    <w:pStyle w:val="127"/>
                    <w:rPr>
                      <w:color w:val="auto"/>
                      <w:kern w:val="2"/>
                      <w:szCs w:val="21"/>
                    </w:rPr>
                  </w:pPr>
                  <w:r>
                    <w:rPr>
                      <w:rFonts w:hint="eastAsia"/>
                      <w:color w:val="auto"/>
                      <w:kern w:val="2"/>
                      <w:szCs w:val="21"/>
                    </w:rPr>
                    <w:t>氮氧化物</w:t>
                  </w:r>
                </w:p>
              </w:tc>
              <w:tc>
                <w:tcPr>
                  <w:tcW w:w="548" w:type="pct"/>
                  <w:vMerge w:val="continue"/>
                  <w:vAlign w:val="center"/>
                </w:tcPr>
                <w:p w14:paraId="4FB6891E">
                  <w:pPr>
                    <w:pStyle w:val="127"/>
                    <w:rPr>
                      <w:color w:val="auto"/>
                      <w:kern w:val="2"/>
                      <w:szCs w:val="21"/>
                    </w:rPr>
                  </w:pPr>
                </w:p>
              </w:tc>
              <w:tc>
                <w:tcPr>
                  <w:tcW w:w="658" w:type="pct"/>
                  <w:vAlign w:val="center"/>
                </w:tcPr>
                <w:p w14:paraId="28B71C04">
                  <w:pPr>
                    <w:pStyle w:val="127"/>
                    <w:rPr>
                      <w:color w:val="auto"/>
                      <w:kern w:val="2"/>
                      <w:szCs w:val="21"/>
                    </w:rPr>
                  </w:pPr>
                  <w:r>
                    <w:rPr>
                      <w:rFonts w:hint="eastAsia"/>
                      <w:color w:val="auto"/>
                      <w:kern w:val="2"/>
                      <w:szCs w:val="21"/>
                    </w:rPr>
                    <w:t>300</w:t>
                  </w:r>
                </w:p>
              </w:tc>
              <w:tc>
                <w:tcPr>
                  <w:tcW w:w="589" w:type="pct"/>
                  <w:vAlign w:val="center"/>
                </w:tcPr>
                <w:p w14:paraId="13BA904F">
                  <w:pPr>
                    <w:pStyle w:val="127"/>
                    <w:rPr>
                      <w:color w:val="auto"/>
                      <w:kern w:val="2"/>
                      <w:szCs w:val="21"/>
                    </w:rPr>
                  </w:pPr>
                  <w:r>
                    <w:rPr>
                      <w:rFonts w:hint="eastAsia"/>
                      <w:color w:val="auto"/>
                      <w:kern w:val="2"/>
                      <w:szCs w:val="21"/>
                    </w:rPr>
                    <w:t>/</w:t>
                  </w:r>
                </w:p>
              </w:tc>
              <w:tc>
                <w:tcPr>
                  <w:tcW w:w="1237" w:type="pct"/>
                  <w:vAlign w:val="center"/>
                </w:tcPr>
                <w:p w14:paraId="773EEBC8">
                  <w:pPr>
                    <w:pStyle w:val="127"/>
                    <w:rPr>
                      <w:color w:val="auto"/>
                      <w:kern w:val="2"/>
                      <w:szCs w:val="21"/>
                    </w:rPr>
                  </w:pPr>
                  <w:r>
                    <w:rPr>
                      <w:bCs/>
                      <w:color w:val="auto"/>
                      <w:szCs w:val="21"/>
                    </w:rPr>
                    <w:t>大气[2019]56号</w:t>
                  </w:r>
                </w:p>
              </w:tc>
            </w:tr>
            <w:tr w14:paraId="75DCF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40774796">
                  <w:pPr>
                    <w:pStyle w:val="127"/>
                    <w:rPr>
                      <w:color w:val="auto"/>
                      <w:kern w:val="2"/>
                      <w:szCs w:val="21"/>
                    </w:rPr>
                  </w:pPr>
                </w:p>
              </w:tc>
              <w:tc>
                <w:tcPr>
                  <w:tcW w:w="663" w:type="pct"/>
                  <w:vMerge w:val="continue"/>
                  <w:vAlign w:val="center"/>
                </w:tcPr>
                <w:p w14:paraId="3B022600">
                  <w:pPr>
                    <w:pStyle w:val="127"/>
                    <w:rPr>
                      <w:color w:val="auto"/>
                      <w:kern w:val="2"/>
                      <w:szCs w:val="21"/>
                    </w:rPr>
                  </w:pPr>
                </w:p>
              </w:tc>
              <w:tc>
                <w:tcPr>
                  <w:tcW w:w="781" w:type="pct"/>
                  <w:vAlign w:val="center"/>
                </w:tcPr>
                <w:p w14:paraId="5C78A60A">
                  <w:pPr>
                    <w:pStyle w:val="127"/>
                    <w:rPr>
                      <w:color w:val="auto"/>
                      <w:kern w:val="2"/>
                      <w:szCs w:val="21"/>
                    </w:rPr>
                  </w:pPr>
                  <w:r>
                    <w:rPr>
                      <w:rFonts w:hint="eastAsia"/>
                      <w:color w:val="auto"/>
                      <w:kern w:val="2"/>
                      <w:szCs w:val="21"/>
                    </w:rPr>
                    <w:t>二氧化硫</w:t>
                  </w:r>
                </w:p>
              </w:tc>
              <w:tc>
                <w:tcPr>
                  <w:tcW w:w="548" w:type="pct"/>
                  <w:vMerge w:val="continue"/>
                  <w:vAlign w:val="center"/>
                </w:tcPr>
                <w:p w14:paraId="1B86B7E2">
                  <w:pPr>
                    <w:pStyle w:val="127"/>
                    <w:rPr>
                      <w:color w:val="auto"/>
                      <w:kern w:val="2"/>
                      <w:szCs w:val="21"/>
                    </w:rPr>
                  </w:pPr>
                </w:p>
              </w:tc>
              <w:tc>
                <w:tcPr>
                  <w:tcW w:w="658" w:type="pct"/>
                  <w:vAlign w:val="center"/>
                </w:tcPr>
                <w:p w14:paraId="1A49224F">
                  <w:pPr>
                    <w:pStyle w:val="127"/>
                    <w:rPr>
                      <w:color w:val="auto"/>
                      <w:kern w:val="2"/>
                      <w:szCs w:val="21"/>
                    </w:rPr>
                  </w:pPr>
                  <w:r>
                    <w:rPr>
                      <w:rFonts w:hint="eastAsia"/>
                      <w:color w:val="auto"/>
                      <w:kern w:val="2"/>
                      <w:szCs w:val="21"/>
                    </w:rPr>
                    <w:t>200</w:t>
                  </w:r>
                </w:p>
              </w:tc>
              <w:tc>
                <w:tcPr>
                  <w:tcW w:w="589" w:type="pct"/>
                  <w:vAlign w:val="center"/>
                </w:tcPr>
                <w:p w14:paraId="02B5F5F0">
                  <w:pPr>
                    <w:pStyle w:val="127"/>
                    <w:rPr>
                      <w:color w:val="auto"/>
                      <w:kern w:val="2"/>
                      <w:szCs w:val="21"/>
                    </w:rPr>
                  </w:pPr>
                  <w:r>
                    <w:rPr>
                      <w:rFonts w:hint="eastAsia"/>
                      <w:color w:val="auto"/>
                      <w:kern w:val="2"/>
                      <w:szCs w:val="21"/>
                    </w:rPr>
                    <w:t>/</w:t>
                  </w:r>
                </w:p>
              </w:tc>
              <w:tc>
                <w:tcPr>
                  <w:tcW w:w="1237" w:type="pct"/>
                  <w:vAlign w:val="center"/>
                </w:tcPr>
                <w:p w14:paraId="19A8A55F">
                  <w:pPr>
                    <w:pStyle w:val="127"/>
                    <w:rPr>
                      <w:color w:val="auto"/>
                      <w:kern w:val="2"/>
                      <w:szCs w:val="21"/>
                    </w:rPr>
                  </w:pPr>
                  <w:r>
                    <w:rPr>
                      <w:bCs/>
                      <w:color w:val="auto"/>
                      <w:szCs w:val="21"/>
                    </w:rPr>
                    <w:t>大气[2019]56号</w:t>
                  </w:r>
                </w:p>
              </w:tc>
            </w:tr>
            <w:tr w14:paraId="0E216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22" w:type="pct"/>
                  <w:vMerge w:val="restart"/>
                  <w:vAlign w:val="center"/>
                </w:tcPr>
                <w:p w14:paraId="38BB2F8A">
                  <w:pPr>
                    <w:pStyle w:val="127"/>
                    <w:rPr>
                      <w:color w:val="auto"/>
                      <w:kern w:val="2"/>
                      <w:szCs w:val="21"/>
                    </w:rPr>
                  </w:pPr>
                  <w:r>
                    <w:rPr>
                      <w:rFonts w:hint="eastAsia"/>
                      <w:color w:val="auto"/>
                      <w:kern w:val="2"/>
                      <w:szCs w:val="21"/>
                    </w:rPr>
                    <w:t>DA006</w:t>
                  </w:r>
                </w:p>
              </w:tc>
              <w:tc>
                <w:tcPr>
                  <w:tcW w:w="663" w:type="pct"/>
                  <w:vMerge w:val="restart"/>
                  <w:vAlign w:val="center"/>
                </w:tcPr>
                <w:p w14:paraId="001B8D30">
                  <w:pPr>
                    <w:pStyle w:val="127"/>
                    <w:rPr>
                      <w:color w:val="auto"/>
                      <w:kern w:val="2"/>
                      <w:szCs w:val="21"/>
                    </w:rPr>
                  </w:pPr>
                  <w:r>
                    <w:rPr>
                      <w:rFonts w:hint="eastAsia"/>
                      <w:color w:val="auto"/>
                      <w:kern w:val="2"/>
                      <w:szCs w:val="21"/>
                    </w:rPr>
                    <w:t>除锈、天然气燃烧</w:t>
                  </w:r>
                </w:p>
              </w:tc>
              <w:tc>
                <w:tcPr>
                  <w:tcW w:w="781" w:type="pct"/>
                  <w:vAlign w:val="center"/>
                </w:tcPr>
                <w:p w14:paraId="3C042BED">
                  <w:pPr>
                    <w:pStyle w:val="127"/>
                    <w:rPr>
                      <w:color w:val="auto"/>
                      <w:kern w:val="2"/>
                      <w:szCs w:val="21"/>
                    </w:rPr>
                  </w:pPr>
                  <w:r>
                    <w:rPr>
                      <w:rFonts w:hint="eastAsia"/>
                      <w:color w:val="auto"/>
                      <w:kern w:val="2"/>
                      <w:szCs w:val="21"/>
                    </w:rPr>
                    <w:t>硫酸雾</w:t>
                  </w:r>
                </w:p>
              </w:tc>
              <w:tc>
                <w:tcPr>
                  <w:tcW w:w="548" w:type="pct"/>
                  <w:vMerge w:val="restart"/>
                  <w:vAlign w:val="center"/>
                </w:tcPr>
                <w:p w14:paraId="0715F380">
                  <w:pPr>
                    <w:pStyle w:val="127"/>
                    <w:rPr>
                      <w:color w:val="auto"/>
                      <w:kern w:val="2"/>
                      <w:szCs w:val="21"/>
                    </w:rPr>
                  </w:pPr>
                  <w:r>
                    <w:rPr>
                      <w:rFonts w:hint="eastAsia"/>
                      <w:color w:val="auto"/>
                      <w:kern w:val="2"/>
                      <w:szCs w:val="21"/>
                    </w:rPr>
                    <w:t>45</w:t>
                  </w:r>
                </w:p>
              </w:tc>
              <w:tc>
                <w:tcPr>
                  <w:tcW w:w="658" w:type="pct"/>
                  <w:vAlign w:val="center"/>
                </w:tcPr>
                <w:p w14:paraId="702B338A">
                  <w:pPr>
                    <w:pStyle w:val="127"/>
                    <w:rPr>
                      <w:color w:val="auto"/>
                      <w:kern w:val="2"/>
                      <w:szCs w:val="21"/>
                    </w:rPr>
                  </w:pPr>
                  <w:r>
                    <w:rPr>
                      <w:rFonts w:hint="eastAsia"/>
                      <w:color w:val="auto"/>
                      <w:kern w:val="2"/>
                      <w:szCs w:val="21"/>
                    </w:rPr>
                    <w:t>35</w:t>
                  </w:r>
                </w:p>
              </w:tc>
              <w:tc>
                <w:tcPr>
                  <w:tcW w:w="589" w:type="pct"/>
                  <w:vAlign w:val="center"/>
                </w:tcPr>
                <w:p w14:paraId="44651E42">
                  <w:pPr>
                    <w:pStyle w:val="127"/>
                    <w:rPr>
                      <w:color w:val="auto"/>
                      <w:kern w:val="2"/>
                      <w:szCs w:val="21"/>
                    </w:rPr>
                  </w:pPr>
                  <w:r>
                    <w:rPr>
                      <w:rFonts w:hint="eastAsia"/>
                      <w:color w:val="auto"/>
                      <w:kern w:val="2"/>
                      <w:szCs w:val="21"/>
                    </w:rPr>
                    <w:t>9.5</w:t>
                  </w:r>
                </w:p>
              </w:tc>
              <w:tc>
                <w:tcPr>
                  <w:tcW w:w="1237" w:type="pct"/>
                  <w:vAlign w:val="center"/>
                </w:tcPr>
                <w:p w14:paraId="76469DD1">
                  <w:pPr>
                    <w:pStyle w:val="127"/>
                    <w:rPr>
                      <w:color w:val="auto"/>
                    </w:rPr>
                  </w:pPr>
                  <w:r>
                    <w:rPr>
                      <w:color w:val="auto"/>
                      <w:szCs w:val="21"/>
                    </w:rPr>
                    <w:t>DB44/27-2001</w:t>
                  </w:r>
                </w:p>
              </w:tc>
            </w:tr>
            <w:tr w14:paraId="310AD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322A61DF">
                  <w:pPr>
                    <w:pStyle w:val="127"/>
                    <w:rPr>
                      <w:color w:val="auto"/>
                      <w:kern w:val="2"/>
                      <w:szCs w:val="21"/>
                    </w:rPr>
                  </w:pPr>
                </w:p>
              </w:tc>
              <w:tc>
                <w:tcPr>
                  <w:tcW w:w="663" w:type="pct"/>
                  <w:vMerge w:val="continue"/>
                  <w:vAlign w:val="center"/>
                </w:tcPr>
                <w:p w14:paraId="1EF96634">
                  <w:pPr>
                    <w:pStyle w:val="127"/>
                    <w:rPr>
                      <w:color w:val="auto"/>
                      <w:kern w:val="2"/>
                      <w:szCs w:val="21"/>
                    </w:rPr>
                  </w:pPr>
                </w:p>
              </w:tc>
              <w:tc>
                <w:tcPr>
                  <w:tcW w:w="781" w:type="pct"/>
                  <w:vAlign w:val="center"/>
                </w:tcPr>
                <w:p w14:paraId="60D2A996">
                  <w:pPr>
                    <w:pStyle w:val="127"/>
                    <w:rPr>
                      <w:color w:val="auto"/>
                      <w:kern w:val="2"/>
                      <w:szCs w:val="21"/>
                    </w:rPr>
                  </w:pPr>
                  <w:r>
                    <w:rPr>
                      <w:rFonts w:hint="eastAsia"/>
                      <w:color w:val="auto"/>
                      <w:kern w:val="2"/>
                      <w:szCs w:val="21"/>
                    </w:rPr>
                    <w:t>颗粒物</w:t>
                  </w:r>
                </w:p>
              </w:tc>
              <w:tc>
                <w:tcPr>
                  <w:tcW w:w="548" w:type="pct"/>
                  <w:vMerge w:val="continue"/>
                  <w:vAlign w:val="center"/>
                </w:tcPr>
                <w:p w14:paraId="0CC0D163">
                  <w:pPr>
                    <w:pStyle w:val="127"/>
                    <w:rPr>
                      <w:color w:val="auto"/>
                      <w:kern w:val="2"/>
                      <w:szCs w:val="21"/>
                    </w:rPr>
                  </w:pPr>
                </w:p>
              </w:tc>
              <w:tc>
                <w:tcPr>
                  <w:tcW w:w="658" w:type="pct"/>
                  <w:vAlign w:val="center"/>
                </w:tcPr>
                <w:p w14:paraId="5C2D7A09">
                  <w:pPr>
                    <w:pStyle w:val="127"/>
                    <w:rPr>
                      <w:color w:val="auto"/>
                      <w:kern w:val="2"/>
                      <w:szCs w:val="21"/>
                    </w:rPr>
                  </w:pPr>
                  <w:r>
                    <w:rPr>
                      <w:rFonts w:hint="eastAsia"/>
                      <w:color w:val="auto"/>
                      <w:kern w:val="2"/>
                      <w:szCs w:val="21"/>
                    </w:rPr>
                    <w:t>30</w:t>
                  </w:r>
                </w:p>
              </w:tc>
              <w:tc>
                <w:tcPr>
                  <w:tcW w:w="589" w:type="pct"/>
                  <w:vAlign w:val="center"/>
                </w:tcPr>
                <w:p w14:paraId="57AF9884">
                  <w:pPr>
                    <w:pStyle w:val="127"/>
                    <w:rPr>
                      <w:color w:val="auto"/>
                      <w:kern w:val="2"/>
                      <w:szCs w:val="21"/>
                    </w:rPr>
                  </w:pPr>
                  <w:r>
                    <w:rPr>
                      <w:rFonts w:hint="eastAsia"/>
                      <w:color w:val="auto"/>
                      <w:kern w:val="2"/>
                      <w:szCs w:val="21"/>
                    </w:rPr>
                    <w:t>/</w:t>
                  </w:r>
                </w:p>
              </w:tc>
              <w:tc>
                <w:tcPr>
                  <w:tcW w:w="1237" w:type="pct"/>
                  <w:vAlign w:val="center"/>
                </w:tcPr>
                <w:p w14:paraId="067AD35A">
                  <w:pPr>
                    <w:pStyle w:val="127"/>
                    <w:rPr>
                      <w:color w:val="auto"/>
                    </w:rPr>
                  </w:pPr>
                  <w:r>
                    <w:rPr>
                      <w:bCs/>
                      <w:color w:val="auto"/>
                      <w:szCs w:val="21"/>
                    </w:rPr>
                    <w:t>大气[2019]56号</w:t>
                  </w:r>
                </w:p>
              </w:tc>
            </w:tr>
            <w:tr w14:paraId="248D8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08E1D9AB">
                  <w:pPr>
                    <w:pStyle w:val="127"/>
                    <w:rPr>
                      <w:color w:val="auto"/>
                      <w:kern w:val="2"/>
                      <w:szCs w:val="21"/>
                    </w:rPr>
                  </w:pPr>
                </w:p>
              </w:tc>
              <w:tc>
                <w:tcPr>
                  <w:tcW w:w="663" w:type="pct"/>
                  <w:vMerge w:val="continue"/>
                  <w:vAlign w:val="center"/>
                </w:tcPr>
                <w:p w14:paraId="5B682320">
                  <w:pPr>
                    <w:pStyle w:val="127"/>
                    <w:rPr>
                      <w:color w:val="auto"/>
                      <w:kern w:val="2"/>
                      <w:szCs w:val="21"/>
                    </w:rPr>
                  </w:pPr>
                </w:p>
              </w:tc>
              <w:tc>
                <w:tcPr>
                  <w:tcW w:w="781" w:type="pct"/>
                  <w:vAlign w:val="center"/>
                </w:tcPr>
                <w:p w14:paraId="451870B2">
                  <w:pPr>
                    <w:pStyle w:val="127"/>
                    <w:rPr>
                      <w:color w:val="auto"/>
                      <w:kern w:val="2"/>
                      <w:szCs w:val="21"/>
                    </w:rPr>
                  </w:pPr>
                  <w:r>
                    <w:rPr>
                      <w:rFonts w:hint="eastAsia"/>
                      <w:color w:val="auto"/>
                      <w:kern w:val="2"/>
                      <w:szCs w:val="21"/>
                    </w:rPr>
                    <w:t>氮氧化物</w:t>
                  </w:r>
                </w:p>
              </w:tc>
              <w:tc>
                <w:tcPr>
                  <w:tcW w:w="548" w:type="pct"/>
                  <w:vMerge w:val="continue"/>
                  <w:vAlign w:val="center"/>
                </w:tcPr>
                <w:p w14:paraId="55A82FFC">
                  <w:pPr>
                    <w:pStyle w:val="127"/>
                    <w:rPr>
                      <w:color w:val="auto"/>
                      <w:kern w:val="2"/>
                      <w:szCs w:val="21"/>
                    </w:rPr>
                  </w:pPr>
                </w:p>
              </w:tc>
              <w:tc>
                <w:tcPr>
                  <w:tcW w:w="658" w:type="pct"/>
                  <w:vAlign w:val="center"/>
                </w:tcPr>
                <w:p w14:paraId="3045AFCA">
                  <w:pPr>
                    <w:pStyle w:val="127"/>
                    <w:rPr>
                      <w:color w:val="auto"/>
                      <w:kern w:val="2"/>
                      <w:szCs w:val="21"/>
                    </w:rPr>
                  </w:pPr>
                  <w:r>
                    <w:rPr>
                      <w:rFonts w:hint="eastAsia"/>
                      <w:color w:val="auto"/>
                      <w:kern w:val="2"/>
                      <w:szCs w:val="21"/>
                    </w:rPr>
                    <w:t>300</w:t>
                  </w:r>
                </w:p>
              </w:tc>
              <w:tc>
                <w:tcPr>
                  <w:tcW w:w="589" w:type="pct"/>
                  <w:vAlign w:val="center"/>
                </w:tcPr>
                <w:p w14:paraId="7C7598AB">
                  <w:pPr>
                    <w:pStyle w:val="127"/>
                    <w:rPr>
                      <w:color w:val="auto"/>
                      <w:kern w:val="2"/>
                      <w:szCs w:val="21"/>
                    </w:rPr>
                  </w:pPr>
                  <w:r>
                    <w:rPr>
                      <w:rFonts w:hint="eastAsia"/>
                      <w:color w:val="auto"/>
                      <w:kern w:val="2"/>
                      <w:szCs w:val="21"/>
                    </w:rPr>
                    <w:t>/</w:t>
                  </w:r>
                </w:p>
              </w:tc>
              <w:tc>
                <w:tcPr>
                  <w:tcW w:w="1237" w:type="pct"/>
                  <w:vAlign w:val="center"/>
                </w:tcPr>
                <w:p w14:paraId="466ED27B">
                  <w:pPr>
                    <w:pStyle w:val="127"/>
                    <w:rPr>
                      <w:color w:val="auto"/>
                    </w:rPr>
                  </w:pPr>
                  <w:r>
                    <w:rPr>
                      <w:bCs/>
                      <w:color w:val="auto"/>
                      <w:szCs w:val="21"/>
                    </w:rPr>
                    <w:t>大气[2019]56号</w:t>
                  </w:r>
                </w:p>
              </w:tc>
            </w:tr>
            <w:tr w14:paraId="20296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22" w:type="pct"/>
                  <w:vMerge w:val="continue"/>
                  <w:vAlign w:val="center"/>
                </w:tcPr>
                <w:p w14:paraId="640D4970">
                  <w:pPr>
                    <w:pStyle w:val="127"/>
                    <w:rPr>
                      <w:color w:val="auto"/>
                      <w:kern w:val="2"/>
                      <w:szCs w:val="21"/>
                    </w:rPr>
                  </w:pPr>
                </w:p>
              </w:tc>
              <w:tc>
                <w:tcPr>
                  <w:tcW w:w="663" w:type="pct"/>
                  <w:vMerge w:val="continue"/>
                  <w:vAlign w:val="center"/>
                </w:tcPr>
                <w:p w14:paraId="6CC7474B">
                  <w:pPr>
                    <w:pStyle w:val="127"/>
                    <w:rPr>
                      <w:color w:val="auto"/>
                      <w:kern w:val="2"/>
                      <w:szCs w:val="21"/>
                    </w:rPr>
                  </w:pPr>
                </w:p>
              </w:tc>
              <w:tc>
                <w:tcPr>
                  <w:tcW w:w="781" w:type="pct"/>
                  <w:vAlign w:val="center"/>
                </w:tcPr>
                <w:p w14:paraId="340700E2">
                  <w:pPr>
                    <w:pStyle w:val="127"/>
                    <w:rPr>
                      <w:color w:val="auto"/>
                      <w:kern w:val="2"/>
                      <w:szCs w:val="21"/>
                    </w:rPr>
                  </w:pPr>
                  <w:r>
                    <w:rPr>
                      <w:rFonts w:hint="eastAsia"/>
                      <w:color w:val="auto"/>
                      <w:kern w:val="2"/>
                      <w:szCs w:val="21"/>
                    </w:rPr>
                    <w:t>二氧化硫</w:t>
                  </w:r>
                </w:p>
              </w:tc>
              <w:tc>
                <w:tcPr>
                  <w:tcW w:w="548" w:type="pct"/>
                  <w:vMerge w:val="continue"/>
                  <w:vAlign w:val="center"/>
                </w:tcPr>
                <w:p w14:paraId="0BB9A2AA">
                  <w:pPr>
                    <w:pStyle w:val="127"/>
                    <w:rPr>
                      <w:color w:val="auto"/>
                      <w:kern w:val="2"/>
                      <w:szCs w:val="21"/>
                    </w:rPr>
                  </w:pPr>
                </w:p>
              </w:tc>
              <w:tc>
                <w:tcPr>
                  <w:tcW w:w="658" w:type="pct"/>
                  <w:vAlign w:val="center"/>
                </w:tcPr>
                <w:p w14:paraId="6BA20EF3">
                  <w:pPr>
                    <w:pStyle w:val="127"/>
                    <w:rPr>
                      <w:color w:val="auto"/>
                      <w:kern w:val="2"/>
                      <w:szCs w:val="21"/>
                    </w:rPr>
                  </w:pPr>
                  <w:r>
                    <w:rPr>
                      <w:rFonts w:hint="eastAsia"/>
                      <w:color w:val="auto"/>
                      <w:kern w:val="2"/>
                      <w:szCs w:val="21"/>
                    </w:rPr>
                    <w:t>200</w:t>
                  </w:r>
                </w:p>
              </w:tc>
              <w:tc>
                <w:tcPr>
                  <w:tcW w:w="589" w:type="pct"/>
                  <w:vAlign w:val="center"/>
                </w:tcPr>
                <w:p w14:paraId="43246D26">
                  <w:pPr>
                    <w:pStyle w:val="127"/>
                    <w:rPr>
                      <w:color w:val="auto"/>
                      <w:kern w:val="2"/>
                      <w:szCs w:val="21"/>
                    </w:rPr>
                  </w:pPr>
                  <w:r>
                    <w:rPr>
                      <w:rFonts w:hint="eastAsia"/>
                      <w:color w:val="auto"/>
                      <w:kern w:val="2"/>
                      <w:szCs w:val="21"/>
                    </w:rPr>
                    <w:t>/</w:t>
                  </w:r>
                </w:p>
              </w:tc>
              <w:tc>
                <w:tcPr>
                  <w:tcW w:w="1237" w:type="pct"/>
                  <w:vAlign w:val="center"/>
                </w:tcPr>
                <w:p w14:paraId="677C21CB">
                  <w:pPr>
                    <w:pStyle w:val="127"/>
                    <w:rPr>
                      <w:color w:val="auto"/>
                    </w:rPr>
                  </w:pPr>
                  <w:r>
                    <w:rPr>
                      <w:bCs/>
                      <w:color w:val="auto"/>
                      <w:szCs w:val="21"/>
                    </w:rPr>
                    <w:t>大气[2019]56号</w:t>
                  </w:r>
                </w:p>
              </w:tc>
            </w:tr>
            <w:tr w14:paraId="72ACA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5000" w:type="pct"/>
                  <w:gridSpan w:val="7"/>
                  <w:vAlign w:val="center"/>
                </w:tcPr>
                <w:p w14:paraId="6F026B94">
                  <w:pPr>
                    <w:pStyle w:val="127"/>
                    <w:jc w:val="both"/>
                    <w:rPr>
                      <w:color w:val="auto"/>
                      <w:szCs w:val="21"/>
                    </w:rPr>
                  </w:pPr>
                  <w:r>
                    <w:rPr>
                      <w:color w:val="auto"/>
                      <w:szCs w:val="21"/>
                    </w:rPr>
                    <w:t>注：</w:t>
                  </w:r>
                  <w:r>
                    <w:rPr>
                      <w:rFonts w:eastAsia="微软雅黑"/>
                      <w:color w:val="auto"/>
                      <w:szCs w:val="21"/>
                    </w:rPr>
                    <w:t>①</w:t>
                  </w:r>
                  <w:r>
                    <w:rPr>
                      <w:color w:val="auto"/>
                      <w:szCs w:val="21"/>
                    </w:rPr>
                    <w:t>项目排气筒高度</w:t>
                  </w:r>
                  <w:r>
                    <w:rPr>
                      <w:rFonts w:hint="eastAsia"/>
                      <w:color w:val="auto"/>
                      <w:szCs w:val="21"/>
                    </w:rPr>
                    <w:t>未</w:t>
                  </w:r>
                  <w:r>
                    <w:rPr>
                      <w:color w:val="auto"/>
                      <w:szCs w:val="21"/>
                    </w:rPr>
                    <w:t>高</w:t>
                  </w:r>
                  <w:r>
                    <w:rPr>
                      <w:rFonts w:hint="eastAsia"/>
                      <w:color w:val="auto"/>
                      <w:szCs w:val="21"/>
                    </w:rPr>
                    <w:t>于宝居乐工业园最高</w:t>
                  </w:r>
                  <w:r>
                    <w:rPr>
                      <w:color w:val="auto"/>
                      <w:szCs w:val="21"/>
                    </w:rPr>
                    <w:t>厂房高度（</w:t>
                  </w:r>
                  <w:r>
                    <w:rPr>
                      <w:rFonts w:hint="eastAsia"/>
                      <w:color w:val="auto"/>
                      <w:szCs w:val="21"/>
                    </w:rPr>
                    <w:t>41.6</w:t>
                  </w:r>
                  <w:r>
                    <w:rPr>
                      <w:color w:val="auto"/>
                      <w:szCs w:val="21"/>
                    </w:rPr>
                    <w:t>m）</w:t>
                  </w:r>
                  <w:r>
                    <w:rPr>
                      <w:rFonts w:hint="eastAsia"/>
                      <w:color w:val="auto"/>
                      <w:szCs w:val="21"/>
                    </w:rPr>
                    <w:t>5m以上，根据</w:t>
                  </w:r>
                  <w:r>
                    <w:rPr>
                      <w:color w:val="auto"/>
                      <w:szCs w:val="21"/>
                    </w:rPr>
                    <w:t>DB44/27-2001</w:t>
                  </w:r>
                  <w:r>
                    <w:rPr>
                      <w:rFonts w:hint="eastAsia"/>
                      <w:color w:val="auto"/>
                      <w:szCs w:val="21"/>
                    </w:rPr>
                    <w:t>，排放速率需折半；</w:t>
                  </w:r>
                </w:p>
                <w:p w14:paraId="4AE5F31E">
                  <w:pPr>
                    <w:pStyle w:val="127"/>
                    <w:jc w:val="both"/>
                    <w:rPr>
                      <w:color w:val="auto"/>
                      <w:szCs w:val="21"/>
                    </w:rPr>
                  </w:pPr>
                  <w:r>
                    <w:rPr>
                      <w:color w:val="auto"/>
                      <w:szCs w:val="21"/>
                    </w:rPr>
                    <w:t>②排气筒DA003/DA004/DA005</w:t>
                  </w:r>
                  <w:r>
                    <w:rPr>
                      <w:rFonts w:hint="eastAsia"/>
                      <w:color w:val="auto"/>
                      <w:szCs w:val="21"/>
                    </w:rPr>
                    <w:t>排放高度为45m，采用四舍五入方法，则应执行GB14554-93中50m高度对应的排放限值。</w:t>
                  </w:r>
                </w:p>
              </w:tc>
            </w:tr>
          </w:tbl>
          <w:p w14:paraId="6430DF0E">
            <w:pPr>
              <w:pStyle w:val="43"/>
              <w:ind w:firstLine="482"/>
              <w:rPr>
                <w:b/>
                <w:color w:val="auto"/>
              </w:rPr>
            </w:pPr>
          </w:p>
          <w:p w14:paraId="41E9FA6C">
            <w:pPr>
              <w:pStyle w:val="43"/>
              <w:ind w:firstLine="482"/>
              <w:rPr>
                <w:b/>
                <w:color w:val="auto"/>
              </w:rPr>
            </w:pPr>
            <w:r>
              <w:rPr>
                <w:b/>
                <w:color w:val="auto"/>
              </w:rPr>
              <w:t>（2）生产无组织废气</w:t>
            </w:r>
          </w:p>
          <w:p w14:paraId="4838CF03">
            <w:pPr>
              <w:pStyle w:val="43"/>
              <w:rPr>
                <w:color w:val="auto"/>
              </w:rPr>
            </w:pPr>
            <w:r>
              <w:rPr>
                <w:color w:val="auto"/>
              </w:rPr>
              <w:t>厂区内VOCs无组织排放监控点浓度执行广东省《固定污染源挥发性有机物综合排放标准》（DB44/2367-2022）中表3厂区内VOCs无组织排放限值</w:t>
            </w:r>
            <w:r>
              <w:rPr>
                <w:color w:val="auto"/>
                <w:szCs w:val="21"/>
              </w:rPr>
              <w:t>。</w:t>
            </w:r>
          </w:p>
          <w:p w14:paraId="466A6E65">
            <w:pPr>
              <w:pStyle w:val="43"/>
              <w:rPr>
                <w:color w:val="auto"/>
              </w:rPr>
            </w:pPr>
            <w:r>
              <w:rPr>
                <w:rFonts w:hint="eastAsia"/>
                <w:color w:val="auto"/>
              </w:rPr>
              <w:t>厂界颗粒物排放执行《工业炉窑大气污染物排放标准》（GB9078-1996）表3其他炉窑无组织排放烟（粉）尘最高允许浓度和</w:t>
            </w:r>
            <w:r>
              <w:rPr>
                <w:color w:val="auto"/>
              </w:rPr>
              <w:t>广东省《大气污染物排放限值》（DB44/27-2001）第二时段无组织排放监控浓度限值</w:t>
            </w:r>
            <w:r>
              <w:rPr>
                <w:rFonts w:hint="eastAsia"/>
                <w:color w:val="auto"/>
              </w:rPr>
              <w:t>的较严者要求；</w:t>
            </w:r>
            <w:r>
              <w:rPr>
                <w:color w:val="auto"/>
              </w:rPr>
              <w:t>厂界硫酸雾</w:t>
            </w:r>
            <w:r>
              <w:rPr>
                <w:rFonts w:hint="eastAsia"/>
                <w:color w:val="auto"/>
              </w:rPr>
              <w:t>、氮氧化物、二氧化硫</w:t>
            </w:r>
            <w:r>
              <w:rPr>
                <w:color w:val="auto"/>
              </w:rPr>
              <w:t>无组织排放监控点浓度执行广东省《大气污染物排放限值》（DB44/27-2001）第二时段无组织排放监控浓度限值。</w:t>
            </w:r>
          </w:p>
          <w:p w14:paraId="7C19FD64">
            <w:pPr>
              <w:pStyle w:val="43"/>
              <w:rPr>
                <w:color w:val="auto"/>
              </w:rPr>
            </w:pPr>
            <w:r>
              <w:rPr>
                <w:color w:val="auto"/>
              </w:rPr>
              <w:t>项目自建</w:t>
            </w:r>
            <w:r>
              <w:rPr>
                <w:rFonts w:hint="eastAsia"/>
                <w:color w:val="auto"/>
              </w:rPr>
              <w:t>废水处理设施</w:t>
            </w:r>
            <w:r>
              <w:rPr>
                <w:color w:val="auto"/>
              </w:rPr>
              <w:t>恶臭气体</w:t>
            </w:r>
            <w:r>
              <w:rPr>
                <w:bCs/>
                <w:color w:val="auto"/>
                <w:szCs w:val="24"/>
                <w:lang w:bidi="ar"/>
              </w:rPr>
              <w:t>（氨、硫化氢、臭气浓度）</w:t>
            </w:r>
            <w:r>
              <w:rPr>
                <w:color w:val="auto"/>
              </w:rPr>
              <w:t>排放执行《恶臭污染物排放标准》（GB14554-1993）表1恶臭污染物厂界二级新扩改建标准值。</w:t>
            </w:r>
          </w:p>
          <w:p w14:paraId="0C1AEA54">
            <w:pPr>
              <w:pStyle w:val="43"/>
              <w:rPr>
                <w:color w:val="auto"/>
              </w:rPr>
            </w:pPr>
            <w:r>
              <w:rPr>
                <w:rFonts w:hint="eastAsia"/>
                <w:color w:val="auto"/>
              </w:rPr>
              <w:t>具体执行标准如下表：</w:t>
            </w:r>
          </w:p>
          <w:p w14:paraId="7F9C5BDF">
            <w:pPr>
              <w:widowControl/>
              <w:numPr>
                <w:ilvl w:val="0"/>
                <w:numId w:val="17"/>
              </w:numPr>
              <w:autoSpaceDE w:val="0"/>
              <w:autoSpaceDN w:val="0"/>
              <w:adjustRightInd w:val="0"/>
              <w:snapToGrid w:val="0"/>
              <w:jc w:val="center"/>
              <w:rPr>
                <w:b/>
                <w:color w:val="auto"/>
                <w:szCs w:val="21"/>
              </w:rPr>
            </w:pPr>
            <w:r>
              <w:rPr>
                <w:b/>
                <w:color w:val="auto"/>
                <w:szCs w:val="21"/>
              </w:rPr>
              <w:t xml:space="preserve"> 项目无组织废气排放标准一览表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36"/>
              <w:gridCol w:w="1093"/>
              <w:gridCol w:w="952"/>
              <w:gridCol w:w="1644"/>
              <w:gridCol w:w="4252"/>
            </w:tblGrid>
            <w:tr w14:paraId="68C8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tcMar>
                    <w:top w:w="0" w:type="dxa"/>
                    <w:left w:w="108" w:type="dxa"/>
                    <w:bottom w:w="0" w:type="dxa"/>
                    <w:right w:w="108" w:type="dxa"/>
                  </w:tcMar>
                  <w:vAlign w:val="center"/>
                </w:tcPr>
                <w:p w14:paraId="2C7D8588">
                  <w:pPr>
                    <w:adjustRightInd w:val="0"/>
                    <w:snapToGrid w:val="0"/>
                    <w:jc w:val="center"/>
                    <w:rPr>
                      <w:b/>
                      <w:color w:val="auto"/>
                      <w:szCs w:val="21"/>
                    </w:rPr>
                  </w:pPr>
                  <w:r>
                    <w:rPr>
                      <w:b/>
                      <w:color w:val="auto"/>
                      <w:szCs w:val="21"/>
                    </w:rPr>
                    <w:t>监控点位置</w:t>
                  </w:r>
                </w:p>
              </w:tc>
              <w:tc>
                <w:tcPr>
                  <w:tcW w:w="589" w:type="pct"/>
                  <w:tcMar>
                    <w:top w:w="0" w:type="dxa"/>
                    <w:left w:w="108" w:type="dxa"/>
                    <w:bottom w:w="0" w:type="dxa"/>
                    <w:right w:w="108" w:type="dxa"/>
                  </w:tcMar>
                  <w:vAlign w:val="center"/>
                </w:tcPr>
                <w:p w14:paraId="66786E46">
                  <w:pPr>
                    <w:snapToGrid w:val="0"/>
                    <w:jc w:val="center"/>
                    <w:rPr>
                      <w:b/>
                      <w:color w:val="auto"/>
                      <w:szCs w:val="21"/>
                    </w:rPr>
                  </w:pPr>
                  <w:r>
                    <w:rPr>
                      <w:b/>
                      <w:color w:val="auto"/>
                      <w:szCs w:val="21"/>
                    </w:rPr>
                    <w:t>污染物</w:t>
                  </w:r>
                </w:p>
              </w:tc>
              <w:tc>
                <w:tcPr>
                  <w:tcW w:w="1399" w:type="pct"/>
                  <w:gridSpan w:val="2"/>
                  <w:tcMar>
                    <w:top w:w="0" w:type="dxa"/>
                    <w:left w:w="108" w:type="dxa"/>
                    <w:bottom w:w="0" w:type="dxa"/>
                    <w:right w:w="108" w:type="dxa"/>
                  </w:tcMar>
                  <w:vAlign w:val="center"/>
                </w:tcPr>
                <w:p w14:paraId="352B524A">
                  <w:pPr>
                    <w:snapToGrid w:val="0"/>
                    <w:jc w:val="center"/>
                    <w:rPr>
                      <w:b/>
                      <w:color w:val="auto"/>
                      <w:szCs w:val="21"/>
                    </w:rPr>
                  </w:pPr>
                  <w:r>
                    <w:rPr>
                      <w:b/>
                      <w:color w:val="auto"/>
                      <w:szCs w:val="21"/>
                    </w:rPr>
                    <w:t>监控点浓度限值mg/m</w:t>
                  </w:r>
                  <w:r>
                    <w:rPr>
                      <w:b/>
                      <w:color w:val="auto"/>
                      <w:szCs w:val="21"/>
                      <w:vertAlign w:val="superscript"/>
                    </w:rPr>
                    <w:t>3</w:t>
                  </w:r>
                </w:p>
              </w:tc>
              <w:tc>
                <w:tcPr>
                  <w:tcW w:w="2291" w:type="pct"/>
                  <w:tcMar>
                    <w:top w:w="0" w:type="dxa"/>
                    <w:left w:w="108" w:type="dxa"/>
                    <w:bottom w:w="0" w:type="dxa"/>
                    <w:right w:w="108" w:type="dxa"/>
                  </w:tcMar>
                  <w:vAlign w:val="center"/>
                </w:tcPr>
                <w:p w14:paraId="5A00B912">
                  <w:pPr>
                    <w:snapToGrid w:val="0"/>
                    <w:jc w:val="center"/>
                    <w:rPr>
                      <w:b/>
                      <w:color w:val="auto"/>
                      <w:szCs w:val="21"/>
                    </w:rPr>
                  </w:pPr>
                  <w:r>
                    <w:rPr>
                      <w:b/>
                      <w:color w:val="auto"/>
                      <w:szCs w:val="21"/>
                    </w:rPr>
                    <w:t>执行标准</w:t>
                  </w:r>
                </w:p>
              </w:tc>
            </w:tr>
            <w:tr w14:paraId="6FEF8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restart"/>
                  <w:tcMar>
                    <w:top w:w="0" w:type="dxa"/>
                    <w:left w:w="108" w:type="dxa"/>
                    <w:bottom w:w="0" w:type="dxa"/>
                    <w:right w:w="108" w:type="dxa"/>
                  </w:tcMar>
                  <w:vAlign w:val="center"/>
                </w:tcPr>
                <w:p w14:paraId="7D3BA388">
                  <w:pPr>
                    <w:snapToGrid w:val="0"/>
                    <w:jc w:val="center"/>
                    <w:rPr>
                      <w:color w:val="auto"/>
                      <w:szCs w:val="21"/>
                    </w:rPr>
                  </w:pPr>
                  <w:r>
                    <w:rPr>
                      <w:color w:val="auto"/>
                      <w:szCs w:val="21"/>
                    </w:rPr>
                    <w:t>厂区内</w:t>
                  </w:r>
                </w:p>
                <w:p w14:paraId="73FD84C0">
                  <w:pPr>
                    <w:pStyle w:val="43"/>
                    <w:wordWrap/>
                    <w:spacing w:line="240" w:lineRule="auto"/>
                    <w:ind w:firstLine="0" w:firstLineChars="0"/>
                    <w:jc w:val="center"/>
                    <w:rPr>
                      <w:color w:val="auto"/>
                      <w:sz w:val="21"/>
                      <w:szCs w:val="21"/>
                    </w:rPr>
                  </w:pPr>
                  <w:r>
                    <w:rPr>
                      <w:color w:val="auto"/>
                      <w:sz w:val="21"/>
                      <w:szCs w:val="21"/>
                    </w:rPr>
                    <w:t>（在厂房外设置监控点）</w:t>
                  </w:r>
                </w:p>
              </w:tc>
              <w:tc>
                <w:tcPr>
                  <w:tcW w:w="589" w:type="pct"/>
                  <w:vMerge w:val="restart"/>
                  <w:tcMar>
                    <w:top w:w="0" w:type="dxa"/>
                    <w:left w:w="108" w:type="dxa"/>
                    <w:bottom w:w="0" w:type="dxa"/>
                    <w:right w:w="108" w:type="dxa"/>
                  </w:tcMar>
                  <w:vAlign w:val="center"/>
                </w:tcPr>
                <w:p w14:paraId="5FDAACC3">
                  <w:pPr>
                    <w:snapToGrid w:val="0"/>
                    <w:jc w:val="center"/>
                    <w:rPr>
                      <w:color w:val="auto"/>
                      <w:szCs w:val="21"/>
                    </w:rPr>
                  </w:pPr>
                  <w:r>
                    <w:rPr>
                      <w:color w:val="auto"/>
                      <w:szCs w:val="21"/>
                    </w:rPr>
                    <w:t>NMHC</w:t>
                  </w:r>
                </w:p>
              </w:tc>
              <w:tc>
                <w:tcPr>
                  <w:tcW w:w="513" w:type="pct"/>
                  <w:tcMar>
                    <w:top w:w="0" w:type="dxa"/>
                    <w:left w:w="108" w:type="dxa"/>
                    <w:bottom w:w="0" w:type="dxa"/>
                    <w:right w:w="108" w:type="dxa"/>
                  </w:tcMar>
                  <w:vAlign w:val="center"/>
                </w:tcPr>
                <w:p w14:paraId="6322AE26">
                  <w:pPr>
                    <w:snapToGrid w:val="0"/>
                    <w:jc w:val="center"/>
                    <w:rPr>
                      <w:color w:val="auto"/>
                      <w:szCs w:val="21"/>
                    </w:rPr>
                  </w:pPr>
                  <w:r>
                    <w:rPr>
                      <w:color w:val="auto"/>
                      <w:szCs w:val="21"/>
                    </w:rPr>
                    <w:t>6</w:t>
                  </w:r>
                </w:p>
              </w:tc>
              <w:tc>
                <w:tcPr>
                  <w:tcW w:w="886" w:type="pct"/>
                  <w:tcMar>
                    <w:top w:w="0" w:type="dxa"/>
                    <w:left w:w="108" w:type="dxa"/>
                    <w:bottom w:w="0" w:type="dxa"/>
                    <w:right w:w="108" w:type="dxa"/>
                  </w:tcMar>
                  <w:vAlign w:val="center"/>
                </w:tcPr>
                <w:p w14:paraId="447FC491">
                  <w:pPr>
                    <w:snapToGrid w:val="0"/>
                    <w:jc w:val="center"/>
                    <w:rPr>
                      <w:color w:val="auto"/>
                      <w:szCs w:val="21"/>
                    </w:rPr>
                  </w:pPr>
                  <w:r>
                    <w:rPr>
                      <w:color w:val="auto"/>
                      <w:szCs w:val="21"/>
                    </w:rPr>
                    <w:t>监控点处1h平均浓度值</w:t>
                  </w:r>
                </w:p>
              </w:tc>
              <w:tc>
                <w:tcPr>
                  <w:tcW w:w="2291" w:type="pct"/>
                  <w:vMerge w:val="restart"/>
                  <w:tcMar>
                    <w:top w:w="0" w:type="dxa"/>
                    <w:left w:w="108" w:type="dxa"/>
                    <w:bottom w:w="0" w:type="dxa"/>
                    <w:right w:w="108" w:type="dxa"/>
                  </w:tcMar>
                  <w:vAlign w:val="center"/>
                </w:tcPr>
                <w:p w14:paraId="74A4C391">
                  <w:pPr>
                    <w:snapToGrid w:val="0"/>
                    <w:jc w:val="center"/>
                    <w:rPr>
                      <w:color w:val="auto"/>
                      <w:szCs w:val="21"/>
                    </w:rPr>
                  </w:pPr>
                  <w:r>
                    <w:rPr>
                      <w:color w:val="auto"/>
                      <w:szCs w:val="21"/>
                    </w:rPr>
                    <w:t>广东省《固定污染源挥发性有机物综合排放标准》（DB44/2367-2022）中表3厂区内VOCs无组织排放限值</w:t>
                  </w:r>
                </w:p>
              </w:tc>
            </w:tr>
            <w:tr w14:paraId="34787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continue"/>
                  <w:tcMar>
                    <w:top w:w="0" w:type="dxa"/>
                    <w:left w:w="108" w:type="dxa"/>
                    <w:bottom w:w="0" w:type="dxa"/>
                    <w:right w:w="108" w:type="dxa"/>
                  </w:tcMar>
                  <w:vAlign w:val="center"/>
                </w:tcPr>
                <w:p w14:paraId="539423BB">
                  <w:pPr>
                    <w:snapToGrid w:val="0"/>
                    <w:jc w:val="center"/>
                    <w:rPr>
                      <w:color w:val="auto"/>
                      <w:szCs w:val="21"/>
                    </w:rPr>
                  </w:pPr>
                </w:p>
              </w:tc>
              <w:tc>
                <w:tcPr>
                  <w:tcW w:w="589" w:type="pct"/>
                  <w:vMerge w:val="continue"/>
                  <w:tcMar>
                    <w:top w:w="0" w:type="dxa"/>
                    <w:left w:w="108" w:type="dxa"/>
                    <w:bottom w:w="0" w:type="dxa"/>
                    <w:right w:w="108" w:type="dxa"/>
                  </w:tcMar>
                  <w:vAlign w:val="center"/>
                </w:tcPr>
                <w:p w14:paraId="752B98DE">
                  <w:pPr>
                    <w:snapToGrid w:val="0"/>
                    <w:jc w:val="center"/>
                    <w:rPr>
                      <w:color w:val="auto"/>
                      <w:szCs w:val="21"/>
                    </w:rPr>
                  </w:pPr>
                </w:p>
              </w:tc>
              <w:tc>
                <w:tcPr>
                  <w:tcW w:w="513" w:type="pct"/>
                  <w:tcMar>
                    <w:top w:w="0" w:type="dxa"/>
                    <w:left w:w="108" w:type="dxa"/>
                    <w:bottom w:w="0" w:type="dxa"/>
                    <w:right w:w="108" w:type="dxa"/>
                  </w:tcMar>
                  <w:vAlign w:val="center"/>
                </w:tcPr>
                <w:p w14:paraId="249477FB">
                  <w:pPr>
                    <w:snapToGrid w:val="0"/>
                    <w:jc w:val="center"/>
                    <w:rPr>
                      <w:color w:val="auto"/>
                      <w:szCs w:val="21"/>
                    </w:rPr>
                  </w:pPr>
                  <w:r>
                    <w:rPr>
                      <w:color w:val="auto"/>
                      <w:szCs w:val="21"/>
                    </w:rPr>
                    <w:t>20</w:t>
                  </w:r>
                </w:p>
              </w:tc>
              <w:tc>
                <w:tcPr>
                  <w:tcW w:w="886" w:type="pct"/>
                  <w:tcMar>
                    <w:top w:w="0" w:type="dxa"/>
                    <w:left w:w="108" w:type="dxa"/>
                    <w:bottom w:w="0" w:type="dxa"/>
                    <w:right w:w="108" w:type="dxa"/>
                  </w:tcMar>
                  <w:vAlign w:val="center"/>
                </w:tcPr>
                <w:p w14:paraId="6ECBB16C">
                  <w:pPr>
                    <w:snapToGrid w:val="0"/>
                    <w:jc w:val="center"/>
                    <w:rPr>
                      <w:color w:val="auto"/>
                      <w:szCs w:val="21"/>
                    </w:rPr>
                  </w:pPr>
                  <w:r>
                    <w:rPr>
                      <w:color w:val="auto"/>
                      <w:szCs w:val="21"/>
                    </w:rPr>
                    <w:t>监控点处任意一次浓度值</w:t>
                  </w:r>
                </w:p>
              </w:tc>
              <w:tc>
                <w:tcPr>
                  <w:tcW w:w="2291" w:type="pct"/>
                  <w:vMerge w:val="continue"/>
                  <w:tcMar>
                    <w:top w:w="0" w:type="dxa"/>
                    <w:left w:w="108" w:type="dxa"/>
                    <w:bottom w:w="0" w:type="dxa"/>
                    <w:right w:w="108" w:type="dxa"/>
                  </w:tcMar>
                  <w:vAlign w:val="center"/>
                </w:tcPr>
                <w:p w14:paraId="176262E4">
                  <w:pPr>
                    <w:snapToGrid w:val="0"/>
                    <w:jc w:val="center"/>
                    <w:rPr>
                      <w:color w:val="auto"/>
                      <w:szCs w:val="21"/>
                    </w:rPr>
                  </w:pPr>
                </w:p>
              </w:tc>
            </w:tr>
            <w:tr w14:paraId="4BB31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restart"/>
                  <w:tcMar>
                    <w:top w:w="0" w:type="dxa"/>
                    <w:left w:w="108" w:type="dxa"/>
                    <w:bottom w:w="0" w:type="dxa"/>
                    <w:right w:w="108" w:type="dxa"/>
                  </w:tcMar>
                  <w:vAlign w:val="center"/>
                </w:tcPr>
                <w:p w14:paraId="0BD1A3D7">
                  <w:pPr>
                    <w:snapToGrid w:val="0"/>
                    <w:jc w:val="center"/>
                    <w:rPr>
                      <w:color w:val="auto"/>
                      <w:szCs w:val="21"/>
                    </w:rPr>
                  </w:pPr>
                  <w:r>
                    <w:rPr>
                      <w:color w:val="auto"/>
                      <w:szCs w:val="21"/>
                    </w:rPr>
                    <w:t>厂界</w:t>
                  </w:r>
                </w:p>
              </w:tc>
              <w:tc>
                <w:tcPr>
                  <w:tcW w:w="589" w:type="pct"/>
                  <w:tcMar>
                    <w:top w:w="0" w:type="dxa"/>
                    <w:left w:w="108" w:type="dxa"/>
                    <w:bottom w:w="0" w:type="dxa"/>
                    <w:right w:w="108" w:type="dxa"/>
                  </w:tcMar>
                  <w:vAlign w:val="center"/>
                </w:tcPr>
                <w:p w14:paraId="0487286E">
                  <w:pPr>
                    <w:snapToGrid w:val="0"/>
                    <w:jc w:val="center"/>
                    <w:rPr>
                      <w:color w:val="auto"/>
                      <w:szCs w:val="21"/>
                    </w:rPr>
                  </w:pPr>
                  <w:r>
                    <w:rPr>
                      <w:color w:val="auto"/>
                      <w:szCs w:val="21"/>
                    </w:rPr>
                    <w:t>颗粒物</w:t>
                  </w:r>
                </w:p>
              </w:tc>
              <w:tc>
                <w:tcPr>
                  <w:tcW w:w="513" w:type="pct"/>
                  <w:tcMar>
                    <w:top w:w="0" w:type="dxa"/>
                    <w:left w:w="108" w:type="dxa"/>
                    <w:bottom w:w="0" w:type="dxa"/>
                    <w:right w:w="108" w:type="dxa"/>
                  </w:tcMar>
                  <w:vAlign w:val="center"/>
                </w:tcPr>
                <w:p w14:paraId="5026B5B6">
                  <w:pPr>
                    <w:pStyle w:val="2"/>
                    <w:tabs>
                      <w:tab w:val="left" w:pos="-2793"/>
                    </w:tabs>
                    <w:spacing w:before="0" w:after="0" w:line="240" w:lineRule="auto"/>
                    <w:ind w:right="0"/>
                    <w:jc w:val="center"/>
                    <w:rPr>
                      <w:color w:val="auto"/>
                      <w:sz w:val="21"/>
                      <w:szCs w:val="21"/>
                    </w:rPr>
                  </w:pPr>
                  <w:r>
                    <w:rPr>
                      <w:color w:val="auto"/>
                      <w:sz w:val="21"/>
                      <w:szCs w:val="21"/>
                    </w:rPr>
                    <w:t>1.0</w:t>
                  </w:r>
                </w:p>
              </w:tc>
              <w:tc>
                <w:tcPr>
                  <w:tcW w:w="886" w:type="pct"/>
                  <w:tcMar>
                    <w:top w:w="0" w:type="dxa"/>
                    <w:left w:w="108" w:type="dxa"/>
                    <w:bottom w:w="0" w:type="dxa"/>
                    <w:right w:w="108" w:type="dxa"/>
                  </w:tcMar>
                  <w:vAlign w:val="center"/>
                </w:tcPr>
                <w:p w14:paraId="7815F855">
                  <w:pPr>
                    <w:snapToGrid w:val="0"/>
                    <w:jc w:val="center"/>
                    <w:rPr>
                      <w:color w:val="auto"/>
                      <w:szCs w:val="21"/>
                    </w:rPr>
                  </w:pPr>
                  <w:r>
                    <w:rPr>
                      <w:color w:val="auto"/>
                      <w:szCs w:val="21"/>
                    </w:rPr>
                    <w:t>/</w:t>
                  </w:r>
                </w:p>
              </w:tc>
              <w:tc>
                <w:tcPr>
                  <w:tcW w:w="2291" w:type="pct"/>
                  <w:tcMar>
                    <w:top w:w="0" w:type="dxa"/>
                    <w:left w:w="108" w:type="dxa"/>
                    <w:bottom w:w="0" w:type="dxa"/>
                    <w:right w:w="108" w:type="dxa"/>
                  </w:tcMar>
                  <w:vAlign w:val="center"/>
                </w:tcPr>
                <w:p w14:paraId="7DE4C053">
                  <w:pPr>
                    <w:pStyle w:val="2"/>
                    <w:tabs>
                      <w:tab w:val="left" w:pos="-2793"/>
                    </w:tabs>
                    <w:spacing w:before="0" w:after="0" w:line="240" w:lineRule="auto"/>
                    <w:ind w:right="0"/>
                    <w:jc w:val="center"/>
                    <w:rPr>
                      <w:color w:val="auto"/>
                      <w:sz w:val="21"/>
                      <w:szCs w:val="21"/>
                    </w:rPr>
                  </w:pPr>
                  <w:r>
                    <w:rPr>
                      <w:rFonts w:hint="eastAsia"/>
                      <w:color w:val="auto"/>
                      <w:sz w:val="21"/>
                      <w:szCs w:val="21"/>
                    </w:rPr>
                    <w:t>《工业炉窑大气污染物排放标准》（GB9078-1996）表3其他炉窑无组织排放烟（粉）尘最高允许浓度和</w:t>
                  </w:r>
                  <w:r>
                    <w:rPr>
                      <w:color w:val="auto"/>
                      <w:sz w:val="21"/>
                      <w:szCs w:val="21"/>
                    </w:rPr>
                    <w:t>广东省《大气污染物排放限值》（DB44/27-2001）第二时段无组织排放监控浓度限值</w:t>
                  </w:r>
                  <w:r>
                    <w:rPr>
                      <w:rFonts w:hint="eastAsia"/>
                      <w:color w:val="auto"/>
                      <w:sz w:val="21"/>
                      <w:szCs w:val="21"/>
                    </w:rPr>
                    <w:t>的较严者要求</w:t>
                  </w:r>
                </w:p>
              </w:tc>
            </w:tr>
            <w:tr w14:paraId="27D73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continue"/>
                  <w:tcMar>
                    <w:top w:w="0" w:type="dxa"/>
                    <w:left w:w="108" w:type="dxa"/>
                    <w:bottom w:w="0" w:type="dxa"/>
                    <w:right w:w="108" w:type="dxa"/>
                  </w:tcMar>
                  <w:vAlign w:val="center"/>
                </w:tcPr>
                <w:p w14:paraId="31508777">
                  <w:pPr>
                    <w:snapToGrid w:val="0"/>
                    <w:jc w:val="center"/>
                    <w:rPr>
                      <w:color w:val="auto"/>
                      <w:szCs w:val="21"/>
                    </w:rPr>
                  </w:pPr>
                </w:p>
              </w:tc>
              <w:tc>
                <w:tcPr>
                  <w:tcW w:w="589" w:type="pct"/>
                  <w:tcMar>
                    <w:top w:w="0" w:type="dxa"/>
                    <w:left w:w="108" w:type="dxa"/>
                    <w:bottom w:w="0" w:type="dxa"/>
                    <w:right w:w="108" w:type="dxa"/>
                  </w:tcMar>
                  <w:vAlign w:val="center"/>
                </w:tcPr>
                <w:p w14:paraId="7969B87E">
                  <w:pPr>
                    <w:pStyle w:val="2"/>
                    <w:tabs>
                      <w:tab w:val="left" w:pos="-2793"/>
                    </w:tabs>
                    <w:spacing w:before="0" w:after="0" w:line="240" w:lineRule="auto"/>
                    <w:ind w:right="0"/>
                    <w:jc w:val="center"/>
                    <w:rPr>
                      <w:color w:val="auto"/>
                      <w:sz w:val="21"/>
                      <w:szCs w:val="21"/>
                    </w:rPr>
                  </w:pPr>
                  <w:r>
                    <w:rPr>
                      <w:color w:val="auto"/>
                      <w:sz w:val="21"/>
                      <w:szCs w:val="21"/>
                    </w:rPr>
                    <w:t>硫酸雾</w:t>
                  </w:r>
                </w:p>
              </w:tc>
              <w:tc>
                <w:tcPr>
                  <w:tcW w:w="513" w:type="pct"/>
                  <w:tcMar>
                    <w:top w:w="0" w:type="dxa"/>
                    <w:left w:w="108" w:type="dxa"/>
                    <w:bottom w:w="0" w:type="dxa"/>
                    <w:right w:w="108" w:type="dxa"/>
                  </w:tcMar>
                  <w:vAlign w:val="center"/>
                </w:tcPr>
                <w:p w14:paraId="67D7B8ED">
                  <w:pPr>
                    <w:pStyle w:val="2"/>
                    <w:tabs>
                      <w:tab w:val="left" w:pos="-2793"/>
                    </w:tabs>
                    <w:spacing w:before="0" w:after="0" w:line="240" w:lineRule="auto"/>
                    <w:ind w:right="0"/>
                    <w:jc w:val="center"/>
                    <w:rPr>
                      <w:color w:val="auto"/>
                      <w:sz w:val="21"/>
                      <w:szCs w:val="21"/>
                    </w:rPr>
                  </w:pPr>
                  <w:r>
                    <w:rPr>
                      <w:color w:val="auto"/>
                      <w:sz w:val="21"/>
                      <w:szCs w:val="21"/>
                    </w:rPr>
                    <w:t>1.2</w:t>
                  </w:r>
                </w:p>
              </w:tc>
              <w:tc>
                <w:tcPr>
                  <w:tcW w:w="886" w:type="pct"/>
                  <w:tcMar>
                    <w:top w:w="0" w:type="dxa"/>
                    <w:left w:w="108" w:type="dxa"/>
                    <w:bottom w:w="0" w:type="dxa"/>
                    <w:right w:w="108" w:type="dxa"/>
                  </w:tcMar>
                  <w:vAlign w:val="center"/>
                </w:tcPr>
                <w:p w14:paraId="59DE3F60">
                  <w:pPr>
                    <w:jc w:val="center"/>
                    <w:rPr>
                      <w:color w:val="auto"/>
                      <w:szCs w:val="21"/>
                    </w:rPr>
                  </w:pPr>
                  <w:r>
                    <w:rPr>
                      <w:color w:val="auto"/>
                      <w:szCs w:val="21"/>
                    </w:rPr>
                    <w:t>/</w:t>
                  </w:r>
                </w:p>
              </w:tc>
              <w:tc>
                <w:tcPr>
                  <w:tcW w:w="2291" w:type="pct"/>
                  <w:vMerge w:val="restart"/>
                  <w:tcMar>
                    <w:top w:w="0" w:type="dxa"/>
                    <w:left w:w="108" w:type="dxa"/>
                    <w:bottom w:w="0" w:type="dxa"/>
                    <w:right w:w="108" w:type="dxa"/>
                  </w:tcMar>
                  <w:vAlign w:val="center"/>
                </w:tcPr>
                <w:p w14:paraId="3E323991">
                  <w:pPr>
                    <w:pStyle w:val="2"/>
                    <w:tabs>
                      <w:tab w:val="left" w:pos="-2793"/>
                    </w:tabs>
                    <w:spacing w:before="0" w:after="0" w:line="240" w:lineRule="auto"/>
                    <w:ind w:right="0"/>
                    <w:jc w:val="center"/>
                    <w:rPr>
                      <w:color w:val="auto"/>
                      <w:sz w:val="21"/>
                      <w:szCs w:val="21"/>
                    </w:rPr>
                  </w:pPr>
                  <w:r>
                    <w:rPr>
                      <w:bCs/>
                      <w:color w:val="auto"/>
                      <w:sz w:val="21"/>
                      <w:szCs w:val="21"/>
                    </w:rPr>
                    <w:t>广东省《大气污染物排放限值》（DB44/27-2001）第二时段无组织排放监控浓度限值</w:t>
                  </w:r>
                </w:p>
              </w:tc>
            </w:tr>
            <w:tr w14:paraId="3E79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continue"/>
                  <w:tcMar>
                    <w:top w:w="0" w:type="dxa"/>
                    <w:left w:w="108" w:type="dxa"/>
                    <w:bottom w:w="0" w:type="dxa"/>
                    <w:right w:w="108" w:type="dxa"/>
                  </w:tcMar>
                  <w:vAlign w:val="center"/>
                </w:tcPr>
                <w:p w14:paraId="060742D7">
                  <w:pPr>
                    <w:snapToGrid w:val="0"/>
                    <w:jc w:val="center"/>
                    <w:rPr>
                      <w:color w:val="auto"/>
                      <w:szCs w:val="21"/>
                    </w:rPr>
                  </w:pPr>
                </w:p>
              </w:tc>
              <w:tc>
                <w:tcPr>
                  <w:tcW w:w="589" w:type="pct"/>
                  <w:tcMar>
                    <w:top w:w="0" w:type="dxa"/>
                    <w:left w:w="108" w:type="dxa"/>
                    <w:bottom w:w="0" w:type="dxa"/>
                    <w:right w:w="108" w:type="dxa"/>
                  </w:tcMar>
                  <w:vAlign w:val="center"/>
                </w:tcPr>
                <w:p w14:paraId="5F9BE821">
                  <w:pPr>
                    <w:snapToGrid w:val="0"/>
                    <w:jc w:val="center"/>
                    <w:rPr>
                      <w:bCs/>
                      <w:color w:val="auto"/>
                      <w:szCs w:val="21"/>
                    </w:rPr>
                  </w:pPr>
                  <w:r>
                    <w:rPr>
                      <w:color w:val="auto"/>
                      <w:szCs w:val="21"/>
                    </w:rPr>
                    <w:t>二氧化硫</w:t>
                  </w:r>
                </w:p>
              </w:tc>
              <w:tc>
                <w:tcPr>
                  <w:tcW w:w="513" w:type="pct"/>
                  <w:tcMar>
                    <w:top w:w="0" w:type="dxa"/>
                    <w:left w:w="108" w:type="dxa"/>
                    <w:bottom w:w="0" w:type="dxa"/>
                    <w:right w:w="108" w:type="dxa"/>
                  </w:tcMar>
                  <w:vAlign w:val="center"/>
                </w:tcPr>
                <w:p w14:paraId="7B251266">
                  <w:pPr>
                    <w:jc w:val="center"/>
                    <w:rPr>
                      <w:color w:val="auto"/>
                      <w:szCs w:val="21"/>
                    </w:rPr>
                  </w:pPr>
                  <w:r>
                    <w:rPr>
                      <w:color w:val="auto"/>
                      <w:kern w:val="0"/>
                      <w:szCs w:val="21"/>
                    </w:rPr>
                    <w:t>0.4</w:t>
                  </w:r>
                  <w:r>
                    <w:rPr>
                      <w:rFonts w:hint="eastAsia"/>
                      <w:color w:val="auto"/>
                      <w:kern w:val="0"/>
                      <w:szCs w:val="21"/>
                    </w:rPr>
                    <w:t>0</w:t>
                  </w:r>
                </w:p>
              </w:tc>
              <w:tc>
                <w:tcPr>
                  <w:tcW w:w="886" w:type="pct"/>
                  <w:tcMar>
                    <w:top w:w="0" w:type="dxa"/>
                    <w:left w:w="108" w:type="dxa"/>
                    <w:bottom w:w="0" w:type="dxa"/>
                    <w:right w:w="108" w:type="dxa"/>
                  </w:tcMar>
                  <w:vAlign w:val="center"/>
                </w:tcPr>
                <w:p w14:paraId="583FE025">
                  <w:pPr>
                    <w:jc w:val="center"/>
                    <w:rPr>
                      <w:color w:val="auto"/>
                      <w:szCs w:val="21"/>
                    </w:rPr>
                  </w:pPr>
                  <w:r>
                    <w:rPr>
                      <w:color w:val="auto"/>
                      <w:szCs w:val="21"/>
                    </w:rPr>
                    <w:t>/</w:t>
                  </w:r>
                </w:p>
              </w:tc>
              <w:tc>
                <w:tcPr>
                  <w:tcW w:w="2291" w:type="pct"/>
                  <w:vMerge w:val="continue"/>
                  <w:tcMar>
                    <w:top w:w="0" w:type="dxa"/>
                    <w:left w:w="108" w:type="dxa"/>
                    <w:bottom w:w="0" w:type="dxa"/>
                    <w:right w:w="108" w:type="dxa"/>
                  </w:tcMar>
                  <w:vAlign w:val="center"/>
                </w:tcPr>
                <w:p w14:paraId="2586C67B">
                  <w:pPr>
                    <w:pStyle w:val="2"/>
                    <w:tabs>
                      <w:tab w:val="left" w:pos="-2793"/>
                    </w:tabs>
                    <w:spacing w:before="0" w:after="0" w:line="240" w:lineRule="auto"/>
                    <w:ind w:right="0"/>
                    <w:jc w:val="center"/>
                    <w:rPr>
                      <w:color w:val="auto"/>
                      <w:sz w:val="21"/>
                      <w:szCs w:val="21"/>
                    </w:rPr>
                  </w:pPr>
                </w:p>
              </w:tc>
            </w:tr>
            <w:tr w14:paraId="61E02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720" w:type="pct"/>
                  <w:vMerge w:val="continue"/>
                  <w:tcMar>
                    <w:top w:w="0" w:type="dxa"/>
                    <w:left w:w="108" w:type="dxa"/>
                    <w:bottom w:w="0" w:type="dxa"/>
                    <w:right w:w="108" w:type="dxa"/>
                  </w:tcMar>
                  <w:vAlign w:val="center"/>
                </w:tcPr>
                <w:p w14:paraId="496A38A8">
                  <w:pPr>
                    <w:snapToGrid w:val="0"/>
                    <w:jc w:val="center"/>
                    <w:rPr>
                      <w:color w:val="auto"/>
                      <w:szCs w:val="21"/>
                    </w:rPr>
                  </w:pPr>
                </w:p>
              </w:tc>
              <w:tc>
                <w:tcPr>
                  <w:tcW w:w="589" w:type="pct"/>
                  <w:tcMar>
                    <w:top w:w="0" w:type="dxa"/>
                    <w:left w:w="108" w:type="dxa"/>
                    <w:bottom w:w="0" w:type="dxa"/>
                    <w:right w:w="108" w:type="dxa"/>
                  </w:tcMar>
                  <w:vAlign w:val="center"/>
                </w:tcPr>
                <w:p w14:paraId="0B0C5941">
                  <w:pPr>
                    <w:snapToGrid w:val="0"/>
                    <w:jc w:val="center"/>
                    <w:rPr>
                      <w:bCs/>
                      <w:color w:val="auto"/>
                      <w:szCs w:val="21"/>
                    </w:rPr>
                  </w:pPr>
                  <w:r>
                    <w:rPr>
                      <w:color w:val="auto"/>
                      <w:szCs w:val="21"/>
                    </w:rPr>
                    <w:t>氮氧化物</w:t>
                  </w:r>
                </w:p>
              </w:tc>
              <w:tc>
                <w:tcPr>
                  <w:tcW w:w="513" w:type="pct"/>
                  <w:tcMar>
                    <w:top w:w="0" w:type="dxa"/>
                    <w:left w:w="108" w:type="dxa"/>
                    <w:bottom w:w="0" w:type="dxa"/>
                    <w:right w:w="108" w:type="dxa"/>
                  </w:tcMar>
                  <w:vAlign w:val="center"/>
                </w:tcPr>
                <w:p w14:paraId="73C8CC61">
                  <w:pPr>
                    <w:jc w:val="center"/>
                    <w:rPr>
                      <w:color w:val="auto"/>
                      <w:szCs w:val="21"/>
                    </w:rPr>
                  </w:pPr>
                  <w:r>
                    <w:rPr>
                      <w:color w:val="auto"/>
                      <w:kern w:val="0"/>
                      <w:szCs w:val="21"/>
                    </w:rPr>
                    <w:t>0.12</w:t>
                  </w:r>
                </w:p>
              </w:tc>
              <w:tc>
                <w:tcPr>
                  <w:tcW w:w="886" w:type="pct"/>
                  <w:tcMar>
                    <w:top w:w="0" w:type="dxa"/>
                    <w:left w:w="108" w:type="dxa"/>
                    <w:bottom w:w="0" w:type="dxa"/>
                    <w:right w:w="108" w:type="dxa"/>
                  </w:tcMar>
                  <w:vAlign w:val="center"/>
                </w:tcPr>
                <w:p w14:paraId="7955A729">
                  <w:pPr>
                    <w:jc w:val="center"/>
                    <w:rPr>
                      <w:color w:val="auto"/>
                      <w:szCs w:val="21"/>
                    </w:rPr>
                  </w:pPr>
                  <w:r>
                    <w:rPr>
                      <w:color w:val="auto"/>
                      <w:szCs w:val="21"/>
                    </w:rPr>
                    <w:t>/</w:t>
                  </w:r>
                </w:p>
              </w:tc>
              <w:tc>
                <w:tcPr>
                  <w:tcW w:w="2291" w:type="pct"/>
                  <w:vMerge w:val="continue"/>
                  <w:tcMar>
                    <w:top w:w="0" w:type="dxa"/>
                    <w:left w:w="108" w:type="dxa"/>
                    <w:bottom w:w="0" w:type="dxa"/>
                    <w:right w:w="108" w:type="dxa"/>
                  </w:tcMar>
                  <w:vAlign w:val="center"/>
                </w:tcPr>
                <w:p w14:paraId="65FACEE5">
                  <w:pPr>
                    <w:pStyle w:val="2"/>
                    <w:tabs>
                      <w:tab w:val="left" w:pos="-2793"/>
                    </w:tabs>
                    <w:spacing w:before="0" w:after="0" w:line="240" w:lineRule="auto"/>
                    <w:ind w:right="0"/>
                    <w:jc w:val="center"/>
                    <w:rPr>
                      <w:color w:val="auto"/>
                      <w:sz w:val="21"/>
                      <w:szCs w:val="21"/>
                    </w:rPr>
                  </w:pPr>
                </w:p>
              </w:tc>
            </w:tr>
            <w:tr w14:paraId="78A13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continue"/>
                  <w:tcMar>
                    <w:top w:w="0" w:type="dxa"/>
                    <w:left w:w="108" w:type="dxa"/>
                    <w:bottom w:w="0" w:type="dxa"/>
                    <w:right w:w="108" w:type="dxa"/>
                  </w:tcMar>
                  <w:vAlign w:val="center"/>
                </w:tcPr>
                <w:p w14:paraId="6EA7A71F">
                  <w:pPr>
                    <w:pStyle w:val="2"/>
                    <w:tabs>
                      <w:tab w:val="left" w:pos="-2793"/>
                    </w:tabs>
                    <w:spacing w:before="0" w:after="0" w:line="240" w:lineRule="auto"/>
                    <w:ind w:right="0"/>
                    <w:jc w:val="center"/>
                    <w:rPr>
                      <w:color w:val="auto"/>
                      <w:sz w:val="21"/>
                      <w:szCs w:val="21"/>
                    </w:rPr>
                  </w:pPr>
                </w:p>
              </w:tc>
              <w:tc>
                <w:tcPr>
                  <w:tcW w:w="589" w:type="pct"/>
                  <w:tcMar>
                    <w:top w:w="0" w:type="dxa"/>
                    <w:left w:w="108" w:type="dxa"/>
                    <w:bottom w:w="0" w:type="dxa"/>
                    <w:right w:w="108" w:type="dxa"/>
                  </w:tcMar>
                  <w:vAlign w:val="center"/>
                </w:tcPr>
                <w:p w14:paraId="30C33ABC">
                  <w:pPr>
                    <w:pStyle w:val="2"/>
                    <w:tabs>
                      <w:tab w:val="left" w:pos="-2793"/>
                    </w:tabs>
                    <w:spacing w:before="0" w:after="0" w:line="240" w:lineRule="auto"/>
                    <w:ind w:right="0"/>
                    <w:jc w:val="center"/>
                    <w:rPr>
                      <w:color w:val="auto"/>
                      <w:sz w:val="21"/>
                      <w:szCs w:val="21"/>
                    </w:rPr>
                  </w:pPr>
                  <w:r>
                    <w:rPr>
                      <w:color w:val="auto"/>
                      <w:sz w:val="21"/>
                      <w:szCs w:val="21"/>
                    </w:rPr>
                    <w:t>氨</w:t>
                  </w:r>
                </w:p>
              </w:tc>
              <w:tc>
                <w:tcPr>
                  <w:tcW w:w="513" w:type="pct"/>
                  <w:tcMar>
                    <w:top w:w="0" w:type="dxa"/>
                    <w:left w:w="108" w:type="dxa"/>
                    <w:bottom w:w="0" w:type="dxa"/>
                    <w:right w:w="108" w:type="dxa"/>
                  </w:tcMar>
                  <w:vAlign w:val="center"/>
                </w:tcPr>
                <w:p w14:paraId="4CB11C7B">
                  <w:pPr>
                    <w:pStyle w:val="2"/>
                    <w:tabs>
                      <w:tab w:val="left" w:pos="-2793"/>
                    </w:tabs>
                    <w:spacing w:before="0" w:after="0" w:line="240" w:lineRule="auto"/>
                    <w:ind w:right="0"/>
                    <w:jc w:val="center"/>
                    <w:rPr>
                      <w:color w:val="auto"/>
                      <w:sz w:val="21"/>
                      <w:szCs w:val="21"/>
                    </w:rPr>
                  </w:pPr>
                  <w:r>
                    <w:rPr>
                      <w:color w:val="auto"/>
                      <w:sz w:val="21"/>
                      <w:szCs w:val="21"/>
                    </w:rPr>
                    <w:t>1.5</w:t>
                  </w:r>
                </w:p>
              </w:tc>
              <w:tc>
                <w:tcPr>
                  <w:tcW w:w="886" w:type="pct"/>
                  <w:tcMar>
                    <w:top w:w="0" w:type="dxa"/>
                    <w:left w:w="108" w:type="dxa"/>
                    <w:bottom w:w="0" w:type="dxa"/>
                    <w:right w:w="108" w:type="dxa"/>
                  </w:tcMar>
                  <w:vAlign w:val="center"/>
                </w:tcPr>
                <w:p w14:paraId="419E80E3">
                  <w:pPr>
                    <w:pStyle w:val="2"/>
                    <w:tabs>
                      <w:tab w:val="left" w:pos="-2793"/>
                    </w:tabs>
                    <w:spacing w:before="0" w:after="0" w:line="240" w:lineRule="auto"/>
                    <w:ind w:right="0"/>
                    <w:jc w:val="center"/>
                    <w:rPr>
                      <w:color w:val="auto"/>
                      <w:sz w:val="21"/>
                      <w:szCs w:val="21"/>
                    </w:rPr>
                  </w:pPr>
                  <w:r>
                    <w:rPr>
                      <w:color w:val="auto"/>
                      <w:sz w:val="21"/>
                      <w:szCs w:val="21"/>
                    </w:rPr>
                    <w:t>/</w:t>
                  </w:r>
                </w:p>
              </w:tc>
              <w:tc>
                <w:tcPr>
                  <w:tcW w:w="2291" w:type="pct"/>
                  <w:vMerge w:val="restart"/>
                  <w:tcMar>
                    <w:top w:w="0" w:type="dxa"/>
                    <w:left w:w="108" w:type="dxa"/>
                    <w:bottom w:w="0" w:type="dxa"/>
                    <w:right w:w="108" w:type="dxa"/>
                  </w:tcMar>
                  <w:vAlign w:val="center"/>
                </w:tcPr>
                <w:p w14:paraId="78C35502">
                  <w:pPr>
                    <w:pStyle w:val="2"/>
                    <w:tabs>
                      <w:tab w:val="left" w:pos="-2793"/>
                    </w:tabs>
                    <w:spacing w:line="240" w:lineRule="auto"/>
                    <w:ind w:right="0"/>
                    <w:jc w:val="center"/>
                    <w:rPr>
                      <w:color w:val="auto"/>
                      <w:sz w:val="21"/>
                      <w:szCs w:val="21"/>
                    </w:rPr>
                  </w:pPr>
                  <w:r>
                    <w:rPr>
                      <w:color w:val="auto"/>
                      <w:sz w:val="21"/>
                      <w:szCs w:val="21"/>
                    </w:rPr>
                    <w:t>《恶臭污染物排放标准》（GB14554-93）表1恶臭污染物厂界二级新扩改建标准值</w:t>
                  </w:r>
                </w:p>
              </w:tc>
            </w:tr>
            <w:tr w14:paraId="6CE69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continue"/>
                  <w:tcMar>
                    <w:top w:w="0" w:type="dxa"/>
                    <w:left w:w="108" w:type="dxa"/>
                    <w:bottom w:w="0" w:type="dxa"/>
                    <w:right w:w="108" w:type="dxa"/>
                  </w:tcMar>
                  <w:vAlign w:val="center"/>
                </w:tcPr>
                <w:p w14:paraId="5BEFE3D3">
                  <w:pPr>
                    <w:pStyle w:val="2"/>
                    <w:tabs>
                      <w:tab w:val="left" w:pos="-2793"/>
                    </w:tabs>
                    <w:spacing w:before="0" w:after="0" w:line="240" w:lineRule="auto"/>
                    <w:ind w:right="0"/>
                    <w:jc w:val="center"/>
                    <w:rPr>
                      <w:color w:val="auto"/>
                      <w:sz w:val="21"/>
                      <w:szCs w:val="21"/>
                    </w:rPr>
                  </w:pPr>
                </w:p>
              </w:tc>
              <w:tc>
                <w:tcPr>
                  <w:tcW w:w="589" w:type="pct"/>
                  <w:tcMar>
                    <w:top w:w="0" w:type="dxa"/>
                    <w:left w:w="108" w:type="dxa"/>
                    <w:bottom w:w="0" w:type="dxa"/>
                    <w:right w:w="108" w:type="dxa"/>
                  </w:tcMar>
                  <w:vAlign w:val="center"/>
                </w:tcPr>
                <w:p w14:paraId="1D03E9CD">
                  <w:pPr>
                    <w:pStyle w:val="2"/>
                    <w:tabs>
                      <w:tab w:val="left" w:pos="-2793"/>
                    </w:tabs>
                    <w:spacing w:before="0" w:after="0" w:line="240" w:lineRule="auto"/>
                    <w:ind w:right="0"/>
                    <w:jc w:val="center"/>
                    <w:rPr>
                      <w:color w:val="auto"/>
                      <w:sz w:val="21"/>
                      <w:szCs w:val="21"/>
                    </w:rPr>
                  </w:pPr>
                  <w:r>
                    <w:rPr>
                      <w:color w:val="auto"/>
                      <w:sz w:val="21"/>
                      <w:szCs w:val="21"/>
                    </w:rPr>
                    <w:t>硫化氢</w:t>
                  </w:r>
                </w:p>
              </w:tc>
              <w:tc>
                <w:tcPr>
                  <w:tcW w:w="513" w:type="pct"/>
                  <w:tcMar>
                    <w:top w:w="0" w:type="dxa"/>
                    <w:left w:w="108" w:type="dxa"/>
                    <w:bottom w:w="0" w:type="dxa"/>
                    <w:right w:w="108" w:type="dxa"/>
                  </w:tcMar>
                  <w:vAlign w:val="center"/>
                </w:tcPr>
                <w:p w14:paraId="3A2D1046">
                  <w:pPr>
                    <w:pStyle w:val="2"/>
                    <w:tabs>
                      <w:tab w:val="left" w:pos="-2793"/>
                    </w:tabs>
                    <w:spacing w:before="0" w:after="0" w:line="240" w:lineRule="auto"/>
                    <w:ind w:right="0"/>
                    <w:jc w:val="center"/>
                    <w:rPr>
                      <w:color w:val="auto"/>
                      <w:sz w:val="21"/>
                      <w:szCs w:val="21"/>
                    </w:rPr>
                  </w:pPr>
                  <w:r>
                    <w:rPr>
                      <w:color w:val="auto"/>
                      <w:sz w:val="21"/>
                      <w:szCs w:val="21"/>
                    </w:rPr>
                    <w:t>0.06</w:t>
                  </w:r>
                </w:p>
              </w:tc>
              <w:tc>
                <w:tcPr>
                  <w:tcW w:w="886" w:type="pct"/>
                  <w:tcMar>
                    <w:top w:w="0" w:type="dxa"/>
                    <w:left w:w="108" w:type="dxa"/>
                    <w:bottom w:w="0" w:type="dxa"/>
                    <w:right w:w="108" w:type="dxa"/>
                  </w:tcMar>
                  <w:vAlign w:val="center"/>
                </w:tcPr>
                <w:p w14:paraId="6DD62D1C">
                  <w:pPr>
                    <w:pStyle w:val="2"/>
                    <w:tabs>
                      <w:tab w:val="left" w:pos="-2793"/>
                    </w:tabs>
                    <w:spacing w:before="0" w:after="0" w:line="240" w:lineRule="auto"/>
                    <w:ind w:right="0"/>
                    <w:jc w:val="center"/>
                    <w:rPr>
                      <w:color w:val="auto"/>
                      <w:sz w:val="21"/>
                      <w:szCs w:val="21"/>
                    </w:rPr>
                  </w:pPr>
                  <w:r>
                    <w:rPr>
                      <w:color w:val="auto"/>
                      <w:sz w:val="21"/>
                      <w:szCs w:val="21"/>
                    </w:rPr>
                    <w:t>/</w:t>
                  </w:r>
                </w:p>
              </w:tc>
              <w:tc>
                <w:tcPr>
                  <w:tcW w:w="2291" w:type="pct"/>
                  <w:vMerge w:val="continue"/>
                  <w:tcMar>
                    <w:top w:w="0" w:type="dxa"/>
                    <w:left w:w="108" w:type="dxa"/>
                    <w:bottom w:w="0" w:type="dxa"/>
                    <w:right w:w="108" w:type="dxa"/>
                  </w:tcMar>
                  <w:vAlign w:val="center"/>
                </w:tcPr>
                <w:p w14:paraId="4C8D89A6">
                  <w:pPr>
                    <w:pStyle w:val="2"/>
                    <w:tabs>
                      <w:tab w:val="left" w:pos="-2793"/>
                    </w:tabs>
                    <w:spacing w:line="240" w:lineRule="auto"/>
                    <w:ind w:right="0"/>
                    <w:jc w:val="center"/>
                    <w:rPr>
                      <w:color w:val="auto"/>
                      <w:sz w:val="21"/>
                      <w:szCs w:val="21"/>
                    </w:rPr>
                  </w:pPr>
                </w:p>
              </w:tc>
            </w:tr>
            <w:tr w14:paraId="0AF53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720" w:type="pct"/>
                  <w:vMerge w:val="continue"/>
                  <w:tcMar>
                    <w:top w:w="0" w:type="dxa"/>
                    <w:left w:w="108" w:type="dxa"/>
                    <w:bottom w:w="0" w:type="dxa"/>
                    <w:right w:w="108" w:type="dxa"/>
                  </w:tcMar>
                  <w:vAlign w:val="center"/>
                </w:tcPr>
                <w:p w14:paraId="652957C3">
                  <w:pPr>
                    <w:pStyle w:val="2"/>
                    <w:tabs>
                      <w:tab w:val="left" w:pos="-2793"/>
                    </w:tabs>
                    <w:spacing w:before="0" w:after="0" w:line="240" w:lineRule="auto"/>
                    <w:ind w:right="0"/>
                    <w:jc w:val="center"/>
                    <w:rPr>
                      <w:color w:val="auto"/>
                      <w:sz w:val="21"/>
                      <w:szCs w:val="21"/>
                    </w:rPr>
                  </w:pPr>
                </w:p>
              </w:tc>
              <w:tc>
                <w:tcPr>
                  <w:tcW w:w="589" w:type="pct"/>
                  <w:tcMar>
                    <w:top w:w="0" w:type="dxa"/>
                    <w:left w:w="108" w:type="dxa"/>
                    <w:bottom w:w="0" w:type="dxa"/>
                    <w:right w:w="108" w:type="dxa"/>
                  </w:tcMar>
                  <w:vAlign w:val="center"/>
                </w:tcPr>
                <w:p w14:paraId="7E18BFF5">
                  <w:pPr>
                    <w:pStyle w:val="2"/>
                    <w:tabs>
                      <w:tab w:val="left" w:pos="-2793"/>
                    </w:tabs>
                    <w:spacing w:before="0" w:after="0" w:line="240" w:lineRule="auto"/>
                    <w:ind w:right="0"/>
                    <w:jc w:val="center"/>
                    <w:rPr>
                      <w:color w:val="auto"/>
                      <w:sz w:val="21"/>
                      <w:szCs w:val="21"/>
                    </w:rPr>
                  </w:pPr>
                  <w:r>
                    <w:rPr>
                      <w:color w:val="auto"/>
                      <w:sz w:val="21"/>
                      <w:szCs w:val="21"/>
                    </w:rPr>
                    <w:t>臭气浓度</w:t>
                  </w:r>
                </w:p>
              </w:tc>
              <w:tc>
                <w:tcPr>
                  <w:tcW w:w="513" w:type="pct"/>
                  <w:tcMar>
                    <w:top w:w="0" w:type="dxa"/>
                    <w:left w:w="108" w:type="dxa"/>
                    <w:bottom w:w="0" w:type="dxa"/>
                    <w:right w:w="108" w:type="dxa"/>
                  </w:tcMar>
                  <w:vAlign w:val="center"/>
                </w:tcPr>
                <w:p w14:paraId="16891E55">
                  <w:pPr>
                    <w:pStyle w:val="2"/>
                    <w:tabs>
                      <w:tab w:val="left" w:pos="-2793"/>
                    </w:tabs>
                    <w:spacing w:before="0" w:after="0" w:line="240" w:lineRule="auto"/>
                    <w:ind w:right="0"/>
                    <w:jc w:val="center"/>
                    <w:rPr>
                      <w:color w:val="auto"/>
                      <w:sz w:val="21"/>
                      <w:szCs w:val="21"/>
                    </w:rPr>
                  </w:pPr>
                  <w:r>
                    <w:rPr>
                      <w:color w:val="auto"/>
                      <w:sz w:val="21"/>
                      <w:szCs w:val="21"/>
                    </w:rPr>
                    <w:t>20（无量纲）</w:t>
                  </w:r>
                </w:p>
              </w:tc>
              <w:tc>
                <w:tcPr>
                  <w:tcW w:w="886" w:type="pct"/>
                  <w:tcMar>
                    <w:top w:w="0" w:type="dxa"/>
                    <w:left w:w="108" w:type="dxa"/>
                    <w:bottom w:w="0" w:type="dxa"/>
                    <w:right w:w="108" w:type="dxa"/>
                  </w:tcMar>
                  <w:vAlign w:val="center"/>
                </w:tcPr>
                <w:p w14:paraId="255D4DF7">
                  <w:pPr>
                    <w:pStyle w:val="2"/>
                    <w:tabs>
                      <w:tab w:val="left" w:pos="-2793"/>
                    </w:tabs>
                    <w:spacing w:before="0" w:after="0" w:line="240" w:lineRule="auto"/>
                    <w:ind w:right="0"/>
                    <w:jc w:val="center"/>
                    <w:rPr>
                      <w:color w:val="auto"/>
                      <w:sz w:val="21"/>
                      <w:szCs w:val="21"/>
                    </w:rPr>
                  </w:pPr>
                  <w:r>
                    <w:rPr>
                      <w:color w:val="auto"/>
                      <w:sz w:val="21"/>
                      <w:szCs w:val="21"/>
                    </w:rPr>
                    <w:t>/</w:t>
                  </w:r>
                </w:p>
              </w:tc>
              <w:tc>
                <w:tcPr>
                  <w:tcW w:w="2291" w:type="pct"/>
                  <w:vMerge w:val="continue"/>
                  <w:tcMar>
                    <w:top w:w="0" w:type="dxa"/>
                    <w:left w:w="108" w:type="dxa"/>
                    <w:bottom w:w="0" w:type="dxa"/>
                    <w:right w:w="108" w:type="dxa"/>
                  </w:tcMar>
                  <w:vAlign w:val="center"/>
                </w:tcPr>
                <w:p w14:paraId="0784C138">
                  <w:pPr>
                    <w:pStyle w:val="2"/>
                    <w:tabs>
                      <w:tab w:val="left" w:pos="-2793"/>
                    </w:tabs>
                    <w:spacing w:before="0" w:after="0" w:line="240" w:lineRule="auto"/>
                    <w:ind w:right="0"/>
                    <w:jc w:val="center"/>
                    <w:rPr>
                      <w:color w:val="auto"/>
                      <w:sz w:val="21"/>
                      <w:szCs w:val="21"/>
                    </w:rPr>
                  </w:pPr>
                </w:p>
              </w:tc>
            </w:tr>
          </w:tbl>
          <w:p w14:paraId="7C14ECAA">
            <w:pPr>
              <w:wordWrap w:val="0"/>
              <w:spacing w:before="120" w:beforeLines="50"/>
              <w:ind w:firstLine="482" w:firstLineChars="200"/>
              <w:rPr>
                <w:b/>
                <w:bCs/>
                <w:color w:val="auto"/>
                <w:sz w:val="24"/>
              </w:rPr>
            </w:pPr>
            <w:r>
              <w:rPr>
                <w:b/>
                <w:bCs/>
                <w:color w:val="auto"/>
                <w:sz w:val="24"/>
              </w:rPr>
              <w:t>3、噪声排放标准</w:t>
            </w:r>
          </w:p>
          <w:p w14:paraId="49C832AA">
            <w:pPr>
              <w:wordWrap w:val="0"/>
              <w:spacing w:line="360" w:lineRule="auto"/>
              <w:ind w:firstLine="480" w:firstLineChars="200"/>
              <w:rPr>
                <w:color w:val="auto"/>
                <w:sz w:val="24"/>
              </w:rPr>
            </w:pPr>
            <w:r>
              <w:rPr>
                <w:color w:val="auto"/>
                <w:sz w:val="24"/>
              </w:rPr>
              <w:t>项目营运期噪声执行《工业企业厂界环境噪声排放标准》（GB12348-2008）</w:t>
            </w:r>
            <w:r>
              <w:rPr>
                <w:rFonts w:hint="eastAsia"/>
                <w:color w:val="auto"/>
                <w:sz w:val="24"/>
              </w:rPr>
              <w:t>2</w:t>
            </w:r>
            <w:r>
              <w:rPr>
                <w:color w:val="auto"/>
                <w:sz w:val="24"/>
              </w:rPr>
              <w:t>类标准。</w:t>
            </w:r>
          </w:p>
          <w:p w14:paraId="204C75CE">
            <w:pPr>
              <w:widowControl/>
              <w:numPr>
                <w:ilvl w:val="0"/>
                <w:numId w:val="17"/>
              </w:numPr>
              <w:autoSpaceDE w:val="0"/>
              <w:autoSpaceDN w:val="0"/>
              <w:adjustRightInd w:val="0"/>
              <w:snapToGrid w:val="0"/>
              <w:jc w:val="center"/>
              <w:rPr>
                <w:b/>
                <w:color w:val="auto"/>
                <w:szCs w:val="21"/>
              </w:rPr>
            </w:pPr>
            <w:r>
              <w:rPr>
                <w:b/>
                <w:color w:val="auto"/>
                <w:szCs w:val="21"/>
              </w:rPr>
              <w:t xml:space="preserve">  项目营运期厂界噪声排放标准（单位：[dB(A)]）</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6"/>
              <w:gridCol w:w="2722"/>
              <w:gridCol w:w="2702"/>
            </w:tblGrid>
            <w:tr w14:paraId="6B97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77" w:type="pct"/>
                  <w:vAlign w:val="center"/>
                </w:tcPr>
                <w:p w14:paraId="305035B4">
                  <w:pPr>
                    <w:snapToGrid w:val="0"/>
                    <w:jc w:val="center"/>
                    <w:rPr>
                      <w:b/>
                      <w:bCs/>
                      <w:color w:val="auto"/>
                      <w:szCs w:val="21"/>
                    </w:rPr>
                  </w:pPr>
                  <w:r>
                    <w:rPr>
                      <w:b/>
                      <w:bCs/>
                      <w:color w:val="auto"/>
                      <w:szCs w:val="21"/>
                      <w:lang w:bidi="ar"/>
                    </w:rPr>
                    <w:t>类别</w:t>
                  </w:r>
                </w:p>
              </w:tc>
              <w:tc>
                <w:tcPr>
                  <w:tcW w:w="1466" w:type="pct"/>
                  <w:vAlign w:val="center"/>
                </w:tcPr>
                <w:p w14:paraId="10291A61">
                  <w:pPr>
                    <w:snapToGrid w:val="0"/>
                    <w:jc w:val="center"/>
                    <w:rPr>
                      <w:b/>
                      <w:bCs/>
                      <w:color w:val="auto"/>
                      <w:szCs w:val="21"/>
                    </w:rPr>
                  </w:pPr>
                  <w:r>
                    <w:rPr>
                      <w:b/>
                      <w:bCs/>
                      <w:color w:val="auto"/>
                      <w:szCs w:val="21"/>
                      <w:lang w:bidi="ar"/>
                    </w:rPr>
                    <w:t>昼间</w:t>
                  </w:r>
                </w:p>
              </w:tc>
              <w:tc>
                <w:tcPr>
                  <w:tcW w:w="1455" w:type="pct"/>
                  <w:vAlign w:val="center"/>
                </w:tcPr>
                <w:p w14:paraId="13E5A281">
                  <w:pPr>
                    <w:snapToGrid w:val="0"/>
                    <w:jc w:val="center"/>
                    <w:rPr>
                      <w:b/>
                      <w:bCs/>
                      <w:color w:val="auto"/>
                      <w:szCs w:val="21"/>
                      <w:lang w:bidi="ar"/>
                    </w:rPr>
                  </w:pPr>
                  <w:r>
                    <w:rPr>
                      <w:b/>
                      <w:bCs/>
                      <w:color w:val="auto"/>
                      <w:szCs w:val="21"/>
                      <w:lang w:bidi="ar"/>
                    </w:rPr>
                    <w:t>夜间</w:t>
                  </w:r>
                </w:p>
              </w:tc>
            </w:tr>
            <w:tr w14:paraId="701F5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77" w:type="pct"/>
                  <w:vAlign w:val="center"/>
                </w:tcPr>
                <w:p w14:paraId="3DDB6961">
                  <w:pPr>
                    <w:snapToGrid w:val="0"/>
                    <w:jc w:val="center"/>
                    <w:rPr>
                      <w:color w:val="auto"/>
                      <w:szCs w:val="21"/>
                      <w:lang w:bidi="ar"/>
                    </w:rPr>
                  </w:pPr>
                  <w:r>
                    <w:rPr>
                      <w:rFonts w:hint="eastAsia"/>
                      <w:color w:val="auto"/>
                      <w:szCs w:val="21"/>
                      <w:lang w:bidi="ar"/>
                    </w:rPr>
                    <w:t>2</w:t>
                  </w:r>
                  <w:r>
                    <w:rPr>
                      <w:color w:val="auto"/>
                      <w:szCs w:val="21"/>
                      <w:lang w:bidi="ar"/>
                    </w:rPr>
                    <w:t>类</w:t>
                  </w:r>
                </w:p>
              </w:tc>
              <w:tc>
                <w:tcPr>
                  <w:tcW w:w="1466" w:type="pct"/>
                  <w:vAlign w:val="center"/>
                </w:tcPr>
                <w:p w14:paraId="25668C46">
                  <w:pPr>
                    <w:snapToGrid w:val="0"/>
                    <w:jc w:val="center"/>
                    <w:rPr>
                      <w:color w:val="auto"/>
                      <w:szCs w:val="21"/>
                      <w:lang w:bidi="ar"/>
                    </w:rPr>
                  </w:pPr>
                  <w:r>
                    <w:rPr>
                      <w:color w:val="auto"/>
                      <w:szCs w:val="21"/>
                      <w:lang w:bidi="ar"/>
                    </w:rPr>
                    <w:t>6</w:t>
                  </w:r>
                  <w:r>
                    <w:rPr>
                      <w:rFonts w:hint="eastAsia"/>
                      <w:color w:val="auto"/>
                      <w:szCs w:val="21"/>
                      <w:lang w:bidi="ar"/>
                    </w:rPr>
                    <w:t>0</w:t>
                  </w:r>
                </w:p>
              </w:tc>
              <w:tc>
                <w:tcPr>
                  <w:tcW w:w="1455" w:type="pct"/>
                  <w:vAlign w:val="center"/>
                </w:tcPr>
                <w:p w14:paraId="6A2031B1">
                  <w:pPr>
                    <w:snapToGrid w:val="0"/>
                    <w:jc w:val="center"/>
                    <w:rPr>
                      <w:color w:val="auto"/>
                      <w:szCs w:val="21"/>
                      <w:lang w:bidi="ar"/>
                    </w:rPr>
                  </w:pPr>
                  <w:r>
                    <w:rPr>
                      <w:color w:val="auto"/>
                      <w:szCs w:val="21"/>
                      <w:lang w:bidi="ar"/>
                    </w:rPr>
                    <w:t>5</w:t>
                  </w:r>
                  <w:r>
                    <w:rPr>
                      <w:rFonts w:hint="eastAsia"/>
                      <w:color w:val="auto"/>
                      <w:szCs w:val="21"/>
                      <w:lang w:bidi="ar"/>
                    </w:rPr>
                    <w:t>0</w:t>
                  </w:r>
                </w:p>
              </w:tc>
            </w:tr>
          </w:tbl>
          <w:p w14:paraId="7CAB0F58">
            <w:pPr>
              <w:wordWrap w:val="0"/>
              <w:spacing w:before="120" w:beforeLines="50"/>
              <w:ind w:firstLine="482" w:firstLineChars="200"/>
              <w:rPr>
                <w:b/>
                <w:bCs/>
                <w:color w:val="auto"/>
                <w:sz w:val="24"/>
              </w:rPr>
            </w:pPr>
            <w:r>
              <w:rPr>
                <w:b/>
                <w:bCs/>
                <w:color w:val="auto"/>
                <w:sz w:val="24"/>
              </w:rPr>
              <w:t>4、固体废弃物控制标准</w:t>
            </w:r>
          </w:p>
          <w:p w14:paraId="312D425B">
            <w:pPr>
              <w:wordWrap w:val="0"/>
              <w:spacing w:line="360" w:lineRule="auto"/>
              <w:ind w:firstLine="480" w:firstLineChars="200"/>
              <w:rPr>
                <w:color w:val="auto"/>
              </w:rPr>
            </w:pPr>
            <w:r>
              <w:rPr>
                <w:rFonts w:hint="eastAsia"/>
                <w:color w:val="auto"/>
                <w:sz w:val="24"/>
              </w:rPr>
              <w:t>一般工业固体废物采用库房、包装工具（罐、桶、包装袋等）贮存，贮存过程应参照执行</w:t>
            </w:r>
            <w:r>
              <w:rPr>
                <w:color w:val="auto"/>
                <w:sz w:val="24"/>
              </w:rPr>
              <w:t>《中华人民共和国固体废物污染环境防治法》(2020年4月29日第十三届全国人民代表大会常务委员会第十七次会议第二次修订，自2020年9月1日起施行)、《广东省固体废物污染环境防治条例》（2018年11月29日修订，2019年3月1日起施行）</w:t>
            </w:r>
            <w:r>
              <w:rPr>
                <w:rFonts w:hint="eastAsia"/>
                <w:color w:val="auto"/>
                <w:sz w:val="24"/>
              </w:rPr>
              <w:t>中要求，其贮存过程应满足相应防渗漏、防雨淋、防扬尘等环境保护要求。</w:t>
            </w:r>
            <w:r>
              <w:rPr>
                <w:color w:val="auto"/>
                <w:sz w:val="24"/>
              </w:rPr>
              <w:t>危险废物</w:t>
            </w:r>
            <w:r>
              <w:rPr>
                <w:rFonts w:hint="eastAsia"/>
                <w:color w:val="auto"/>
                <w:sz w:val="24"/>
              </w:rPr>
              <w:t>贮存场所设置</w:t>
            </w:r>
            <w:r>
              <w:rPr>
                <w:color w:val="auto"/>
                <w:sz w:val="24"/>
              </w:rPr>
              <w:t>执行《危险废物贮存污染控制标准》（GB18597-20</w:t>
            </w:r>
            <w:r>
              <w:rPr>
                <w:rFonts w:hint="eastAsia"/>
                <w:color w:val="auto"/>
                <w:sz w:val="24"/>
              </w:rPr>
              <w:t>23</w:t>
            </w:r>
            <w:r>
              <w:rPr>
                <w:color w:val="auto"/>
                <w:sz w:val="24"/>
              </w:rPr>
              <w:t>）</w:t>
            </w:r>
            <w:r>
              <w:rPr>
                <w:rFonts w:hint="eastAsia"/>
                <w:color w:val="auto"/>
                <w:sz w:val="24"/>
              </w:rPr>
              <w:t>的要求</w:t>
            </w:r>
            <w:r>
              <w:rPr>
                <w:color w:val="auto"/>
                <w:sz w:val="24"/>
              </w:rPr>
              <w:t>。</w:t>
            </w:r>
          </w:p>
          <w:p w14:paraId="30577AB8">
            <w:pPr>
              <w:rPr>
                <w:color w:val="auto"/>
                <w:sz w:val="24"/>
              </w:rPr>
            </w:pPr>
          </w:p>
          <w:p w14:paraId="7629C160">
            <w:pPr>
              <w:rPr>
                <w:color w:val="auto"/>
              </w:rPr>
            </w:pPr>
          </w:p>
        </w:tc>
      </w:tr>
      <w:tr w14:paraId="0B41E4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42" w:hRule="atLeast"/>
          <w:jc w:val="center"/>
        </w:trPr>
        <w:tc>
          <w:tcPr>
            <w:tcW w:w="800" w:type="dxa"/>
            <w:vAlign w:val="center"/>
          </w:tcPr>
          <w:p w14:paraId="1A067E8A">
            <w:pPr>
              <w:adjustRightInd w:val="0"/>
              <w:snapToGrid w:val="0"/>
              <w:jc w:val="center"/>
              <w:rPr>
                <w:color w:val="auto"/>
                <w:kern w:val="0"/>
                <w:sz w:val="24"/>
              </w:rPr>
            </w:pPr>
            <w:r>
              <w:rPr>
                <w:color w:val="auto"/>
                <w:kern w:val="0"/>
                <w:sz w:val="24"/>
              </w:rPr>
              <w:t>总量</w:t>
            </w:r>
          </w:p>
          <w:p w14:paraId="063126F0">
            <w:pPr>
              <w:adjustRightInd w:val="0"/>
              <w:snapToGrid w:val="0"/>
              <w:jc w:val="center"/>
              <w:rPr>
                <w:color w:val="auto"/>
                <w:kern w:val="0"/>
                <w:sz w:val="24"/>
              </w:rPr>
            </w:pPr>
            <w:r>
              <w:rPr>
                <w:color w:val="auto"/>
                <w:kern w:val="0"/>
                <w:sz w:val="24"/>
              </w:rPr>
              <w:t>控制</w:t>
            </w:r>
          </w:p>
          <w:p w14:paraId="26AF7E82">
            <w:pPr>
              <w:adjustRightInd w:val="0"/>
              <w:snapToGrid w:val="0"/>
              <w:jc w:val="center"/>
              <w:rPr>
                <w:color w:val="auto"/>
                <w:kern w:val="0"/>
                <w:sz w:val="24"/>
              </w:rPr>
            </w:pPr>
            <w:r>
              <w:rPr>
                <w:color w:val="auto"/>
                <w:kern w:val="0"/>
                <w:sz w:val="24"/>
              </w:rPr>
              <w:t>指标</w:t>
            </w:r>
          </w:p>
        </w:tc>
        <w:tc>
          <w:tcPr>
            <w:tcW w:w="8190" w:type="dxa"/>
          </w:tcPr>
          <w:p w14:paraId="35951958">
            <w:pPr>
              <w:wordWrap w:val="0"/>
              <w:spacing w:line="360" w:lineRule="auto"/>
              <w:ind w:firstLine="480" w:firstLineChars="200"/>
              <w:rPr>
                <w:color w:val="auto"/>
                <w:sz w:val="24"/>
              </w:rPr>
            </w:pPr>
            <w:r>
              <w:rPr>
                <w:rFonts w:hint="eastAsia"/>
                <w:color w:val="auto"/>
                <w:sz w:val="24"/>
              </w:rPr>
              <w:t xml:space="preserve">项目结合自身建设情况以及拟建的污染治理设施，给出项目总量控制因子及建议总量控制指标如下： </w:t>
            </w:r>
          </w:p>
          <w:p w14:paraId="33FA0FD3">
            <w:pPr>
              <w:widowControl/>
              <w:numPr>
                <w:ilvl w:val="0"/>
                <w:numId w:val="17"/>
              </w:numPr>
              <w:autoSpaceDE w:val="0"/>
              <w:autoSpaceDN w:val="0"/>
              <w:adjustRightInd w:val="0"/>
              <w:snapToGrid w:val="0"/>
              <w:jc w:val="center"/>
              <w:rPr>
                <w:b/>
                <w:color w:val="auto"/>
                <w:szCs w:val="21"/>
              </w:rPr>
            </w:pPr>
            <w:r>
              <w:rPr>
                <w:rFonts w:hint="eastAsia"/>
                <w:b/>
                <w:color w:val="auto"/>
                <w:szCs w:val="21"/>
              </w:rPr>
              <w:t xml:space="preserve">  </w:t>
            </w:r>
            <w:r>
              <w:rPr>
                <w:b/>
                <w:color w:val="auto"/>
                <w:szCs w:val="21"/>
              </w:rPr>
              <w:t>项目污染物总量控制指标单位t/a</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251"/>
              <w:gridCol w:w="1329"/>
              <w:gridCol w:w="1559"/>
              <w:gridCol w:w="4139"/>
            </w:tblGrid>
            <w:tr w14:paraId="1A583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Align w:val="center"/>
                </w:tcPr>
                <w:p w14:paraId="1B3DD6BD">
                  <w:pPr>
                    <w:adjustRightInd w:val="0"/>
                    <w:snapToGrid w:val="0"/>
                    <w:jc w:val="center"/>
                    <w:rPr>
                      <w:b/>
                      <w:bCs/>
                      <w:color w:val="auto"/>
                      <w:szCs w:val="21"/>
                    </w:rPr>
                  </w:pPr>
                  <w:r>
                    <w:rPr>
                      <w:b/>
                      <w:bCs/>
                      <w:color w:val="auto"/>
                      <w:szCs w:val="21"/>
                    </w:rPr>
                    <w:t>分类</w:t>
                  </w:r>
                </w:p>
              </w:tc>
              <w:tc>
                <w:tcPr>
                  <w:tcW w:w="1390" w:type="pct"/>
                  <w:gridSpan w:val="2"/>
                  <w:vAlign w:val="center"/>
                </w:tcPr>
                <w:p w14:paraId="2E63D645">
                  <w:pPr>
                    <w:adjustRightInd w:val="0"/>
                    <w:snapToGrid w:val="0"/>
                    <w:jc w:val="center"/>
                    <w:rPr>
                      <w:b/>
                      <w:bCs/>
                      <w:color w:val="auto"/>
                      <w:szCs w:val="21"/>
                    </w:rPr>
                  </w:pPr>
                  <w:r>
                    <w:rPr>
                      <w:b/>
                      <w:bCs/>
                      <w:color w:val="auto"/>
                      <w:szCs w:val="21"/>
                    </w:rPr>
                    <w:t>污染物名称</w:t>
                  </w:r>
                </w:p>
              </w:tc>
              <w:tc>
                <w:tcPr>
                  <w:tcW w:w="840" w:type="pct"/>
                  <w:vAlign w:val="center"/>
                </w:tcPr>
                <w:p w14:paraId="471FE517">
                  <w:pPr>
                    <w:adjustRightInd w:val="0"/>
                    <w:snapToGrid w:val="0"/>
                    <w:jc w:val="center"/>
                    <w:rPr>
                      <w:b/>
                      <w:bCs/>
                      <w:color w:val="auto"/>
                      <w:szCs w:val="21"/>
                    </w:rPr>
                  </w:pPr>
                  <w:r>
                    <w:rPr>
                      <w:b/>
                      <w:bCs/>
                      <w:color w:val="auto"/>
                      <w:szCs w:val="21"/>
                    </w:rPr>
                    <w:t>排放量</w:t>
                  </w:r>
                </w:p>
              </w:tc>
              <w:tc>
                <w:tcPr>
                  <w:tcW w:w="2230" w:type="pct"/>
                  <w:vAlign w:val="center"/>
                </w:tcPr>
                <w:p w14:paraId="2DA47CE5">
                  <w:pPr>
                    <w:adjustRightInd w:val="0"/>
                    <w:snapToGrid w:val="0"/>
                    <w:jc w:val="center"/>
                    <w:rPr>
                      <w:b/>
                      <w:bCs/>
                      <w:color w:val="auto"/>
                      <w:szCs w:val="21"/>
                    </w:rPr>
                  </w:pPr>
                  <w:r>
                    <w:rPr>
                      <w:b/>
                      <w:bCs/>
                      <w:color w:val="auto"/>
                      <w:szCs w:val="21"/>
                    </w:rPr>
                    <w:t>备注</w:t>
                  </w:r>
                </w:p>
              </w:tc>
            </w:tr>
            <w:tr w14:paraId="49D22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38" w:type="pct"/>
                  <w:vMerge w:val="restart"/>
                  <w:vAlign w:val="center"/>
                </w:tcPr>
                <w:p w14:paraId="459D1B92">
                  <w:pPr>
                    <w:pStyle w:val="127"/>
                    <w:snapToGrid w:val="0"/>
                    <w:rPr>
                      <w:color w:val="auto"/>
                      <w:szCs w:val="21"/>
                    </w:rPr>
                  </w:pPr>
                  <w:r>
                    <w:rPr>
                      <w:color w:val="auto"/>
                      <w:szCs w:val="21"/>
                    </w:rPr>
                    <w:t>废水</w:t>
                  </w:r>
                </w:p>
              </w:tc>
              <w:tc>
                <w:tcPr>
                  <w:tcW w:w="674" w:type="pct"/>
                  <w:vMerge w:val="restart"/>
                  <w:vAlign w:val="center"/>
                </w:tcPr>
                <w:p w14:paraId="37377CC4">
                  <w:pPr>
                    <w:pStyle w:val="127"/>
                    <w:snapToGrid w:val="0"/>
                    <w:rPr>
                      <w:color w:val="auto"/>
                      <w:szCs w:val="21"/>
                    </w:rPr>
                  </w:pPr>
                  <w:r>
                    <w:rPr>
                      <w:color w:val="auto"/>
                      <w:szCs w:val="21"/>
                    </w:rPr>
                    <w:t>生活污水</w:t>
                  </w:r>
                </w:p>
              </w:tc>
              <w:tc>
                <w:tcPr>
                  <w:tcW w:w="716" w:type="pct"/>
                  <w:vAlign w:val="center"/>
                </w:tcPr>
                <w:p w14:paraId="66BA450A">
                  <w:pPr>
                    <w:adjustRightInd w:val="0"/>
                    <w:snapToGrid w:val="0"/>
                    <w:jc w:val="center"/>
                    <w:rPr>
                      <w:color w:val="auto"/>
                      <w:szCs w:val="21"/>
                    </w:rPr>
                  </w:pPr>
                  <w:r>
                    <w:rPr>
                      <w:color w:val="auto"/>
                      <w:szCs w:val="21"/>
                    </w:rPr>
                    <w:t>废水量</w:t>
                  </w:r>
                </w:p>
              </w:tc>
              <w:tc>
                <w:tcPr>
                  <w:tcW w:w="840" w:type="pct"/>
                  <w:vAlign w:val="center"/>
                </w:tcPr>
                <w:p w14:paraId="12F788AC">
                  <w:pPr>
                    <w:pStyle w:val="127"/>
                    <w:snapToGrid w:val="0"/>
                    <w:rPr>
                      <w:color w:val="auto"/>
                      <w:szCs w:val="21"/>
                    </w:rPr>
                  </w:pPr>
                  <w:r>
                    <w:rPr>
                      <w:rFonts w:hint="eastAsia"/>
                      <w:color w:val="auto"/>
                      <w:szCs w:val="21"/>
                    </w:rPr>
                    <w:t>450</w:t>
                  </w:r>
                </w:p>
              </w:tc>
              <w:tc>
                <w:tcPr>
                  <w:tcW w:w="2230" w:type="pct"/>
                  <w:vMerge w:val="restart"/>
                  <w:vAlign w:val="center"/>
                </w:tcPr>
                <w:p w14:paraId="3D42E183">
                  <w:pPr>
                    <w:pStyle w:val="127"/>
                    <w:snapToGrid w:val="0"/>
                    <w:rPr>
                      <w:color w:val="auto"/>
                      <w:szCs w:val="21"/>
                    </w:rPr>
                  </w:pPr>
                  <w:r>
                    <w:rPr>
                      <w:color w:val="auto"/>
                      <w:szCs w:val="21"/>
                    </w:rPr>
                    <w:t>生活污水纳入污水处理厂，COD</w:t>
                  </w:r>
                  <w:r>
                    <w:rPr>
                      <w:color w:val="auto"/>
                      <w:szCs w:val="21"/>
                      <w:vertAlign w:val="subscript"/>
                    </w:rPr>
                    <w:t>Cr</w:t>
                  </w:r>
                  <w:r>
                    <w:rPr>
                      <w:color w:val="auto"/>
                      <w:szCs w:val="21"/>
                    </w:rPr>
                    <w:t>和NH</w:t>
                  </w:r>
                  <w:r>
                    <w:rPr>
                      <w:color w:val="auto"/>
                      <w:szCs w:val="21"/>
                      <w:vertAlign w:val="subscript"/>
                    </w:rPr>
                    <w:t>3</w:t>
                  </w:r>
                  <w:r>
                    <w:rPr>
                      <w:color w:val="auto"/>
                      <w:szCs w:val="21"/>
                    </w:rPr>
                    <w:t>-N总量指标由</w:t>
                  </w:r>
                  <w:r>
                    <w:rPr>
                      <w:rFonts w:hint="eastAsia"/>
                      <w:color w:val="auto"/>
                      <w:szCs w:val="21"/>
                    </w:rPr>
                    <w:t>石湾镇西基生活污水厂</w:t>
                  </w:r>
                  <w:r>
                    <w:rPr>
                      <w:color w:val="auto"/>
                      <w:szCs w:val="21"/>
                    </w:rPr>
                    <w:t>分配</w:t>
                  </w:r>
                </w:p>
              </w:tc>
            </w:tr>
            <w:tr w14:paraId="110FF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Merge w:val="continue"/>
                  <w:vAlign w:val="center"/>
                </w:tcPr>
                <w:p w14:paraId="1F0E19AE">
                  <w:pPr>
                    <w:pStyle w:val="127"/>
                    <w:snapToGrid w:val="0"/>
                    <w:rPr>
                      <w:color w:val="auto"/>
                      <w:szCs w:val="21"/>
                      <w:highlight w:val="yellow"/>
                    </w:rPr>
                  </w:pPr>
                </w:p>
              </w:tc>
              <w:tc>
                <w:tcPr>
                  <w:tcW w:w="674" w:type="pct"/>
                  <w:vMerge w:val="continue"/>
                  <w:vAlign w:val="center"/>
                </w:tcPr>
                <w:p w14:paraId="7AFBF42F">
                  <w:pPr>
                    <w:pStyle w:val="127"/>
                    <w:snapToGrid w:val="0"/>
                    <w:rPr>
                      <w:color w:val="auto"/>
                      <w:szCs w:val="21"/>
                      <w:highlight w:val="yellow"/>
                    </w:rPr>
                  </w:pPr>
                </w:p>
              </w:tc>
              <w:tc>
                <w:tcPr>
                  <w:tcW w:w="716" w:type="pct"/>
                  <w:vAlign w:val="center"/>
                </w:tcPr>
                <w:p w14:paraId="2ED3B652">
                  <w:pPr>
                    <w:adjustRightInd w:val="0"/>
                    <w:snapToGrid w:val="0"/>
                    <w:jc w:val="center"/>
                    <w:rPr>
                      <w:color w:val="auto"/>
                      <w:szCs w:val="21"/>
                    </w:rPr>
                  </w:pPr>
                  <w:r>
                    <w:rPr>
                      <w:color w:val="auto"/>
                      <w:szCs w:val="21"/>
                    </w:rPr>
                    <w:t>COD</w:t>
                  </w:r>
                  <w:r>
                    <w:rPr>
                      <w:color w:val="auto"/>
                      <w:szCs w:val="21"/>
                      <w:vertAlign w:val="subscript"/>
                    </w:rPr>
                    <w:t>Cr</w:t>
                  </w:r>
                </w:p>
              </w:tc>
              <w:tc>
                <w:tcPr>
                  <w:tcW w:w="840" w:type="pct"/>
                  <w:vAlign w:val="center"/>
                </w:tcPr>
                <w:p w14:paraId="0B063C63">
                  <w:pPr>
                    <w:pStyle w:val="127"/>
                    <w:snapToGrid w:val="0"/>
                    <w:rPr>
                      <w:color w:val="auto"/>
                      <w:szCs w:val="21"/>
                    </w:rPr>
                  </w:pPr>
                  <w:r>
                    <w:rPr>
                      <w:rFonts w:hint="eastAsia"/>
                      <w:color w:val="auto"/>
                      <w:szCs w:val="21"/>
                    </w:rPr>
                    <w:t>0.018</w:t>
                  </w:r>
                </w:p>
              </w:tc>
              <w:tc>
                <w:tcPr>
                  <w:tcW w:w="2230" w:type="pct"/>
                  <w:vMerge w:val="continue"/>
                  <w:vAlign w:val="center"/>
                </w:tcPr>
                <w:p w14:paraId="09475837">
                  <w:pPr>
                    <w:pStyle w:val="127"/>
                    <w:snapToGrid w:val="0"/>
                    <w:rPr>
                      <w:color w:val="auto"/>
                      <w:szCs w:val="21"/>
                    </w:rPr>
                  </w:pPr>
                </w:p>
              </w:tc>
            </w:tr>
            <w:tr w14:paraId="4AEC0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Merge w:val="continue"/>
                  <w:vAlign w:val="center"/>
                </w:tcPr>
                <w:p w14:paraId="2D675D8D">
                  <w:pPr>
                    <w:pStyle w:val="127"/>
                    <w:snapToGrid w:val="0"/>
                    <w:rPr>
                      <w:color w:val="auto"/>
                      <w:szCs w:val="21"/>
                      <w:highlight w:val="yellow"/>
                    </w:rPr>
                  </w:pPr>
                </w:p>
              </w:tc>
              <w:tc>
                <w:tcPr>
                  <w:tcW w:w="674" w:type="pct"/>
                  <w:vMerge w:val="continue"/>
                  <w:vAlign w:val="center"/>
                </w:tcPr>
                <w:p w14:paraId="717CC64F">
                  <w:pPr>
                    <w:pStyle w:val="127"/>
                    <w:snapToGrid w:val="0"/>
                    <w:rPr>
                      <w:color w:val="auto"/>
                      <w:szCs w:val="21"/>
                      <w:highlight w:val="yellow"/>
                    </w:rPr>
                  </w:pPr>
                </w:p>
              </w:tc>
              <w:tc>
                <w:tcPr>
                  <w:tcW w:w="716" w:type="pct"/>
                  <w:vAlign w:val="center"/>
                </w:tcPr>
                <w:p w14:paraId="5AD0A79A">
                  <w:pPr>
                    <w:adjustRightInd w:val="0"/>
                    <w:snapToGrid w:val="0"/>
                    <w:jc w:val="center"/>
                    <w:rPr>
                      <w:color w:val="auto"/>
                      <w:szCs w:val="21"/>
                    </w:rPr>
                  </w:pPr>
                  <w:r>
                    <w:rPr>
                      <w:color w:val="auto"/>
                      <w:szCs w:val="21"/>
                    </w:rPr>
                    <w:t>NH</w:t>
                  </w:r>
                  <w:r>
                    <w:rPr>
                      <w:color w:val="auto"/>
                      <w:szCs w:val="21"/>
                      <w:vertAlign w:val="subscript"/>
                    </w:rPr>
                    <w:t>3</w:t>
                  </w:r>
                  <w:r>
                    <w:rPr>
                      <w:color w:val="auto"/>
                      <w:szCs w:val="21"/>
                    </w:rPr>
                    <w:t>-N</w:t>
                  </w:r>
                </w:p>
              </w:tc>
              <w:tc>
                <w:tcPr>
                  <w:tcW w:w="840" w:type="pct"/>
                  <w:vAlign w:val="center"/>
                </w:tcPr>
                <w:p w14:paraId="11BAB629">
                  <w:pPr>
                    <w:pStyle w:val="127"/>
                    <w:snapToGrid w:val="0"/>
                    <w:rPr>
                      <w:color w:val="auto"/>
                      <w:szCs w:val="21"/>
                    </w:rPr>
                  </w:pPr>
                  <w:r>
                    <w:rPr>
                      <w:color w:val="auto"/>
                      <w:szCs w:val="21"/>
                    </w:rPr>
                    <w:t>0.00</w:t>
                  </w:r>
                  <w:r>
                    <w:rPr>
                      <w:rFonts w:hint="eastAsia"/>
                      <w:color w:val="auto"/>
                      <w:szCs w:val="21"/>
                    </w:rPr>
                    <w:t>09</w:t>
                  </w:r>
                </w:p>
              </w:tc>
              <w:tc>
                <w:tcPr>
                  <w:tcW w:w="2230" w:type="pct"/>
                  <w:vMerge w:val="continue"/>
                  <w:vAlign w:val="center"/>
                </w:tcPr>
                <w:p w14:paraId="42EAF5FF">
                  <w:pPr>
                    <w:pStyle w:val="127"/>
                    <w:snapToGrid w:val="0"/>
                    <w:rPr>
                      <w:color w:val="auto"/>
                      <w:szCs w:val="21"/>
                    </w:rPr>
                  </w:pPr>
                </w:p>
              </w:tc>
            </w:tr>
            <w:tr w14:paraId="486F5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vMerge w:val="restart"/>
                  <w:vAlign w:val="center"/>
                </w:tcPr>
                <w:p w14:paraId="5CB50F02">
                  <w:pPr>
                    <w:adjustRightInd w:val="0"/>
                    <w:snapToGrid w:val="0"/>
                    <w:jc w:val="center"/>
                    <w:rPr>
                      <w:color w:val="auto"/>
                      <w:szCs w:val="21"/>
                      <w:highlight w:val="yellow"/>
                    </w:rPr>
                  </w:pPr>
                  <w:r>
                    <w:rPr>
                      <w:color w:val="auto"/>
                      <w:szCs w:val="21"/>
                    </w:rPr>
                    <w:t>废气</w:t>
                  </w:r>
                </w:p>
              </w:tc>
              <w:tc>
                <w:tcPr>
                  <w:tcW w:w="674" w:type="pct"/>
                  <w:vMerge w:val="restart"/>
                  <w:vAlign w:val="center"/>
                </w:tcPr>
                <w:p w14:paraId="290DB272">
                  <w:pPr>
                    <w:widowControl/>
                    <w:jc w:val="center"/>
                    <w:textAlignment w:val="center"/>
                    <w:rPr>
                      <w:color w:val="auto"/>
                      <w:szCs w:val="21"/>
                    </w:rPr>
                  </w:pPr>
                  <w:r>
                    <w:rPr>
                      <w:rFonts w:hint="eastAsia"/>
                      <w:color w:val="auto"/>
                      <w:kern w:val="0"/>
                      <w:szCs w:val="21"/>
                      <w:lang w:bidi="ar"/>
                    </w:rPr>
                    <w:t>颗粒物</w:t>
                  </w:r>
                </w:p>
              </w:tc>
              <w:tc>
                <w:tcPr>
                  <w:tcW w:w="716" w:type="pct"/>
                  <w:vAlign w:val="center"/>
                </w:tcPr>
                <w:p w14:paraId="0D83766A">
                  <w:pPr>
                    <w:widowControl/>
                    <w:adjustRightInd w:val="0"/>
                    <w:snapToGrid w:val="0"/>
                    <w:jc w:val="center"/>
                    <w:rPr>
                      <w:color w:val="auto"/>
                      <w:kern w:val="0"/>
                      <w:szCs w:val="21"/>
                    </w:rPr>
                  </w:pPr>
                  <w:r>
                    <w:rPr>
                      <w:color w:val="auto"/>
                      <w:kern w:val="0"/>
                      <w:szCs w:val="21"/>
                    </w:rPr>
                    <w:t>有组织</w:t>
                  </w:r>
                </w:p>
              </w:tc>
              <w:tc>
                <w:tcPr>
                  <w:tcW w:w="1559" w:type="dxa"/>
                  <w:vAlign w:val="center"/>
                </w:tcPr>
                <w:p w14:paraId="0762806D">
                  <w:pPr>
                    <w:widowControl/>
                    <w:jc w:val="center"/>
                    <w:textAlignment w:val="center"/>
                    <w:rPr>
                      <w:color w:val="auto"/>
                      <w:szCs w:val="21"/>
                    </w:rPr>
                  </w:pPr>
                  <w:r>
                    <w:rPr>
                      <w:rFonts w:hint="eastAsia"/>
                      <w:color w:val="auto"/>
                      <w:kern w:val="0"/>
                      <w:szCs w:val="21"/>
                      <w:lang w:bidi="ar"/>
                    </w:rPr>
                    <w:t>0.1026</w:t>
                  </w:r>
                </w:p>
              </w:tc>
              <w:tc>
                <w:tcPr>
                  <w:tcW w:w="2230" w:type="pct"/>
                  <w:vMerge w:val="restart"/>
                  <w:vAlign w:val="center"/>
                </w:tcPr>
                <w:p w14:paraId="68E586C0">
                  <w:pPr>
                    <w:adjustRightInd w:val="0"/>
                    <w:snapToGrid w:val="0"/>
                    <w:jc w:val="center"/>
                    <w:rPr>
                      <w:color w:val="auto"/>
                      <w:szCs w:val="21"/>
                    </w:rPr>
                  </w:pPr>
                  <w:r>
                    <w:rPr>
                      <w:color w:val="auto"/>
                      <w:szCs w:val="21"/>
                    </w:rPr>
                    <w:t>无需申请总量</w:t>
                  </w:r>
                </w:p>
              </w:tc>
            </w:tr>
            <w:tr w14:paraId="4AF7A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Merge w:val="continue"/>
                  <w:vAlign w:val="center"/>
                </w:tcPr>
                <w:p w14:paraId="71E6612E">
                  <w:pPr>
                    <w:adjustRightInd w:val="0"/>
                    <w:snapToGrid w:val="0"/>
                    <w:jc w:val="center"/>
                    <w:rPr>
                      <w:color w:val="auto"/>
                      <w:szCs w:val="21"/>
                      <w:highlight w:val="yellow"/>
                    </w:rPr>
                  </w:pPr>
                </w:p>
              </w:tc>
              <w:tc>
                <w:tcPr>
                  <w:tcW w:w="674" w:type="pct"/>
                  <w:vMerge w:val="continue"/>
                  <w:vAlign w:val="center"/>
                </w:tcPr>
                <w:p w14:paraId="2E2B0AB0">
                  <w:pPr>
                    <w:adjustRightInd w:val="0"/>
                    <w:snapToGrid w:val="0"/>
                    <w:jc w:val="center"/>
                    <w:rPr>
                      <w:color w:val="auto"/>
                      <w:szCs w:val="21"/>
                    </w:rPr>
                  </w:pPr>
                </w:p>
              </w:tc>
              <w:tc>
                <w:tcPr>
                  <w:tcW w:w="716" w:type="pct"/>
                  <w:vAlign w:val="center"/>
                </w:tcPr>
                <w:p w14:paraId="4445C7D8">
                  <w:pPr>
                    <w:widowControl/>
                    <w:adjustRightInd w:val="0"/>
                    <w:snapToGrid w:val="0"/>
                    <w:jc w:val="center"/>
                    <w:rPr>
                      <w:color w:val="auto"/>
                      <w:kern w:val="0"/>
                      <w:szCs w:val="21"/>
                    </w:rPr>
                  </w:pPr>
                  <w:r>
                    <w:rPr>
                      <w:color w:val="auto"/>
                      <w:kern w:val="0"/>
                      <w:szCs w:val="21"/>
                    </w:rPr>
                    <w:t>无组织</w:t>
                  </w:r>
                </w:p>
              </w:tc>
              <w:tc>
                <w:tcPr>
                  <w:tcW w:w="1559" w:type="dxa"/>
                  <w:vAlign w:val="center"/>
                </w:tcPr>
                <w:p w14:paraId="4410955E">
                  <w:pPr>
                    <w:widowControl/>
                    <w:jc w:val="center"/>
                    <w:textAlignment w:val="center"/>
                    <w:rPr>
                      <w:color w:val="auto"/>
                      <w:szCs w:val="21"/>
                    </w:rPr>
                  </w:pPr>
                  <w:r>
                    <w:rPr>
                      <w:color w:val="auto"/>
                      <w:kern w:val="0"/>
                      <w:szCs w:val="21"/>
                      <w:lang w:bidi="ar"/>
                    </w:rPr>
                    <w:t>0.7</w:t>
                  </w:r>
                  <w:r>
                    <w:rPr>
                      <w:rFonts w:hint="eastAsia"/>
                      <w:color w:val="auto"/>
                      <w:kern w:val="0"/>
                      <w:szCs w:val="21"/>
                      <w:lang w:bidi="ar"/>
                    </w:rPr>
                    <w:t>6</w:t>
                  </w:r>
                  <w:r>
                    <w:rPr>
                      <w:color w:val="auto"/>
                      <w:kern w:val="0"/>
                      <w:szCs w:val="21"/>
                      <w:lang w:bidi="ar"/>
                    </w:rPr>
                    <w:t>892</w:t>
                  </w:r>
                </w:p>
              </w:tc>
              <w:tc>
                <w:tcPr>
                  <w:tcW w:w="2230" w:type="pct"/>
                  <w:vMerge w:val="continue"/>
                  <w:vAlign w:val="center"/>
                </w:tcPr>
                <w:p w14:paraId="4B3F0034">
                  <w:pPr>
                    <w:adjustRightInd w:val="0"/>
                    <w:snapToGrid w:val="0"/>
                    <w:jc w:val="center"/>
                    <w:rPr>
                      <w:color w:val="auto"/>
                      <w:szCs w:val="21"/>
                    </w:rPr>
                  </w:pPr>
                </w:p>
              </w:tc>
            </w:tr>
            <w:tr w14:paraId="5229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vMerge w:val="continue"/>
                  <w:vAlign w:val="center"/>
                </w:tcPr>
                <w:p w14:paraId="1A0A0503">
                  <w:pPr>
                    <w:adjustRightInd w:val="0"/>
                    <w:snapToGrid w:val="0"/>
                    <w:jc w:val="center"/>
                    <w:rPr>
                      <w:color w:val="auto"/>
                      <w:szCs w:val="21"/>
                      <w:highlight w:val="yellow"/>
                    </w:rPr>
                  </w:pPr>
                </w:p>
              </w:tc>
              <w:tc>
                <w:tcPr>
                  <w:tcW w:w="674" w:type="pct"/>
                  <w:vMerge w:val="continue"/>
                  <w:vAlign w:val="center"/>
                </w:tcPr>
                <w:p w14:paraId="0D6F0B20">
                  <w:pPr>
                    <w:adjustRightInd w:val="0"/>
                    <w:snapToGrid w:val="0"/>
                    <w:jc w:val="center"/>
                    <w:rPr>
                      <w:color w:val="auto"/>
                      <w:szCs w:val="21"/>
                    </w:rPr>
                  </w:pPr>
                </w:p>
              </w:tc>
              <w:tc>
                <w:tcPr>
                  <w:tcW w:w="716" w:type="pct"/>
                  <w:vAlign w:val="center"/>
                </w:tcPr>
                <w:p w14:paraId="780A8597">
                  <w:pPr>
                    <w:widowControl/>
                    <w:adjustRightInd w:val="0"/>
                    <w:snapToGrid w:val="0"/>
                    <w:jc w:val="center"/>
                    <w:rPr>
                      <w:color w:val="auto"/>
                      <w:kern w:val="0"/>
                      <w:szCs w:val="21"/>
                    </w:rPr>
                  </w:pPr>
                  <w:r>
                    <w:rPr>
                      <w:color w:val="auto"/>
                      <w:kern w:val="0"/>
                      <w:szCs w:val="21"/>
                    </w:rPr>
                    <w:t>合计</w:t>
                  </w:r>
                </w:p>
              </w:tc>
              <w:tc>
                <w:tcPr>
                  <w:tcW w:w="1559" w:type="dxa"/>
                  <w:vAlign w:val="center"/>
                </w:tcPr>
                <w:p w14:paraId="46B3F02F">
                  <w:pPr>
                    <w:widowControl/>
                    <w:jc w:val="center"/>
                    <w:textAlignment w:val="center"/>
                    <w:rPr>
                      <w:color w:val="auto"/>
                      <w:szCs w:val="21"/>
                    </w:rPr>
                  </w:pPr>
                  <w:r>
                    <w:rPr>
                      <w:rFonts w:hint="eastAsia"/>
                      <w:color w:val="auto"/>
                      <w:kern w:val="0"/>
                      <w:szCs w:val="21"/>
                      <w:lang w:bidi="ar"/>
                    </w:rPr>
                    <w:t>0.87152</w:t>
                  </w:r>
                </w:p>
              </w:tc>
              <w:tc>
                <w:tcPr>
                  <w:tcW w:w="2230" w:type="pct"/>
                  <w:vMerge w:val="continue"/>
                  <w:vAlign w:val="center"/>
                </w:tcPr>
                <w:p w14:paraId="00121E82">
                  <w:pPr>
                    <w:adjustRightInd w:val="0"/>
                    <w:snapToGrid w:val="0"/>
                    <w:jc w:val="center"/>
                    <w:rPr>
                      <w:color w:val="auto"/>
                      <w:szCs w:val="21"/>
                    </w:rPr>
                  </w:pPr>
                </w:p>
              </w:tc>
            </w:tr>
            <w:tr w14:paraId="1D0FA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Merge w:val="continue"/>
                  <w:vAlign w:val="center"/>
                </w:tcPr>
                <w:p w14:paraId="0D42AC9C">
                  <w:pPr>
                    <w:adjustRightInd w:val="0"/>
                    <w:snapToGrid w:val="0"/>
                    <w:jc w:val="center"/>
                    <w:rPr>
                      <w:color w:val="auto"/>
                      <w:szCs w:val="21"/>
                      <w:highlight w:val="yellow"/>
                    </w:rPr>
                  </w:pPr>
                </w:p>
              </w:tc>
              <w:tc>
                <w:tcPr>
                  <w:tcW w:w="674" w:type="pct"/>
                  <w:vMerge w:val="restart"/>
                  <w:vAlign w:val="center"/>
                </w:tcPr>
                <w:p w14:paraId="51E49BC3">
                  <w:pPr>
                    <w:widowControl/>
                    <w:jc w:val="center"/>
                    <w:textAlignment w:val="center"/>
                    <w:rPr>
                      <w:color w:val="auto"/>
                      <w:szCs w:val="21"/>
                    </w:rPr>
                  </w:pPr>
                  <w:r>
                    <w:rPr>
                      <w:rFonts w:hint="eastAsia"/>
                      <w:color w:val="auto"/>
                      <w:kern w:val="0"/>
                      <w:szCs w:val="21"/>
                      <w:lang w:bidi="ar"/>
                    </w:rPr>
                    <w:t>二氧化硫</w:t>
                  </w:r>
                </w:p>
              </w:tc>
              <w:tc>
                <w:tcPr>
                  <w:tcW w:w="716" w:type="pct"/>
                  <w:vAlign w:val="center"/>
                </w:tcPr>
                <w:p w14:paraId="4A385F6E">
                  <w:pPr>
                    <w:widowControl/>
                    <w:adjustRightInd w:val="0"/>
                    <w:snapToGrid w:val="0"/>
                    <w:jc w:val="center"/>
                    <w:rPr>
                      <w:color w:val="auto"/>
                      <w:kern w:val="0"/>
                      <w:szCs w:val="21"/>
                    </w:rPr>
                  </w:pPr>
                  <w:r>
                    <w:rPr>
                      <w:color w:val="auto"/>
                      <w:kern w:val="0"/>
                      <w:szCs w:val="21"/>
                    </w:rPr>
                    <w:t>有组织</w:t>
                  </w:r>
                </w:p>
              </w:tc>
              <w:tc>
                <w:tcPr>
                  <w:tcW w:w="1559" w:type="dxa"/>
                  <w:vAlign w:val="center"/>
                </w:tcPr>
                <w:p w14:paraId="6FB1E5C3">
                  <w:pPr>
                    <w:widowControl/>
                    <w:jc w:val="center"/>
                    <w:textAlignment w:val="center"/>
                    <w:rPr>
                      <w:color w:val="auto"/>
                      <w:szCs w:val="21"/>
                    </w:rPr>
                  </w:pPr>
                  <w:r>
                    <w:rPr>
                      <w:color w:val="auto"/>
                      <w:kern w:val="0"/>
                      <w:szCs w:val="21"/>
                      <w:lang w:bidi="ar"/>
                    </w:rPr>
                    <w:t>0.05169</w:t>
                  </w:r>
                </w:p>
              </w:tc>
              <w:tc>
                <w:tcPr>
                  <w:tcW w:w="2230" w:type="pct"/>
                  <w:vMerge w:val="continue"/>
                  <w:vAlign w:val="center"/>
                </w:tcPr>
                <w:p w14:paraId="16C84BC6">
                  <w:pPr>
                    <w:adjustRightInd w:val="0"/>
                    <w:snapToGrid w:val="0"/>
                    <w:jc w:val="center"/>
                    <w:rPr>
                      <w:color w:val="auto"/>
                      <w:szCs w:val="21"/>
                    </w:rPr>
                  </w:pPr>
                </w:p>
              </w:tc>
            </w:tr>
            <w:tr w14:paraId="5184D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Merge w:val="continue"/>
                  <w:vAlign w:val="center"/>
                </w:tcPr>
                <w:p w14:paraId="7D92B28D">
                  <w:pPr>
                    <w:adjustRightInd w:val="0"/>
                    <w:snapToGrid w:val="0"/>
                    <w:jc w:val="center"/>
                    <w:rPr>
                      <w:color w:val="auto"/>
                      <w:szCs w:val="21"/>
                      <w:highlight w:val="yellow"/>
                    </w:rPr>
                  </w:pPr>
                </w:p>
              </w:tc>
              <w:tc>
                <w:tcPr>
                  <w:tcW w:w="674" w:type="pct"/>
                  <w:vMerge w:val="continue"/>
                  <w:vAlign w:val="center"/>
                </w:tcPr>
                <w:p w14:paraId="7FD8BDC9">
                  <w:pPr>
                    <w:adjustRightInd w:val="0"/>
                    <w:snapToGrid w:val="0"/>
                    <w:jc w:val="center"/>
                    <w:rPr>
                      <w:color w:val="auto"/>
                      <w:szCs w:val="21"/>
                    </w:rPr>
                  </w:pPr>
                </w:p>
              </w:tc>
              <w:tc>
                <w:tcPr>
                  <w:tcW w:w="716" w:type="pct"/>
                  <w:vAlign w:val="center"/>
                </w:tcPr>
                <w:p w14:paraId="38F5BDE2">
                  <w:pPr>
                    <w:widowControl/>
                    <w:adjustRightInd w:val="0"/>
                    <w:snapToGrid w:val="0"/>
                    <w:jc w:val="center"/>
                    <w:rPr>
                      <w:color w:val="auto"/>
                      <w:kern w:val="0"/>
                      <w:szCs w:val="21"/>
                    </w:rPr>
                  </w:pPr>
                  <w:r>
                    <w:rPr>
                      <w:color w:val="auto"/>
                      <w:kern w:val="0"/>
                      <w:szCs w:val="21"/>
                    </w:rPr>
                    <w:t>无组织</w:t>
                  </w:r>
                </w:p>
              </w:tc>
              <w:tc>
                <w:tcPr>
                  <w:tcW w:w="1559" w:type="dxa"/>
                  <w:vAlign w:val="center"/>
                </w:tcPr>
                <w:p w14:paraId="4682564D">
                  <w:pPr>
                    <w:widowControl/>
                    <w:jc w:val="center"/>
                    <w:textAlignment w:val="center"/>
                    <w:rPr>
                      <w:color w:val="auto"/>
                      <w:szCs w:val="21"/>
                    </w:rPr>
                  </w:pPr>
                  <w:r>
                    <w:rPr>
                      <w:color w:val="auto"/>
                      <w:kern w:val="0"/>
                      <w:szCs w:val="21"/>
                      <w:lang w:bidi="ar"/>
                    </w:rPr>
                    <w:t>0.00271</w:t>
                  </w:r>
                </w:p>
              </w:tc>
              <w:tc>
                <w:tcPr>
                  <w:tcW w:w="2230" w:type="pct"/>
                  <w:vMerge w:val="continue"/>
                  <w:vAlign w:val="center"/>
                </w:tcPr>
                <w:p w14:paraId="1135A197">
                  <w:pPr>
                    <w:adjustRightInd w:val="0"/>
                    <w:snapToGrid w:val="0"/>
                    <w:jc w:val="center"/>
                    <w:rPr>
                      <w:color w:val="auto"/>
                      <w:szCs w:val="21"/>
                    </w:rPr>
                  </w:pPr>
                </w:p>
              </w:tc>
            </w:tr>
            <w:tr w14:paraId="2A62E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38" w:type="pct"/>
                  <w:vMerge w:val="continue"/>
                  <w:vAlign w:val="center"/>
                </w:tcPr>
                <w:p w14:paraId="70C3EB83">
                  <w:pPr>
                    <w:adjustRightInd w:val="0"/>
                    <w:snapToGrid w:val="0"/>
                    <w:jc w:val="center"/>
                    <w:rPr>
                      <w:color w:val="auto"/>
                      <w:szCs w:val="21"/>
                      <w:highlight w:val="yellow"/>
                    </w:rPr>
                  </w:pPr>
                </w:p>
              </w:tc>
              <w:tc>
                <w:tcPr>
                  <w:tcW w:w="674" w:type="pct"/>
                  <w:vMerge w:val="continue"/>
                  <w:vAlign w:val="center"/>
                </w:tcPr>
                <w:p w14:paraId="272EF40E">
                  <w:pPr>
                    <w:adjustRightInd w:val="0"/>
                    <w:snapToGrid w:val="0"/>
                    <w:jc w:val="center"/>
                    <w:rPr>
                      <w:color w:val="auto"/>
                      <w:szCs w:val="21"/>
                    </w:rPr>
                  </w:pPr>
                </w:p>
              </w:tc>
              <w:tc>
                <w:tcPr>
                  <w:tcW w:w="716" w:type="pct"/>
                  <w:vAlign w:val="center"/>
                </w:tcPr>
                <w:p w14:paraId="4F55937A">
                  <w:pPr>
                    <w:widowControl/>
                    <w:adjustRightInd w:val="0"/>
                    <w:snapToGrid w:val="0"/>
                    <w:jc w:val="center"/>
                    <w:rPr>
                      <w:color w:val="auto"/>
                      <w:kern w:val="0"/>
                      <w:szCs w:val="21"/>
                    </w:rPr>
                  </w:pPr>
                  <w:r>
                    <w:rPr>
                      <w:color w:val="auto"/>
                      <w:kern w:val="0"/>
                      <w:szCs w:val="21"/>
                    </w:rPr>
                    <w:t>合计</w:t>
                  </w:r>
                </w:p>
              </w:tc>
              <w:tc>
                <w:tcPr>
                  <w:tcW w:w="1559" w:type="dxa"/>
                  <w:vAlign w:val="center"/>
                </w:tcPr>
                <w:p w14:paraId="210799B8">
                  <w:pPr>
                    <w:widowControl/>
                    <w:jc w:val="center"/>
                    <w:textAlignment w:val="center"/>
                    <w:rPr>
                      <w:color w:val="auto"/>
                      <w:szCs w:val="21"/>
                    </w:rPr>
                  </w:pPr>
                  <w:r>
                    <w:rPr>
                      <w:color w:val="auto"/>
                      <w:kern w:val="0"/>
                      <w:szCs w:val="21"/>
                      <w:lang w:bidi="ar"/>
                    </w:rPr>
                    <w:t>0.0544</w:t>
                  </w:r>
                </w:p>
              </w:tc>
              <w:tc>
                <w:tcPr>
                  <w:tcW w:w="2230" w:type="pct"/>
                  <w:vMerge w:val="continue"/>
                  <w:vAlign w:val="center"/>
                </w:tcPr>
                <w:p w14:paraId="3BA0FEFC">
                  <w:pPr>
                    <w:adjustRightInd w:val="0"/>
                    <w:snapToGrid w:val="0"/>
                    <w:jc w:val="center"/>
                    <w:rPr>
                      <w:color w:val="auto"/>
                      <w:szCs w:val="21"/>
                    </w:rPr>
                  </w:pPr>
                </w:p>
              </w:tc>
            </w:tr>
            <w:tr w14:paraId="3DF60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 w:hRule="atLeast"/>
                <w:jc w:val="center"/>
              </w:trPr>
              <w:tc>
                <w:tcPr>
                  <w:tcW w:w="538" w:type="pct"/>
                  <w:vMerge w:val="continue"/>
                  <w:vAlign w:val="center"/>
                </w:tcPr>
                <w:p w14:paraId="30272E37">
                  <w:pPr>
                    <w:adjustRightInd w:val="0"/>
                    <w:snapToGrid w:val="0"/>
                    <w:jc w:val="center"/>
                    <w:rPr>
                      <w:color w:val="auto"/>
                      <w:szCs w:val="21"/>
                      <w:highlight w:val="yellow"/>
                    </w:rPr>
                  </w:pPr>
                </w:p>
              </w:tc>
              <w:tc>
                <w:tcPr>
                  <w:tcW w:w="674" w:type="pct"/>
                  <w:vMerge w:val="restart"/>
                  <w:vAlign w:val="center"/>
                </w:tcPr>
                <w:p w14:paraId="6A24B4B7">
                  <w:pPr>
                    <w:adjustRightInd w:val="0"/>
                    <w:snapToGrid w:val="0"/>
                    <w:jc w:val="center"/>
                    <w:rPr>
                      <w:color w:val="auto"/>
                      <w:szCs w:val="21"/>
                    </w:rPr>
                  </w:pPr>
                  <w:r>
                    <w:rPr>
                      <w:rFonts w:hint="eastAsia"/>
                      <w:color w:val="auto"/>
                      <w:kern w:val="0"/>
                      <w:szCs w:val="21"/>
                      <w:lang w:bidi="ar"/>
                    </w:rPr>
                    <w:t>硫酸雾</w:t>
                  </w:r>
                </w:p>
              </w:tc>
              <w:tc>
                <w:tcPr>
                  <w:tcW w:w="1329" w:type="dxa"/>
                  <w:vAlign w:val="center"/>
                </w:tcPr>
                <w:p w14:paraId="1D35CE4A">
                  <w:pPr>
                    <w:widowControl/>
                    <w:adjustRightInd w:val="0"/>
                    <w:snapToGrid w:val="0"/>
                    <w:jc w:val="center"/>
                    <w:rPr>
                      <w:color w:val="auto"/>
                      <w:kern w:val="0"/>
                      <w:szCs w:val="21"/>
                    </w:rPr>
                  </w:pPr>
                  <w:r>
                    <w:rPr>
                      <w:color w:val="auto"/>
                      <w:kern w:val="0"/>
                      <w:szCs w:val="21"/>
                    </w:rPr>
                    <w:t>有组织</w:t>
                  </w:r>
                </w:p>
              </w:tc>
              <w:tc>
                <w:tcPr>
                  <w:tcW w:w="1559" w:type="dxa"/>
                  <w:vAlign w:val="center"/>
                </w:tcPr>
                <w:p w14:paraId="34379F63">
                  <w:pPr>
                    <w:widowControl/>
                    <w:jc w:val="center"/>
                    <w:textAlignment w:val="center"/>
                    <w:rPr>
                      <w:color w:val="auto"/>
                      <w:kern w:val="0"/>
                      <w:szCs w:val="21"/>
                      <w:lang w:bidi="ar"/>
                    </w:rPr>
                  </w:pPr>
                  <w:r>
                    <w:rPr>
                      <w:color w:val="auto"/>
                      <w:kern w:val="0"/>
                      <w:szCs w:val="21"/>
                      <w:lang w:bidi="ar"/>
                    </w:rPr>
                    <w:t>0.0142</w:t>
                  </w:r>
                </w:p>
              </w:tc>
              <w:tc>
                <w:tcPr>
                  <w:tcW w:w="2230" w:type="pct"/>
                  <w:vMerge w:val="continue"/>
                  <w:vAlign w:val="center"/>
                </w:tcPr>
                <w:p w14:paraId="54EA5CC6">
                  <w:pPr>
                    <w:adjustRightInd w:val="0"/>
                    <w:snapToGrid w:val="0"/>
                    <w:jc w:val="center"/>
                    <w:rPr>
                      <w:color w:val="auto"/>
                      <w:szCs w:val="21"/>
                    </w:rPr>
                  </w:pPr>
                </w:p>
              </w:tc>
            </w:tr>
            <w:tr w14:paraId="5B989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538" w:type="pct"/>
                  <w:vMerge w:val="continue"/>
                  <w:vAlign w:val="center"/>
                </w:tcPr>
                <w:p w14:paraId="217F2AC3">
                  <w:pPr>
                    <w:widowControl/>
                    <w:adjustRightInd w:val="0"/>
                    <w:snapToGrid w:val="0"/>
                    <w:jc w:val="center"/>
                    <w:textAlignment w:val="center"/>
                    <w:rPr>
                      <w:color w:val="auto"/>
                    </w:rPr>
                  </w:pPr>
                </w:p>
              </w:tc>
              <w:tc>
                <w:tcPr>
                  <w:tcW w:w="674" w:type="pct"/>
                  <w:vMerge w:val="continue"/>
                  <w:vAlign w:val="center"/>
                </w:tcPr>
                <w:p w14:paraId="26984E03">
                  <w:pPr>
                    <w:widowControl/>
                    <w:adjustRightInd w:val="0"/>
                    <w:snapToGrid w:val="0"/>
                    <w:jc w:val="center"/>
                    <w:textAlignment w:val="center"/>
                    <w:rPr>
                      <w:color w:val="auto"/>
                    </w:rPr>
                  </w:pPr>
                </w:p>
              </w:tc>
              <w:tc>
                <w:tcPr>
                  <w:tcW w:w="1329" w:type="dxa"/>
                  <w:vAlign w:val="center"/>
                </w:tcPr>
                <w:p w14:paraId="3BF59465">
                  <w:pPr>
                    <w:widowControl/>
                    <w:adjustRightInd w:val="0"/>
                    <w:snapToGrid w:val="0"/>
                    <w:jc w:val="center"/>
                    <w:rPr>
                      <w:color w:val="auto"/>
                      <w:kern w:val="0"/>
                      <w:szCs w:val="21"/>
                    </w:rPr>
                  </w:pPr>
                  <w:r>
                    <w:rPr>
                      <w:color w:val="auto"/>
                      <w:kern w:val="0"/>
                      <w:szCs w:val="21"/>
                    </w:rPr>
                    <w:t>无组织</w:t>
                  </w:r>
                </w:p>
              </w:tc>
              <w:tc>
                <w:tcPr>
                  <w:tcW w:w="1559" w:type="dxa"/>
                  <w:vAlign w:val="center"/>
                </w:tcPr>
                <w:p w14:paraId="574AAF39">
                  <w:pPr>
                    <w:widowControl/>
                    <w:jc w:val="center"/>
                    <w:textAlignment w:val="center"/>
                    <w:rPr>
                      <w:color w:val="auto"/>
                      <w:kern w:val="0"/>
                      <w:szCs w:val="21"/>
                      <w:lang w:bidi="ar"/>
                    </w:rPr>
                  </w:pPr>
                  <w:r>
                    <w:rPr>
                      <w:color w:val="auto"/>
                      <w:kern w:val="0"/>
                      <w:szCs w:val="21"/>
                      <w:lang w:bidi="ar"/>
                    </w:rPr>
                    <w:t>0.036</w:t>
                  </w:r>
                </w:p>
              </w:tc>
              <w:tc>
                <w:tcPr>
                  <w:tcW w:w="2230" w:type="pct"/>
                  <w:vMerge w:val="continue"/>
                  <w:vAlign w:val="center"/>
                </w:tcPr>
                <w:p w14:paraId="6730F0F3">
                  <w:pPr>
                    <w:widowControl/>
                    <w:adjustRightInd w:val="0"/>
                    <w:snapToGrid w:val="0"/>
                    <w:jc w:val="center"/>
                    <w:textAlignment w:val="center"/>
                    <w:rPr>
                      <w:color w:val="auto"/>
                      <w:kern w:val="0"/>
                      <w:szCs w:val="21"/>
                      <w:highlight w:val="yellow"/>
                    </w:rPr>
                  </w:pPr>
                </w:p>
              </w:tc>
            </w:tr>
            <w:tr w14:paraId="51F5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538" w:type="pct"/>
                  <w:vMerge w:val="continue"/>
                  <w:vAlign w:val="center"/>
                </w:tcPr>
                <w:p w14:paraId="0748DF6C">
                  <w:pPr>
                    <w:widowControl/>
                    <w:adjustRightInd w:val="0"/>
                    <w:snapToGrid w:val="0"/>
                    <w:jc w:val="center"/>
                    <w:textAlignment w:val="center"/>
                    <w:rPr>
                      <w:color w:val="auto"/>
                      <w:kern w:val="0"/>
                      <w:szCs w:val="21"/>
                      <w:highlight w:val="yellow"/>
                    </w:rPr>
                  </w:pPr>
                </w:p>
              </w:tc>
              <w:tc>
                <w:tcPr>
                  <w:tcW w:w="674" w:type="pct"/>
                  <w:vMerge w:val="continue"/>
                  <w:vAlign w:val="center"/>
                </w:tcPr>
                <w:p w14:paraId="11AFDF7F">
                  <w:pPr>
                    <w:widowControl/>
                    <w:adjustRightInd w:val="0"/>
                    <w:snapToGrid w:val="0"/>
                    <w:jc w:val="center"/>
                    <w:textAlignment w:val="center"/>
                    <w:rPr>
                      <w:color w:val="auto"/>
                      <w:kern w:val="0"/>
                      <w:szCs w:val="21"/>
                    </w:rPr>
                  </w:pPr>
                </w:p>
              </w:tc>
              <w:tc>
                <w:tcPr>
                  <w:tcW w:w="1329" w:type="dxa"/>
                  <w:vAlign w:val="center"/>
                </w:tcPr>
                <w:p w14:paraId="231DB386">
                  <w:pPr>
                    <w:widowControl/>
                    <w:adjustRightInd w:val="0"/>
                    <w:snapToGrid w:val="0"/>
                    <w:jc w:val="center"/>
                    <w:rPr>
                      <w:color w:val="auto"/>
                      <w:kern w:val="0"/>
                      <w:szCs w:val="21"/>
                    </w:rPr>
                  </w:pPr>
                  <w:r>
                    <w:rPr>
                      <w:color w:val="auto"/>
                      <w:kern w:val="0"/>
                      <w:szCs w:val="21"/>
                    </w:rPr>
                    <w:t>合计</w:t>
                  </w:r>
                </w:p>
              </w:tc>
              <w:tc>
                <w:tcPr>
                  <w:tcW w:w="1559" w:type="dxa"/>
                  <w:vAlign w:val="center"/>
                </w:tcPr>
                <w:p w14:paraId="457CF1D9">
                  <w:pPr>
                    <w:widowControl/>
                    <w:jc w:val="center"/>
                    <w:textAlignment w:val="center"/>
                    <w:rPr>
                      <w:color w:val="auto"/>
                      <w:kern w:val="0"/>
                      <w:szCs w:val="21"/>
                      <w:lang w:bidi="ar"/>
                    </w:rPr>
                  </w:pPr>
                  <w:r>
                    <w:rPr>
                      <w:color w:val="auto"/>
                      <w:kern w:val="0"/>
                      <w:szCs w:val="21"/>
                      <w:lang w:bidi="ar"/>
                    </w:rPr>
                    <w:t>0.0502</w:t>
                  </w:r>
                </w:p>
              </w:tc>
              <w:tc>
                <w:tcPr>
                  <w:tcW w:w="2230" w:type="pct"/>
                  <w:vMerge w:val="continue"/>
                  <w:vAlign w:val="center"/>
                </w:tcPr>
                <w:p w14:paraId="6556E753">
                  <w:pPr>
                    <w:widowControl/>
                    <w:adjustRightInd w:val="0"/>
                    <w:snapToGrid w:val="0"/>
                    <w:jc w:val="center"/>
                    <w:textAlignment w:val="center"/>
                    <w:rPr>
                      <w:color w:val="auto"/>
                      <w:kern w:val="0"/>
                      <w:szCs w:val="21"/>
                      <w:highlight w:val="yellow"/>
                    </w:rPr>
                  </w:pPr>
                </w:p>
              </w:tc>
            </w:tr>
            <w:tr w14:paraId="5D3E6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38" w:type="pct"/>
                  <w:vMerge w:val="continue"/>
                  <w:vAlign w:val="center"/>
                </w:tcPr>
                <w:p w14:paraId="48719543">
                  <w:pPr>
                    <w:adjustRightInd w:val="0"/>
                    <w:snapToGrid w:val="0"/>
                    <w:jc w:val="center"/>
                    <w:rPr>
                      <w:color w:val="auto"/>
                      <w:szCs w:val="21"/>
                      <w:highlight w:val="yellow"/>
                    </w:rPr>
                  </w:pPr>
                </w:p>
              </w:tc>
              <w:tc>
                <w:tcPr>
                  <w:tcW w:w="674" w:type="pct"/>
                  <w:vMerge w:val="restart"/>
                  <w:vAlign w:val="center"/>
                </w:tcPr>
                <w:p w14:paraId="48780A33">
                  <w:pPr>
                    <w:widowControl/>
                    <w:jc w:val="center"/>
                    <w:textAlignment w:val="center"/>
                    <w:rPr>
                      <w:color w:val="auto"/>
                      <w:szCs w:val="21"/>
                    </w:rPr>
                  </w:pPr>
                  <w:r>
                    <w:rPr>
                      <w:rFonts w:hint="eastAsia"/>
                      <w:color w:val="auto"/>
                      <w:kern w:val="0"/>
                      <w:szCs w:val="21"/>
                      <w:lang w:bidi="ar"/>
                    </w:rPr>
                    <w:t>氮氧化物</w:t>
                  </w:r>
                </w:p>
              </w:tc>
              <w:tc>
                <w:tcPr>
                  <w:tcW w:w="716" w:type="pct"/>
                  <w:vAlign w:val="center"/>
                </w:tcPr>
                <w:p w14:paraId="402C1EB8">
                  <w:pPr>
                    <w:widowControl/>
                    <w:adjustRightInd w:val="0"/>
                    <w:snapToGrid w:val="0"/>
                    <w:jc w:val="center"/>
                    <w:rPr>
                      <w:color w:val="auto"/>
                      <w:kern w:val="0"/>
                      <w:szCs w:val="21"/>
                    </w:rPr>
                  </w:pPr>
                  <w:r>
                    <w:rPr>
                      <w:color w:val="auto"/>
                      <w:kern w:val="0"/>
                      <w:szCs w:val="21"/>
                    </w:rPr>
                    <w:t>有组织</w:t>
                  </w:r>
                </w:p>
              </w:tc>
              <w:tc>
                <w:tcPr>
                  <w:tcW w:w="1559" w:type="dxa"/>
                  <w:vAlign w:val="center"/>
                </w:tcPr>
                <w:p w14:paraId="77A34AAA">
                  <w:pPr>
                    <w:widowControl/>
                    <w:jc w:val="center"/>
                    <w:textAlignment w:val="center"/>
                    <w:rPr>
                      <w:color w:val="auto"/>
                      <w:szCs w:val="21"/>
                    </w:rPr>
                  </w:pPr>
                  <w:r>
                    <w:rPr>
                      <w:color w:val="auto"/>
                      <w:kern w:val="0"/>
                      <w:szCs w:val="21"/>
                      <w:lang w:bidi="ar"/>
                    </w:rPr>
                    <w:t>0.2417</w:t>
                  </w:r>
                </w:p>
              </w:tc>
              <w:tc>
                <w:tcPr>
                  <w:tcW w:w="2230" w:type="pct"/>
                  <w:vMerge w:val="restart"/>
                  <w:vAlign w:val="center"/>
                </w:tcPr>
                <w:p w14:paraId="4E744315">
                  <w:pPr>
                    <w:adjustRightInd w:val="0"/>
                    <w:snapToGrid w:val="0"/>
                    <w:jc w:val="center"/>
                    <w:rPr>
                      <w:color w:val="auto"/>
                      <w:szCs w:val="21"/>
                    </w:rPr>
                  </w:pPr>
                  <w:r>
                    <w:rPr>
                      <w:color w:val="auto"/>
                      <w:szCs w:val="21"/>
                    </w:rPr>
                    <w:t>总量由惠州市生态环境局</w:t>
                  </w:r>
                  <w:r>
                    <w:rPr>
                      <w:rFonts w:hint="eastAsia"/>
                      <w:color w:val="auto"/>
                      <w:szCs w:val="21"/>
                    </w:rPr>
                    <w:t>博罗</w:t>
                  </w:r>
                  <w:r>
                    <w:rPr>
                      <w:color w:val="auto"/>
                      <w:szCs w:val="21"/>
                    </w:rPr>
                    <w:t>分局调控分配</w:t>
                  </w:r>
                </w:p>
              </w:tc>
            </w:tr>
            <w:tr w14:paraId="35A00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38" w:type="pct"/>
                  <w:vMerge w:val="continue"/>
                  <w:vAlign w:val="center"/>
                </w:tcPr>
                <w:p w14:paraId="3E50EB31">
                  <w:pPr>
                    <w:adjustRightInd w:val="0"/>
                    <w:snapToGrid w:val="0"/>
                    <w:jc w:val="center"/>
                    <w:rPr>
                      <w:color w:val="auto"/>
                      <w:szCs w:val="21"/>
                      <w:highlight w:val="yellow"/>
                    </w:rPr>
                  </w:pPr>
                </w:p>
              </w:tc>
              <w:tc>
                <w:tcPr>
                  <w:tcW w:w="674" w:type="pct"/>
                  <w:vMerge w:val="continue"/>
                  <w:vAlign w:val="center"/>
                </w:tcPr>
                <w:p w14:paraId="415B9DFA">
                  <w:pPr>
                    <w:adjustRightInd w:val="0"/>
                    <w:snapToGrid w:val="0"/>
                    <w:jc w:val="center"/>
                    <w:rPr>
                      <w:color w:val="auto"/>
                      <w:szCs w:val="21"/>
                    </w:rPr>
                  </w:pPr>
                </w:p>
              </w:tc>
              <w:tc>
                <w:tcPr>
                  <w:tcW w:w="716" w:type="pct"/>
                  <w:vAlign w:val="center"/>
                </w:tcPr>
                <w:p w14:paraId="72C85E3A">
                  <w:pPr>
                    <w:widowControl/>
                    <w:adjustRightInd w:val="0"/>
                    <w:snapToGrid w:val="0"/>
                    <w:jc w:val="center"/>
                    <w:rPr>
                      <w:color w:val="auto"/>
                      <w:kern w:val="0"/>
                      <w:szCs w:val="21"/>
                    </w:rPr>
                  </w:pPr>
                  <w:r>
                    <w:rPr>
                      <w:color w:val="auto"/>
                      <w:kern w:val="0"/>
                      <w:szCs w:val="21"/>
                    </w:rPr>
                    <w:t>无组织</w:t>
                  </w:r>
                </w:p>
              </w:tc>
              <w:tc>
                <w:tcPr>
                  <w:tcW w:w="1559" w:type="dxa"/>
                  <w:vAlign w:val="center"/>
                </w:tcPr>
                <w:p w14:paraId="0BD3D22E">
                  <w:pPr>
                    <w:widowControl/>
                    <w:jc w:val="center"/>
                    <w:textAlignment w:val="center"/>
                    <w:rPr>
                      <w:color w:val="auto"/>
                      <w:szCs w:val="21"/>
                    </w:rPr>
                  </w:pPr>
                  <w:r>
                    <w:rPr>
                      <w:color w:val="auto"/>
                      <w:kern w:val="0"/>
                      <w:szCs w:val="21"/>
                      <w:lang w:bidi="ar"/>
                    </w:rPr>
                    <w:t>0.0133</w:t>
                  </w:r>
                </w:p>
              </w:tc>
              <w:tc>
                <w:tcPr>
                  <w:tcW w:w="2230" w:type="pct"/>
                  <w:vMerge w:val="continue"/>
                  <w:vAlign w:val="center"/>
                </w:tcPr>
                <w:p w14:paraId="5832F2F8">
                  <w:pPr>
                    <w:adjustRightInd w:val="0"/>
                    <w:snapToGrid w:val="0"/>
                    <w:jc w:val="center"/>
                    <w:rPr>
                      <w:color w:val="auto"/>
                      <w:szCs w:val="21"/>
                    </w:rPr>
                  </w:pPr>
                </w:p>
              </w:tc>
            </w:tr>
            <w:tr w14:paraId="3FA0D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538" w:type="pct"/>
                  <w:vMerge w:val="continue"/>
                  <w:vAlign w:val="center"/>
                </w:tcPr>
                <w:p w14:paraId="56323C12">
                  <w:pPr>
                    <w:adjustRightInd w:val="0"/>
                    <w:snapToGrid w:val="0"/>
                    <w:jc w:val="center"/>
                    <w:rPr>
                      <w:color w:val="auto"/>
                      <w:szCs w:val="21"/>
                      <w:highlight w:val="yellow"/>
                    </w:rPr>
                  </w:pPr>
                </w:p>
              </w:tc>
              <w:tc>
                <w:tcPr>
                  <w:tcW w:w="674" w:type="pct"/>
                  <w:vMerge w:val="continue"/>
                  <w:vAlign w:val="center"/>
                </w:tcPr>
                <w:p w14:paraId="603753F5">
                  <w:pPr>
                    <w:adjustRightInd w:val="0"/>
                    <w:snapToGrid w:val="0"/>
                    <w:jc w:val="center"/>
                    <w:rPr>
                      <w:color w:val="auto"/>
                      <w:szCs w:val="21"/>
                    </w:rPr>
                  </w:pPr>
                </w:p>
              </w:tc>
              <w:tc>
                <w:tcPr>
                  <w:tcW w:w="716" w:type="pct"/>
                  <w:vAlign w:val="center"/>
                </w:tcPr>
                <w:p w14:paraId="459CBA8A">
                  <w:pPr>
                    <w:widowControl/>
                    <w:adjustRightInd w:val="0"/>
                    <w:snapToGrid w:val="0"/>
                    <w:jc w:val="center"/>
                    <w:rPr>
                      <w:color w:val="auto"/>
                      <w:kern w:val="0"/>
                      <w:szCs w:val="21"/>
                    </w:rPr>
                  </w:pPr>
                  <w:r>
                    <w:rPr>
                      <w:color w:val="auto"/>
                      <w:kern w:val="0"/>
                      <w:szCs w:val="21"/>
                    </w:rPr>
                    <w:t>合计</w:t>
                  </w:r>
                </w:p>
              </w:tc>
              <w:tc>
                <w:tcPr>
                  <w:tcW w:w="1559" w:type="dxa"/>
                  <w:vAlign w:val="center"/>
                </w:tcPr>
                <w:p w14:paraId="28AD267D">
                  <w:pPr>
                    <w:widowControl/>
                    <w:jc w:val="center"/>
                    <w:textAlignment w:val="center"/>
                    <w:rPr>
                      <w:color w:val="auto"/>
                      <w:szCs w:val="21"/>
                    </w:rPr>
                  </w:pPr>
                  <w:r>
                    <w:rPr>
                      <w:color w:val="auto"/>
                      <w:kern w:val="0"/>
                      <w:szCs w:val="21"/>
                      <w:lang w:bidi="ar"/>
                    </w:rPr>
                    <w:t>0.255</w:t>
                  </w:r>
                </w:p>
              </w:tc>
              <w:tc>
                <w:tcPr>
                  <w:tcW w:w="2230" w:type="pct"/>
                  <w:vMerge w:val="continue"/>
                  <w:vAlign w:val="center"/>
                </w:tcPr>
                <w:p w14:paraId="15AA4189">
                  <w:pPr>
                    <w:adjustRightInd w:val="0"/>
                    <w:snapToGrid w:val="0"/>
                    <w:jc w:val="center"/>
                    <w:rPr>
                      <w:color w:val="auto"/>
                      <w:szCs w:val="21"/>
                    </w:rPr>
                  </w:pPr>
                </w:p>
              </w:tc>
            </w:tr>
            <w:tr w14:paraId="23FD1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Merge w:val="continue"/>
                  <w:vAlign w:val="center"/>
                </w:tcPr>
                <w:p w14:paraId="18DC9754">
                  <w:pPr>
                    <w:adjustRightInd w:val="0"/>
                    <w:snapToGrid w:val="0"/>
                    <w:jc w:val="center"/>
                    <w:rPr>
                      <w:color w:val="auto"/>
                      <w:szCs w:val="21"/>
                      <w:highlight w:val="yellow"/>
                    </w:rPr>
                  </w:pPr>
                </w:p>
              </w:tc>
              <w:tc>
                <w:tcPr>
                  <w:tcW w:w="674" w:type="pct"/>
                  <w:vMerge w:val="restart"/>
                  <w:vAlign w:val="center"/>
                </w:tcPr>
                <w:p w14:paraId="61A6309B">
                  <w:pPr>
                    <w:widowControl/>
                    <w:jc w:val="center"/>
                    <w:textAlignment w:val="center"/>
                    <w:rPr>
                      <w:color w:val="auto"/>
                      <w:kern w:val="0"/>
                      <w:szCs w:val="21"/>
                    </w:rPr>
                  </w:pPr>
                  <w:r>
                    <w:rPr>
                      <w:rFonts w:hint="eastAsia"/>
                      <w:color w:val="auto"/>
                      <w:kern w:val="0"/>
                      <w:szCs w:val="21"/>
                      <w:lang w:bidi="ar"/>
                    </w:rPr>
                    <w:t>TVOC</w:t>
                  </w:r>
                </w:p>
              </w:tc>
              <w:tc>
                <w:tcPr>
                  <w:tcW w:w="716" w:type="pct"/>
                  <w:vAlign w:val="center"/>
                </w:tcPr>
                <w:p w14:paraId="3FA381E6">
                  <w:pPr>
                    <w:widowControl/>
                    <w:adjustRightInd w:val="0"/>
                    <w:snapToGrid w:val="0"/>
                    <w:jc w:val="center"/>
                    <w:rPr>
                      <w:color w:val="auto"/>
                      <w:kern w:val="0"/>
                      <w:szCs w:val="21"/>
                    </w:rPr>
                  </w:pPr>
                  <w:r>
                    <w:rPr>
                      <w:color w:val="auto"/>
                      <w:kern w:val="0"/>
                      <w:szCs w:val="21"/>
                    </w:rPr>
                    <w:t>有组织</w:t>
                  </w:r>
                </w:p>
              </w:tc>
              <w:tc>
                <w:tcPr>
                  <w:tcW w:w="1559" w:type="dxa"/>
                  <w:vAlign w:val="center"/>
                </w:tcPr>
                <w:p w14:paraId="7EBB3B5A">
                  <w:pPr>
                    <w:widowControl/>
                    <w:jc w:val="center"/>
                    <w:textAlignment w:val="center"/>
                    <w:rPr>
                      <w:color w:val="auto"/>
                      <w:kern w:val="0"/>
                      <w:szCs w:val="21"/>
                      <w:lang w:bidi="ar"/>
                    </w:rPr>
                  </w:pPr>
                  <w:r>
                    <w:rPr>
                      <w:color w:val="auto"/>
                      <w:kern w:val="0"/>
                      <w:szCs w:val="21"/>
                      <w:lang w:bidi="ar"/>
                    </w:rPr>
                    <w:t>0.1824</w:t>
                  </w:r>
                </w:p>
              </w:tc>
              <w:tc>
                <w:tcPr>
                  <w:tcW w:w="2230" w:type="pct"/>
                  <w:vMerge w:val="continue"/>
                  <w:vAlign w:val="center"/>
                </w:tcPr>
                <w:p w14:paraId="6FE0F3FD">
                  <w:pPr>
                    <w:adjustRightInd w:val="0"/>
                    <w:snapToGrid w:val="0"/>
                    <w:jc w:val="center"/>
                    <w:rPr>
                      <w:color w:val="auto"/>
                      <w:szCs w:val="21"/>
                    </w:rPr>
                  </w:pPr>
                </w:p>
              </w:tc>
            </w:tr>
            <w:tr w14:paraId="27477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 w:type="pct"/>
                  <w:vMerge w:val="continue"/>
                  <w:vAlign w:val="center"/>
                </w:tcPr>
                <w:p w14:paraId="3FE81E99">
                  <w:pPr>
                    <w:adjustRightInd w:val="0"/>
                    <w:snapToGrid w:val="0"/>
                    <w:jc w:val="center"/>
                    <w:rPr>
                      <w:color w:val="auto"/>
                      <w:szCs w:val="21"/>
                      <w:highlight w:val="yellow"/>
                    </w:rPr>
                  </w:pPr>
                </w:p>
              </w:tc>
              <w:tc>
                <w:tcPr>
                  <w:tcW w:w="674" w:type="pct"/>
                  <w:vMerge w:val="continue"/>
                  <w:vAlign w:val="center"/>
                </w:tcPr>
                <w:p w14:paraId="46EAA6C1">
                  <w:pPr>
                    <w:adjustRightInd w:val="0"/>
                    <w:snapToGrid w:val="0"/>
                    <w:jc w:val="center"/>
                    <w:rPr>
                      <w:color w:val="auto"/>
                      <w:szCs w:val="21"/>
                    </w:rPr>
                  </w:pPr>
                </w:p>
              </w:tc>
              <w:tc>
                <w:tcPr>
                  <w:tcW w:w="716" w:type="pct"/>
                  <w:vAlign w:val="center"/>
                </w:tcPr>
                <w:p w14:paraId="330C056B">
                  <w:pPr>
                    <w:widowControl/>
                    <w:adjustRightInd w:val="0"/>
                    <w:snapToGrid w:val="0"/>
                    <w:jc w:val="center"/>
                    <w:rPr>
                      <w:color w:val="auto"/>
                      <w:kern w:val="0"/>
                      <w:szCs w:val="21"/>
                    </w:rPr>
                  </w:pPr>
                  <w:r>
                    <w:rPr>
                      <w:color w:val="auto"/>
                      <w:kern w:val="0"/>
                      <w:szCs w:val="21"/>
                    </w:rPr>
                    <w:t>无组织</w:t>
                  </w:r>
                </w:p>
              </w:tc>
              <w:tc>
                <w:tcPr>
                  <w:tcW w:w="1559" w:type="dxa"/>
                  <w:vAlign w:val="center"/>
                </w:tcPr>
                <w:p w14:paraId="6F38A266">
                  <w:pPr>
                    <w:widowControl/>
                    <w:jc w:val="center"/>
                    <w:textAlignment w:val="center"/>
                    <w:rPr>
                      <w:color w:val="auto"/>
                      <w:kern w:val="0"/>
                      <w:szCs w:val="21"/>
                      <w:lang w:bidi="ar"/>
                    </w:rPr>
                  </w:pPr>
                  <w:r>
                    <w:rPr>
                      <w:color w:val="auto"/>
                      <w:kern w:val="0"/>
                      <w:szCs w:val="21"/>
                      <w:lang w:bidi="ar"/>
                    </w:rPr>
                    <w:t>0.06023</w:t>
                  </w:r>
                </w:p>
              </w:tc>
              <w:tc>
                <w:tcPr>
                  <w:tcW w:w="2230" w:type="pct"/>
                  <w:vMerge w:val="continue"/>
                  <w:vAlign w:val="center"/>
                </w:tcPr>
                <w:p w14:paraId="6ABB1CA9">
                  <w:pPr>
                    <w:adjustRightInd w:val="0"/>
                    <w:snapToGrid w:val="0"/>
                    <w:jc w:val="center"/>
                    <w:rPr>
                      <w:color w:val="auto"/>
                      <w:szCs w:val="21"/>
                    </w:rPr>
                  </w:pPr>
                </w:p>
              </w:tc>
            </w:tr>
            <w:tr w14:paraId="3F290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pct"/>
                  <w:vMerge w:val="continue"/>
                  <w:vAlign w:val="center"/>
                </w:tcPr>
                <w:p w14:paraId="7BD76F2F">
                  <w:pPr>
                    <w:adjustRightInd w:val="0"/>
                    <w:snapToGrid w:val="0"/>
                    <w:jc w:val="center"/>
                    <w:rPr>
                      <w:color w:val="auto"/>
                      <w:szCs w:val="21"/>
                      <w:highlight w:val="yellow"/>
                    </w:rPr>
                  </w:pPr>
                </w:p>
              </w:tc>
              <w:tc>
                <w:tcPr>
                  <w:tcW w:w="674" w:type="pct"/>
                  <w:vMerge w:val="continue"/>
                  <w:vAlign w:val="center"/>
                </w:tcPr>
                <w:p w14:paraId="12D153F1">
                  <w:pPr>
                    <w:adjustRightInd w:val="0"/>
                    <w:snapToGrid w:val="0"/>
                    <w:jc w:val="center"/>
                    <w:rPr>
                      <w:color w:val="auto"/>
                      <w:szCs w:val="21"/>
                    </w:rPr>
                  </w:pPr>
                </w:p>
              </w:tc>
              <w:tc>
                <w:tcPr>
                  <w:tcW w:w="716" w:type="pct"/>
                  <w:vAlign w:val="center"/>
                </w:tcPr>
                <w:p w14:paraId="038DED64">
                  <w:pPr>
                    <w:widowControl/>
                    <w:adjustRightInd w:val="0"/>
                    <w:snapToGrid w:val="0"/>
                    <w:jc w:val="center"/>
                    <w:rPr>
                      <w:color w:val="auto"/>
                      <w:kern w:val="0"/>
                      <w:szCs w:val="21"/>
                    </w:rPr>
                  </w:pPr>
                  <w:r>
                    <w:rPr>
                      <w:color w:val="auto"/>
                      <w:kern w:val="0"/>
                      <w:szCs w:val="21"/>
                    </w:rPr>
                    <w:t>合计</w:t>
                  </w:r>
                </w:p>
              </w:tc>
              <w:tc>
                <w:tcPr>
                  <w:tcW w:w="1559" w:type="dxa"/>
                  <w:vAlign w:val="center"/>
                </w:tcPr>
                <w:p w14:paraId="76D8C893">
                  <w:pPr>
                    <w:widowControl/>
                    <w:jc w:val="center"/>
                    <w:textAlignment w:val="center"/>
                    <w:rPr>
                      <w:color w:val="auto"/>
                      <w:kern w:val="0"/>
                      <w:szCs w:val="21"/>
                      <w:lang w:bidi="ar"/>
                    </w:rPr>
                  </w:pPr>
                  <w:r>
                    <w:rPr>
                      <w:color w:val="auto"/>
                      <w:kern w:val="0"/>
                      <w:szCs w:val="21"/>
                      <w:lang w:bidi="ar"/>
                    </w:rPr>
                    <w:t>0.24263</w:t>
                  </w:r>
                </w:p>
              </w:tc>
              <w:tc>
                <w:tcPr>
                  <w:tcW w:w="2230" w:type="pct"/>
                  <w:vMerge w:val="continue"/>
                  <w:vAlign w:val="center"/>
                </w:tcPr>
                <w:p w14:paraId="7593B8E5">
                  <w:pPr>
                    <w:adjustRightInd w:val="0"/>
                    <w:snapToGrid w:val="0"/>
                    <w:jc w:val="center"/>
                    <w:rPr>
                      <w:color w:val="auto"/>
                      <w:szCs w:val="21"/>
                    </w:rPr>
                  </w:pPr>
                </w:p>
              </w:tc>
            </w:tr>
          </w:tbl>
          <w:p w14:paraId="253206F6">
            <w:pPr>
              <w:pStyle w:val="3"/>
              <w:ind w:left="0" w:firstLine="0"/>
              <w:jc w:val="left"/>
              <w:rPr>
                <w:color w:val="auto"/>
              </w:rPr>
            </w:pPr>
          </w:p>
        </w:tc>
      </w:tr>
    </w:tbl>
    <w:p w14:paraId="79E91516">
      <w:pPr>
        <w:pStyle w:val="31"/>
        <w:jc w:val="center"/>
        <w:outlineLvl w:val="0"/>
        <w:rPr>
          <w:rFonts w:ascii="Times New Roman" w:hAnsi="Times New Roman" w:eastAsia="黑体"/>
          <w:snapToGrid w:val="0"/>
          <w:sz w:val="30"/>
          <w:szCs w:val="30"/>
        </w:rPr>
      </w:pPr>
      <w:r>
        <w:rPr>
          <w:rFonts w:ascii="Times New Roman" w:hAnsi="Times New Roman" w:eastAsia="黑体"/>
          <w:snapToGrid w:val="0"/>
          <w:sz w:val="36"/>
          <w:szCs w:val="36"/>
        </w:rPr>
        <w:br w:type="page"/>
      </w:r>
      <w:r>
        <w:rPr>
          <w:rFonts w:ascii="Times New Roman" w:hAnsi="Times New Roman" w:eastAsia="黑体"/>
          <w:snapToGrid w:val="0"/>
          <w:sz w:val="30"/>
          <w:szCs w:val="30"/>
        </w:rPr>
        <w:t>四、主要环境影响和保护措施</w:t>
      </w:r>
    </w:p>
    <w:tbl>
      <w:tblPr>
        <w:tblStyle w:val="35"/>
        <w:tblW w:w="1092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26"/>
        <w:gridCol w:w="10594"/>
      </w:tblGrid>
      <w:tr w14:paraId="61AA65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849" w:hRule="atLeast"/>
          <w:jc w:val="center"/>
        </w:trPr>
        <w:tc>
          <w:tcPr>
            <w:tcW w:w="326" w:type="dxa"/>
            <w:tcMar>
              <w:left w:w="28" w:type="dxa"/>
              <w:right w:w="28" w:type="dxa"/>
            </w:tcMar>
            <w:vAlign w:val="center"/>
          </w:tcPr>
          <w:p w14:paraId="7DDAEB78">
            <w:pPr>
              <w:pStyle w:val="31"/>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施工</w:t>
            </w:r>
          </w:p>
          <w:p w14:paraId="52884BCF">
            <w:pPr>
              <w:pStyle w:val="31"/>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期环</w:t>
            </w:r>
          </w:p>
          <w:p w14:paraId="51D12FB8">
            <w:pPr>
              <w:pStyle w:val="31"/>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境保</w:t>
            </w:r>
          </w:p>
          <w:p w14:paraId="612098C8">
            <w:pPr>
              <w:pStyle w:val="31"/>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护措</w:t>
            </w:r>
          </w:p>
          <w:p w14:paraId="3A9222EC">
            <w:pPr>
              <w:pStyle w:val="31"/>
              <w:adjustRightInd w:val="0"/>
              <w:snapToGrid w:val="0"/>
              <w:spacing w:before="0" w:beforeAutospacing="0" w:after="0" w:afterAutospacing="0"/>
              <w:jc w:val="center"/>
              <w:rPr>
                <w:rFonts w:ascii="Times New Roman" w:hAnsi="Times New Roman"/>
                <w:bCs/>
                <w:kern w:val="2"/>
                <w:szCs w:val="24"/>
              </w:rPr>
            </w:pPr>
            <w:r>
              <w:rPr>
                <w:rFonts w:ascii="Times New Roman" w:hAnsi="Times New Roman"/>
                <w:kern w:val="2"/>
                <w:szCs w:val="24"/>
              </w:rPr>
              <w:t>施</w:t>
            </w:r>
          </w:p>
        </w:tc>
        <w:tc>
          <w:tcPr>
            <w:tcW w:w="10594" w:type="dxa"/>
            <w:vAlign w:val="center"/>
          </w:tcPr>
          <w:p w14:paraId="135291A7">
            <w:pPr>
              <w:adjustRightInd w:val="0"/>
              <w:snapToGrid w:val="0"/>
              <w:spacing w:before="120" w:beforeLines="50" w:line="360" w:lineRule="auto"/>
              <w:ind w:firstLine="480" w:firstLineChars="200"/>
              <w:jc w:val="left"/>
              <w:rPr>
                <w:bCs/>
                <w:spacing w:val="-10"/>
                <w:sz w:val="24"/>
              </w:rPr>
            </w:pPr>
            <w:r>
              <w:rPr>
                <w:sz w:val="24"/>
              </w:rPr>
              <w:t>项目租赁已建厂房进行生产，无基建施工活动，施工期建设内容主要为厂房装修及设备安装，对外环境影响较小。故本报告不对施工期造成的环境污染展开分析。</w:t>
            </w:r>
          </w:p>
        </w:tc>
      </w:tr>
      <w:tr w14:paraId="7C653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02" w:hRule="atLeast"/>
          <w:jc w:val="center"/>
        </w:trPr>
        <w:tc>
          <w:tcPr>
            <w:tcW w:w="326" w:type="dxa"/>
            <w:tcMar>
              <w:left w:w="28" w:type="dxa"/>
              <w:right w:w="28" w:type="dxa"/>
            </w:tcMar>
            <w:vAlign w:val="center"/>
          </w:tcPr>
          <w:p w14:paraId="6115CA2E">
            <w:pPr>
              <w:adjustRightInd w:val="0"/>
              <w:snapToGrid w:val="0"/>
              <w:jc w:val="center"/>
              <w:rPr>
                <w:bCs/>
                <w:color w:val="auto"/>
                <w:sz w:val="24"/>
              </w:rPr>
            </w:pPr>
            <w:r>
              <w:rPr>
                <w:bCs/>
                <w:color w:val="auto"/>
                <w:sz w:val="24"/>
              </w:rPr>
              <w:t>运营</w:t>
            </w:r>
          </w:p>
          <w:p w14:paraId="1BFA3BAD">
            <w:pPr>
              <w:adjustRightInd w:val="0"/>
              <w:snapToGrid w:val="0"/>
              <w:jc w:val="center"/>
              <w:rPr>
                <w:bCs/>
                <w:color w:val="auto"/>
                <w:sz w:val="24"/>
              </w:rPr>
            </w:pPr>
            <w:r>
              <w:rPr>
                <w:bCs/>
                <w:color w:val="auto"/>
                <w:sz w:val="24"/>
              </w:rPr>
              <w:t>期环</w:t>
            </w:r>
          </w:p>
          <w:p w14:paraId="69D02414">
            <w:pPr>
              <w:adjustRightInd w:val="0"/>
              <w:snapToGrid w:val="0"/>
              <w:jc w:val="center"/>
              <w:rPr>
                <w:bCs/>
                <w:color w:val="auto"/>
                <w:sz w:val="24"/>
              </w:rPr>
            </w:pPr>
            <w:r>
              <w:rPr>
                <w:bCs/>
                <w:color w:val="auto"/>
                <w:sz w:val="24"/>
              </w:rPr>
              <w:t>境影</w:t>
            </w:r>
          </w:p>
          <w:p w14:paraId="7104F100">
            <w:pPr>
              <w:adjustRightInd w:val="0"/>
              <w:snapToGrid w:val="0"/>
              <w:jc w:val="center"/>
              <w:rPr>
                <w:bCs/>
                <w:color w:val="auto"/>
                <w:sz w:val="24"/>
              </w:rPr>
            </w:pPr>
            <w:r>
              <w:rPr>
                <w:bCs/>
                <w:color w:val="auto"/>
                <w:sz w:val="24"/>
              </w:rPr>
              <w:t>响和</w:t>
            </w:r>
          </w:p>
          <w:p w14:paraId="659E6FC1">
            <w:pPr>
              <w:adjustRightInd w:val="0"/>
              <w:snapToGrid w:val="0"/>
              <w:jc w:val="center"/>
              <w:rPr>
                <w:bCs/>
                <w:color w:val="auto"/>
                <w:sz w:val="24"/>
              </w:rPr>
            </w:pPr>
            <w:r>
              <w:rPr>
                <w:bCs/>
                <w:color w:val="auto"/>
                <w:sz w:val="24"/>
              </w:rPr>
              <w:t>保护</w:t>
            </w:r>
          </w:p>
          <w:p w14:paraId="0A32288A">
            <w:pPr>
              <w:adjustRightInd w:val="0"/>
              <w:snapToGrid w:val="0"/>
              <w:jc w:val="center"/>
              <w:rPr>
                <w:bCs/>
                <w:color w:val="auto"/>
                <w:sz w:val="24"/>
              </w:rPr>
            </w:pPr>
            <w:r>
              <w:rPr>
                <w:bCs/>
                <w:color w:val="auto"/>
                <w:sz w:val="24"/>
              </w:rPr>
              <w:t>措施</w:t>
            </w:r>
          </w:p>
        </w:tc>
        <w:tc>
          <w:tcPr>
            <w:tcW w:w="10594" w:type="dxa"/>
            <w:vAlign w:val="center"/>
          </w:tcPr>
          <w:p w14:paraId="4149FF6A">
            <w:pPr>
              <w:adjustRightInd w:val="0"/>
              <w:snapToGrid w:val="0"/>
              <w:spacing w:line="360" w:lineRule="auto"/>
              <w:ind w:firstLine="482" w:firstLineChars="200"/>
              <w:rPr>
                <w:b/>
                <w:bCs/>
                <w:color w:val="auto"/>
                <w:sz w:val="24"/>
              </w:rPr>
            </w:pPr>
            <w:r>
              <w:rPr>
                <w:b/>
                <w:bCs/>
                <w:color w:val="auto"/>
                <w:sz w:val="24"/>
              </w:rPr>
              <w:t>（</w:t>
            </w:r>
            <w:r>
              <w:rPr>
                <w:rFonts w:hint="eastAsia"/>
                <w:b/>
                <w:bCs/>
                <w:color w:val="auto"/>
                <w:sz w:val="24"/>
              </w:rPr>
              <w:t>一</w:t>
            </w:r>
            <w:r>
              <w:rPr>
                <w:b/>
                <w:bCs/>
                <w:color w:val="auto"/>
                <w:sz w:val="24"/>
              </w:rPr>
              <w:t>）废水</w:t>
            </w:r>
          </w:p>
          <w:p w14:paraId="4ED851B6">
            <w:pPr>
              <w:adjustRightInd w:val="0"/>
              <w:snapToGrid w:val="0"/>
              <w:spacing w:line="360" w:lineRule="auto"/>
              <w:ind w:firstLine="480" w:firstLineChars="200"/>
              <w:rPr>
                <w:color w:val="auto"/>
                <w:sz w:val="24"/>
              </w:rPr>
            </w:pPr>
            <w:r>
              <w:rPr>
                <w:rFonts w:hint="eastAsia"/>
                <w:color w:val="auto"/>
                <w:sz w:val="24"/>
              </w:rPr>
              <w:t>项目</w:t>
            </w:r>
            <w:r>
              <w:rPr>
                <w:color w:val="auto"/>
                <w:sz w:val="24"/>
              </w:rPr>
              <w:t>废</w:t>
            </w:r>
            <w:r>
              <w:rPr>
                <w:rFonts w:hint="eastAsia"/>
                <w:color w:val="auto"/>
                <w:sz w:val="24"/>
              </w:rPr>
              <w:t>水类别、污染物项目及污染防治设施见下表。</w:t>
            </w:r>
          </w:p>
          <w:p w14:paraId="5BC3828A">
            <w:pPr>
              <w:pStyle w:val="77"/>
              <w:numPr>
                <w:ilvl w:val="0"/>
                <w:numId w:val="18"/>
              </w:numPr>
              <w:adjustRightInd w:val="0"/>
              <w:snapToGrid w:val="0"/>
              <w:jc w:val="center"/>
              <w:rPr>
                <w:b/>
                <w:bCs/>
                <w:color w:val="auto"/>
                <w:szCs w:val="21"/>
              </w:rPr>
            </w:pPr>
            <w:r>
              <w:rPr>
                <w:rFonts w:hint="eastAsia"/>
                <w:b/>
                <w:bCs/>
                <w:color w:val="auto"/>
                <w:szCs w:val="21"/>
              </w:rPr>
              <w:t>项目废水类别、污染物项目及污染防治设施一览表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988"/>
              <w:gridCol w:w="2492"/>
              <w:gridCol w:w="1150"/>
              <w:gridCol w:w="1591"/>
              <w:gridCol w:w="1376"/>
              <w:gridCol w:w="937"/>
            </w:tblGrid>
            <w:tr w14:paraId="3CB92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98" w:type="pct"/>
                  <w:vMerge w:val="restart"/>
                  <w:vAlign w:val="center"/>
                </w:tcPr>
                <w:p w14:paraId="7673D6A6">
                  <w:pPr>
                    <w:adjustRightInd w:val="0"/>
                    <w:snapToGrid w:val="0"/>
                    <w:jc w:val="center"/>
                    <w:rPr>
                      <w:b/>
                      <w:bCs/>
                      <w:color w:val="auto"/>
                      <w:szCs w:val="21"/>
                    </w:rPr>
                  </w:pPr>
                  <w:r>
                    <w:rPr>
                      <w:rFonts w:hint="eastAsia"/>
                      <w:b/>
                      <w:bCs/>
                      <w:color w:val="auto"/>
                      <w:szCs w:val="21"/>
                    </w:rPr>
                    <w:t>废水类别</w:t>
                  </w:r>
                </w:p>
              </w:tc>
              <w:tc>
                <w:tcPr>
                  <w:tcW w:w="959" w:type="pct"/>
                  <w:vMerge w:val="restart"/>
                  <w:vAlign w:val="center"/>
                </w:tcPr>
                <w:p w14:paraId="54FE9B6F">
                  <w:pPr>
                    <w:adjustRightInd w:val="0"/>
                    <w:snapToGrid w:val="0"/>
                    <w:jc w:val="center"/>
                    <w:rPr>
                      <w:b/>
                      <w:bCs/>
                      <w:color w:val="auto"/>
                      <w:szCs w:val="21"/>
                    </w:rPr>
                  </w:pPr>
                  <w:r>
                    <w:rPr>
                      <w:rFonts w:hint="eastAsia"/>
                      <w:b/>
                      <w:bCs/>
                      <w:color w:val="auto"/>
                      <w:szCs w:val="21"/>
                    </w:rPr>
                    <w:t>污染物项目</w:t>
                  </w:r>
                </w:p>
              </w:tc>
              <w:tc>
                <w:tcPr>
                  <w:tcW w:w="1757" w:type="pct"/>
                  <w:gridSpan w:val="2"/>
                  <w:vAlign w:val="center"/>
                </w:tcPr>
                <w:p w14:paraId="469DD85A">
                  <w:pPr>
                    <w:adjustRightInd w:val="0"/>
                    <w:snapToGrid w:val="0"/>
                    <w:jc w:val="center"/>
                    <w:rPr>
                      <w:b/>
                      <w:bCs/>
                      <w:color w:val="auto"/>
                      <w:szCs w:val="21"/>
                    </w:rPr>
                  </w:pPr>
                  <w:r>
                    <w:rPr>
                      <w:rFonts w:hint="eastAsia"/>
                      <w:b/>
                      <w:bCs/>
                      <w:color w:val="auto"/>
                      <w:szCs w:val="21"/>
                    </w:rPr>
                    <w:t>污染防治设施</w:t>
                  </w:r>
                </w:p>
              </w:tc>
              <w:tc>
                <w:tcPr>
                  <w:tcW w:w="767" w:type="pct"/>
                  <w:vMerge w:val="restart"/>
                  <w:vAlign w:val="center"/>
                </w:tcPr>
                <w:p w14:paraId="3081C52B">
                  <w:pPr>
                    <w:adjustRightInd w:val="0"/>
                    <w:snapToGrid w:val="0"/>
                    <w:jc w:val="center"/>
                    <w:rPr>
                      <w:b/>
                      <w:bCs/>
                      <w:color w:val="auto"/>
                      <w:szCs w:val="21"/>
                    </w:rPr>
                  </w:pPr>
                  <w:r>
                    <w:rPr>
                      <w:rFonts w:hint="eastAsia"/>
                      <w:b/>
                      <w:bCs/>
                      <w:color w:val="auto"/>
                      <w:szCs w:val="21"/>
                    </w:rPr>
                    <w:t>流向/排放去向</w:t>
                  </w:r>
                </w:p>
              </w:tc>
              <w:tc>
                <w:tcPr>
                  <w:tcW w:w="664" w:type="pct"/>
                  <w:vMerge w:val="restart"/>
                  <w:vAlign w:val="center"/>
                </w:tcPr>
                <w:p w14:paraId="7D75DF9B">
                  <w:pPr>
                    <w:adjustRightInd w:val="0"/>
                    <w:snapToGrid w:val="0"/>
                    <w:jc w:val="center"/>
                    <w:rPr>
                      <w:b/>
                      <w:bCs/>
                      <w:color w:val="auto"/>
                      <w:szCs w:val="21"/>
                    </w:rPr>
                  </w:pPr>
                  <w:r>
                    <w:rPr>
                      <w:rFonts w:hint="eastAsia"/>
                      <w:b/>
                      <w:bCs/>
                      <w:color w:val="auto"/>
                      <w:szCs w:val="21"/>
                    </w:rPr>
                    <w:t>对应排放口</w:t>
                  </w:r>
                </w:p>
              </w:tc>
              <w:tc>
                <w:tcPr>
                  <w:tcW w:w="452" w:type="pct"/>
                  <w:vMerge w:val="restart"/>
                  <w:vAlign w:val="center"/>
                </w:tcPr>
                <w:p w14:paraId="2E10271C">
                  <w:pPr>
                    <w:adjustRightInd w:val="0"/>
                    <w:snapToGrid w:val="0"/>
                    <w:jc w:val="center"/>
                    <w:rPr>
                      <w:b/>
                      <w:bCs/>
                      <w:color w:val="auto"/>
                      <w:szCs w:val="21"/>
                    </w:rPr>
                  </w:pPr>
                  <w:r>
                    <w:rPr>
                      <w:rFonts w:hint="eastAsia"/>
                      <w:b/>
                      <w:bCs/>
                      <w:color w:val="auto"/>
                      <w:szCs w:val="21"/>
                    </w:rPr>
                    <w:t>排放口类型</w:t>
                  </w:r>
                </w:p>
              </w:tc>
            </w:tr>
            <w:tr w14:paraId="3D4B0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98" w:type="pct"/>
                  <w:vMerge w:val="continue"/>
                  <w:vAlign w:val="center"/>
                </w:tcPr>
                <w:p w14:paraId="257DE26C">
                  <w:pPr>
                    <w:adjustRightInd w:val="0"/>
                    <w:snapToGrid w:val="0"/>
                    <w:jc w:val="center"/>
                    <w:rPr>
                      <w:b/>
                      <w:bCs/>
                      <w:color w:val="auto"/>
                      <w:szCs w:val="21"/>
                    </w:rPr>
                  </w:pPr>
                </w:p>
              </w:tc>
              <w:tc>
                <w:tcPr>
                  <w:tcW w:w="959" w:type="pct"/>
                  <w:vMerge w:val="continue"/>
                  <w:vAlign w:val="center"/>
                </w:tcPr>
                <w:p w14:paraId="69641A88">
                  <w:pPr>
                    <w:adjustRightInd w:val="0"/>
                    <w:snapToGrid w:val="0"/>
                    <w:jc w:val="center"/>
                    <w:rPr>
                      <w:b/>
                      <w:bCs/>
                      <w:color w:val="auto"/>
                      <w:szCs w:val="21"/>
                    </w:rPr>
                  </w:pPr>
                </w:p>
              </w:tc>
              <w:tc>
                <w:tcPr>
                  <w:tcW w:w="1202" w:type="pct"/>
                  <w:vAlign w:val="center"/>
                </w:tcPr>
                <w:p w14:paraId="405AB051">
                  <w:pPr>
                    <w:adjustRightInd w:val="0"/>
                    <w:snapToGrid w:val="0"/>
                    <w:jc w:val="center"/>
                    <w:rPr>
                      <w:b/>
                      <w:bCs/>
                      <w:color w:val="auto"/>
                      <w:szCs w:val="21"/>
                    </w:rPr>
                  </w:pPr>
                  <w:r>
                    <w:rPr>
                      <w:rFonts w:hint="eastAsia"/>
                      <w:b/>
                      <w:bCs/>
                      <w:color w:val="auto"/>
                      <w:szCs w:val="21"/>
                    </w:rPr>
                    <w:t>污染防治设施名称及工艺</w:t>
                  </w:r>
                </w:p>
              </w:tc>
              <w:tc>
                <w:tcPr>
                  <w:tcW w:w="555" w:type="pct"/>
                  <w:vAlign w:val="center"/>
                </w:tcPr>
                <w:p w14:paraId="722AF641">
                  <w:pPr>
                    <w:adjustRightInd w:val="0"/>
                    <w:snapToGrid w:val="0"/>
                    <w:jc w:val="center"/>
                    <w:rPr>
                      <w:b/>
                      <w:bCs/>
                      <w:color w:val="auto"/>
                      <w:szCs w:val="21"/>
                    </w:rPr>
                  </w:pPr>
                  <w:r>
                    <w:rPr>
                      <w:rFonts w:hint="eastAsia"/>
                      <w:b/>
                      <w:bCs/>
                      <w:color w:val="auto"/>
                      <w:szCs w:val="21"/>
                    </w:rPr>
                    <w:t>是否为可行性技术</w:t>
                  </w:r>
                </w:p>
              </w:tc>
              <w:tc>
                <w:tcPr>
                  <w:tcW w:w="767" w:type="pct"/>
                  <w:vMerge w:val="continue"/>
                  <w:vAlign w:val="center"/>
                </w:tcPr>
                <w:p w14:paraId="75360BDA">
                  <w:pPr>
                    <w:adjustRightInd w:val="0"/>
                    <w:snapToGrid w:val="0"/>
                    <w:jc w:val="center"/>
                    <w:rPr>
                      <w:b/>
                      <w:bCs/>
                      <w:color w:val="auto"/>
                      <w:szCs w:val="21"/>
                    </w:rPr>
                  </w:pPr>
                </w:p>
              </w:tc>
              <w:tc>
                <w:tcPr>
                  <w:tcW w:w="664" w:type="pct"/>
                  <w:vMerge w:val="continue"/>
                  <w:vAlign w:val="center"/>
                </w:tcPr>
                <w:p w14:paraId="3571AE4B">
                  <w:pPr>
                    <w:adjustRightInd w:val="0"/>
                    <w:snapToGrid w:val="0"/>
                    <w:jc w:val="center"/>
                    <w:rPr>
                      <w:b/>
                      <w:bCs/>
                      <w:color w:val="auto"/>
                      <w:szCs w:val="21"/>
                    </w:rPr>
                  </w:pPr>
                </w:p>
              </w:tc>
              <w:tc>
                <w:tcPr>
                  <w:tcW w:w="452" w:type="pct"/>
                  <w:vMerge w:val="continue"/>
                  <w:vAlign w:val="center"/>
                </w:tcPr>
                <w:p w14:paraId="65385613">
                  <w:pPr>
                    <w:adjustRightInd w:val="0"/>
                    <w:snapToGrid w:val="0"/>
                    <w:jc w:val="center"/>
                    <w:rPr>
                      <w:b/>
                      <w:bCs/>
                      <w:color w:val="auto"/>
                      <w:szCs w:val="21"/>
                    </w:rPr>
                  </w:pPr>
                </w:p>
              </w:tc>
            </w:tr>
            <w:tr w14:paraId="03AAB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98" w:type="pct"/>
                  <w:vAlign w:val="center"/>
                </w:tcPr>
                <w:p w14:paraId="025DF408">
                  <w:pPr>
                    <w:adjustRightInd w:val="0"/>
                    <w:snapToGrid w:val="0"/>
                    <w:jc w:val="center"/>
                    <w:rPr>
                      <w:color w:val="auto"/>
                      <w:szCs w:val="21"/>
                    </w:rPr>
                  </w:pPr>
                  <w:r>
                    <w:rPr>
                      <w:rFonts w:hint="eastAsia"/>
                      <w:color w:val="auto"/>
                      <w:szCs w:val="21"/>
                    </w:rPr>
                    <w:t>生活污水</w:t>
                  </w:r>
                </w:p>
              </w:tc>
              <w:tc>
                <w:tcPr>
                  <w:tcW w:w="959" w:type="pct"/>
                  <w:vAlign w:val="center"/>
                </w:tcPr>
                <w:p w14:paraId="6967855C">
                  <w:pPr>
                    <w:pStyle w:val="127"/>
                    <w:rPr>
                      <w:color w:val="auto"/>
                      <w:szCs w:val="21"/>
                    </w:rPr>
                  </w:pPr>
                  <w:r>
                    <w:rPr>
                      <w:color w:val="auto"/>
                    </w:rPr>
                    <w:t>COD</w:t>
                  </w:r>
                  <w:r>
                    <w:rPr>
                      <w:rFonts w:hint="eastAsia"/>
                      <w:color w:val="auto"/>
                      <w:vertAlign w:val="subscript"/>
                    </w:rPr>
                    <w:t>C</w:t>
                  </w:r>
                  <w:r>
                    <w:rPr>
                      <w:color w:val="auto"/>
                      <w:vertAlign w:val="subscript"/>
                    </w:rPr>
                    <w:t>r</w:t>
                  </w:r>
                  <w:r>
                    <w:rPr>
                      <w:color w:val="auto"/>
                    </w:rPr>
                    <w:t>、BOD</w:t>
                  </w:r>
                  <w:r>
                    <w:rPr>
                      <w:color w:val="auto"/>
                      <w:vertAlign w:val="subscript"/>
                    </w:rPr>
                    <w:t>5</w:t>
                  </w:r>
                  <w:r>
                    <w:rPr>
                      <w:color w:val="auto"/>
                    </w:rPr>
                    <w:t>、SS、NH</w:t>
                  </w:r>
                  <w:r>
                    <w:rPr>
                      <w:color w:val="auto"/>
                      <w:vertAlign w:val="subscript"/>
                    </w:rPr>
                    <w:t>3</w:t>
                  </w:r>
                  <w:r>
                    <w:rPr>
                      <w:color w:val="auto"/>
                    </w:rPr>
                    <w:t>-N、</w:t>
                  </w:r>
                  <w:r>
                    <w:rPr>
                      <w:rFonts w:hint="eastAsia"/>
                      <w:color w:val="auto"/>
                    </w:rPr>
                    <w:t>TN、</w:t>
                  </w:r>
                  <w:r>
                    <w:rPr>
                      <w:color w:val="auto"/>
                    </w:rPr>
                    <w:t>TP</w:t>
                  </w:r>
                </w:p>
              </w:tc>
              <w:tc>
                <w:tcPr>
                  <w:tcW w:w="1202" w:type="pct"/>
                  <w:vAlign w:val="center"/>
                </w:tcPr>
                <w:p w14:paraId="43740BF1">
                  <w:pPr>
                    <w:adjustRightInd w:val="0"/>
                    <w:snapToGrid w:val="0"/>
                    <w:jc w:val="center"/>
                    <w:rPr>
                      <w:color w:val="auto"/>
                      <w:szCs w:val="21"/>
                    </w:rPr>
                  </w:pPr>
                  <w:r>
                    <w:rPr>
                      <w:rFonts w:hint="eastAsia"/>
                      <w:color w:val="auto"/>
                      <w:szCs w:val="21"/>
                    </w:rPr>
                    <w:t>三级化粪池</w:t>
                  </w:r>
                </w:p>
              </w:tc>
              <w:tc>
                <w:tcPr>
                  <w:tcW w:w="555" w:type="pct"/>
                  <w:vAlign w:val="center"/>
                </w:tcPr>
                <w:p w14:paraId="55FAEE26">
                  <w:pPr>
                    <w:adjustRightInd w:val="0"/>
                    <w:snapToGrid w:val="0"/>
                    <w:jc w:val="center"/>
                    <w:rPr>
                      <w:color w:val="auto"/>
                      <w:szCs w:val="21"/>
                    </w:rPr>
                  </w:pPr>
                  <w:r>
                    <w:rPr>
                      <w:color w:val="auto"/>
                      <w:szCs w:val="21"/>
                    </w:rPr>
                    <w:sym w:font="Wingdings 2" w:char="0052"/>
                  </w:r>
                  <w:r>
                    <w:rPr>
                      <w:color w:val="auto"/>
                      <w:szCs w:val="21"/>
                    </w:rPr>
                    <w:t>是</w:t>
                  </w:r>
                </w:p>
                <w:p w14:paraId="168EFA3B">
                  <w:pPr>
                    <w:adjustRightInd w:val="0"/>
                    <w:snapToGrid w:val="0"/>
                    <w:jc w:val="center"/>
                    <w:rPr>
                      <w:color w:val="auto"/>
                      <w:szCs w:val="21"/>
                    </w:rPr>
                  </w:pPr>
                  <w:r>
                    <w:rPr>
                      <w:color w:val="auto"/>
                      <w:szCs w:val="21"/>
                    </w:rPr>
                    <w:sym w:font="Wingdings 2" w:char="00A3"/>
                  </w:r>
                  <w:r>
                    <w:rPr>
                      <w:rFonts w:hint="eastAsia"/>
                      <w:color w:val="auto"/>
                      <w:szCs w:val="21"/>
                    </w:rPr>
                    <w:t>否</w:t>
                  </w:r>
                </w:p>
              </w:tc>
              <w:tc>
                <w:tcPr>
                  <w:tcW w:w="767" w:type="pct"/>
                  <w:vAlign w:val="center"/>
                </w:tcPr>
                <w:p w14:paraId="0622556C">
                  <w:pPr>
                    <w:adjustRightInd w:val="0"/>
                    <w:snapToGrid w:val="0"/>
                    <w:jc w:val="center"/>
                    <w:rPr>
                      <w:color w:val="auto"/>
                      <w:szCs w:val="21"/>
                    </w:rPr>
                  </w:pPr>
                  <w:r>
                    <w:rPr>
                      <w:rFonts w:hint="eastAsia"/>
                      <w:color w:val="auto"/>
                    </w:rPr>
                    <w:t>石湾镇西基生活污水厂</w:t>
                  </w:r>
                </w:p>
              </w:tc>
              <w:tc>
                <w:tcPr>
                  <w:tcW w:w="664" w:type="pct"/>
                  <w:vAlign w:val="center"/>
                </w:tcPr>
                <w:p w14:paraId="6E33B53F">
                  <w:pPr>
                    <w:adjustRightInd w:val="0"/>
                    <w:snapToGrid w:val="0"/>
                    <w:jc w:val="center"/>
                    <w:rPr>
                      <w:color w:val="auto"/>
                      <w:szCs w:val="21"/>
                    </w:rPr>
                  </w:pPr>
                  <w:r>
                    <w:rPr>
                      <w:rFonts w:hint="eastAsia"/>
                      <w:color w:val="auto"/>
                      <w:szCs w:val="21"/>
                    </w:rPr>
                    <w:t>生活污水单独排放口</w:t>
                  </w:r>
                </w:p>
              </w:tc>
              <w:tc>
                <w:tcPr>
                  <w:tcW w:w="452" w:type="pct"/>
                  <w:vAlign w:val="center"/>
                </w:tcPr>
                <w:p w14:paraId="50BD27C0">
                  <w:pPr>
                    <w:adjustRightInd w:val="0"/>
                    <w:snapToGrid w:val="0"/>
                    <w:jc w:val="center"/>
                    <w:rPr>
                      <w:color w:val="auto"/>
                      <w:szCs w:val="21"/>
                    </w:rPr>
                  </w:pPr>
                  <w:r>
                    <w:rPr>
                      <w:rFonts w:hint="eastAsia"/>
                      <w:color w:val="auto"/>
                      <w:szCs w:val="21"/>
                    </w:rPr>
                    <w:t>/</w:t>
                  </w:r>
                </w:p>
              </w:tc>
            </w:tr>
            <w:tr w14:paraId="419E7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98" w:type="pct"/>
                  <w:vAlign w:val="center"/>
                </w:tcPr>
                <w:p w14:paraId="4892A6E4">
                  <w:pPr>
                    <w:adjustRightInd w:val="0"/>
                    <w:snapToGrid w:val="0"/>
                    <w:jc w:val="center"/>
                    <w:rPr>
                      <w:color w:val="auto"/>
                      <w:szCs w:val="21"/>
                    </w:rPr>
                  </w:pPr>
                  <w:r>
                    <w:rPr>
                      <w:rFonts w:hint="eastAsia"/>
                      <w:color w:val="auto"/>
                      <w:szCs w:val="21"/>
                    </w:rPr>
                    <w:t>生产废水</w:t>
                  </w:r>
                </w:p>
              </w:tc>
              <w:tc>
                <w:tcPr>
                  <w:tcW w:w="959" w:type="pct"/>
                  <w:vAlign w:val="center"/>
                </w:tcPr>
                <w:p w14:paraId="3D195BF5">
                  <w:pPr>
                    <w:pStyle w:val="127"/>
                    <w:rPr>
                      <w:color w:val="auto"/>
                      <w:szCs w:val="21"/>
                    </w:rPr>
                  </w:pPr>
                  <w:r>
                    <w:rPr>
                      <w:color w:val="auto"/>
                    </w:rPr>
                    <w:t>pH、COD</w:t>
                  </w:r>
                  <w:r>
                    <w:rPr>
                      <w:rFonts w:hint="eastAsia"/>
                      <w:color w:val="auto"/>
                      <w:vertAlign w:val="subscript"/>
                    </w:rPr>
                    <w:t>C</w:t>
                  </w:r>
                  <w:r>
                    <w:rPr>
                      <w:color w:val="auto"/>
                      <w:vertAlign w:val="subscript"/>
                    </w:rPr>
                    <w:t>r</w:t>
                  </w:r>
                  <w:r>
                    <w:rPr>
                      <w:color w:val="auto"/>
                    </w:rPr>
                    <w:t>、BOD</w:t>
                  </w:r>
                  <w:r>
                    <w:rPr>
                      <w:color w:val="auto"/>
                      <w:vertAlign w:val="subscript"/>
                    </w:rPr>
                    <w:t>5</w:t>
                  </w:r>
                  <w:r>
                    <w:rPr>
                      <w:color w:val="auto"/>
                    </w:rPr>
                    <w:t>、SS、石油类、氨氮、总铁、总锌、总磷</w:t>
                  </w:r>
                </w:p>
              </w:tc>
              <w:tc>
                <w:tcPr>
                  <w:tcW w:w="1202" w:type="pct"/>
                  <w:vAlign w:val="center"/>
                </w:tcPr>
                <w:p w14:paraId="10E9ABC2">
                  <w:pPr>
                    <w:adjustRightInd w:val="0"/>
                    <w:snapToGrid w:val="0"/>
                    <w:jc w:val="center"/>
                    <w:rPr>
                      <w:color w:val="auto"/>
                      <w:szCs w:val="21"/>
                    </w:rPr>
                  </w:pPr>
                  <w:r>
                    <w:rPr>
                      <w:color w:val="auto"/>
                      <w:szCs w:val="21"/>
                    </w:rPr>
                    <w:t>调节+隔油池+混凝沉淀+水解酸化+缺氧+接触氧化+MBR+砂滤+碳滤+精密过滤+</w:t>
                  </w:r>
                  <w:r>
                    <w:rPr>
                      <w:rFonts w:hint="eastAsia"/>
                      <w:color w:val="auto"/>
                      <w:szCs w:val="21"/>
                    </w:rPr>
                    <w:t>二段</w:t>
                  </w:r>
                  <w:r>
                    <w:rPr>
                      <w:color w:val="auto"/>
                      <w:szCs w:val="21"/>
                    </w:rPr>
                    <w:t>RO系统</w:t>
                  </w:r>
                </w:p>
              </w:tc>
              <w:tc>
                <w:tcPr>
                  <w:tcW w:w="555" w:type="pct"/>
                  <w:vAlign w:val="center"/>
                </w:tcPr>
                <w:p w14:paraId="6F6EFE93">
                  <w:pPr>
                    <w:adjustRightInd w:val="0"/>
                    <w:snapToGrid w:val="0"/>
                    <w:jc w:val="center"/>
                    <w:rPr>
                      <w:color w:val="auto"/>
                      <w:szCs w:val="21"/>
                    </w:rPr>
                  </w:pPr>
                  <w:r>
                    <w:rPr>
                      <w:color w:val="auto"/>
                      <w:szCs w:val="21"/>
                    </w:rPr>
                    <w:sym w:font="Wingdings 2" w:char="0052"/>
                  </w:r>
                  <w:r>
                    <w:rPr>
                      <w:color w:val="auto"/>
                      <w:szCs w:val="21"/>
                    </w:rPr>
                    <w:t>是</w:t>
                  </w:r>
                </w:p>
                <w:p w14:paraId="10294A16">
                  <w:pPr>
                    <w:adjustRightInd w:val="0"/>
                    <w:snapToGrid w:val="0"/>
                    <w:jc w:val="center"/>
                    <w:rPr>
                      <w:color w:val="auto"/>
                      <w:szCs w:val="21"/>
                    </w:rPr>
                  </w:pPr>
                  <w:r>
                    <w:rPr>
                      <w:color w:val="auto"/>
                      <w:szCs w:val="21"/>
                    </w:rPr>
                    <w:sym w:font="Wingdings 2" w:char="00A3"/>
                  </w:r>
                  <w:r>
                    <w:rPr>
                      <w:rFonts w:hint="eastAsia"/>
                      <w:color w:val="auto"/>
                      <w:szCs w:val="21"/>
                    </w:rPr>
                    <w:t>否</w:t>
                  </w:r>
                </w:p>
              </w:tc>
              <w:tc>
                <w:tcPr>
                  <w:tcW w:w="767" w:type="pct"/>
                  <w:vAlign w:val="center"/>
                </w:tcPr>
                <w:p w14:paraId="1B0BEB10">
                  <w:pPr>
                    <w:adjustRightInd w:val="0"/>
                    <w:snapToGrid w:val="0"/>
                    <w:jc w:val="center"/>
                    <w:rPr>
                      <w:color w:val="auto"/>
                      <w:szCs w:val="21"/>
                    </w:rPr>
                  </w:pPr>
                  <w:r>
                    <w:rPr>
                      <w:rFonts w:hint="eastAsia"/>
                      <w:color w:val="auto"/>
                    </w:rPr>
                    <w:t>回用于清洗</w:t>
                  </w:r>
                  <w:r>
                    <w:rPr>
                      <w:rFonts w:hint="eastAsia"/>
                      <w:color w:val="auto"/>
                      <w:lang w:val="en-US" w:eastAsia="zh-CN"/>
                    </w:rPr>
                    <w:t>用水和喷淋塔用水</w:t>
                  </w:r>
                  <w:r>
                    <w:rPr>
                      <w:rFonts w:hint="eastAsia"/>
                      <w:color w:val="auto"/>
                    </w:rPr>
                    <w:t>，不外排</w:t>
                  </w:r>
                </w:p>
              </w:tc>
              <w:tc>
                <w:tcPr>
                  <w:tcW w:w="664" w:type="pct"/>
                  <w:vAlign w:val="center"/>
                </w:tcPr>
                <w:p w14:paraId="334579B7">
                  <w:pPr>
                    <w:adjustRightInd w:val="0"/>
                    <w:snapToGrid w:val="0"/>
                    <w:jc w:val="center"/>
                    <w:rPr>
                      <w:color w:val="auto"/>
                      <w:szCs w:val="21"/>
                    </w:rPr>
                  </w:pPr>
                  <w:r>
                    <w:rPr>
                      <w:rFonts w:hint="eastAsia"/>
                      <w:color w:val="auto"/>
                      <w:szCs w:val="21"/>
                    </w:rPr>
                    <w:t>/</w:t>
                  </w:r>
                </w:p>
              </w:tc>
              <w:tc>
                <w:tcPr>
                  <w:tcW w:w="452" w:type="pct"/>
                  <w:vAlign w:val="center"/>
                </w:tcPr>
                <w:p w14:paraId="0B5B1E1A">
                  <w:pPr>
                    <w:adjustRightInd w:val="0"/>
                    <w:snapToGrid w:val="0"/>
                    <w:jc w:val="center"/>
                    <w:rPr>
                      <w:color w:val="auto"/>
                      <w:szCs w:val="21"/>
                    </w:rPr>
                  </w:pPr>
                  <w:r>
                    <w:rPr>
                      <w:rFonts w:hint="eastAsia"/>
                      <w:color w:val="auto"/>
                      <w:szCs w:val="21"/>
                    </w:rPr>
                    <w:t>/</w:t>
                  </w:r>
                </w:p>
              </w:tc>
            </w:tr>
          </w:tbl>
          <w:p w14:paraId="782A58E5">
            <w:pPr>
              <w:adjustRightInd w:val="0"/>
              <w:snapToGrid w:val="0"/>
              <w:spacing w:line="360" w:lineRule="auto"/>
              <w:ind w:firstLine="482" w:firstLineChars="200"/>
              <w:rPr>
                <w:b/>
                <w:bCs/>
                <w:color w:val="auto"/>
                <w:sz w:val="24"/>
              </w:rPr>
            </w:pPr>
            <w:r>
              <w:rPr>
                <w:rFonts w:hint="eastAsia"/>
                <w:b/>
                <w:bCs/>
                <w:color w:val="auto"/>
                <w:sz w:val="24"/>
              </w:rPr>
              <w:t>1、</w:t>
            </w:r>
            <w:r>
              <w:rPr>
                <w:b/>
                <w:bCs/>
                <w:color w:val="auto"/>
                <w:sz w:val="24"/>
              </w:rPr>
              <w:t>废水源强</w:t>
            </w:r>
            <w:r>
              <w:rPr>
                <w:rFonts w:hint="eastAsia"/>
                <w:b/>
                <w:bCs/>
                <w:color w:val="auto"/>
                <w:sz w:val="24"/>
              </w:rPr>
              <w:t>分析</w:t>
            </w:r>
          </w:p>
          <w:p w14:paraId="0BA14520">
            <w:pPr>
              <w:adjustRightInd w:val="0"/>
              <w:snapToGrid w:val="0"/>
              <w:spacing w:line="360" w:lineRule="auto"/>
              <w:ind w:firstLine="482" w:firstLineChars="200"/>
              <w:rPr>
                <w:b/>
                <w:bCs/>
                <w:color w:val="auto"/>
                <w:sz w:val="24"/>
              </w:rPr>
            </w:pPr>
            <w:r>
              <w:rPr>
                <w:rFonts w:hint="eastAsia"/>
                <w:b/>
                <w:bCs/>
                <w:color w:val="auto"/>
                <w:sz w:val="24"/>
              </w:rPr>
              <w:t>1.1生活污水</w:t>
            </w:r>
          </w:p>
          <w:p w14:paraId="44E5A0E2">
            <w:pPr>
              <w:pStyle w:val="43"/>
              <w:rPr>
                <w:color w:val="auto"/>
              </w:rPr>
            </w:pPr>
            <w:r>
              <w:rPr>
                <w:rFonts w:hint="eastAsia"/>
                <w:color w:val="auto"/>
              </w:rPr>
              <w:t>项目拟新增员工50人，均不在厂区内食宿，生活污水排放量为</w:t>
            </w:r>
            <w:r>
              <w:rPr>
                <w:rFonts w:hint="eastAsia"/>
                <w:color w:val="auto"/>
                <w:szCs w:val="24"/>
              </w:rPr>
              <w:t>450m</w:t>
            </w:r>
            <w:r>
              <w:rPr>
                <w:rFonts w:hint="eastAsia"/>
                <w:color w:val="auto"/>
                <w:szCs w:val="24"/>
                <w:vertAlign w:val="superscript"/>
              </w:rPr>
              <w:t>3</w:t>
            </w:r>
            <w:r>
              <w:rPr>
                <w:rFonts w:hint="eastAsia"/>
                <w:color w:val="auto"/>
                <w:szCs w:val="24"/>
              </w:rPr>
              <w:t>/a，约1.5m</w:t>
            </w:r>
            <w:r>
              <w:rPr>
                <w:rFonts w:hint="eastAsia"/>
                <w:color w:val="auto"/>
                <w:szCs w:val="24"/>
                <w:vertAlign w:val="superscript"/>
              </w:rPr>
              <w:t>3</w:t>
            </w:r>
            <w:r>
              <w:rPr>
                <w:rFonts w:hint="eastAsia"/>
                <w:color w:val="auto"/>
                <w:szCs w:val="24"/>
              </w:rPr>
              <w:t>/d</w:t>
            </w:r>
            <w:r>
              <w:rPr>
                <w:rFonts w:hint="eastAsia"/>
                <w:color w:val="auto"/>
              </w:rPr>
              <w:t>，生活污水的主要污染物为COD</w:t>
            </w:r>
            <w:r>
              <w:rPr>
                <w:rFonts w:hint="eastAsia"/>
                <w:color w:val="auto"/>
                <w:vertAlign w:val="subscript"/>
              </w:rPr>
              <w:t>Cr</w:t>
            </w:r>
            <w:r>
              <w:rPr>
                <w:rFonts w:hint="eastAsia"/>
                <w:color w:val="auto"/>
              </w:rPr>
              <w:t>、BOD</w:t>
            </w:r>
            <w:r>
              <w:rPr>
                <w:rFonts w:hint="eastAsia"/>
                <w:color w:val="auto"/>
                <w:vertAlign w:val="subscript"/>
              </w:rPr>
              <w:t>5</w:t>
            </w:r>
            <w:r>
              <w:rPr>
                <w:rFonts w:hint="eastAsia"/>
                <w:color w:val="auto"/>
              </w:rPr>
              <w:t>、SS、</w:t>
            </w:r>
            <w:r>
              <w:rPr>
                <w:color w:val="auto"/>
              </w:rPr>
              <w:t>NH</w:t>
            </w:r>
            <w:r>
              <w:rPr>
                <w:color w:val="auto"/>
                <w:vertAlign w:val="subscript"/>
              </w:rPr>
              <w:t>3</w:t>
            </w:r>
            <w:r>
              <w:rPr>
                <w:color w:val="auto"/>
              </w:rPr>
              <w:t>-N</w:t>
            </w:r>
            <w:r>
              <w:rPr>
                <w:rFonts w:hint="eastAsia"/>
                <w:color w:val="auto"/>
              </w:rPr>
              <w:t>、TN和TP等，其中COD</w:t>
            </w:r>
            <w:r>
              <w:rPr>
                <w:rFonts w:hint="eastAsia"/>
                <w:color w:val="auto"/>
                <w:vertAlign w:val="subscript"/>
              </w:rPr>
              <w:t>Cr</w:t>
            </w:r>
            <w:r>
              <w:rPr>
                <w:rFonts w:hint="eastAsia"/>
                <w:color w:val="auto"/>
              </w:rPr>
              <w:t>、</w:t>
            </w:r>
            <w:r>
              <w:rPr>
                <w:color w:val="auto"/>
              </w:rPr>
              <w:t>NH</w:t>
            </w:r>
            <w:r>
              <w:rPr>
                <w:color w:val="auto"/>
                <w:vertAlign w:val="subscript"/>
              </w:rPr>
              <w:t>3</w:t>
            </w:r>
            <w:r>
              <w:rPr>
                <w:color w:val="auto"/>
              </w:rPr>
              <w:t>-N</w:t>
            </w:r>
            <w:r>
              <w:rPr>
                <w:rFonts w:hint="eastAsia"/>
                <w:color w:val="auto"/>
              </w:rPr>
              <w:t>、TN、TP的产生浓度参考《排放源统计调查产排污核算方法和系数手册》中生活源产排污系数手册第一部分城镇生活源水污染物产生系数表1-1城镇生活源水污染物产生系数（广东属于五区），BOD</w:t>
            </w:r>
            <w:r>
              <w:rPr>
                <w:rFonts w:hint="eastAsia"/>
                <w:color w:val="auto"/>
                <w:vertAlign w:val="subscript"/>
              </w:rPr>
              <w:t>5</w:t>
            </w:r>
            <w:r>
              <w:rPr>
                <w:rFonts w:hint="eastAsia"/>
                <w:color w:val="auto"/>
              </w:rPr>
              <w:t>、SS的产生浓度参考《排水工程》（第四版下册）中“典型生活污水水质”中“中常浓度”水质参数，具体取值如下：</w:t>
            </w:r>
          </w:p>
          <w:p w14:paraId="3859EA26">
            <w:pPr>
              <w:pStyle w:val="77"/>
              <w:numPr>
                <w:ilvl w:val="0"/>
                <w:numId w:val="18"/>
              </w:numPr>
              <w:adjustRightInd w:val="0"/>
              <w:snapToGrid w:val="0"/>
              <w:jc w:val="center"/>
              <w:rPr>
                <w:b/>
                <w:bCs/>
                <w:color w:val="auto"/>
                <w:szCs w:val="21"/>
              </w:rPr>
            </w:pPr>
            <w:r>
              <w:rPr>
                <w:rFonts w:hint="eastAsia"/>
                <w:b/>
                <w:bCs/>
                <w:color w:val="auto"/>
                <w:szCs w:val="21"/>
              </w:rPr>
              <w:t>生活污水污染物产污系数</w:t>
            </w:r>
            <w:r>
              <w:rPr>
                <w:b/>
                <w:bCs/>
                <w:color w:val="auto"/>
                <w:szCs w:val="21"/>
              </w:rPr>
              <w:t>一览表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54"/>
              <w:gridCol w:w="3455"/>
              <w:gridCol w:w="3455"/>
            </w:tblGrid>
            <w:tr w14:paraId="20DC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Pr>
                <w:p w14:paraId="6C788ACB">
                  <w:pPr>
                    <w:pStyle w:val="127"/>
                    <w:rPr>
                      <w:b/>
                      <w:bCs/>
                      <w:color w:val="auto"/>
                    </w:rPr>
                  </w:pPr>
                  <w:r>
                    <w:rPr>
                      <w:rFonts w:hint="eastAsia"/>
                      <w:b/>
                      <w:bCs/>
                      <w:color w:val="auto"/>
                    </w:rPr>
                    <w:t>系数依据来源</w:t>
                  </w:r>
                </w:p>
              </w:tc>
              <w:tc>
                <w:tcPr>
                  <w:tcW w:w="1666" w:type="pct"/>
                </w:tcPr>
                <w:p w14:paraId="67718987">
                  <w:pPr>
                    <w:pStyle w:val="127"/>
                    <w:rPr>
                      <w:b/>
                      <w:bCs/>
                      <w:color w:val="auto"/>
                    </w:rPr>
                  </w:pPr>
                  <w:r>
                    <w:rPr>
                      <w:rFonts w:hint="eastAsia"/>
                      <w:b/>
                      <w:bCs/>
                      <w:color w:val="auto"/>
                    </w:rPr>
                    <w:t>指标名称</w:t>
                  </w:r>
                </w:p>
              </w:tc>
              <w:tc>
                <w:tcPr>
                  <w:tcW w:w="1666" w:type="pct"/>
                </w:tcPr>
                <w:p w14:paraId="09B5DC95">
                  <w:pPr>
                    <w:pStyle w:val="127"/>
                    <w:rPr>
                      <w:b/>
                      <w:bCs/>
                      <w:color w:val="auto"/>
                    </w:rPr>
                  </w:pPr>
                  <w:r>
                    <w:rPr>
                      <w:rFonts w:hint="eastAsia"/>
                      <w:b/>
                      <w:bCs/>
                      <w:color w:val="auto"/>
                    </w:rPr>
                    <w:t>产排污系数平均值（mg/L）</w:t>
                  </w:r>
                </w:p>
              </w:tc>
            </w:tr>
            <w:tr w14:paraId="0EB60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Merge w:val="restart"/>
                  <w:vAlign w:val="center"/>
                </w:tcPr>
                <w:p w14:paraId="32FD5D62">
                  <w:pPr>
                    <w:pStyle w:val="127"/>
                    <w:rPr>
                      <w:color w:val="auto"/>
                    </w:rPr>
                  </w:pPr>
                  <w:r>
                    <w:rPr>
                      <w:rFonts w:hint="eastAsia"/>
                      <w:color w:val="auto"/>
                    </w:rPr>
                    <w:t>五区</w:t>
                  </w:r>
                </w:p>
              </w:tc>
              <w:tc>
                <w:tcPr>
                  <w:tcW w:w="1666" w:type="pct"/>
                </w:tcPr>
                <w:p w14:paraId="3CF45450">
                  <w:pPr>
                    <w:pStyle w:val="127"/>
                    <w:rPr>
                      <w:color w:val="auto"/>
                    </w:rPr>
                  </w:pPr>
                  <w:r>
                    <w:rPr>
                      <w:rFonts w:hint="eastAsia"/>
                      <w:color w:val="auto"/>
                      <w:kern w:val="2"/>
                    </w:rPr>
                    <w:t>COD</w:t>
                  </w:r>
                  <w:r>
                    <w:rPr>
                      <w:rFonts w:hint="eastAsia"/>
                      <w:color w:val="auto"/>
                      <w:kern w:val="2"/>
                      <w:vertAlign w:val="subscript"/>
                    </w:rPr>
                    <w:t>Cr</w:t>
                  </w:r>
                </w:p>
              </w:tc>
              <w:tc>
                <w:tcPr>
                  <w:tcW w:w="1666" w:type="pct"/>
                </w:tcPr>
                <w:p w14:paraId="0453677E">
                  <w:pPr>
                    <w:pStyle w:val="127"/>
                    <w:rPr>
                      <w:color w:val="auto"/>
                    </w:rPr>
                  </w:pPr>
                  <w:r>
                    <w:rPr>
                      <w:rFonts w:hint="eastAsia"/>
                      <w:color w:val="auto"/>
                    </w:rPr>
                    <w:t>285</w:t>
                  </w:r>
                </w:p>
              </w:tc>
            </w:tr>
            <w:tr w14:paraId="0866A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Merge w:val="continue"/>
                </w:tcPr>
                <w:p w14:paraId="78F1F4E0">
                  <w:pPr>
                    <w:pStyle w:val="127"/>
                    <w:rPr>
                      <w:color w:val="auto"/>
                    </w:rPr>
                  </w:pPr>
                </w:p>
              </w:tc>
              <w:tc>
                <w:tcPr>
                  <w:tcW w:w="1666" w:type="pct"/>
                </w:tcPr>
                <w:p w14:paraId="754C1C2C">
                  <w:pPr>
                    <w:pStyle w:val="127"/>
                    <w:rPr>
                      <w:color w:val="auto"/>
                    </w:rPr>
                  </w:pPr>
                  <w:r>
                    <w:rPr>
                      <w:color w:val="auto"/>
                    </w:rPr>
                    <w:t>NH</w:t>
                  </w:r>
                  <w:r>
                    <w:rPr>
                      <w:color w:val="auto"/>
                      <w:vertAlign w:val="subscript"/>
                    </w:rPr>
                    <w:t>3</w:t>
                  </w:r>
                  <w:r>
                    <w:rPr>
                      <w:color w:val="auto"/>
                    </w:rPr>
                    <w:t>-N</w:t>
                  </w:r>
                </w:p>
              </w:tc>
              <w:tc>
                <w:tcPr>
                  <w:tcW w:w="1666" w:type="pct"/>
                </w:tcPr>
                <w:p w14:paraId="03E1CC48">
                  <w:pPr>
                    <w:pStyle w:val="127"/>
                    <w:rPr>
                      <w:color w:val="auto"/>
                    </w:rPr>
                  </w:pPr>
                  <w:r>
                    <w:rPr>
                      <w:rFonts w:hint="eastAsia"/>
                      <w:color w:val="auto"/>
                    </w:rPr>
                    <w:t>28.3</w:t>
                  </w:r>
                </w:p>
              </w:tc>
            </w:tr>
            <w:tr w14:paraId="5BD6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Merge w:val="continue"/>
                </w:tcPr>
                <w:p w14:paraId="6576929F">
                  <w:pPr>
                    <w:pStyle w:val="127"/>
                    <w:rPr>
                      <w:color w:val="auto"/>
                    </w:rPr>
                  </w:pPr>
                </w:p>
              </w:tc>
              <w:tc>
                <w:tcPr>
                  <w:tcW w:w="1666" w:type="pct"/>
                </w:tcPr>
                <w:p w14:paraId="10E3D055">
                  <w:pPr>
                    <w:pStyle w:val="127"/>
                    <w:rPr>
                      <w:color w:val="auto"/>
                    </w:rPr>
                  </w:pPr>
                  <w:r>
                    <w:rPr>
                      <w:rFonts w:hint="eastAsia"/>
                      <w:color w:val="auto"/>
                      <w:kern w:val="2"/>
                    </w:rPr>
                    <w:t>TN</w:t>
                  </w:r>
                </w:p>
              </w:tc>
              <w:tc>
                <w:tcPr>
                  <w:tcW w:w="1666" w:type="pct"/>
                </w:tcPr>
                <w:p w14:paraId="0EBBF5F1">
                  <w:pPr>
                    <w:pStyle w:val="127"/>
                    <w:rPr>
                      <w:color w:val="auto"/>
                    </w:rPr>
                  </w:pPr>
                  <w:r>
                    <w:rPr>
                      <w:rFonts w:hint="eastAsia"/>
                      <w:color w:val="auto"/>
                    </w:rPr>
                    <w:t>39.4</w:t>
                  </w:r>
                </w:p>
              </w:tc>
            </w:tr>
            <w:tr w14:paraId="1AFEC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Merge w:val="continue"/>
                </w:tcPr>
                <w:p w14:paraId="5E5D8485">
                  <w:pPr>
                    <w:pStyle w:val="127"/>
                    <w:rPr>
                      <w:color w:val="auto"/>
                    </w:rPr>
                  </w:pPr>
                </w:p>
              </w:tc>
              <w:tc>
                <w:tcPr>
                  <w:tcW w:w="1666" w:type="pct"/>
                </w:tcPr>
                <w:p w14:paraId="44B1C931">
                  <w:pPr>
                    <w:pStyle w:val="127"/>
                    <w:rPr>
                      <w:color w:val="auto"/>
                    </w:rPr>
                  </w:pPr>
                  <w:r>
                    <w:rPr>
                      <w:rFonts w:hint="eastAsia"/>
                      <w:color w:val="auto"/>
                      <w:kern w:val="2"/>
                    </w:rPr>
                    <w:t>TP</w:t>
                  </w:r>
                </w:p>
              </w:tc>
              <w:tc>
                <w:tcPr>
                  <w:tcW w:w="1666" w:type="pct"/>
                </w:tcPr>
                <w:p w14:paraId="738045B3">
                  <w:pPr>
                    <w:pStyle w:val="127"/>
                    <w:rPr>
                      <w:color w:val="auto"/>
                    </w:rPr>
                  </w:pPr>
                  <w:r>
                    <w:rPr>
                      <w:rFonts w:hint="eastAsia"/>
                      <w:color w:val="auto"/>
                    </w:rPr>
                    <w:t>4.10</w:t>
                  </w:r>
                </w:p>
              </w:tc>
            </w:tr>
            <w:tr w14:paraId="163DD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Merge w:val="restart"/>
                  <w:vAlign w:val="center"/>
                </w:tcPr>
                <w:p w14:paraId="3B7BABBD">
                  <w:pPr>
                    <w:pStyle w:val="127"/>
                    <w:rPr>
                      <w:color w:val="auto"/>
                    </w:rPr>
                  </w:pPr>
                  <w:r>
                    <w:rPr>
                      <w:rFonts w:hint="eastAsia"/>
                      <w:color w:val="auto"/>
                      <w:kern w:val="2"/>
                    </w:rPr>
                    <w:t>《排水工程》（第四版下册）</w:t>
                  </w:r>
                </w:p>
              </w:tc>
              <w:tc>
                <w:tcPr>
                  <w:tcW w:w="1666" w:type="pct"/>
                </w:tcPr>
                <w:p w14:paraId="1278456F">
                  <w:pPr>
                    <w:pStyle w:val="127"/>
                    <w:rPr>
                      <w:color w:val="auto"/>
                    </w:rPr>
                  </w:pPr>
                  <w:r>
                    <w:rPr>
                      <w:rFonts w:hint="eastAsia"/>
                      <w:color w:val="auto"/>
                      <w:kern w:val="2"/>
                    </w:rPr>
                    <w:t>BOD</w:t>
                  </w:r>
                  <w:r>
                    <w:rPr>
                      <w:rFonts w:hint="eastAsia"/>
                      <w:color w:val="auto"/>
                      <w:kern w:val="2"/>
                      <w:vertAlign w:val="subscript"/>
                    </w:rPr>
                    <w:t>5</w:t>
                  </w:r>
                </w:p>
              </w:tc>
              <w:tc>
                <w:tcPr>
                  <w:tcW w:w="1666" w:type="pct"/>
                </w:tcPr>
                <w:p w14:paraId="2B0C69A6">
                  <w:pPr>
                    <w:pStyle w:val="127"/>
                    <w:rPr>
                      <w:color w:val="auto"/>
                    </w:rPr>
                  </w:pPr>
                  <w:r>
                    <w:rPr>
                      <w:rFonts w:hint="eastAsia"/>
                      <w:color w:val="auto"/>
                    </w:rPr>
                    <w:t>200</w:t>
                  </w:r>
                </w:p>
              </w:tc>
            </w:tr>
            <w:tr w14:paraId="7ED99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Merge w:val="continue"/>
                </w:tcPr>
                <w:p w14:paraId="5CDD54AD">
                  <w:pPr>
                    <w:pStyle w:val="127"/>
                    <w:rPr>
                      <w:color w:val="auto"/>
                    </w:rPr>
                  </w:pPr>
                </w:p>
              </w:tc>
              <w:tc>
                <w:tcPr>
                  <w:tcW w:w="1666" w:type="pct"/>
                </w:tcPr>
                <w:p w14:paraId="32064D4F">
                  <w:pPr>
                    <w:pStyle w:val="127"/>
                    <w:rPr>
                      <w:color w:val="auto"/>
                    </w:rPr>
                  </w:pPr>
                  <w:r>
                    <w:rPr>
                      <w:rFonts w:hint="eastAsia"/>
                      <w:color w:val="auto"/>
                      <w:kern w:val="2"/>
                    </w:rPr>
                    <w:t>SS</w:t>
                  </w:r>
                </w:p>
              </w:tc>
              <w:tc>
                <w:tcPr>
                  <w:tcW w:w="1666" w:type="pct"/>
                </w:tcPr>
                <w:p w14:paraId="36D0AF15">
                  <w:pPr>
                    <w:pStyle w:val="127"/>
                    <w:rPr>
                      <w:color w:val="auto"/>
                    </w:rPr>
                  </w:pPr>
                  <w:r>
                    <w:rPr>
                      <w:rFonts w:hint="eastAsia"/>
                      <w:color w:val="auto"/>
                    </w:rPr>
                    <w:t>220</w:t>
                  </w:r>
                </w:p>
              </w:tc>
            </w:tr>
          </w:tbl>
          <w:p w14:paraId="7D252822">
            <w:pPr>
              <w:pStyle w:val="43"/>
              <w:rPr>
                <w:color w:val="auto"/>
              </w:rPr>
            </w:pPr>
            <w:r>
              <w:rPr>
                <w:rFonts w:hint="eastAsia"/>
                <w:color w:val="auto"/>
              </w:rPr>
              <w:t>项目所在地属于石湾镇西基生活污水厂的纳污范围，</w:t>
            </w:r>
            <w:r>
              <w:rPr>
                <w:color w:val="auto"/>
              </w:rPr>
              <w:t>生活污水经</w:t>
            </w:r>
            <w:r>
              <w:rPr>
                <w:rFonts w:hint="eastAsia"/>
                <w:color w:val="auto"/>
              </w:rPr>
              <w:t>三级化粪池</w:t>
            </w:r>
            <w:r>
              <w:rPr>
                <w:color w:val="auto"/>
              </w:rPr>
              <w:t>预处理后，</w:t>
            </w:r>
            <w:r>
              <w:rPr>
                <w:rFonts w:hint="eastAsia"/>
                <w:color w:val="auto"/>
              </w:rPr>
              <w:t>经市政管网进入石湾镇西基生活污水厂。则项目外排废水污染物产排情况</w:t>
            </w:r>
            <w:r>
              <w:rPr>
                <w:color w:val="auto"/>
              </w:rPr>
              <w:t>如</w:t>
            </w:r>
            <w:r>
              <w:rPr>
                <w:rFonts w:hint="eastAsia"/>
                <w:color w:val="auto"/>
              </w:rPr>
              <w:t>表4-3</w:t>
            </w:r>
            <w:r>
              <w:rPr>
                <w:color w:val="auto"/>
              </w:rPr>
              <w:t>所示</w:t>
            </w:r>
            <w:r>
              <w:rPr>
                <w:rFonts w:hint="eastAsia"/>
                <w:color w:val="auto"/>
              </w:rPr>
              <w:t>：</w:t>
            </w:r>
          </w:p>
          <w:p w14:paraId="15818A61">
            <w:pPr>
              <w:pStyle w:val="77"/>
              <w:numPr>
                <w:ilvl w:val="0"/>
                <w:numId w:val="18"/>
              </w:numPr>
              <w:adjustRightInd w:val="0"/>
              <w:snapToGrid w:val="0"/>
              <w:jc w:val="center"/>
              <w:rPr>
                <w:b/>
                <w:bCs/>
                <w:color w:val="auto"/>
                <w:szCs w:val="21"/>
              </w:rPr>
            </w:pPr>
            <w:r>
              <w:rPr>
                <w:b/>
                <w:bCs/>
                <w:color w:val="auto"/>
                <w:szCs w:val="21"/>
              </w:rPr>
              <w:t>废水污染物源强核算结果一览表</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415"/>
              <w:gridCol w:w="4013"/>
              <w:gridCol w:w="1078"/>
              <w:gridCol w:w="904"/>
              <w:gridCol w:w="734"/>
              <w:gridCol w:w="740"/>
              <w:gridCol w:w="740"/>
              <w:gridCol w:w="740"/>
            </w:tblGrid>
            <w:tr w14:paraId="7DB03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2615" w:type="pct"/>
                  <w:gridSpan w:val="2"/>
                  <w:vAlign w:val="center"/>
                </w:tcPr>
                <w:p w14:paraId="25A65F9D">
                  <w:pPr>
                    <w:widowControl/>
                    <w:jc w:val="center"/>
                    <w:textAlignment w:val="center"/>
                    <w:rPr>
                      <w:b/>
                      <w:bCs/>
                      <w:color w:val="auto"/>
                      <w:szCs w:val="21"/>
                    </w:rPr>
                  </w:pPr>
                  <w:r>
                    <w:rPr>
                      <w:b/>
                      <w:color w:val="auto"/>
                      <w:kern w:val="0"/>
                      <w:szCs w:val="21"/>
                      <w:lang w:bidi="ar"/>
                    </w:rPr>
                    <w:t>水质指标</w:t>
                  </w:r>
                </w:p>
              </w:tc>
              <w:tc>
                <w:tcPr>
                  <w:tcW w:w="520" w:type="pct"/>
                  <w:vAlign w:val="center"/>
                </w:tcPr>
                <w:p w14:paraId="7AAEE299">
                  <w:pPr>
                    <w:widowControl/>
                    <w:jc w:val="center"/>
                    <w:textAlignment w:val="center"/>
                    <w:rPr>
                      <w:b/>
                      <w:bCs/>
                      <w:color w:val="auto"/>
                      <w:szCs w:val="21"/>
                    </w:rPr>
                  </w:pPr>
                  <w:r>
                    <w:rPr>
                      <w:b/>
                      <w:color w:val="auto"/>
                      <w:kern w:val="0"/>
                      <w:szCs w:val="21"/>
                      <w:lang w:bidi="ar"/>
                    </w:rPr>
                    <w:t>COD</w:t>
                  </w:r>
                  <w:r>
                    <w:rPr>
                      <w:rStyle w:val="109"/>
                      <w:color w:val="auto"/>
                      <w:vertAlign w:val="subscript"/>
                      <w:lang w:bidi="ar"/>
                    </w:rPr>
                    <w:t>Cr</w:t>
                  </w:r>
                </w:p>
              </w:tc>
              <w:tc>
                <w:tcPr>
                  <w:tcW w:w="436" w:type="pct"/>
                  <w:vAlign w:val="center"/>
                </w:tcPr>
                <w:p w14:paraId="2237FC3F">
                  <w:pPr>
                    <w:widowControl/>
                    <w:jc w:val="center"/>
                    <w:textAlignment w:val="center"/>
                    <w:rPr>
                      <w:b/>
                      <w:bCs/>
                      <w:color w:val="auto"/>
                      <w:szCs w:val="21"/>
                    </w:rPr>
                  </w:pPr>
                  <w:r>
                    <w:rPr>
                      <w:b/>
                      <w:color w:val="auto"/>
                      <w:kern w:val="0"/>
                      <w:szCs w:val="21"/>
                      <w:lang w:bidi="ar"/>
                    </w:rPr>
                    <w:t>BOD</w:t>
                  </w:r>
                  <w:r>
                    <w:rPr>
                      <w:rStyle w:val="109"/>
                      <w:color w:val="auto"/>
                      <w:vertAlign w:val="subscript"/>
                      <w:lang w:bidi="ar"/>
                    </w:rPr>
                    <w:t>5</w:t>
                  </w:r>
                </w:p>
              </w:tc>
              <w:tc>
                <w:tcPr>
                  <w:tcW w:w="354" w:type="pct"/>
                  <w:vAlign w:val="center"/>
                </w:tcPr>
                <w:p w14:paraId="58D4CFAE">
                  <w:pPr>
                    <w:widowControl/>
                    <w:jc w:val="center"/>
                    <w:textAlignment w:val="center"/>
                    <w:rPr>
                      <w:b/>
                      <w:bCs/>
                      <w:color w:val="auto"/>
                      <w:szCs w:val="21"/>
                    </w:rPr>
                  </w:pPr>
                  <w:r>
                    <w:rPr>
                      <w:b/>
                      <w:color w:val="auto"/>
                      <w:kern w:val="0"/>
                      <w:szCs w:val="21"/>
                      <w:lang w:bidi="ar"/>
                    </w:rPr>
                    <w:t>SS</w:t>
                  </w:r>
                </w:p>
              </w:tc>
              <w:tc>
                <w:tcPr>
                  <w:tcW w:w="357" w:type="pct"/>
                  <w:vAlign w:val="center"/>
                </w:tcPr>
                <w:p w14:paraId="77303B65">
                  <w:pPr>
                    <w:widowControl/>
                    <w:jc w:val="center"/>
                    <w:textAlignment w:val="center"/>
                    <w:rPr>
                      <w:b/>
                      <w:bCs/>
                      <w:color w:val="auto"/>
                      <w:szCs w:val="21"/>
                    </w:rPr>
                  </w:pPr>
                  <w:r>
                    <w:rPr>
                      <w:b/>
                      <w:bCs/>
                      <w:color w:val="auto"/>
                    </w:rPr>
                    <w:t>NH</w:t>
                  </w:r>
                  <w:r>
                    <w:rPr>
                      <w:b/>
                      <w:bCs/>
                      <w:color w:val="auto"/>
                      <w:vertAlign w:val="subscript"/>
                    </w:rPr>
                    <w:t>3</w:t>
                  </w:r>
                  <w:r>
                    <w:rPr>
                      <w:b/>
                      <w:bCs/>
                      <w:color w:val="auto"/>
                    </w:rPr>
                    <w:t>-N</w:t>
                  </w:r>
                </w:p>
              </w:tc>
              <w:tc>
                <w:tcPr>
                  <w:tcW w:w="357" w:type="pct"/>
                  <w:vAlign w:val="center"/>
                </w:tcPr>
                <w:p w14:paraId="10639532">
                  <w:pPr>
                    <w:widowControl/>
                    <w:jc w:val="center"/>
                    <w:textAlignment w:val="center"/>
                    <w:rPr>
                      <w:b/>
                      <w:bCs/>
                      <w:color w:val="auto"/>
                      <w:szCs w:val="21"/>
                    </w:rPr>
                  </w:pPr>
                  <w:r>
                    <w:rPr>
                      <w:rFonts w:hint="eastAsia"/>
                      <w:b/>
                      <w:bCs/>
                      <w:color w:val="auto"/>
                    </w:rPr>
                    <w:t>TN</w:t>
                  </w:r>
                </w:p>
              </w:tc>
              <w:tc>
                <w:tcPr>
                  <w:tcW w:w="357" w:type="pct"/>
                  <w:vAlign w:val="center"/>
                </w:tcPr>
                <w:p w14:paraId="575F4A3F">
                  <w:pPr>
                    <w:widowControl/>
                    <w:jc w:val="center"/>
                    <w:textAlignment w:val="center"/>
                    <w:rPr>
                      <w:b/>
                      <w:color w:val="auto"/>
                      <w:kern w:val="0"/>
                      <w:szCs w:val="21"/>
                      <w:lang w:bidi="ar"/>
                    </w:rPr>
                  </w:pPr>
                  <w:r>
                    <w:rPr>
                      <w:rFonts w:hint="eastAsia"/>
                      <w:b/>
                      <w:color w:val="auto"/>
                      <w:kern w:val="0"/>
                      <w:szCs w:val="21"/>
                      <w:lang w:bidi="ar"/>
                    </w:rPr>
                    <w:t>TP</w:t>
                  </w:r>
                </w:p>
              </w:tc>
            </w:tr>
            <w:tr w14:paraId="4EBEB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681" w:type="pct"/>
                  <w:vMerge w:val="restart"/>
                  <w:vAlign w:val="center"/>
                </w:tcPr>
                <w:p w14:paraId="6D3D2FE2">
                  <w:pPr>
                    <w:widowControl/>
                    <w:jc w:val="center"/>
                    <w:textAlignment w:val="center"/>
                    <w:rPr>
                      <w:rFonts w:cs="宋体"/>
                      <w:color w:val="auto"/>
                      <w:kern w:val="0"/>
                      <w:szCs w:val="21"/>
                      <w:lang w:bidi="ar"/>
                    </w:rPr>
                  </w:pPr>
                  <w:r>
                    <w:rPr>
                      <w:rFonts w:hint="eastAsia" w:cs="宋体"/>
                      <w:color w:val="auto"/>
                      <w:kern w:val="0"/>
                      <w:szCs w:val="21"/>
                      <w:lang w:bidi="ar"/>
                    </w:rPr>
                    <w:t>生活用水</w:t>
                  </w:r>
                </w:p>
                <w:p w14:paraId="5F62E22B">
                  <w:pPr>
                    <w:widowControl/>
                    <w:jc w:val="center"/>
                    <w:textAlignment w:val="center"/>
                    <w:rPr>
                      <w:color w:val="auto"/>
                      <w:szCs w:val="21"/>
                    </w:rPr>
                  </w:pPr>
                  <w:r>
                    <w:rPr>
                      <w:rFonts w:hint="eastAsia" w:cs="宋体"/>
                      <w:color w:val="auto"/>
                      <w:kern w:val="0"/>
                      <w:szCs w:val="21"/>
                      <w:lang w:bidi="ar"/>
                    </w:rPr>
                    <w:t>450t/a</w:t>
                  </w:r>
                </w:p>
              </w:tc>
              <w:tc>
                <w:tcPr>
                  <w:tcW w:w="1934" w:type="pct"/>
                  <w:vAlign w:val="center"/>
                </w:tcPr>
                <w:p w14:paraId="6F8B6934">
                  <w:pPr>
                    <w:widowControl/>
                    <w:jc w:val="center"/>
                    <w:textAlignment w:val="center"/>
                    <w:rPr>
                      <w:color w:val="auto"/>
                      <w:szCs w:val="21"/>
                    </w:rPr>
                  </w:pPr>
                  <w:r>
                    <w:rPr>
                      <w:rFonts w:hint="eastAsia" w:cs="宋体"/>
                      <w:color w:val="auto"/>
                      <w:kern w:val="0"/>
                      <w:szCs w:val="21"/>
                      <w:lang w:bidi="ar"/>
                    </w:rPr>
                    <w:t>产生浓度</w:t>
                  </w:r>
                  <w:r>
                    <w:rPr>
                      <w:rStyle w:val="98"/>
                      <w:color w:val="auto"/>
                      <w:lang w:bidi="ar"/>
                    </w:rPr>
                    <w:t>(mg/L)</w:t>
                  </w:r>
                </w:p>
              </w:tc>
              <w:tc>
                <w:tcPr>
                  <w:tcW w:w="975" w:type="dxa"/>
                  <w:vAlign w:val="center"/>
                </w:tcPr>
                <w:p w14:paraId="524FEB12">
                  <w:pPr>
                    <w:widowControl/>
                    <w:jc w:val="center"/>
                    <w:textAlignment w:val="center"/>
                    <w:rPr>
                      <w:color w:val="auto"/>
                      <w:szCs w:val="21"/>
                    </w:rPr>
                  </w:pPr>
                  <w:r>
                    <w:rPr>
                      <w:color w:val="auto"/>
                      <w:kern w:val="0"/>
                      <w:szCs w:val="21"/>
                      <w:lang w:bidi="ar"/>
                    </w:rPr>
                    <w:t>285</w:t>
                  </w:r>
                </w:p>
              </w:tc>
              <w:tc>
                <w:tcPr>
                  <w:tcW w:w="818" w:type="dxa"/>
                  <w:vAlign w:val="center"/>
                </w:tcPr>
                <w:p w14:paraId="5EFA030E">
                  <w:pPr>
                    <w:widowControl/>
                    <w:jc w:val="center"/>
                    <w:textAlignment w:val="center"/>
                    <w:rPr>
                      <w:color w:val="auto"/>
                      <w:szCs w:val="21"/>
                    </w:rPr>
                  </w:pPr>
                  <w:r>
                    <w:rPr>
                      <w:color w:val="auto"/>
                      <w:kern w:val="0"/>
                      <w:szCs w:val="21"/>
                      <w:lang w:bidi="ar"/>
                    </w:rPr>
                    <w:t>200</w:t>
                  </w:r>
                </w:p>
              </w:tc>
              <w:tc>
                <w:tcPr>
                  <w:tcW w:w="664" w:type="dxa"/>
                  <w:vAlign w:val="center"/>
                </w:tcPr>
                <w:p w14:paraId="3854110B">
                  <w:pPr>
                    <w:widowControl/>
                    <w:jc w:val="center"/>
                    <w:textAlignment w:val="center"/>
                    <w:rPr>
                      <w:color w:val="auto"/>
                      <w:szCs w:val="21"/>
                    </w:rPr>
                  </w:pPr>
                  <w:r>
                    <w:rPr>
                      <w:color w:val="auto"/>
                      <w:kern w:val="0"/>
                      <w:szCs w:val="21"/>
                      <w:lang w:bidi="ar"/>
                    </w:rPr>
                    <w:t>220</w:t>
                  </w:r>
                </w:p>
              </w:tc>
              <w:tc>
                <w:tcPr>
                  <w:tcW w:w="670" w:type="dxa"/>
                  <w:vAlign w:val="center"/>
                </w:tcPr>
                <w:p w14:paraId="0C1EAE7D">
                  <w:pPr>
                    <w:widowControl/>
                    <w:jc w:val="center"/>
                    <w:textAlignment w:val="center"/>
                    <w:rPr>
                      <w:color w:val="auto"/>
                      <w:szCs w:val="21"/>
                    </w:rPr>
                  </w:pPr>
                  <w:r>
                    <w:rPr>
                      <w:color w:val="auto"/>
                      <w:kern w:val="0"/>
                      <w:szCs w:val="21"/>
                      <w:lang w:bidi="ar"/>
                    </w:rPr>
                    <w:t>28.3</w:t>
                  </w:r>
                </w:p>
              </w:tc>
              <w:tc>
                <w:tcPr>
                  <w:tcW w:w="670" w:type="dxa"/>
                  <w:vAlign w:val="center"/>
                </w:tcPr>
                <w:p w14:paraId="10189C92">
                  <w:pPr>
                    <w:widowControl/>
                    <w:jc w:val="center"/>
                    <w:textAlignment w:val="center"/>
                    <w:rPr>
                      <w:color w:val="auto"/>
                      <w:szCs w:val="21"/>
                    </w:rPr>
                  </w:pPr>
                  <w:r>
                    <w:rPr>
                      <w:color w:val="auto"/>
                      <w:kern w:val="0"/>
                      <w:szCs w:val="21"/>
                      <w:lang w:bidi="ar"/>
                    </w:rPr>
                    <w:t>39.4</w:t>
                  </w:r>
                </w:p>
              </w:tc>
              <w:tc>
                <w:tcPr>
                  <w:tcW w:w="670" w:type="dxa"/>
                  <w:vAlign w:val="center"/>
                </w:tcPr>
                <w:p w14:paraId="1B3B587F">
                  <w:pPr>
                    <w:widowControl/>
                    <w:jc w:val="center"/>
                    <w:textAlignment w:val="center"/>
                    <w:rPr>
                      <w:color w:val="auto"/>
                    </w:rPr>
                  </w:pPr>
                  <w:r>
                    <w:rPr>
                      <w:color w:val="auto"/>
                      <w:kern w:val="0"/>
                      <w:szCs w:val="21"/>
                      <w:lang w:bidi="ar"/>
                    </w:rPr>
                    <w:t>4.1</w:t>
                  </w:r>
                </w:p>
              </w:tc>
            </w:tr>
            <w:tr w14:paraId="74099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681" w:type="pct"/>
                  <w:vMerge w:val="continue"/>
                  <w:vAlign w:val="center"/>
                </w:tcPr>
                <w:p w14:paraId="047C0588">
                  <w:pPr>
                    <w:jc w:val="center"/>
                    <w:rPr>
                      <w:color w:val="auto"/>
                      <w:szCs w:val="21"/>
                    </w:rPr>
                  </w:pPr>
                </w:p>
              </w:tc>
              <w:tc>
                <w:tcPr>
                  <w:tcW w:w="1934" w:type="pct"/>
                  <w:vAlign w:val="center"/>
                </w:tcPr>
                <w:p w14:paraId="24ECDF11">
                  <w:pPr>
                    <w:widowControl/>
                    <w:jc w:val="center"/>
                    <w:textAlignment w:val="center"/>
                    <w:rPr>
                      <w:color w:val="auto"/>
                      <w:szCs w:val="21"/>
                    </w:rPr>
                  </w:pPr>
                  <w:r>
                    <w:rPr>
                      <w:rFonts w:hint="eastAsia" w:cs="宋体"/>
                      <w:color w:val="auto"/>
                      <w:kern w:val="0"/>
                      <w:szCs w:val="21"/>
                      <w:lang w:bidi="ar"/>
                    </w:rPr>
                    <w:t>产生量</w:t>
                  </w:r>
                  <w:r>
                    <w:rPr>
                      <w:rStyle w:val="98"/>
                      <w:color w:val="auto"/>
                      <w:lang w:bidi="ar"/>
                    </w:rPr>
                    <w:t>(t/a)</w:t>
                  </w:r>
                </w:p>
              </w:tc>
              <w:tc>
                <w:tcPr>
                  <w:tcW w:w="975" w:type="dxa"/>
                  <w:vAlign w:val="center"/>
                </w:tcPr>
                <w:p w14:paraId="2E364C8B">
                  <w:pPr>
                    <w:widowControl/>
                    <w:jc w:val="center"/>
                    <w:textAlignment w:val="center"/>
                    <w:rPr>
                      <w:color w:val="auto"/>
                      <w:szCs w:val="21"/>
                    </w:rPr>
                  </w:pPr>
                  <w:r>
                    <w:rPr>
                      <w:color w:val="auto"/>
                      <w:kern w:val="0"/>
                      <w:szCs w:val="21"/>
                      <w:lang w:bidi="ar"/>
                    </w:rPr>
                    <w:t xml:space="preserve">0.128 </w:t>
                  </w:r>
                </w:p>
              </w:tc>
              <w:tc>
                <w:tcPr>
                  <w:tcW w:w="818" w:type="dxa"/>
                  <w:vAlign w:val="center"/>
                </w:tcPr>
                <w:p w14:paraId="74234144">
                  <w:pPr>
                    <w:widowControl/>
                    <w:jc w:val="center"/>
                    <w:textAlignment w:val="center"/>
                    <w:rPr>
                      <w:color w:val="auto"/>
                      <w:szCs w:val="21"/>
                    </w:rPr>
                  </w:pPr>
                  <w:r>
                    <w:rPr>
                      <w:color w:val="auto"/>
                      <w:kern w:val="0"/>
                      <w:szCs w:val="21"/>
                      <w:lang w:bidi="ar"/>
                    </w:rPr>
                    <w:t xml:space="preserve">0.0900 </w:t>
                  </w:r>
                </w:p>
              </w:tc>
              <w:tc>
                <w:tcPr>
                  <w:tcW w:w="664" w:type="dxa"/>
                  <w:vAlign w:val="center"/>
                </w:tcPr>
                <w:p w14:paraId="078BC691">
                  <w:pPr>
                    <w:widowControl/>
                    <w:jc w:val="center"/>
                    <w:textAlignment w:val="center"/>
                    <w:rPr>
                      <w:color w:val="auto"/>
                      <w:szCs w:val="21"/>
                    </w:rPr>
                  </w:pPr>
                  <w:r>
                    <w:rPr>
                      <w:color w:val="auto"/>
                      <w:kern w:val="0"/>
                      <w:szCs w:val="21"/>
                      <w:lang w:bidi="ar"/>
                    </w:rPr>
                    <w:t xml:space="preserve">0.0990 </w:t>
                  </w:r>
                </w:p>
              </w:tc>
              <w:tc>
                <w:tcPr>
                  <w:tcW w:w="670" w:type="dxa"/>
                  <w:vAlign w:val="center"/>
                </w:tcPr>
                <w:p w14:paraId="184D5BB4">
                  <w:pPr>
                    <w:widowControl/>
                    <w:jc w:val="center"/>
                    <w:textAlignment w:val="center"/>
                    <w:rPr>
                      <w:color w:val="auto"/>
                      <w:szCs w:val="21"/>
                    </w:rPr>
                  </w:pPr>
                  <w:r>
                    <w:rPr>
                      <w:color w:val="auto"/>
                      <w:kern w:val="0"/>
                      <w:szCs w:val="21"/>
                      <w:lang w:bidi="ar"/>
                    </w:rPr>
                    <w:t xml:space="preserve">0.0127 </w:t>
                  </w:r>
                </w:p>
              </w:tc>
              <w:tc>
                <w:tcPr>
                  <w:tcW w:w="670" w:type="dxa"/>
                  <w:vAlign w:val="center"/>
                </w:tcPr>
                <w:p w14:paraId="6AC3D69D">
                  <w:pPr>
                    <w:widowControl/>
                    <w:jc w:val="center"/>
                    <w:textAlignment w:val="center"/>
                    <w:rPr>
                      <w:color w:val="auto"/>
                      <w:szCs w:val="21"/>
                    </w:rPr>
                  </w:pPr>
                  <w:r>
                    <w:rPr>
                      <w:color w:val="auto"/>
                      <w:kern w:val="0"/>
                      <w:szCs w:val="21"/>
                      <w:lang w:bidi="ar"/>
                    </w:rPr>
                    <w:t xml:space="preserve">0.0177 </w:t>
                  </w:r>
                </w:p>
              </w:tc>
              <w:tc>
                <w:tcPr>
                  <w:tcW w:w="670" w:type="dxa"/>
                  <w:vAlign w:val="center"/>
                </w:tcPr>
                <w:p w14:paraId="760D3726">
                  <w:pPr>
                    <w:widowControl/>
                    <w:jc w:val="center"/>
                    <w:textAlignment w:val="center"/>
                    <w:rPr>
                      <w:color w:val="auto"/>
                      <w:kern w:val="0"/>
                      <w:szCs w:val="21"/>
                      <w:lang w:bidi="ar"/>
                    </w:rPr>
                  </w:pPr>
                  <w:r>
                    <w:rPr>
                      <w:color w:val="auto"/>
                      <w:kern w:val="0"/>
                      <w:szCs w:val="21"/>
                      <w:lang w:bidi="ar"/>
                    </w:rPr>
                    <w:t xml:space="preserve">0.0018 </w:t>
                  </w:r>
                </w:p>
              </w:tc>
            </w:tr>
            <w:tr w14:paraId="4A1F7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681" w:type="pct"/>
                  <w:vMerge w:val="continue"/>
                  <w:vAlign w:val="center"/>
                </w:tcPr>
                <w:p w14:paraId="302B2F7A">
                  <w:pPr>
                    <w:jc w:val="center"/>
                    <w:rPr>
                      <w:color w:val="auto"/>
                      <w:szCs w:val="21"/>
                    </w:rPr>
                  </w:pPr>
                </w:p>
              </w:tc>
              <w:tc>
                <w:tcPr>
                  <w:tcW w:w="1934" w:type="pct"/>
                  <w:vAlign w:val="center"/>
                </w:tcPr>
                <w:p w14:paraId="03C9177E">
                  <w:pPr>
                    <w:widowControl/>
                    <w:jc w:val="center"/>
                    <w:textAlignment w:val="center"/>
                    <w:rPr>
                      <w:color w:val="auto"/>
                      <w:szCs w:val="21"/>
                    </w:rPr>
                  </w:pPr>
                  <w:r>
                    <w:rPr>
                      <w:rFonts w:hint="eastAsia" w:cs="宋体"/>
                      <w:color w:val="auto"/>
                      <w:kern w:val="0"/>
                      <w:szCs w:val="21"/>
                      <w:lang w:bidi="ar"/>
                    </w:rPr>
                    <w:t>预处理后排放</w:t>
                  </w:r>
                  <w:r>
                    <w:rPr>
                      <w:rStyle w:val="98"/>
                      <w:color w:val="auto"/>
                      <w:lang w:bidi="ar"/>
                    </w:rPr>
                    <w:t>浓度(mg/L)</w:t>
                  </w:r>
                </w:p>
              </w:tc>
              <w:tc>
                <w:tcPr>
                  <w:tcW w:w="975" w:type="dxa"/>
                  <w:vAlign w:val="center"/>
                </w:tcPr>
                <w:p w14:paraId="5496EAC7">
                  <w:pPr>
                    <w:widowControl/>
                    <w:jc w:val="center"/>
                    <w:textAlignment w:val="center"/>
                    <w:rPr>
                      <w:color w:val="auto"/>
                      <w:szCs w:val="21"/>
                    </w:rPr>
                  </w:pPr>
                  <w:r>
                    <w:rPr>
                      <w:color w:val="auto"/>
                      <w:kern w:val="0"/>
                      <w:szCs w:val="21"/>
                      <w:lang w:bidi="ar"/>
                    </w:rPr>
                    <w:t>156.75</w:t>
                  </w:r>
                </w:p>
              </w:tc>
              <w:tc>
                <w:tcPr>
                  <w:tcW w:w="818" w:type="dxa"/>
                  <w:vAlign w:val="center"/>
                </w:tcPr>
                <w:p w14:paraId="3CB9C25D">
                  <w:pPr>
                    <w:widowControl/>
                    <w:jc w:val="center"/>
                    <w:textAlignment w:val="center"/>
                    <w:rPr>
                      <w:color w:val="auto"/>
                      <w:szCs w:val="21"/>
                    </w:rPr>
                  </w:pPr>
                  <w:r>
                    <w:rPr>
                      <w:color w:val="auto"/>
                      <w:kern w:val="0"/>
                      <w:szCs w:val="21"/>
                      <w:lang w:bidi="ar"/>
                    </w:rPr>
                    <w:t>110</w:t>
                  </w:r>
                </w:p>
              </w:tc>
              <w:tc>
                <w:tcPr>
                  <w:tcW w:w="664" w:type="dxa"/>
                  <w:vAlign w:val="center"/>
                </w:tcPr>
                <w:p w14:paraId="3D623D1B">
                  <w:pPr>
                    <w:widowControl/>
                    <w:jc w:val="center"/>
                    <w:textAlignment w:val="center"/>
                    <w:rPr>
                      <w:color w:val="auto"/>
                      <w:szCs w:val="21"/>
                    </w:rPr>
                  </w:pPr>
                  <w:r>
                    <w:rPr>
                      <w:color w:val="auto"/>
                      <w:kern w:val="0"/>
                      <w:szCs w:val="21"/>
                      <w:lang w:bidi="ar"/>
                    </w:rPr>
                    <w:t>77</w:t>
                  </w:r>
                </w:p>
              </w:tc>
              <w:tc>
                <w:tcPr>
                  <w:tcW w:w="670" w:type="dxa"/>
                  <w:vAlign w:val="center"/>
                </w:tcPr>
                <w:p w14:paraId="7CCF0E0B">
                  <w:pPr>
                    <w:widowControl/>
                    <w:jc w:val="center"/>
                    <w:textAlignment w:val="center"/>
                    <w:rPr>
                      <w:color w:val="auto"/>
                      <w:szCs w:val="21"/>
                    </w:rPr>
                  </w:pPr>
                  <w:r>
                    <w:rPr>
                      <w:color w:val="auto"/>
                      <w:kern w:val="0"/>
                      <w:szCs w:val="21"/>
                      <w:lang w:bidi="ar"/>
                    </w:rPr>
                    <w:t>25.47</w:t>
                  </w:r>
                </w:p>
              </w:tc>
              <w:tc>
                <w:tcPr>
                  <w:tcW w:w="670" w:type="dxa"/>
                  <w:vAlign w:val="center"/>
                </w:tcPr>
                <w:p w14:paraId="2E5AC903">
                  <w:pPr>
                    <w:widowControl/>
                    <w:jc w:val="center"/>
                    <w:textAlignment w:val="center"/>
                    <w:rPr>
                      <w:color w:val="auto"/>
                      <w:szCs w:val="21"/>
                    </w:rPr>
                  </w:pPr>
                  <w:r>
                    <w:rPr>
                      <w:color w:val="auto"/>
                      <w:kern w:val="0"/>
                      <w:szCs w:val="21"/>
                      <w:lang w:bidi="ar"/>
                    </w:rPr>
                    <w:t>35.46</w:t>
                  </w:r>
                </w:p>
              </w:tc>
              <w:tc>
                <w:tcPr>
                  <w:tcW w:w="670" w:type="dxa"/>
                  <w:vAlign w:val="center"/>
                </w:tcPr>
                <w:p w14:paraId="6BDE4C3B">
                  <w:pPr>
                    <w:widowControl/>
                    <w:jc w:val="center"/>
                    <w:textAlignment w:val="center"/>
                    <w:rPr>
                      <w:color w:val="auto"/>
                      <w:kern w:val="0"/>
                      <w:szCs w:val="21"/>
                      <w:lang w:bidi="ar"/>
                    </w:rPr>
                  </w:pPr>
                  <w:r>
                    <w:rPr>
                      <w:color w:val="auto"/>
                      <w:kern w:val="0"/>
                      <w:szCs w:val="21"/>
                      <w:lang w:bidi="ar"/>
                    </w:rPr>
                    <w:t>3.28</w:t>
                  </w:r>
                </w:p>
              </w:tc>
            </w:tr>
            <w:tr w14:paraId="77632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681" w:type="pct"/>
                  <w:vMerge w:val="continue"/>
                  <w:vAlign w:val="center"/>
                </w:tcPr>
                <w:p w14:paraId="338A2734">
                  <w:pPr>
                    <w:jc w:val="center"/>
                    <w:rPr>
                      <w:color w:val="auto"/>
                      <w:szCs w:val="21"/>
                    </w:rPr>
                  </w:pPr>
                </w:p>
              </w:tc>
              <w:tc>
                <w:tcPr>
                  <w:tcW w:w="1934" w:type="pct"/>
                  <w:vAlign w:val="center"/>
                </w:tcPr>
                <w:p w14:paraId="560EB594">
                  <w:pPr>
                    <w:widowControl/>
                    <w:jc w:val="center"/>
                    <w:textAlignment w:val="center"/>
                    <w:rPr>
                      <w:color w:val="auto"/>
                      <w:szCs w:val="21"/>
                    </w:rPr>
                  </w:pPr>
                  <w:r>
                    <w:rPr>
                      <w:rFonts w:hint="eastAsia" w:cs="宋体"/>
                      <w:color w:val="auto"/>
                      <w:kern w:val="0"/>
                      <w:szCs w:val="21"/>
                      <w:lang w:bidi="ar"/>
                    </w:rPr>
                    <w:t>预处理后排放</w:t>
                  </w:r>
                  <w:r>
                    <w:rPr>
                      <w:rStyle w:val="98"/>
                      <w:color w:val="auto"/>
                      <w:lang w:bidi="ar"/>
                    </w:rPr>
                    <w:t>量(t/a)</w:t>
                  </w:r>
                </w:p>
              </w:tc>
              <w:tc>
                <w:tcPr>
                  <w:tcW w:w="975" w:type="dxa"/>
                  <w:vAlign w:val="center"/>
                </w:tcPr>
                <w:p w14:paraId="0D58D7BE">
                  <w:pPr>
                    <w:widowControl/>
                    <w:jc w:val="center"/>
                    <w:textAlignment w:val="center"/>
                    <w:rPr>
                      <w:color w:val="auto"/>
                      <w:szCs w:val="21"/>
                    </w:rPr>
                  </w:pPr>
                  <w:r>
                    <w:rPr>
                      <w:color w:val="auto"/>
                      <w:kern w:val="0"/>
                      <w:szCs w:val="21"/>
                      <w:lang w:bidi="ar"/>
                    </w:rPr>
                    <w:t xml:space="preserve">0.0705 </w:t>
                  </w:r>
                </w:p>
              </w:tc>
              <w:tc>
                <w:tcPr>
                  <w:tcW w:w="818" w:type="dxa"/>
                  <w:vAlign w:val="center"/>
                </w:tcPr>
                <w:p w14:paraId="245959DC">
                  <w:pPr>
                    <w:widowControl/>
                    <w:jc w:val="center"/>
                    <w:textAlignment w:val="center"/>
                    <w:rPr>
                      <w:color w:val="auto"/>
                      <w:szCs w:val="21"/>
                    </w:rPr>
                  </w:pPr>
                  <w:r>
                    <w:rPr>
                      <w:color w:val="auto"/>
                      <w:kern w:val="0"/>
                      <w:szCs w:val="21"/>
                      <w:lang w:bidi="ar"/>
                    </w:rPr>
                    <w:t xml:space="preserve">0.0495 </w:t>
                  </w:r>
                </w:p>
              </w:tc>
              <w:tc>
                <w:tcPr>
                  <w:tcW w:w="664" w:type="dxa"/>
                  <w:vAlign w:val="center"/>
                </w:tcPr>
                <w:p w14:paraId="12D90B7D">
                  <w:pPr>
                    <w:widowControl/>
                    <w:jc w:val="center"/>
                    <w:textAlignment w:val="center"/>
                    <w:rPr>
                      <w:color w:val="auto"/>
                      <w:szCs w:val="21"/>
                    </w:rPr>
                  </w:pPr>
                  <w:r>
                    <w:rPr>
                      <w:color w:val="auto"/>
                      <w:kern w:val="0"/>
                      <w:szCs w:val="21"/>
                      <w:lang w:bidi="ar"/>
                    </w:rPr>
                    <w:t xml:space="preserve">0.0347 </w:t>
                  </w:r>
                </w:p>
              </w:tc>
              <w:tc>
                <w:tcPr>
                  <w:tcW w:w="670" w:type="dxa"/>
                  <w:vAlign w:val="center"/>
                </w:tcPr>
                <w:p w14:paraId="2B9A8796">
                  <w:pPr>
                    <w:widowControl/>
                    <w:jc w:val="center"/>
                    <w:textAlignment w:val="center"/>
                    <w:rPr>
                      <w:color w:val="auto"/>
                      <w:szCs w:val="21"/>
                    </w:rPr>
                  </w:pPr>
                  <w:r>
                    <w:rPr>
                      <w:color w:val="auto"/>
                      <w:kern w:val="0"/>
                      <w:szCs w:val="21"/>
                      <w:lang w:bidi="ar"/>
                    </w:rPr>
                    <w:t xml:space="preserve">0.0115 </w:t>
                  </w:r>
                </w:p>
              </w:tc>
              <w:tc>
                <w:tcPr>
                  <w:tcW w:w="670" w:type="dxa"/>
                  <w:vAlign w:val="center"/>
                </w:tcPr>
                <w:p w14:paraId="625062C7">
                  <w:pPr>
                    <w:widowControl/>
                    <w:jc w:val="center"/>
                    <w:textAlignment w:val="center"/>
                    <w:rPr>
                      <w:color w:val="auto"/>
                      <w:szCs w:val="21"/>
                    </w:rPr>
                  </w:pPr>
                  <w:r>
                    <w:rPr>
                      <w:color w:val="auto"/>
                      <w:kern w:val="0"/>
                      <w:szCs w:val="21"/>
                      <w:lang w:bidi="ar"/>
                    </w:rPr>
                    <w:t xml:space="preserve">0.0160 </w:t>
                  </w:r>
                </w:p>
              </w:tc>
              <w:tc>
                <w:tcPr>
                  <w:tcW w:w="670" w:type="dxa"/>
                  <w:vAlign w:val="center"/>
                </w:tcPr>
                <w:p w14:paraId="40EA4B9A">
                  <w:pPr>
                    <w:widowControl/>
                    <w:jc w:val="center"/>
                    <w:textAlignment w:val="center"/>
                    <w:rPr>
                      <w:color w:val="auto"/>
                      <w:kern w:val="0"/>
                      <w:szCs w:val="21"/>
                      <w:lang w:bidi="ar"/>
                    </w:rPr>
                  </w:pPr>
                  <w:r>
                    <w:rPr>
                      <w:color w:val="auto"/>
                      <w:kern w:val="0"/>
                      <w:szCs w:val="21"/>
                      <w:lang w:bidi="ar"/>
                    </w:rPr>
                    <w:t xml:space="preserve">0.0015 </w:t>
                  </w:r>
                </w:p>
              </w:tc>
            </w:tr>
            <w:tr w14:paraId="277F0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681" w:type="pct"/>
                  <w:vMerge w:val="continue"/>
                  <w:vAlign w:val="center"/>
                </w:tcPr>
                <w:p w14:paraId="32FEE997">
                  <w:pPr>
                    <w:jc w:val="center"/>
                    <w:rPr>
                      <w:color w:val="auto"/>
                      <w:szCs w:val="21"/>
                    </w:rPr>
                  </w:pPr>
                </w:p>
              </w:tc>
              <w:tc>
                <w:tcPr>
                  <w:tcW w:w="1934" w:type="pct"/>
                  <w:vAlign w:val="center"/>
                </w:tcPr>
                <w:p w14:paraId="78540937">
                  <w:pPr>
                    <w:widowControl/>
                    <w:jc w:val="center"/>
                    <w:textAlignment w:val="center"/>
                    <w:rPr>
                      <w:color w:val="auto"/>
                      <w:szCs w:val="21"/>
                    </w:rPr>
                  </w:pPr>
                  <w:r>
                    <w:rPr>
                      <w:rFonts w:hint="eastAsia" w:cs="宋体"/>
                      <w:color w:val="auto"/>
                      <w:kern w:val="0"/>
                      <w:szCs w:val="21"/>
                      <w:lang w:bidi="ar"/>
                    </w:rPr>
                    <w:t>经污水厂处理后</w:t>
                  </w:r>
                  <w:r>
                    <w:rPr>
                      <w:color w:val="auto"/>
                      <w:kern w:val="0"/>
                      <w:szCs w:val="21"/>
                      <w:lang w:bidi="ar"/>
                    </w:rPr>
                    <w:t>排放浓度</w:t>
                  </w:r>
                  <w:r>
                    <w:rPr>
                      <w:rStyle w:val="98"/>
                      <w:color w:val="auto"/>
                      <w:lang w:bidi="ar"/>
                    </w:rPr>
                    <w:t>(mg/L)</w:t>
                  </w:r>
                </w:p>
              </w:tc>
              <w:tc>
                <w:tcPr>
                  <w:tcW w:w="975" w:type="dxa"/>
                  <w:vAlign w:val="center"/>
                </w:tcPr>
                <w:p w14:paraId="4AF26822">
                  <w:pPr>
                    <w:widowControl/>
                    <w:jc w:val="center"/>
                    <w:textAlignment w:val="center"/>
                    <w:rPr>
                      <w:color w:val="auto"/>
                      <w:kern w:val="0"/>
                      <w:szCs w:val="21"/>
                      <w:lang w:bidi="ar"/>
                    </w:rPr>
                  </w:pPr>
                  <w:r>
                    <w:rPr>
                      <w:color w:val="auto"/>
                      <w:kern w:val="0"/>
                      <w:szCs w:val="21"/>
                      <w:lang w:bidi="ar"/>
                    </w:rPr>
                    <w:t>40</w:t>
                  </w:r>
                </w:p>
              </w:tc>
              <w:tc>
                <w:tcPr>
                  <w:tcW w:w="818" w:type="dxa"/>
                  <w:vAlign w:val="center"/>
                </w:tcPr>
                <w:p w14:paraId="5091C295">
                  <w:pPr>
                    <w:widowControl/>
                    <w:jc w:val="center"/>
                    <w:textAlignment w:val="center"/>
                    <w:rPr>
                      <w:color w:val="auto"/>
                      <w:kern w:val="0"/>
                      <w:szCs w:val="21"/>
                      <w:lang w:bidi="ar"/>
                    </w:rPr>
                  </w:pPr>
                  <w:r>
                    <w:rPr>
                      <w:color w:val="auto"/>
                      <w:kern w:val="0"/>
                      <w:szCs w:val="21"/>
                      <w:lang w:bidi="ar"/>
                    </w:rPr>
                    <w:t>10</w:t>
                  </w:r>
                </w:p>
              </w:tc>
              <w:tc>
                <w:tcPr>
                  <w:tcW w:w="664" w:type="dxa"/>
                  <w:vAlign w:val="center"/>
                </w:tcPr>
                <w:p w14:paraId="02E2ACFE">
                  <w:pPr>
                    <w:widowControl/>
                    <w:jc w:val="center"/>
                    <w:textAlignment w:val="center"/>
                    <w:rPr>
                      <w:color w:val="auto"/>
                      <w:kern w:val="0"/>
                      <w:szCs w:val="21"/>
                      <w:lang w:bidi="ar"/>
                    </w:rPr>
                  </w:pPr>
                  <w:r>
                    <w:rPr>
                      <w:color w:val="auto"/>
                      <w:kern w:val="0"/>
                      <w:szCs w:val="21"/>
                      <w:lang w:bidi="ar"/>
                    </w:rPr>
                    <w:t>10</w:t>
                  </w:r>
                </w:p>
              </w:tc>
              <w:tc>
                <w:tcPr>
                  <w:tcW w:w="670" w:type="dxa"/>
                  <w:vAlign w:val="center"/>
                </w:tcPr>
                <w:p w14:paraId="4D133E1A">
                  <w:pPr>
                    <w:widowControl/>
                    <w:jc w:val="center"/>
                    <w:textAlignment w:val="center"/>
                    <w:rPr>
                      <w:color w:val="auto"/>
                      <w:kern w:val="0"/>
                      <w:szCs w:val="21"/>
                      <w:lang w:bidi="ar"/>
                    </w:rPr>
                  </w:pPr>
                  <w:r>
                    <w:rPr>
                      <w:color w:val="auto"/>
                      <w:kern w:val="0"/>
                      <w:szCs w:val="21"/>
                      <w:lang w:bidi="ar"/>
                    </w:rPr>
                    <w:t>2</w:t>
                  </w:r>
                </w:p>
              </w:tc>
              <w:tc>
                <w:tcPr>
                  <w:tcW w:w="670" w:type="dxa"/>
                  <w:vAlign w:val="center"/>
                </w:tcPr>
                <w:p w14:paraId="76423D44">
                  <w:pPr>
                    <w:widowControl/>
                    <w:jc w:val="center"/>
                    <w:textAlignment w:val="center"/>
                    <w:rPr>
                      <w:color w:val="auto"/>
                      <w:kern w:val="0"/>
                      <w:szCs w:val="21"/>
                      <w:lang w:bidi="ar"/>
                    </w:rPr>
                  </w:pPr>
                  <w:r>
                    <w:rPr>
                      <w:color w:val="auto"/>
                      <w:kern w:val="0"/>
                      <w:szCs w:val="21"/>
                      <w:lang w:bidi="ar"/>
                    </w:rPr>
                    <w:t>15</w:t>
                  </w:r>
                </w:p>
              </w:tc>
              <w:tc>
                <w:tcPr>
                  <w:tcW w:w="670" w:type="dxa"/>
                  <w:vAlign w:val="center"/>
                </w:tcPr>
                <w:p w14:paraId="66355808">
                  <w:pPr>
                    <w:widowControl/>
                    <w:jc w:val="center"/>
                    <w:textAlignment w:val="center"/>
                    <w:rPr>
                      <w:color w:val="auto"/>
                      <w:kern w:val="0"/>
                      <w:szCs w:val="21"/>
                      <w:lang w:bidi="ar"/>
                    </w:rPr>
                  </w:pPr>
                  <w:r>
                    <w:rPr>
                      <w:color w:val="auto"/>
                      <w:kern w:val="0"/>
                      <w:szCs w:val="21"/>
                      <w:lang w:bidi="ar"/>
                    </w:rPr>
                    <w:t>0.4</w:t>
                  </w:r>
                </w:p>
              </w:tc>
            </w:tr>
            <w:tr w14:paraId="1A504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trPr>
              <w:tc>
                <w:tcPr>
                  <w:tcW w:w="681" w:type="pct"/>
                  <w:vMerge w:val="continue"/>
                  <w:vAlign w:val="center"/>
                </w:tcPr>
                <w:p w14:paraId="5055D481">
                  <w:pPr>
                    <w:jc w:val="center"/>
                    <w:rPr>
                      <w:color w:val="auto"/>
                      <w:szCs w:val="21"/>
                    </w:rPr>
                  </w:pPr>
                </w:p>
              </w:tc>
              <w:tc>
                <w:tcPr>
                  <w:tcW w:w="1934" w:type="pct"/>
                  <w:vAlign w:val="center"/>
                </w:tcPr>
                <w:p w14:paraId="07C63BD9">
                  <w:pPr>
                    <w:widowControl/>
                    <w:jc w:val="center"/>
                    <w:textAlignment w:val="center"/>
                    <w:rPr>
                      <w:color w:val="auto"/>
                      <w:kern w:val="0"/>
                      <w:szCs w:val="21"/>
                      <w:lang w:bidi="ar"/>
                    </w:rPr>
                  </w:pPr>
                  <w:r>
                    <w:rPr>
                      <w:rFonts w:hint="eastAsia" w:cs="宋体"/>
                      <w:color w:val="auto"/>
                      <w:kern w:val="0"/>
                      <w:szCs w:val="21"/>
                      <w:lang w:bidi="ar"/>
                    </w:rPr>
                    <w:t>经污水厂处理后排放量(t/a)</w:t>
                  </w:r>
                </w:p>
              </w:tc>
              <w:tc>
                <w:tcPr>
                  <w:tcW w:w="975" w:type="dxa"/>
                  <w:vAlign w:val="center"/>
                </w:tcPr>
                <w:p w14:paraId="5AF2A549">
                  <w:pPr>
                    <w:widowControl/>
                    <w:jc w:val="center"/>
                    <w:textAlignment w:val="center"/>
                    <w:rPr>
                      <w:color w:val="auto"/>
                      <w:kern w:val="0"/>
                      <w:szCs w:val="21"/>
                      <w:lang w:bidi="ar"/>
                    </w:rPr>
                  </w:pPr>
                  <w:r>
                    <w:rPr>
                      <w:color w:val="auto"/>
                      <w:kern w:val="0"/>
                      <w:szCs w:val="21"/>
                      <w:lang w:bidi="ar"/>
                    </w:rPr>
                    <w:t xml:space="preserve">0.0180 </w:t>
                  </w:r>
                </w:p>
              </w:tc>
              <w:tc>
                <w:tcPr>
                  <w:tcW w:w="818" w:type="dxa"/>
                  <w:vAlign w:val="center"/>
                </w:tcPr>
                <w:p w14:paraId="29BBB6DD">
                  <w:pPr>
                    <w:widowControl/>
                    <w:jc w:val="center"/>
                    <w:textAlignment w:val="center"/>
                    <w:rPr>
                      <w:rFonts w:cs="宋体"/>
                      <w:color w:val="auto"/>
                      <w:kern w:val="0"/>
                      <w:szCs w:val="21"/>
                      <w:lang w:bidi="ar"/>
                    </w:rPr>
                  </w:pPr>
                  <w:r>
                    <w:rPr>
                      <w:color w:val="auto"/>
                      <w:kern w:val="0"/>
                      <w:szCs w:val="21"/>
                      <w:lang w:bidi="ar"/>
                    </w:rPr>
                    <w:t xml:space="preserve">0.0045 </w:t>
                  </w:r>
                </w:p>
              </w:tc>
              <w:tc>
                <w:tcPr>
                  <w:tcW w:w="664" w:type="dxa"/>
                  <w:vAlign w:val="center"/>
                </w:tcPr>
                <w:p w14:paraId="216311DB">
                  <w:pPr>
                    <w:widowControl/>
                    <w:jc w:val="center"/>
                    <w:textAlignment w:val="center"/>
                    <w:rPr>
                      <w:rFonts w:cs="宋体"/>
                      <w:color w:val="auto"/>
                      <w:kern w:val="0"/>
                      <w:szCs w:val="21"/>
                      <w:lang w:bidi="ar"/>
                    </w:rPr>
                  </w:pPr>
                  <w:r>
                    <w:rPr>
                      <w:color w:val="auto"/>
                      <w:kern w:val="0"/>
                      <w:szCs w:val="21"/>
                      <w:lang w:bidi="ar"/>
                    </w:rPr>
                    <w:t xml:space="preserve">0.0045 </w:t>
                  </w:r>
                </w:p>
              </w:tc>
              <w:tc>
                <w:tcPr>
                  <w:tcW w:w="670" w:type="dxa"/>
                  <w:vAlign w:val="center"/>
                </w:tcPr>
                <w:p w14:paraId="70B0C2AA">
                  <w:pPr>
                    <w:widowControl/>
                    <w:jc w:val="center"/>
                    <w:textAlignment w:val="center"/>
                    <w:rPr>
                      <w:rFonts w:cs="宋体"/>
                      <w:color w:val="auto"/>
                      <w:kern w:val="0"/>
                      <w:szCs w:val="21"/>
                      <w:lang w:bidi="ar"/>
                    </w:rPr>
                  </w:pPr>
                  <w:r>
                    <w:rPr>
                      <w:color w:val="auto"/>
                      <w:kern w:val="0"/>
                      <w:szCs w:val="21"/>
                      <w:lang w:bidi="ar"/>
                    </w:rPr>
                    <w:t xml:space="preserve">0.0009 </w:t>
                  </w:r>
                </w:p>
              </w:tc>
              <w:tc>
                <w:tcPr>
                  <w:tcW w:w="670" w:type="dxa"/>
                  <w:vAlign w:val="center"/>
                </w:tcPr>
                <w:p w14:paraId="4828F83B">
                  <w:pPr>
                    <w:widowControl/>
                    <w:jc w:val="center"/>
                    <w:textAlignment w:val="center"/>
                    <w:rPr>
                      <w:color w:val="auto"/>
                      <w:kern w:val="0"/>
                      <w:szCs w:val="21"/>
                      <w:lang w:bidi="ar"/>
                    </w:rPr>
                  </w:pPr>
                  <w:r>
                    <w:rPr>
                      <w:color w:val="auto"/>
                      <w:kern w:val="0"/>
                      <w:szCs w:val="21"/>
                      <w:lang w:bidi="ar"/>
                    </w:rPr>
                    <w:t xml:space="preserve">0.0068 </w:t>
                  </w:r>
                </w:p>
              </w:tc>
              <w:tc>
                <w:tcPr>
                  <w:tcW w:w="670" w:type="dxa"/>
                  <w:vAlign w:val="center"/>
                </w:tcPr>
                <w:p w14:paraId="66C7CEAA">
                  <w:pPr>
                    <w:widowControl/>
                    <w:jc w:val="center"/>
                    <w:textAlignment w:val="center"/>
                    <w:rPr>
                      <w:color w:val="auto"/>
                      <w:kern w:val="0"/>
                      <w:szCs w:val="21"/>
                      <w:lang w:bidi="ar"/>
                    </w:rPr>
                  </w:pPr>
                  <w:r>
                    <w:rPr>
                      <w:color w:val="auto"/>
                      <w:kern w:val="0"/>
                      <w:szCs w:val="21"/>
                      <w:lang w:bidi="ar"/>
                    </w:rPr>
                    <w:t xml:space="preserve">0.0002 </w:t>
                  </w:r>
                </w:p>
              </w:tc>
            </w:tr>
          </w:tbl>
          <w:p w14:paraId="15520AF7">
            <w:pPr>
              <w:rPr>
                <w:color w:val="auto"/>
              </w:rPr>
            </w:pPr>
          </w:p>
          <w:p w14:paraId="077B6892">
            <w:pPr>
              <w:adjustRightInd w:val="0"/>
              <w:snapToGrid w:val="0"/>
              <w:spacing w:line="360" w:lineRule="auto"/>
              <w:ind w:firstLine="482" w:firstLineChars="200"/>
              <w:rPr>
                <w:b/>
                <w:color w:val="auto"/>
                <w:sz w:val="24"/>
              </w:rPr>
            </w:pPr>
            <w:r>
              <w:rPr>
                <w:rFonts w:hint="eastAsia"/>
                <w:b/>
                <w:color w:val="auto"/>
                <w:sz w:val="24"/>
              </w:rPr>
              <w:t>1.2水帘柜废水</w:t>
            </w:r>
          </w:p>
          <w:p w14:paraId="24675D6A">
            <w:pPr>
              <w:adjustRightInd w:val="0"/>
              <w:snapToGrid w:val="0"/>
              <w:spacing w:line="360" w:lineRule="auto"/>
              <w:ind w:firstLine="480" w:firstLineChars="200"/>
              <w:rPr>
                <w:bCs/>
                <w:color w:val="auto"/>
                <w:sz w:val="24"/>
              </w:rPr>
            </w:pPr>
            <w:r>
              <w:rPr>
                <w:rFonts w:hint="eastAsia"/>
                <w:bCs/>
                <w:color w:val="auto"/>
                <w:sz w:val="24"/>
              </w:rPr>
              <w:t>项目水帘柜用水量为</w:t>
            </w:r>
            <w:r>
              <w:rPr>
                <w:rFonts w:hint="eastAsia"/>
                <w:bCs/>
                <w:color w:val="auto"/>
                <w:sz w:val="24"/>
                <w:lang w:val="en-US" w:eastAsia="zh-CN"/>
              </w:rPr>
              <w:t>6.6612</w:t>
            </w:r>
            <w:r>
              <w:rPr>
                <w:rFonts w:hint="eastAsia"/>
                <w:bCs/>
                <w:color w:val="auto"/>
                <w:sz w:val="24"/>
              </w:rPr>
              <w:t>t/d（</w:t>
            </w:r>
            <w:r>
              <w:rPr>
                <w:rFonts w:hint="eastAsia"/>
                <w:bCs/>
                <w:color w:val="auto"/>
                <w:sz w:val="24"/>
                <w:lang w:val="en-US" w:eastAsia="zh-CN"/>
              </w:rPr>
              <w:t>1998.36</w:t>
            </w:r>
            <w:r>
              <w:rPr>
                <w:rFonts w:hint="eastAsia"/>
                <w:bCs/>
                <w:color w:val="auto"/>
                <w:sz w:val="24"/>
              </w:rPr>
              <w:t>t/a），此类用水通过定期捞渣实现循环使用，减少更换频率，只需每半年更换1次，每次更换均为整槽更换，更换水量为0.0732t/d（21.96t/a），损耗率约10%，则废水产生量为0.0659t/d（19.76t/a），此类废水属于危险废物，定期交由有危险废物处理资质的单位处理。</w:t>
            </w:r>
          </w:p>
          <w:p w14:paraId="2C778413">
            <w:pPr>
              <w:adjustRightInd w:val="0"/>
              <w:snapToGrid w:val="0"/>
              <w:spacing w:line="360" w:lineRule="auto"/>
              <w:ind w:firstLine="482" w:firstLineChars="200"/>
              <w:rPr>
                <w:b/>
                <w:color w:val="auto"/>
                <w:sz w:val="24"/>
              </w:rPr>
            </w:pPr>
            <w:r>
              <w:rPr>
                <w:rFonts w:hint="eastAsia"/>
                <w:b/>
                <w:color w:val="auto"/>
                <w:sz w:val="24"/>
              </w:rPr>
              <w:t>1.3喷枪清洗废水</w:t>
            </w:r>
          </w:p>
          <w:p w14:paraId="00129B35">
            <w:pPr>
              <w:adjustRightInd w:val="0"/>
              <w:snapToGrid w:val="0"/>
              <w:spacing w:line="360" w:lineRule="auto"/>
              <w:ind w:firstLine="480" w:firstLineChars="200"/>
              <w:rPr>
                <w:bCs/>
                <w:color w:val="auto"/>
                <w:sz w:val="24"/>
              </w:rPr>
            </w:pPr>
            <w:r>
              <w:rPr>
                <w:rFonts w:hint="eastAsia"/>
                <w:bCs/>
                <w:color w:val="auto"/>
                <w:sz w:val="24"/>
              </w:rPr>
              <w:t>喷枪每日使用后需进行清洗，清洗用水量为0.00063t/d（0.188t/a），清洗过程损耗量约10%，则喷枪清洗废水产生量为0.00057t/d（0.169t/a），此类废水直接倒入水帘柜内进行二次利用，不另外处理。</w:t>
            </w:r>
          </w:p>
          <w:p w14:paraId="64D8EC9C">
            <w:pPr>
              <w:adjustRightInd w:val="0"/>
              <w:snapToGrid w:val="0"/>
              <w:spacing w:line="360" w:lineRule="auto"/>
              <w:ind w:firstLine="482" w:firstLineChars="200"/>
              <w:rPr>
                <w:b/>
                <w:color w:val="auto"/>
                <w:sz w:val="24"/>
              </w:rPr>
            </w:pPr>
            <w:r>
              <w:rPr>
                <w:rFonts w:hint="eastAsia"/>
                <w:b/>
                <w:color w:val="auto"/>
                <w:sz w:val="24"/>
              </w:rPr>
              <w:t>1.4</w:t>
            </w:r>
            <w:r>
              <w:rPr>
                <w:b/>
                <w:color w:val="auto"/>
                <w:sz w:val="24"/>
              </w:rPr>
              <w:t>生产废水</w:t>
            </w:r>
          </w:p>
          <w:p w14:paraId="70FA0AE4">
            <w:pPr>
              <w:pStyle w:val="43"/>
              <w:rPr>
                <w:color w:val="auto"/>
              </w:rPr>
            </w:pPr>
            <w:r>
              <w:rPr>
                <w:color w:val="auto"/>
              </w:rPr>
              <w:t>项目生产废水主要为前处理线</w:t>
            </w:r>
            <w:r>
              <w:rPr>
                <w:rFonts w:hint="eastAsia"/>
                <w:color w:val="auto"/>
              </w:rPr>
              <w:t>废水（</w:t>
            </w:r>
            <w:r>
              <w:rPr>
                <w:color w:val="auto"/>
              </w:rPr>
              <w:t>除油</w:t>
            </w:r>
            <w:r>
              <w:rPr>
                <w:rFonts w:hint="eastAsia"/>
                <w:color w:val="auto"/>
              </w:rPr>
              <w:t>废槽液</w:t>
            </w:r>
            <w:r>
              <w:rPr>
                <w:color w:val="auto"/>
              </w:rPr>
              <w:t>、除锈</w:t>
            </w:r>
            <w:r>
              <w:rPr>
                <w:rFonts w:hint="eastAsia"/>
                <w:color w:val="auto"/>
              </w:rPr>
              <w:t>废槽液</w:t>
            </w:r>
            <w:r>
              <w:rPr>
                <w:color w:val="auto"/>
              </w:rPr>
              <w:t>、脱脂</w:t>
            </w:r>
            <w:r>
              <w:rPr>
                <w:rFonts w:hint="eastAsia"/>
                <w:color w:val="auto"/>
              </w:rPr>
              <w:t>废槽液</w:t>
            </w:r>
            <w:r>
              <w:rPr>
                <w:color w:val="auto"/>
              </w:rPr>
              <w:t>、表调</w:t>
            </w:r>
            <w:r>
              <w:rPr>
                <w:rFonts w:hint="eastAsia"/>
                <w:color w:val="auto"/>
              </w:rPr>
              <w:t>废槽液</w:t>
            </w:r>
            <w:r>
              <w:rPr>
                <w:color w:val="auto"/>
              </w:rPr>
              <w:t>、清洗废水</w:t>
            </w:r>
            <w:r>
              <w:rPr>
                <w:rFonts w:hint="eastAsia"/>
                <w:color w:val="auto"/>
              </w:rPr>
              <w:t>）</w:t>
            </w:r>
            <w:r>
              <w:rPr>
                <w:color w:val="auto"/>
              </w:rPr>
              <w:t>、喷淋柜废水、喷淋塔废水、反冲洗废水。经过工程分析，项目生产废水量为</w:t>
            </w:r>
            <w:r>
              <w:rPr>
                <w:rFonts w:hint="eastAsia"/>
                <w:bCs/>
                <w:color w:val="auto"/>
              </w:rPr>
              <w:t>4.793</w:t>
            </w:r>
            <w:r>
              <w:rPr>
                <w:bCs/>
                <w:color w:val="auto"/>
              </w:rPr>
              <w:t>t/d</w:t>
            </w:r>
            <w:r>
              <w:rPr>
                <w:rFonts w:hint="eastAsia"/>
                <w:bCs/>
                <w:color w:val="auto"/>
              </w:rPr>
              <w:t xml:space="preserve">   </w:t>
            </w:r>
            <w:r>
              <w:rPr>
                <w:bCs/>
                <w:color w:val="auto"/>
              </w:rPr>
              <w:t>（</w:t>
            </w:r>
            <w:r>
              <w:rPr>
                <w:rFonts w:hint="eastAsia"/>
                <w:bCs/>
                <w:color w:val="auto"/>
              </w:rPr>
              <w:t>1437.886</w:t>
            </w:r>
            <w:r>
              <w:rPr>
                <w:bCs/>
                <w:color w:val="auto"/>
              </w:rPr>
              <w:t>t/a）</w:t>
            </w:r>
            <w:r>
              <w:rPr>
                <w:color w:val="auto"/>
                <w:kern w:val="0"/>
                <w:lang w:bidi="ar"/>
              </w:rPr>
              <w:t>，废水经过自建废水处理设施处理后回用。</w:t>
            </w:r>
          </w:p>
          <w:p w14:paraId="4380BBB9">
            <w:pPr>
              <w:adjustRightInd w:val="0"/>
              <w:snapToGrid w:val="0"/>
              <w:spacing w:line="360" w:lineRule="auto"/>
              <w:ind w:firstLine="482" w:firstLineChars="200"/>
              <w:rPr>
                <w:b/>
                <w:color w:val="auto"/>
                <w:sz w:val="24"/>
              </w:rPr>
            </w:pPr>
            <w:r>
              <w:rPr>
                <w:rFonts w:hint="eastAsia" w:ascii="宋体" w:hAnsi="宋体" w:cs="宋体"/>
                <w:b/>
                <w:color w:val="auto"/>
                <w:sz w:val="24"/>
              </w:rPr>
              <w:t>①前处理线废水</w:t>
            </w:r>
            <w:r>
              <w:rPr>
                <w:b/>
                <w:color w:val="auto"/>
                <w:sz w:val="24"/>
              </w:rPr>
              <w:t>水质类比分析</w:t>
            </w:r>
          </w:p>
          <w:p w14:paraId="3CAE7B74">
            <w:pPr>
              <w:adjustRightInd w:val="0"/>
              <w:snapToGrid w:val="0"/>
              <w:spacing w:line="360" w:lineRule="auto"/>
              <w:ind w:firstLine="480" w:firstLineChars="200"/>
              <w:rPr>
                <w:color w:val="auto"/>
                <w:sz w:val="24"/>
              </w:rPr>
            </w:pPr>
            <w:r>
              <w:rPr>
                <w:color w:val="auto"/>
                <w:sz w:val="24"/>
              </w:rPr>
              <w:t>项目</w:t>
            </w:r>
            <w:r>
              <w:rPr>
                <w:rFonts w:hint="eastAsia"/>
                <w:color w:val="auto"/>
                <w:sz w:val="24"/>
              </w:rPr>
              <w:t>前处理线废水</w:t>
            </w:r>
            <w:r>
              <w:rPr>
                <w:color w:val="auto"/>
                <w:sz w:val="24"/>
              </w:rPr>
              <w:t>污染物源强类比</w:t>
            </w:r>
            <w:r>
              <w:rPr>
                <w:rFonts w:hint="eastAsia"/>
                <w:color w:val="auto"/>
                <w:sz w:val="24"/>
                <w:highlight w:val="none"/>
                <w:lang w:eastAsia="zh-CN"/>
              </w:rPr>
              <w:t>《开平市众源机械设备有限公司金属表面处理新建项目竣工环境保护验收监测报告》（报告编号：CNT202104997</w:t>
            </w:r>
            <w:r>
              <w:rPr>
                <w:rFonts w:hint="eastAsia"/>
                <w:color w:val="auto"/>
                <w:sz w:val="24"/>
                <w:highlight w:val="none"/>
                <w:lang w:val="en-US" w:eastAsia="zh-CN"/>
              </w:rPr>
              <w:t>）（详见附件10）</w:t>
            </w:r>
            <w:r>
              <w:rPr>
                <w:rFonts w:hint="eastAsia"/>
                <w:color w:val="auto"/>
                <w:sz w:val="24"/>
                <w:highlight w:val="none"/>
                <w:lang w:eastAsia="zh-CN"/>
              </w:rPr>
              <w:t>、</w:t>
            </w:r>
            <w:r>
              <w:rPr>
                <w:rFonts w:hint="default"/>
                <w:color w:val="auto"/>
                <w:sz w:val="24"/>
                <w:lang w:val="en-US" w:eastAsia="zh-CN"/>
              </w:rPr>
              <w:t>《东莞市神辉金属制品有限公司环境污染源自行检测报告》</w:t>
            </w:r>
            <w:r>
              <w:rPr>
                <w:rFonts w:hint="eastAsia"/>
                <w:color w:val="auto"/>
                <w:sz w:val="24"/>
                <w:lang w:val="en-US" w:eastAsia="zh-CN"/>
              </w:rPr>
              <w:t>（报告编号：DQ-2022092308）（详见附件8）</w:t>
            </w:r>
            <w:r>
              <w:rPr>
                <w:rFonts w:hint="eastAsia"/>
                <w:color w:val="auto"/>
                <w:sz w:val="24"/>
              </w:rPr>
              <w:t>、《发斯特高端智能精密金属压铸结构件生产项目验收报告》（报告编号：YQH240809001）</w:t>
            </w:r>
            <w:r>
              <w:rPr>
                <w:rFonts w:hint="eastAsia"/>
                <w:color w:val="auto"/>
                <w:sz w:val="24"/>
                <w:lang w:eastAsia="zh-CN"/>
              </w:rPr>
              <w:t>（</w:t>
            </w:r>
            <w:r>
              <w:rPr>
                <w:rFonts w:hint="eastAsia"/>
                <w:color w:val="auto"/>
                <w:sz w:val="24"/>
                <w:lang w:val="en-US" w:eastAsia="zh-CN"/>
              </w:rPr>
              <w:t>详见附件9</w:t>
            </w:r>
            <w:r>
              <w:rPr>
                <w:rFonts w:hint="eastAsia"/>
                <w:color w:val="auto"/>
                <w:sz w:val="24"/>
                <w:lang w:eastAsia="zh-CN"/>
              </w:rPr>
              <w:t>）</w:t>
            </w:r>
            <w:r>
              <w:rPr>
                <w:rFonts w:hint="eastAsia"/>
                <w:color w:val="auto"/>
                <w:sz w:val="24"/>
              </w:rPr>
              <w:t>中除油、酸洗、表调、磷化及清洗等废水调节池</w:t>
            </w:r>
            <w:r>
              <w:rPr>
                <w:color w:val="auto"/>
                <w:sz w:val="24"/>
              </w:rPr>
              <w:t>的污染物浓度。可类比性分析结果见</w:t>
            </w:r>
            <w:r>
              <w:rPr>
                <w:rFonts w:hint="eastAsia"/>
                <w:color w:val="auto"/>
                <w:sz w:val="24"/>
              </w:rPr>
              <w:t>下</w:t>
            </w:r>
            <w:r>
              <w:rPr>
                <w:color w:val="auto"/>
                <w:sz w:val="24"/>
              </w:rPr>
              <w:t>表。</w:t>
            </w:r>
          </w:p>
          <w:p w14:paraId="0CC2E36A">
            <w:pPr>
              <w:pStyle w:val="77"/>
              <w:numPr>
                <w:ilvl w:val="0"/>
                <w:numId w:val="18"/>
              </w:numPr>
              <w:adjustRightInd w:val="0"/>
              <w:snapToGrid w:val="0"/>
              <w:jc w:val="center"/>
              <w:rPr>
                <w:b/>
                <w:bCs/>
                <w:color w:val="auto"/>
                <w:szCs w:val="21"/>
              </w:rPr>
            </w:pPr>
            <w:r>
              <w:rPr>
                <w:b/>
                <w:bCs/>
                <w:color w:val="auto"/>
                <w:szCs w:val="21"/>
              </w:rPr>
              <w:t>本项目生产废水源强与同类型生产企业可类比性分析</w:t>
            </w:r>
          </w:p>
          <w:tbl>
            <w:tblPr>
              <w:tblStyle w:val="36"/>
              <w:tblW w:w="10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692"/>
              <w:gridCol w:w="1800"/>
              <w:gridCol w:w="2642"/>
              <w:gridCol w:w="2033"/>
              <w:gridCol w:w="1482"/>
            </w:tblGrid>
            <w:tr w14:paraId="24C5C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14:paraId="2B9B1DEB">
                  <w:pPr>
                    <w:tabs>
                      <w:tab w:val="left" w:pos="1139"/>
                    </w:tabs>
                    <w:jc w:val="center"/>
                    <w:rPr>
                      <w:b/>
                      <w:bCs/>
                      <w:color w:val="auto"/>
                      <w:kern w:val="0"/>
                      <w:szCs w:val="21"/>
                    </w:rPr>
                  </w:pPr>
                  <w:r>
                    <w:rPr>
                      <w:b/>
                      <w:bCs/>
                      <w:color w:val="auto"/>
                      <w:kern w:val="0"/>
                      <w:szCs w:val="21"/>
                    </w:rPr>
                    <w:t>类别</w:t>
                  </w:r>
                </w:p>
              </w:tc>
              <w:tc>
                <w:tcPr>
                  <w:tcW w:w="814" w:type="pct"/>
                  <w:vAlign w:val="center"/>
                </w:tcPr>
                <w:p w14:paraId="78D793FD">
                  <w:pPr>
                    <w:tabs>
                      <w:tab w:val="left" w:pos="1139"/>
                    </w:tabs>
                    <w:jc w:val="center"/>
                    <w:rPr>
                      <w:b/>
                      <w:bCs/>
                      <w:color w:val="auto"/>
                      <w:kern w:val="0"/>
                      <w:szCs w:val="21"/>
                    </w:rPr>
                  </w:pPr>
                  <w:r>
                    <w:rPr>
                      <w:b/>
                      <w:bCs/>
                      <w:color w:val="auto"/>
                      <w:kern w:val="0"/>
                      <w:szCs w:val="21"/>
                    </w:rPr>
                    <w:t>开平市众源机械设备有限公司金属表面处理新建项目</w:t>
                  </w:r>
                </w:p>
              </w:tc>
              <w:tc>
                <w:tcPr>
                  <w:tcW w:w="866" w:type="pct"/>
                  <w:shd w:val="clear" w:color="auto" w:fill="auto"/>
                  <w:vAlign w:val="center"/>
                </w:tcPr>
                <w:p w14:paraId="664133D6">
                  <w:pPr>
                    <w:tabs>
                      <w:tab w:val="left" w:pos="1139"/>
                    </w:tabs>
                    <w:jc w:val="center"/>
                    <w:rPr>
                      <w:rFonts w:hint="default" w:ascii="Times New Roman" w:hAnsi="Times New Roman" w:eastAsia="宋体" w:cs="Times New Roman"/>
                      <w:b/>
                      <w:bCs/>
                      <w:color w:val="auto"/>
                      <w:kern w:val="0"/>
                      <w:sz w:val="21"/>
                      <w:szCs w:val="21"/>
                      <w:lang w:val="en-US" w:eastAsia="zh-CN" w:bidi="ar-SA"/>
                    </w:rPr>
                  </w:pPr>
                  <w:r>
                    <w:rPr>
                      <w:rFonts w:hint="default"/>
                      <w:b/>
                      <w:bCs/>
                      <w:color w:val="auto"/>
                      <w:kern w:val="0"/>
                      <w:szCs w:val="21"/>
                      <w:lang w:val="en-US" w:eastAsia="zh-CN"/>
                    </w:rPr>
                    <w:t>东莞市神辉金属制品有限公司</w:t>
                  </w:r>
                </w:p>
              </w:tc>
              <w:tc>
                <w:tcPr>
                  <w:tcW w:w="1272" w:type="pct"/>
                  <w:vAlign w:val="center"/>
                </w:tcPr>
                <w:p w14:paraId="3F6C2A6C">
                  <w:pPr>
                    <w:tabs>
                      <w:tab w:val="left" w:pos="1139"/>
                    </w:tabs>
                    <w:jc w:val="center"/>
                    <w:rPr>
                      <w:b/>
                      <w:bCs/>
                      <w:color w:val="auto"/>
                      <w:kern w:val="0"/>
                      <w:szCs w:val="21"/>
                    </w:rPr>
                  </w:pPr>
                  <w:r>
                    <w:rPr>
                      <w:rFonts w:hint="eastAsia"/>
                      <w:b/>
                      <w:bCs/>
                      <w:color w:val="auto"/>
                      <w:kern w:val="0"/>
                      <w:szCs w:val="21"/>
                    </w:rPr>
                    <w:t>发斯特高端智能精密金属压铸结构件生产项目</w:t>
                  </w:r>
                </w:p>
              </w:tc>
              <w:tc>
                <w:tcPr>
                  <w:tcW w:w="979" w:type="pct"/>
                  <w:vAlign w:val="center"/>
                </w:tcPr>
                <w:p w14:paraId="33A44DB3">
                  <w:pPr>
                    <w:tabs>
                      <w:tab w:val="left" w:pos="1139"/>
                    </w:tabs>
                    <w:jc w:val="center"/>
                    <w:rPr>
                      <w:b/>
                      <w:bCs/>
                      <w:color w:val="auto"/>
                      <w:kern w:val="0"/>
                      <w:szCs w:val="21"/>
                    </w:rPr>
                  </w:pPr>
                  <w:r>
                    <w:rPr>
                      <w:b/>
                      <w:bCs/>
                      <w:color w:val="auto"/>
                      <w:kern w:val="0"/>
                      <w:szCs w:val="21"/>
                    </w:rPr>
                    <w:t>本项目</w:t>
                  </w:r>
                </w:p>
              </w:tc>
              <w:tc>
                <w:tcPr>
                  <w:tcW w:w="713" w:type="pct"/>
                  <w:vAlign w:val="center"/>
                </w:tcPr>
                <w:p w14:paraId="41459083">
                  <w:pPr>
                    <w:tabs>
                      <w:tab w:val="left" w:pos="1139"/>
                    </w:tabs>
                    <w:jc w:val="center"/>
                    <w:rPr>
                      <w:b/>
                      <w:bCs/>
                      <w:color w:val="auto"/>
                      <w:kern w:val="0"/>
                      <w:szCs w:val="21"/>
                    </w:rPr>
                  </w:pPr>
                  <w:r>
                    <w:rPr>
                      <w:b/>
                      <w:bCs/>
                      <w:color w:val="auto"/>
                      <w:szCs w:val="21"/>
                    </w:rPr>
                    <w:t>类比结论</w:t>
                  </w:r>
                </w:p>
              </w:tc>
            </w:tr>
            <w:tr w14:paraId="322BF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14:paraId="63C84A71">
                  <w:pPr>
                    <w:tabs>
                      <w:tab w:val="left" w:pos="1139"/>
                    </w:tabs>
                    <w:jc w:val="center"/>
                    <w:rPr>
                      <w:color w:val="auto"/>
                      <w:kern w:val="0"/>
                      <w:szCs w:val="21"/>
                    </w:rPr>
                  </w:pPr>
                  <w:r>
                    <w:rPr>
                      <w:color w:val="auto"/>
                      <w:kern w:val="0"/>
                      <w:szCs w:val="21"/>
                    </w:rPr>
                    <w:t>产品</w:t>
                  </w:r>
                </w:p>
                <w:p w14:paraId="5336CB57">
                  <w:pPr>
                    <w:tabs>
                      <w:tab w:val="left" w:pos="1139"/>
                    </w:tabs>
                    <w:jc w:val="center"/>
                    <w:rPr>
                      <w:color w:val="auto"/>
                      <w:kern w:val="0"/>
                      <w:szCs w:val="21"/>
                    </w:rPr>
                  </w:pPr>
                  <w:r>
                    <w:rPr>
                      <w:color w:val="auto"/>
                      <w:kern w:val="0"/>
                      <w:szCs w:val="21"/>
                    </w:rPr>
                    <w:t>产能</w:t>
                  </w:r>
                </w:p>
              </w:tc>
              <w:tc>
                <w:tcPr>
                  <w:tcW w:w="814" w:type="pct"/>
                  <w:shd w:val="clear" w:color="auto" w:fill="auto"/>
                  <w:vAlign w:val="center"/>
                </w:tcPr>
                <w:p w14:paraId="009D7356">
                  <w:pPr>
                    <w:tabs>
                      <w:tab w:val="left" w:pos="1139"/>
                    </w:tabs>
                    <w:jc w:val="center"/>
                    <w:rPr>
                      <w:rFonts w:hint="default" w:ascii="Times New Roman" w:hAnsi="Times New Roman" w:eastAsia="宋体" w:cs="Times New Roman"/>
                      <w:color w:val="auto"/>
                      <w:kern w:val="0"/>
                      <w:sz w:val="21"/>
                      <w:szCs w:val="21"/>
                      <w:lang w:val="en-US" w:eastAsia="zh-CN" w:bidi="ar-SA"/>
                    </w:rPr>
                  </w:pPr>
                  <w:r>
                    <w:rPr>
                      <w:color w:val="auto"/>
                      <w:kern w:val="0"/>
                      <w:szCs w:val="21"/>
                    </w:rPr>
                    <w:t>铝合金、铁汽车配件</w:t>
                  </w:r>
                  <w:r>
                    <w:rPr>
                      <w:rFonts w:hint="eastAsia"/>
                      <w:color w:val="auto"/>
                      <w:kern w:val="0"/>
                      <w:szCs w:val="21"/>
                      <w:lang w:val="en-US" w:eastAsia="zh-CN"/>
                    </w:rPr>
                    <w:t>9420t/a</w:t>
                  </w:r>
                </w:p>
              </w:tc>
              <w:tc>
                <w:tcPr>
                  <w:tcW w:w="866" w:type="pct"/>
                  <w:shd w:val="clear" w:color="auto" w:fill="auto"/>
                  <w:vAlign w:val="center"/>
                </w:tcPr>
                <w:p w14:paraId="7818C051">
                  <w:pPr>
                    <w:tabs>
                      <w:tab w:val="left" w:pos="1139"/>
                    </w:tabs>
                    <w:jc w:val="both"/>
                    <w:rPr>
                      <w:rFonts w:hint="default" w:ascii="Times New Roman" w:hAnsi="Times New Roman" w:eastAsia="宋体" w:cs="Times New Roman"/>
                      <w:color w:val="auto"/>
                      <w:kern w:val="0"/>
                      <w:sz w:val="21"/>
                      <w:szCs w:val="21"/>
                      <w:lang w:val="en-US" w:eastAsia="zh-CN" w:bidi="ar-SA"/>
                    </w:rPr>
                  </w:pPr>
                  <w:r>
                    <w:rPr>
                      <w:rFonts w:hint="default"/>
                      <w:color w:val="auto"/>
                      <w:kern w:val="0"/>
                      <w:szCs w:val="21"/>
                      <w:lang w:val="en-US" w:eastAsia="zh-CN"/>
                    </w:rPr>
                    <w:t>年产五金制品50t/a，其中钣金件2万件（即40t/a）、铁板件</w:t>
                  </w:r>
                  <w:r>
                    <w:rPr>
                      <w:rFonts w:hint="eastAsia"/>
                      <w:color w:val="auto"/>
                      <w:kern w:val="0"/>
                      <w:szCs w:val="21"/>
                      <w:lang w:eastAsia="zh-CN"/>
                    </w:rPr>
                    <w:t>、</w:t>
                  </w:r>
                  <w:r>
                    <w:rPr>
                      <w:rFonts w:hint="default"/>
                      <w:color w:val="auto"/>
                      <w:kern w:val="0"/>
                      <w:szCs w:val="21"/>
                      <w:lang w:val="en-US" w:eastAsia="zh-CN"/>
                    </w:rPr>
                    <w:t>4万件（即4t/a）、铁管件3万件（即6t/a）</w:t>
                  </w:r>
                </w:p>
              </w:tc>
              <w:tc>
                <w:tcPr>
                  <w:tcW w:w="1272" w:type="pct"/>
                  <w:vAlign w:val="center"/>
                </w:tcPr>
                <w:p w14:paraId="71B10F57">
                  <w:pPr>
                    <w:tabs>
                      <w:tab w:val="left" w:pos="1139"/>
                    </w:tabs>
                    <w:jc w:val="both"/>
                    <w:rPr>
                      <w:color w:val="auto"/>
                      <w:kern w:val="0"/>
                      <w:szCs w:val="21"/>
                    </w:rPr>
                  </w:pPr>
                  <w:r>
                    <w:rPr>
                      <w:rFonts w:hint="eastAsia"/>
                      <w:color w:val="auto"/>
                      <w:kern w:val="0"/>
                      <w:szCs w:val="21"/>
                      <w:lang w:val="en-US" w:eastAsia="zh-CN"/>
                    </w:rPr>
                    <w:t xml:space="preserve">镁合金压铸件 516 万件、铝合金压铸件 4870 万件、锌合金压铸件 30 万件、五金配件 </w:t>
                  </w:r>
                  <w:r>
                    <w:rPr>
                      <w:rFonts w:hint="default"/>
                      <w:color w:val="auto"/>
                      <w:kern w:val="0"/>
                      <w:szCs w:val="21"/>
                      <w:lang w:val="en-US" w:eastAsia="zh-CN"/>
                    </w:rPr>
                    <w:t xml:space="preserve">40 </w:t>
                  </w:r>
                  <w:r>
                    <w:rPr>
                      <w:rFonts w:hint="eastAsia"/>
                      <w:color w:val="auto"/>
                      <w:kern w:val="0"/>
                      <w:szCs w:val="21"/>
                      <w:lang w:val="en-US" w:eastAsia="zh-CN"/>
                    </w:rPr>
                    <w:t>万件</w:t>
                  </w:r>
                </w:p>
              </w:tc>
              <w:tc>
                <w:tcPr>
                  <w:tcW w:w="979" w:type="pct"/>
                  <w:vAlign w:val="center"/>
                </w:tcPr>
                <w:p w14:paraId="30A66EA6">
                  <w:pPr>
                    <w:tabs>
                      <w:tab w:val="left" w:pos="1139"/>
                    </w:tabs>
                    <w:jc w:val="both"/>
                    <w:rPr>
                      <w:color w:val="auto"/>
                      <w:kern w:val="0"/>
                      <w:szCs w:val="21"/>
                    </w:rPr>
                  </w:pPr>
                  <w:r>
                    <w:rPr>
                      <w:color w:val="auto"/>
                      <w:kern w:val="0"/>
                      <w:szCs w:val="21"/>
                    </w:rPr>
                    <w:t>年产</w:t>
                  </w:r>
                  <w:r>
                    <w:rPr>
                      <w:rFonts w:hint="eastAsia"/>
                      <w:color w:val="auto"/>
                      <w:kern w:val="0"/>
                      <w:szCs w:val="21"/>
                    </w:rPr>
                    <w:t>自行车车架12.6万件</w:t>
                  </w:r>
                  <w:r>
                    <w:rPr>
                      <w:color w:val="auto"/>
                      <w:kern w:val="0"/>
                      <w:szCs w:val="21"/>
                    </w:rPr>
                    <w:t>（</w:t>
                  </w:r>
                  <w:r>
                    <w:rPr>
                      <w:rFonts w:hint="eastAsia"/>
                      <w:color w:val="auto"/>
                      <w:kern w:val="0"/>
                      <w:szCs w:val="21"/>
                    </w:rPr>
                    <w:t>513</w:t>
                  </w:r>
                  <w:r>
                    <w:rPr>
                      <w:color w:val="auto"/>
                      <w:kern w:val="0"/>
                      <w:szCs w:val="21"/>
                    </w:rPr>
                    <w:t>t）、</w:t>
                  </w:r>
                  <w:r>
                    <w:rPr>
                      <w:rFonts w:hint="eastAsia"/>
                      <w:color w:val="auto"/>
                      <w:kern w:val="0"/>
                      <w:szCs w:val="21"/>
                    </w:rPr>
                    <w:t>电动助力车车架12万件</w:t>
                  </w:r>
                  <w:r>
                    <w:rPr>
                      <w:color w:val="auto"/>
                      <w:kern w:val="0"/>
                      <w:szCs w:val="21"/>
                    </w:rPr>
                    <w:t>（</w:t>
                  </w:r>
                  <w:r>
                    <w:rPr>
                      <w:rFonts w:hint="eastAsia"/>
                      <w:color w:val="auto"/>
                      <w:kern w:val="0"/>
                      <w:szCs w:val="21"/>
                    </w:rPr>
                    <w:t>648</w:t>
                  </w:r>
                  <w:r>
                    <w:rPr>
                      <w:color w:val="auto"/>
                      <w:kern w:val="0"/>
                      <w:szCs w:val="21"/>
                    </w:rPr>
                    <w:t>t）、</w:t>
                  </w:r>
                  <w:r>
                    <w:rPr>
                      <w:rFonts w:hint="eastAsia"/>
                      <w:color w:val="auto"/>
                      <w:kern w:val="0"/>
                      <w:szCs w:val="21"/>
                    </w:rPr>
                    <w:t>家私配件11.4万件</w:t>
                  </w:r>
                  <w:r>
                    <w:rPr>
                      <w:color w:val="auto"/>
                      <w:kern w:val="0"/>
                      <w:szCs w:val="21"/>
                    </w:rPr>
                    <w:t>（</w:t>
                  </w:r>
                  <w:r>
                    <w:rPr>
                      <w:rFonts w:hint="eastAsia"/>
                      <w:color w:val="auto"/>
                      <w:kern w:val="0"/>
                      <w:szCs w:val="21"/>
                    </w:rPr>
                    <w:t>783</w:t>
                  </w:r>
                  <w:r>
                    <w:rPr>
                      <w:color w:val="auto"/>
                      <w:kern w:val="0"/>
                      <w:szCs w:val="21"/>
                    </w:rPr>
                    <w:t>t）</w:t>
                  </w:r>
                </w:p>
              </w:tc>
              <w:tc>
                <w:tcPr>
                  <w:tcW w:w="713" w:type="pct"/>
                  <w:vAlign w:val="center"/>
                </w:tcPr>
                <w:p w14:paraId="7BEF9B76">
                  <w:pPr>
                    <w:tabs>
                      <w:tab w:val="left" w:pos="1139"/>
                    </w:tabs>
                    <w:jc w:val="center"/>
                    <w:rPr>
                      <w:color w:val="auto"/>
                      <w:szCs w:val="21"/>
                    </w:rPr>
                  </w:pPr>
                  <w:r>
                    <w:rPr>
                      <w:rFonts w:hint="eastAsia"/>
                      <w:color w:val="auto"/>
                      <w:szCs w:val="21"/>
                    </w:rPr>
                    <w:t>均为金属制品</w:t>
                  </w:r>
                  <w:r>
                    <w:rPr>
                      <w:color w:val="auto"/>
                      <w:szCs w:val="21"/>
                    </w:rPr>
                    <w:t>表面处理加工，产能相近，可类比</w:t>
                  </w:r>
                </w:p>
              </w:tc>
            </w:tr>
            <w:tr w14:paraId="5A3B3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14:paraId="5AC20140">
                  <w:pPr>
                    <w:tabs>
                      <w:tab w:val="left" w:pos="1139"/>
                    </w:tabs>
                    <w:jc w:val="center"/>
                    <w:rPr>
                      <w:color w:val="auto"/>
                      <w:kern w:val="0"/>
                      <w:szCs w:val="21"/>
                    </w:rPr>
                  </w:pPr>
                  <w:r>
                    <w:rPr>
                      <w:color w:val="auto"/>
                      <w:kern w:val="0"/>
                      <w:szCs w:val="21"/>
                    </w:rPr>
                    <w:t>前处理工艺</w:t>
                  </w:r>
                </w:p>
              </w:tc>
              <w:tc>
                <w:tcPr>
                  <w:tcW w:w="814" w:type="pct"/>
                  <w:shd w:val="clear" w:color="auto" w:fill="auto"/>
                  <w:vAlign w:val="center"/>
                </w:tcPr>
                <w:p w14:paraId="5FB6DC19">
                  <w:pPr>
                    <w:tabs>
                      <w:tab w:val="left" w:pos="1139"/>
                    </w:tabs>
                    <w:jc w:val="center"/>
                    <w:rPr>
                      <w:rFonts w:ascii="Times New Roman" w:hAnsi="Times New Roman" w:eastAsia="宋体" w:cs="Times New Roman"/>
                      <w:color w:val="auto"/>
                      <w:kern w:val="0"/>
                      <w:sz w:val="21"/>
                      <w:szCs w:val="21"/>
                      <w:lang w:val="en-US" w:eastAsia="zh-CN" w:bidi="ar-SA"/>
                    </w:rPr>
                  </w:pPr>
                  <w:r>
                    <w:rPr>
                      <w:color w:val="auto"/>
                      <w:kern w:val="0"/>
                      <w:szCs w:val="21"/>
                    </w:rPr>
                    <w:t>除油</w:t>
                  </w:r>
                  <w:r>
                    <w:rPr>
                      <w:rFonts w:hint="eastAsia"/>
                      <w:color w:val="auto"/>
                      <w:kern w:val="0"/>
                      <w:szCs w:val="21"/>
                      <w:lang w:eastAsia="zh-CN"/>
                    </w:rPr>
                    <w:t>、</w:t>
                  </w:r>
                  <w:r>
                    <w:rPr>
                      <w:color w:val="auto"/>
                      <w:kern w:val="0"/>
                      <w:szCs w:val="21"/>
                    </w:rPr>
                    <w:t>酸洗</w:t>
                  </w:r>
                  <w:r>
                    <w:rPr>
                      <w:rFonts w:hint="eastAsia"/>
                      <w:color w:val="auto"/>
                      <w:kern w:val="0"/>
                      <w:szCs w:val="21"/>
                      <w:lang w:eastAsia="zh-CN"/>
                    </w:rPr>
                    <w:t>、</w:t>
                  </w:r>
                  <w:r>
                    <w:rPr>
                      <w:color w:val="auto"/>
                      <w:kern w:val="0"/>
                      <w:szCs w:val="21"/>
                    </w:rPr>
                    <w:t>中和</w:t>
                  </w:r>
                  <w:r>
                    <w:rPr>
                      <w:rFonts w:hint="eastAsia"/>
                      <w:color w:val="auto"/>
                      <w:kern w:val="0"/>
                      <w:szCs w:val="21"/>
                      <w:lang w:eastAsia="zh-CN"/>
                    </w:rPr>
                    <w:t>、</w:t>
                  </w:r>
                  <w:r>
                    <w:rPr>
                      <w:color w:val="auto"/>
                      <w:kern w:val="0"/>
                      <w:szCs w:val="21"/>
                    </w:rPr>
                    <w:t>表调</w:t>
                  </w:r>
                  <w:r>
                    <w:rPr>
                      <w:rFonts w:hint="eastAsia"/>
                      <w:color w:val="auto"/>
                      <w:kern w:val="0"/>
                      <w:szCs w:val="21"/>
                      <w:lang w:eastAsia="zh-CN"/>
                    </w:rPr>
                    <w:t>、</w:t>
                  </w:r>
                  <w:r>
                    <w:rPr>
                      <w:color w:val="auto"/>
                      <w:kern w:val="0"/>
                      <w:szCs w:val="21"/>
                    </w:rPr>
                    <w:t>磷化</w:t>
                  </w:r>
                </w:p>
              </w:tc>
              <w:tc>
                <w:tcPr>
                  <w:tcW w:w="866" w:type="pct"/>
                  <w:shd w:val="clear" w:color="auto" w:fill="auto"/>
                  <w:vAlign w:val="center"/>
                </w:tcPr>
                <w:p w14:paraId="14F36C3F">
                  <w:pPr>
                    <w:tabs>
                      <w:tab w:val="left" w:pos="1139"/>
                    </w:tabs>
                    <w:jc w:val="both"/>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采用除油、除锈、</w:t>
                  </w:r>
                  <w:r>
                    <w:rPr>
                      <w:rFonts w:hint="default"/>
                      <w:color w:val="auto"/>
                      <w:kern w:val="0"/>
                      <w:szCs w:val="21"/>
                    </w:rPr>
                    <w:t>中和</w:t>
                  </w:r>
                  <w:r>
                    <w:rPr>
                      <w:rFonts w:hint="eastAsia"/>
                      <w:color w:val="auto"/>
                      <w:kern w:val="0"/>
                      <w:szCs w:val="21"/>
                      <w:lang w:eastAsia="zh-CN"/>
                    </w:rPr>
                    <w:t>、</w:t>
                  </w:r>
                  <w:r>
                    <w:rPr>
                      <w:rFonts w:hint="default"/>
                      <w:color w:val="auto"/>
                      <w:kern w:val="0"/>
                      <w:szCs w:val="21"/>
                    </w:rPr>
                    <w:t>表调、磷化、水洗等表面处理工艺对</w:t>
                  </w:r>
                  <w:r>
                    <w:rPr>
                      <w:rFonts w:hint="eastAsia"/>
                      <w:color w:val="auto"/>
                      <w:kern w:val="0"/>
                      <w:szCs w:val="21"/>
                      <w:lang w:val="en-US" w:eastAsia="zh-CN"/>
                    </w:rPr>
                    <w:t>钢材</w:t>
                  </w:r>
                  <w:r>
                    <w:rPr>
                      <w:rFonts w:hint="default"/>
                      <w:color w:val="auto"/>
                      <w:kern w:val="0"/>
                      <w:szCs w:val="21"/>
                    </w:rPr>
                    <w:t>进行表面处理</w:t>
                  </w:r>
                </w:p>
              </w:tc>
              <w:tc>
                <w:tcPr>
                  <w:tcW w:w="1272" w:type="pct"/>
                  <w:vAlign w:val="center"/>
                </w:tcPr>
                <w:p w14:paraId="361BB17D">
                  <w:pPr>
                    <w:tabs>
                      <w:tab w:val="left" w:pos="1139"/>
                    </w:tabs>
                    <w:jc w:val="both"/>
                    <w:rPr>
                      <w:rFonts w:hint="eastAsia"/>
                      <w:color w:val="auto"/>
                      <w:kern w:val="0"/>
                      <w:szCs w:val="21"/>
                      <w:lang w:val="en-US" w:eastAsia="zh-CN"/>
                    </w:rPr>
                  </w:pPr>
                  <w:r>
                    <w:rPr>
                      <w:rFonts w:hint="eastAsia"/>
                      <w:color w:val="auto"/>
                      <w:kern w:val="0"/>
                      <w:szCs w:val="21"/>
                      <w:lang w:val="en-US" w:eastAsia="zh-CN"/>
                    </w:rPr>
                    <w:t>镁合金：脱脂、酸洗、水洗</w:t>
                  </w:r>
                </w:p>
                <w:p w14:paraId="0A865164">
                  <w:pPr>
                    <w:tabs>
                      <w:tab w:val="left" w:pos="1139"/>
                    </w:tabs>
                    <w:jc w:val="both"/>
                    <w:rPr>
                      <w:rFonts w:hint="eastAsia"/>
                      <w:color w:val="auto"/>
                      <w:kern w:val="0"/>
                      <w:szCs w:val="21"/>
                      <w:lang w:val="en-US" w:eastAsia="zh-CN"/>
                    </w:rPr>
                  </w:pPr>
                  <w:r>
                    <w:rPr>
                      <w:rFonts w:hint="eastAsia"/>
                      <w:color w:val="auto"/>
                      <w:kern w:val="0"/>
                      <w:szCs w:val="21"/>
                      <w:lang w:val="en-US" w:eastAsia="zh-CN"/>
                    </w:rPr>
                    <w:t>铝合金：脱脂、表调、磷化、水洗、电泳</w:t>
                  </w:r>
                </w:p>
                <w:p w14:paraId="68879923">
                  <w:pPr>
                    <w:tabs>
                      <w:tab w:val="left" w:pos="1139"/>
                    </w:tabs>
                    <w:jc w:val="both"/>
                    <w:rPr>
                      <w:rFonts w:hint="default"/>
                      <w:color w:val="auto"/>
                      <w:kern w:val="0"/>
                      <w:szCs w:val="21"/>
                      <w:lang w:val="en-US" w:eastAsia="zh-CN"/>
                    </w:rPr>
                  </w:pPr>
                  <w:r>
                    <w:rPr>
                      <w:rFonts w:hint="eastAsia"/>
                      <w:color w:val="auto"/>
                      <w:kern w:val="0"/>
                      <w:szCs w:val="21"/>
                      <w:lang w:val="en-US" w:eastAsia="zh-CN"/>
                    </w:rPr>
                    <w:t>五金配件：除油、酸洗、表调、磷化、清洗、电泳</w:t>
                  </w:r>
                </w:p>
              </w:tc>
              <w:tc>
                <w:tcPr>
                  <w:tcW w:w="979" w:type="pct"/>
                  <w:vAlign w:val="center"/>
                </w:tcPr>
                <w:p w14:paraId="5F74CFF7">
                  <w:pPr>
                    <w:tabs>
                      <w:tab w:val="left" w:pos="1139"/>
                    </w:tabs>
                    <w:jc w:val="both"/>
                    <w:rPr>
                      <w:color w:val="auto"/>
                      <w:kern w:val="0"/>
                      <w:szCs w:val="21"/>
                    </w:rPr>
                  </w:pPr>
                  <w:r>
                    <w:rPr>
                      <w:rFonts w:hint="eastAsia"/>
                      <w:color w:val="auto"/>
                      <w:kern w:val="0"/>
                      <w:szCs w:val="21"/>
                    </w:rPr>
                    <w:t>碳钢件：</w:t>
                  </w:r>
                  <w:r>
                    <w:rPr>
                      <w:color w:val="auto"/>
                      <w:szCs w:val="21"/>
                    </w:rPr>
                    <w:t>除油</w:t>
                  </w:r>
                  <w:r>
                    <w:rPr>
                      <w:rFonts w:hint="eastAsia"/>
                      <w:color w:val="auto"/>
                      <w:szCs w:val="21"/>
                      <w:lang w:eastAsia="zh-CN"/>
                    </w:rPr>
                    <w:t>、</w:t>
                  </w:r>
                  <w:r>
                    <w:rPr>
                      <w:rFonts w:hint="eastAsia"/>
                      <w:color w:val="auto"/>
                      <w:szCs w:val="21"/>
                      <w:lang w:val="en-US" w:eastAsia="zh-CN"/>
                    </w:rPr>
                    <w:t>除锈、表调、磷化、</w:t>
                  </w:r>
                  <w:r>
                    <w:rPr>
                      <w:rFonts w:hint="eastAsia"/>
                      <w:color w:val="auto"/>
                      <w:szCs w:val="21"/>
                    </w:rPr>
                    <w:t>清洗</w:t>
                  </w:r>
                </w:p>
                <w:p w14:paraId="1F5B227B">
                  <w:pPr>
                    <w:tabs>
                      <w:tab w:val="left" w:pos="1139"/>
                    </w:tabs>
                    <w:jc w:val="both"/>
                    <w:rPr>
                      <w:color w:val="auto"/>
                    </w:rPr>
                  </w:pPr>
                  <w:r>
                    <w:rPr>
                      <w:rFonts w:hint="eastAsia"/>
                      <w:color w:val="auto"/>
                      <w:kern w:val="0"/>
                      <w:szCs w:val="21"/>
                    </w:rPr>
                    <w:t>铝件：脱脂</w:t>
                  </w:r>
                  <w:r>
                    <w:rPr>
                      <w:rFonts w:hint="eastAsia"/>
                      <w:color w:val="auto"/>
                      <w:szCs w:val="21"/>
                      <w:lang w:eastAsia="zh-CN"/>
                    </w:rPr>
                    <w:t>、</w:t>
                  </w:r>
                  <w:r>
                    <w:rPr>
                      <w:color w:val="auto"/>
                      <w:szCs w:val="21"/>
                    </w:rPr>
                    <w:t>表调</w:t>
                  </w:r>
                  <w:r>
                    <w:rPr>
                      <w:rFonts w:hint="eastAsia"/>
                      <w:color w:val="auto"/>
                      <w:szCs w:val="21"/>
                      <w:lang w:eastAsia="zh-CN"/>
                    </w:rPr>
                    <w:t>、</w:t>
                  </w:r>
                  <w:r>
                    <w:rPr>
                      <w:color w:val="auto"/>
                      <w:szCs w:val="21"/>
                    </w:rPr>
                    <w:t>磷化</w:t>
                  </w:r>
                  <w:r>
                    <w:rPr>
                      <w:rFonts w:hint="eastAsia"/>
                      <w:color w:val="auto"/>
                      <w:szCs w:val="21"/>
                      <w:lang w:eastAsia="zh-CN"/>
                    </w:rPr>
                    <w:t>、</w:t>
                  </w:r>
                  <w:r>
                    <w:rPr>
                      <w:rFonts w:hint="eastAsia"/>
                      <w:color w:val="auto"/>
                      <w:szCs w:val="21"/>
                    </w:rPr>
                    <w:t>清洗</w:t>
                  </w:r>
                </w:p>
              </w:tc>
              <w:tc>
                <w:tcPr>
                  <w:tcW w:w="713" w:type="pct"/>
                  <w:vAlign w:val="center"/>
                </w:tcPr>
                <w:p w14:paraId="064683CE">
                  <w:pPr>
                    <w:tabs>
                      <w:tab w:val="left" w:pos="1139"/>
                    </w:tabs>
                    <w:jc w:val="center"/>
                    <w:rPr>
                      <w:color w:val="auto"/>
                      <w:szCs w:val="21"/>
                    </w:rPr>
                  </w:pPr>
                  <w:r>
                    <w:rPr>
                      <w:color w:val="auto"/>
                      <w:szCs w:val="21"/>
                    </w:rPr>
                    <w:t>工艺大致相同，可类比</w:t>
                  </w:r>
                </w:p>
              </w:tc>
            </w:tr>
            <w:tr w14:paraId="7757C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14:paraId="3953BE20">
                  <w:pPr>
                    <w:tabs>
                      <w:tab w:val="left" w:pos="1139"/>
                    </w:tabs>
                    <w:jc w:val="center"/>
                    <w:rPr>
                      <w:color w:val="auto"/>
                      <w:kern w:val="0"/>
                      <w:szCs w:val="21"/>
                    </w:rPr>
                  </w:pPr>
                  <w:r>
                    <w:rPr>
                      <w:color w:val="auto"/>
                      <w:kern w:val="0"/>
                      <w:szCs w:val="21"/>
                    </w:rPr>
                    <w:t>原辅</w:t>
                  </w:r>
                </w:p>
                <w:p w14:paraId="2C7B7EEA">
                  <w:pPr>
                    <w:tabs>
                      <w:tab w:val="left" w:pos="1139"/>
                    </w:tabs>
                    <w:jc w:val="center"/>
                    <w:rPr>
                      <w:color w:val="auto"/>
                      <w:kern w:val="0"/>
                      <w:szCs w:val="21"/>
                    </w:rPr>
                  </w:pPr>
                  <w:r>
                    <w:rPr>
                      <w:color w:val="auto"/>
                      <w:kern w:val="0"/>
                      <w:szCs w:val="21"/>
                    </w:rPr>
                    <w:t>材料</w:t>
                  </w:r>
                </w:p>
              </w:tc>
              <w:tc>
                <w:tcPr>
                  <w:tcW w:w="814" w:type="pct"/>
                  <w:shd w:val="clear" w:color="auto" w:fill="auto"/>
                  <w:vAlign w:val="center"/>
                </w:tcPr>
                <w:p w14:paraId="18C0A516">
                  <w:pPr>
                    <w:tabs>
                      <w:tab w:val="left" w:pos="1139"/>
                    </w:tabs>
                    <w:jc w:val="center"/>
                    <w:rPr>
                      <w:rFonts w:ascii="Times New Roman" w:hAnsi="Times New Roman" w:eastAsia="宋体" w:cs="Times New Roman"/>
                      <w:color w:val="auto"/>
                      <w:kern w:val="0"/>
                      <w:sz w:val="21"/>
                      <w:szCs w:val="21"/>
                      <w:lang w:val="en-US" w:eastAsia="zh-CN" w:bidi="ar-SA"/>
                    </w:rPr>
                  </w:pPr>
                  <w:r>
                    <w:rPr>
                      <w:color w:val="auto"/>
                      <w:kern w:val="0"/>
                      <w:szCs w:val="21"/>
                    </w:rPr>
                    <w:t>铁件、</w:t>
                  </w:r>
                  <w:r>
                    <w:rPr>
                      <w:color w:val="auto"/>
                    </w:rPr>
                    <w:t>无磷促进剂、除油助剂、表调剂、磷化剂、促进剂、碳酸钠、除锈剂、盐酸</w:t>
                  </w:r>
                </w:p>
              </w:tc>
              <w:tc>
                <w:tcPr>
                  <w:tcW w:w="866" w:type="pct"/>
                  <w:shd w:val="clear" w:color="auto" w:fill="auto"/>
                  <w:vAlign w:val="center"/>
                </w:tcPr>
                <w:p w14:paraId="7BC284A0">
                  <w:pPr>
                    <w:tabs>
                      <w:tab w:val="left" w:pos="1139"/>
                    </w:tabs>
                    <w:jc w:val="both"/>
                    <w:rPr>
                      <w:rFonts w:hint="default" w:ascii="Times New Roman" w:hAnsi="Times New Roman" w:eastAsia="宋体" w:cs="Times New Roman"/>
                      <w:color w:val="auto"/>
                      <w:kern w:val="0"/>
                      <w:sz w:val="21"/>
                      <w:szCs w:val="21"/>
                      <w:lang w:val="en-US" w:eastAsia="zh-CN" w:bidi="ar-SA"/>
                    </w:rPr>
                  </w:pPr>
                  <w:r>
                    <w:rPr>
                      <w:rFonts w:hint="default"/>
                      <w:color w:val="auto"/>
                      <w:kern w:val="0"/>
                      <w:szCs w:val="21"/>
                      <w:lang w:val="en-US" w:eastAsia="zh-CN"/>
                    </w:rPr>
                    <w:t>钢材、</w:t>
                  </w:r>
                  <w:r>
                    <w:rPr>
                      <w:rFonts w:hint="eastAsia"/>
                      <w:color w:val="auto"/>
                      <w:kern w:val="0"/>
                      <w:szCs w:val="21"/>
                      <w:lang w:val="en-US" w:eastAsia="zh-CN"/>
                    </w:rPr>
                    <w:t>除油剂、</w:t>
                  </w:r>
                  <w:r>
                    <w:rPr>
                      <w:rFonts w:hint="default"/>
                      <w:color w:val="auto"/>
                      <w:kern w:val="0"/>
                      <w:szCs w:val="21"/>
                      <w:lang w:val="en-US" w:eastAsia="zh-CN"/>
                    </w:rPr>
                    <w:t>除锈剂（</w:t>
                  </w:r>
                  <w:r>
                    <w:rPr>
                      <w:rFonts w:hint="eastAsia"/>
                      <w:color w:val="auto"/>
                      <w:kern w:val="0"/>
                      <w:szCs w:val="21"/>
                      <w:lang w:val="en-US" w:eastAsia="zh-CN"/>
                    </w:rPr>
                    <w:t>即</w:t>
                  </w:r>
                  <w:r>
                    <w:rPr>
                      <w:rFonts w:hint="default"/>
                      <w:color w:val="auto"/>
                      <w:kern w:val="0"/>
                      <w:szCs w:val="21"/>
                      <w:lang w:val="en-US" w:eastAsia="zh-CN"/>
                    </w:rPr>
                    <w:t>37%盐酸）、磷化剂、</w:t>
                  </w:r>
                  <w:r>
                    <w:rPr>
                      <w:rFonts w:hint="default"/>
                      <w:color w:val="auto"/>
                      <w:kern w:val="0"/>
                      <w:szCs w:val="21"/>
                    </w:rPr>
                    <w:t>表调剂</w:t>
                  </w:r>
                  <w:r>
                    <w:rPr>
                      <w:rFonts w:hint="default"/>
                      <w:color w:val="auto"/>
                      <w:kern w:val="0"/>
                      <w:szCs w:val="21"/>
                      <w:lang w:eastAsia="zh-CN"/>
                    </w:rPr>
                    <w:t>、</w:t>
                  </w:r>
                  <w:r>
                    <w:rPr>
                      <w:rFonts w:hint="default"/>
                      <w:color w:val="auto"/>
                      <w:kern w:val="0"/>
                      <w:szCs w:val="21"/>
                      <w:lang w:val="en-US" w:eastAsia="zh-CN"/>
                    </w:rPr>
                    <w:t>中和剂等</w:t>
                  </w:r>
                </w:p>
              </w:tc>
              <w:tc>
                <w:tcPr>
                  <w:tcW w:w="1272" w:type="pct"/>
                  <w:vAlign w:val="center"/>
                </w:tcPr>
                <w:p w14:paraId="1567AB6C">
                  <w:pPr>
                    <w:tabs>
                      <w:tab w:val="left" w:pos="1139"/>
                    </w:tabs>
                    <w:jc w:val="both"/>
                    <w:rPr>
                      <w:color w:val="auto"/>
                    </w:rPr>
                  </w:pPr>
                  <w:r>
                    <w:rPr>
                      <w:rFonts w:hint="eastAsia"/>
                      <w:color w:val="auto"/>
                    </w:rPr>
                    <w:t>脱脂粉（主要成</w:t>
                  </w:r>
                </w:p>
                <w:p w14:paraId="45280801">
                  <w:pPr>
                    <w:tabs>
                      <w:tab w:val="left" w:pos="1139"/>
                    </w:tabs>
                    <w:jc w:val="both"/>
                    <w:rPr>
                      <w:color w:val="auto"/>
                    </w:rPr>
                  </w:pPr>
                  <w:r>
                    <w:rPr>
                      <w:rFonts w:hint="eastAsia"/>
                      <w:color w:val="auto"/>
                    </w:rPr>
                    <w:t>分为表面活性剂、纯碱等）、</w:t>
                  </w:r>
                  <w:r>
                    <w:rPr>
                      <w:rFonts w:hint="eastAsia"/>
                      <w:color w:val="auto"/>
                      <w:lang w:val="en-US" w:eastAsia="zh-CN"/>
                    </w:rPr>
                    <w:t>盐酸、硫酸、</w:t>
                  </w:r>
                  <w:r>
                    <w:rPr>
                      <w:rFonts w:hint="eastAsia"/>
                      <w:color w:val="auto"/>
                    </w:rPr>
                    <w:t>表调剂、磷化剂、电泳漆</w:t>
                  </w:r>
                </w:p>
              </w:tc>
              <w:tc>
                <w:tcPr>
                  <w:tcW w:w="979" w:type="pct"/>
                  <w:vAlign w:val="center"/>
                </w:tcPr>
                <w:p w14:paraId="2BC7E9ED">
                  <w:pPr>
                    <w:tabs>
                      <w:tab w:val="left" w:pos="1139"/>
                    </w:tabs>
                    <w:jc w:val="both"/>
                    <w:rPr>
                      <w:color w:val="auto"/>
                      <w:kern w:val="0"/>
                      <w:szCs w:val="21"/>
                    </w:rPr>
                  </w:pPr>
                  <w:r>
                    <w:rPr>
                      <w:rFonts w:hint="eastAsia"/>
                      <w:color w:val="auto"/>
                    </w:rPr>
                    <w:t>自行车车架</w:t>
                  </w:r>
                  <w:r>
                    <w:rPr>
                      <w:color w:val="auto"/>
                      <w:szCs w:val="21"/>
                    </w:rPr>
                    <w:t>、</w:t>
                  </w:r>
                  <w:r>
                    <w:rPr>
                      <w:rFonts w:hint="eastAsia"/>
                      <w:color w:val="auto"/>
                      <w:szCs w:val="21"/>
                    </w:rPr>
                    <w:t>电动助力车车架、家私配件、</w:t>
                  </w:r>
                  <w:r>
                    <w:rPr>
                      <w:color w:val="auto"/>
                      <w:szCs w:val="21"/>
                    </w:rPr>
                    <w:t>除油粉、硫酸、</w:t>
                  </w:r>
                  <w:r>
                    <w:rPr>
                      <w:rFonts w:hint="eastAsia"/>
                      <w:color w:val="auto"/>
                      <w:szCs w:val="21"/>
                    </w:rPr>
                    <w:t>脱脂剂、</w:t>
                  </w:r>
                  <w:r>
                    <w:rPr>
                      <w:color w:val="auto"/>
                      <w:szCs w:val="21"/>
                    </w:rPr>
                    <w:t>表调剂、磷化剂、促进剂</w:t>
                  </w:r>
                </w:p>
              </w:tc>
              <w:tc>
                <w:tcPr>
                  <w:tcW w:w="713" w:type="pct"/>
                  <w:vAlign w:val="center"/>
                </w:tcPr>
                <w:p w14:paraId="2F660197">
                  <w:pPr>
                    <w:tabs>
                      <w:tab w:val="left" w:pos="1139"/>
                    </w:tabs>
                    <w:jc w:val="center"/>
                    <w:rPr>
                      <w:color w:val="auto"/>
                      <w:szCs w:val="21"/>
                    </w:rPr>
                  </w:pPr>
                  <w:r>
                    <w:rPr>
                      <w:color w:val="auto"/>
                      <w:szCs w:val="21"/>
                    </w:rPr>
                    <w:t>原辅材料相似，可类比</w:t>
                  </w:r>
                </w:p>
              </w:tc>
            </w:tr>
            <w:tr w14:paraId="7D9EE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vAlign w:val="center"/>
                </w:tcPr>
                <w:p w14:paraId="7FB6E5DD">
                  <w:pPr>
                    <w:tabs>
                      <w:tab w:val="left" w:pos="1139"/>
                    </w:tabs>
                    <w:jc w:val="center"/>
                    <w:rPr>
                      <w:color w:val="auto"/>
                      <w:kern w:val="0"/>
                      <w:szCs w:val="21"/>
                    </w:rPr>
                  </w:pPr>
                  <w:r>
                    <w:rPr>
                      <w:color w:val="auto"/>
                      <w:kern w:val="0"/>
                      <w:szCs w:val="21"/>
                    </w:rPr>
                    <w:t>废水</w:t>
                  </w:r>
                </w:p>
                <w:p w14:paraId="7D349947">
                  <w:pPr>
                    <w:tabs>
                      <w:tab w:val="left" w:pos="1139"/>
                    </w:tabs>
                    <w:jc w:val="center"/>
                    <w:rPr>
                      <w:color w:val="auto"/>
                      <w:kern w:val="0"/>
                      <w:szCs w:val="21"/>
                    </w:rPr>
                  </w:pPr>
                  <w:r>
                    <w:rPr>
                      <w:color w:val="auto"/>
                      <w:kern w:val="0"/>
                      <w:szCs w:val="21"/>
                    </w:rPr>
                    <w:t>种类</w:t>
                  </w:r>
                </w:p>
              </w:tc>
              <w:tc>
                <w:tcPr>
                  <w:tcW w:w="814" w:type="pct"/>
                  <w:shd w:val="clear" w:color="auto" w:fill="auto"/>
                  <w:vAlign w:val="center"/>
                </w:tcPr>
                <w:p w14:paraId="65E926B6">
                  <w:pPr>
                    <w:tabs>
                      <w:tab w:val="left" w:pos="1139"/>
                    </w:tabs>
                    <w:jc w:val="center"/>
                    <w:rPr>
                      <w:rFonts w:hint="default" w:ascii="Times New Roman" w:hAnsi="Times New Roman" w:eastAsia="宋体" w:cs="Times New Roman"/>
                      <w:color w:val="auto"/>
                      <w:kern w:val="0"/>
                      <w:sz w:val="21"/>
                      <w:szCs w:val="21"/>
                      <w:lang w:val="en-US" w:eastAsia="zh-CN" w:bidi="ar-SA"/>
                    </w:rPr>
                  </w:pPr>
                  <w:r>
                    <w:rPr>
                      <w:color w:val="auto"/>
                      <w:szCs w:val="21"/>
                    </w:rPr>
                    <w:t>除油废液、酸洗废液、中和废液、表调废液、磷化废液、清洗废水</w:t>
                  </w:r>
                </w:p>
              </w:tc>
              <w:tc>
                <w:tcPr>
                  <w:tcW w:w="866" w:type="pct"/>
                  <w:shd w:val="clear" w:color="auto" w:fill="auto"/>
                  <w:vAlign w:val="center"/>
                </w:tcPr>
                <w:p w14:paraId="77205417">
                  <w:pPr>
                    <w:tabs>
                      <w:tab w:val="left" w:pos="1139"/>
                    </w:tabs>
                    <w:jc w:val="both"/>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除油废水、酸洗磷化废水、有机废水</w:t>
                  </w:r>
                </w:p>
              </w:tc>
              <w:tc>
                <w:tcPr>
                  <w:tcW w:w="1272" w:type="pct"/>
                  <w:vAlign w:val="center"/>
                </w:tcPr>
                <w:p w14:paraId="6F2D82A3">
                  <w:pPr>
                    <w:tabs>
                      <w:tab w:val="left" w:pos="1139"/>
                    </w:tabs>
                    <w:jc w:val="both"/>
                    <w:rPr>
                      <w:color w:val="auto"/>
                    </w:rPr>
                  </w:pPr>
                  <w:r>
                    <w:rPr>
                      <w:rFonts w:hint="eastAsia"/>
                      <w:color w:val="auto"/>
                    </w:rPr>
                    <w:t>除油废液、酸洗废液、表调废液、清洗废水、电泳废水</w:t>
                  </w:r>
                </w:p>
              </w:tc>
              <w:tc>
                <w:tcPr>
                  <w:tcW w:w="979" w:type="pct"/>
                  <w:vAlign w:val="center"/>
                </w:tcPr>
                <w:p w14:paraId="3FF988FF">
                  <w:pPr>
                    <w:tabs>
                      <w:tab w:val="left" w:pos="1139"/>
                    </w:tabs>
                    <w:jc w:val="both"/>
                    <w:rPr>
                      <w:color w:val="auto"/>
                      <w:szCs w:val="21"/>
                    </w:rPr>
                  </w:pPr>
                  <w:r>
                    <w:rPr>
                      <w:rFonts w:hint="eastAsia"/>
                      <w:color w:val="auto"/>
                    </w:rPr>
                    <w:t>除油</w:t>
                  </w:r>
                  <w:r>
                    <w:rPr>
                      <w:color w:val="auto"/>
                      <w:szCs w:val="21"/>
                    </w:rPr>
                    <w:t>废液</w:t>
                  </w:r>
                  <w:r>
                    <w:rPr>
                      <w:rFonts w:hint="eastAsia"/>
                      <w:color w:val="auto"/>
                    </w:rPr>
                    <w:t>、除锈</w:t>
                  </w:r>
                  <w:r>
                    <w:rPr>
                      <w:color w:val="auto"/>
                      <w:szCs w:val="21"/>
                    </w:rPr>
                    <w:t>废液</w:t>
                  </w:r>
                  <w:r>
                    <w:rPr>
                      <w:rFonts w:hint="eastAsia"/>
                      <w:color w:val="auto"/>
                    </w:rPr>
                    <w:t>、脱脂</w:t>
                  </w:r>
                  <w:r>
                    <w:rPr>
                      <w:color w:val="auto"/>
                      <w:szCs w:val="21"/>
                    </w:rPr>
                    <w:t>废液</w:t>
                  </w:r>
                  <w:r>
                    <w:rPr>
                      <w:rFonts w:hint="eastAsia"/>
                      <w:color w:val="auto"/>
                    </w:rPr>
                    <w:t>、表调</w:t>
                  </w:r>
                  <w:r>
                    <w:rPr>
                      <w:color w:val="auto"/>
                      <w:szCs w:val="21"/>
                    </w:rPr>
                    <w:t>废液</w:t>
                  </w:r>
                  <w:r>
                    <w:rPr>
                      <w:color w:val="auto"/>
                    </w:rPr>
                    <w:t>、清洗废水</w:t>
                  </w:r>
                </w:p>
              </w:tc>
              <w:tc>
                <w:tcPr>
                  <w:tcW w:w="713" w:type="pct"/>
                  <w:vAlign w:val="center"/>
                </w:tcPr>
                <w:p w14:paraId="63097A1F">
                  <w:pPr>
                    <w:tabs>
                      <w:tab w:val="left" w:pos="1139"/>
                    </w:tabs>
                    <w:jc w:val="center"/>
                    <w:rPr>
                      <w:color w:val="auto"/>
                      <w:szCs w:val="21"/>
                    </w:rPr>
                  </w:pPr>
                  <w:r>
                    <w:rPr>
                      <w:rFonts w:hint="eastAsia"/>
                      <w:color w:val="auto"/>
                      <w:szCs w:val="21"/>
                    </w:rPr>
                    <w:t>其他</w:t>
                  </w:r>
                  <w:r>
                    <w:rPr>
                      <w:color w:val="auto"/>
                      <w:szCs w:val="21"/>
                    </w:rPr>
                    <w:t>废水种类相似，可类比</w:t>
                  </w:r>
                </w:p>
              </w:tc>
            </w:tr>
          </w:tbl>
          <w:p w14:paraId="6A241921">
            <w:pPr>
              <w:pStyle w:val="77"/>
              <w:adjustRightInd w:val="0"/>
              <w:snapToGrid w:val="0"/>
              <w:rPr>
                <w:b/>
                <w:bCs/>
                <w:color w:val="auto"/>
                <w:szCs w:val="21"/>
              </w:rPr>
            </w:pPr>
          </w:p>
          <w:p w14:paraId="189E224A">
            <w:pPr>
              <w:pStyle w:val="77"/>
              <w:numPr>
                <w:ilvl w:val="0"/>
                <w:numId w:val="18"/>
              </w:numPr>
              <w:adjustRightInd w:val="0"/>
              <w:snapToGrid w:val="0"/>
              <w:jc w:val="center"/>
              <w:rPr>
                <w:b/>
                <w:bCs/>
                <w:color w:val="auto"/>
                <w:szCs w:val="21"/>
              </w:rPr>
            </w:pPr>
            <w:r>
              <w:rPr>
                <w:b/>
                <w:bCs/>
                <w:color w:val="auto"/>
                <w:szCs w:val="21"/>
              </w:rPr>
              <w:t>水质类比情况一览表（单位：mg/L，pH除外）</w:t>
            </w:r>
          </w:p>
          <w:tbl>
            <w:tblPr>
              <w:tblStyle w:val="3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4"/>
              <w:gridCol w:w="2952"/>
              <w:gridCol w:w="2952"/>
              <w:gridCol w:w="2952"/>
            </w:tblGrid>
            <w:tr w14:paraId="3B5A5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05963FF0">
                  <w:pPr>
                    <w:widowControl/>
                    <w:autoSpaceDE w:val="0"/>
                    <w:autoSpaceDN w:val="0"/>
                    <w:adjustRightInd w:val="0"/>
                    <w:snapToGrid w:val="0"/>
                    <w:jc w:val="center"/>
                    <w:rPr>
                      <w:b/>
                      <w:color w:val="auto"/>
                      <w:szCs w:val="21"/>
                    </w:rPr>
                  </w:pPr>
                  <w:r>
                    <w:rPr>
                      <w:b/>
                      <w:color w:val="auto"/>
                      <w:szCs w:val="21"/>
                    </w:rPr>
                    <w:t>污染物指标</w:t>
                  </w:r>
                </w:p>
              </w:tc>
              <w:tc>
                <w:tcPr>
                  <w:tcW w:w="2952" w:type="dxa"/>
                  <w:shd w:val="clear" w:color="auto" w:fill="auto"/>
                  <w:vAlign w:val="center"/>
                </w:tcPr>
                <w:p w14:paraId="02B2D516">
                  <w:pPr>
                    <w:tabs>
                      <w:tab w:val="left" w:pos="1139"/>
                    </w:tabs>
                    <w:jc w:val="center"/>
                    <w:rPr>
                      <w:rFonts w:hint="eastAsia" w:ascii="Times New Roman" w:hAnsi="Times New Roman" w:eastAsia="宋体" w:cs="Times New Roman"/>
                      <w:b/>
                      <w:bCs/>
                      <w:color w:val="auto"/>
                      <w:kern w:val="0"/>
                      <w:sz w:val="21"/>
                      <w:szCs w:val="21"/>
                      <w:lang w:val="en-US" w:eastAsia="zh-CN" w:bidi="ar-SA"/>
                    </w:rPr>
                  </w:pPr>
                  <w:r>
                    <w:rPr>
                      <w:b/>
                      <w:bCs/>
                      <w:color w:val="auto"/>
                      <w:kern w:val="0"/>
                      <w:szCs w:val="21"/>
                    </w:rPr>
                    <w:t>开平市众源机械设备有限公司金属表面处理新建项目竣工环境保护验收监测报告（报告编号：CNT202104997</w:t>
                  </w:r>
                  <w:r>
                    <w:rPr>
                      <w:rFonts w:hint="eastAsia"/>
                      <w:b/>
                      <w:bCs/>
                      <w:color w:val="auto"/>
                      <w:kern w:val="0"/>
                      <w:szCs w:val="21"/>
                      <w:lang w:eastAsia="zh-CN"/>
                    </w:rPr>
                    <w:t>）</w:t>
                  </w:r>
                </w:p>
              </w:tc>
              <w:tc>
                <w:tcPr>
                  <w:tcW w:w="2952" w:type="dxa"/>
                  <w:vAlign w:val="center"/>
                </w:tcPr>
                <w:p w14:paraId="036B3CE0">
                  <w:pPr>
                    <w:tabs>
                      <w:tab w:val="left" w:pos="1139"/>
                    </w:tabs>
                    <w:jc w:val="center"/>
                    <w:rPr>
                      <w:b/>
                      <w:bCs/>
                      <w:color w:val="auto"/>
                      <w:kern w:val="0"/>
                      <w:szCs w:val="21"/>
                    </w:rPr>
                  </w:pPr>
                  <w:r>
                    <w:rPr>
                      <w:rFonts w:hint="default"/>
                      <w:b/>
                      <w:bCs/>
                      <w:color w:val="auto"/>
                      <w:kern w:val="0"/>
                      <w:szCs w:val="21"/>
                      <w:lang w:val="en-US" w:eastAsia="zh-CN"/>
                    </w:rPr>
                    <w:t>东莞市神辉金属制品有限公司</w:t>
                  </w:r>
                  <w:r>
                    <w:rPr>
                      <w:rFonts w:hint="eastAsia"/>
                      <w:b/>
                      <w:bCs/>
                      <w:color w:val="auto"/>
                      <w:kern w:val="0"/>
                      <w:szCs w:val="21"/>
                      <w:lang w:val="en-US" w:eastAsia="zh-CN"/>
                    </w:rPr>
                    <w:t>环境污染源自行检测报告（报告编号：DQ-2022092308）</w:t>
                  </w:r>
                </w:p>
              </w:tc>
              <w:tc>
                <w:tcPr>
                  <w:tcW w:w="2952" w:type="dxa"/>
                  <w:vAlign w:val="center"/>
                </w:tcPr>
                <w:p w14:paraId="440B1C17">
                  <w:pPr>
                    <w:tabs>
                      <w:tab w:val="left" w:pos="1139"/>
                    </w:tabs>
                    <w:jc w:val="center"/>
                    <w:rPr>
                      <w:b/>
                      <w:bCs/>
                      <w:color w:val="auto"/>
                      <w:kern w:val="0"/>
                      <w:szCs w:val="21"/>
                    </w:rPr>
                  </w:pPr>
                  <w:r>
                    <w:rPr>
                      <w:rFonts w:hint="eastAsia"/>
                      <w:b/>
                      <w:bCs/>
                      <w:color w:val="auto"/>
                      <w:kern w:val="0"/>
                      <w:szCs w:val="21"/>
                    </w:rPr>
                    <w:t>发斯特高端智能精密金属压铸结构件生产项目（报告编号：YQH240809001）</w:t>
                  </w:r>
                </w:p>
              </w:tc>
            </w:tr>
            <w:tr w14:paraId="627A6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5FDDC5A3">
                  <w:pPr>
                    <w:widowControl/>
                    <w:autoSpaceDE w:val="0"/>
                    <w:autoSpaceDN w:val="0"/>
                    <w:adjustRightInd w:val="0"/>
                    <w:snapToGrid w:val="0"/>
                    <w:jc w:val="center"/>
                    <w:rPr>
                      <w:b/>
                      <w:color w:val="auto"/>
                      <w:szCs w:val="21"/>
                    </w:rPr>
                  </w:pPr>
                  <w:r>
                    <w:rPr>
                      <w:color w:val="auto"/>
                      <w:szCs w:val="21"/>
                    </w:rPr>
                    <w:t>pH</w:t>
                  </w:r>
                </w:p>
              </w:tc>
              <w:tc>
                <w:tcPr>
                  <w:tcW w:w="2952" w:type="dxa"/>
                  <w:shd w:val="clear" w:color="auto" w:fill="auto"/>
                  <w:vAlign w:val="center"/>
                </w:tcPr>
                <w:p w14:paraId="70B95D15">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4.8</w:t>
                  </w:r>
                </w:p>
              </w:tc>
              <w:tc>
                <w:tcPr>
                  <w:tcW w:w="2952" w:type="dxa"/>
                  <w:vAlign w:val="center"/>
                </w:tcPr>
                <w:p w14:paraId="7BA5D7E4">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6.8</w:t>
                  </w:r>
                </w:p>
              </w:tc>
              <w:tc>
                <w:tcPr>
                  <w:tcW w:w="2952" w:type="dxa"/>
                  <w:vAlign w:val="center"/>
                </w:tcPr>
                <w:p w14:paraId="245844AF">
                  <w:pPr>
                    <w:widowControl/>
                    <w:autoSpaceDE w:val="0"/>
                    <w:autoSpaceDN w:val="0"/>
                    <w:adjustRightInd w:val="0"/>
                    <w:snapToGrid w:val="0"/>
                    <w:jc w:val="center"/>
                    <w:rPr>
                      <w:bCs/>
                      <w:color w:val="auto"/>
                      <w:szCs w:val="21"/>
                    </w:rPr>
                  </w:pPr>
                  <w:r>
                    <w:rPr>
                      <w:rFonts w:hint="eastAsia"/>
                      <w:bCs/>
                      <w:color w:val="auto"/>
                      <w:szCs w:val="21"/>
                    </w:rPr>
                    <w:t>8.4-8.8</w:t>
                  </w:r>
                </w:p>
              </w:tc>
            </w:tr>
            <w:tr w14:paraId="0D76A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31DEDEFF">
                  <w:pPr>
                    <w:widowControl/>
                    <w:autoSpaceDE w:val="0"/>
                    <w:autoSpaceDN w:val="0"/>
                    <w:adjustRightInd w:val="0"/>
                    <w:snapToGrid w:val="0"/>
                    <w:jc w:val="center"/>
                    <w:rPr>
                      <w:b/>
                      <w:color w:val="auto"/>
                      <w:szCs w:val="21"/>
                    </w:rPr>
                  </w:pPr>
                  <w:r>
                    <w:rPr>
                      <w:color w:val="auto"/>
                      <w:szCs w:val="21"/>
                    </w:rPr>
                    <w:t>悬浮物</w:t>
                  </w:r>
                </w:p>
              </w:tc>
              <w:tc>
                <w:tcPr>
                  <w:tcW w:w="2952" w:type="dxa"/>
                  <w:shd w:val="clear" w:color="auto" w:fill="auto"/>
                  <w:vAlign w:val="center"/>
                </w:tcPr>
                <w:p w14:paraId="624DDF86">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84</w:t>
                  </w:r>
                </w:p>
              </w:tc>
              <w:tc>
                <w:tcPr>
                  <w:tcW w:w="2952" w:type="dxa"/>
                  <w:vAlign w:val="center"/>
                </w:tcPr>
                <w:p w14:paraId="618FDECA">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180</w:t>
                  </w:r>
                </w:p>
              </w:tc>
              <w:tc>
                <w:tcPr>
                  <w:tcW w:w="2952" w:type="dxa"/>
                  <w:vAlign w:val="center"/>
                </w:tcPr>
                <w:p w14:paraId="6762CD76">
                  <w:pPr>
                    <w:widowControl/>
                    <w:autoSpaceDE w:val="0"/>
                    <w:autoSpaceDN w:val="0"/>
                    <w:adjustRightInd w:val="0"/>
                    <w:snapToGrid w:val="0"/>
                    <w:jc w:val="center"/>
                    <w:rPr>
                      <w:bCs/>
                      <w:color w:val="auto"/>
                      <w:szCs w:val="21"/>
                    </w:rPr>
                  </w:pPr>
                  <w:r>
                    <w:rPr>
                      <w:rFonts w:hint="eastAsia"/>
                      <w:bCs/>
                      <w:color w:val="auto"/>
                      <w:szCs w:val="21"/>
                    </w:rPr>
                    <w:t>313.5</w:t>
                  </w:r>
                </w:p>
              </w:tc>
            </w:tr>
            <w:tr w14:paraId="1FADF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12C4FB9B">
                  <w:pPr>
                    <w:widowControl/>
                    <w:autoSpaceDE w:val="0"/>
                    <w:autoSpaceDN w:val="0"/>
                    <w:adjustRightInd w:val="0"/>
                    <w:snapToGrid w:val="0"/>
                    <w:jc w:val="center"/>
                    <w:rPr>
                      <w:b/>
                      <w:color w:val="auto"/>
                      <w:szCs w:val="21"/>
                    </w:rPr>
                  </w:pPr>
                  <w:r>
                    <w:rPr>
                      <w:color w:val="auto"/>
                      <w:szCs w:val="21"/>
                    </w:rPr>
                    <w:t>COD</w:t>
                  </w:r>
                  <w:r>
                    <w:rPr>
                      <w:color w:val="auto"/>
                      <w:szCs w:val="21"/>
                      <w:vertAlign w:val="subscript"/>
                    </w:rPr>
                    <w:t>Cr</w:t>
                  </w:r>
                </w:p>
              </w:tc>
              <w:tc>
                <w:tcPr>
                  <w:tcW w:w="2952" w:type="dxa"/>
                  <w:shd w:val="clear" w:color="auto" w:fill="auto"/>
                  <w:vAlign w:val="center"/>
                </w:tcPr>
                <w:p w14:paraId="5F158ED0">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356</w:t>
                  </w:r>
                </w:p>
              </w:tc>
              <w:tc>
                <w:tcPr>
                  <w:tcW w:w="2952" w:type="dxa"/>
                  <w:vAlign w:val="center"/>
                </w:tcPr>
                <w:p w14:paraId="3A0DCBD3">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270</w:t>
                  </w:r>
                </w:p>
              </w:tc>
              <w:tc>
                <w:tcPr>
                  <w:tcW w:w="2952" w:type="dxa"/>
                  <w:vAlign w:val="center"/>
                </w:tcPr>
                <w:p w14:paraId="3E51267C">
                  <w:pPr>
                    <w:widowControl/>
                    <w:autoSpaceDE w:val="0"/>
                    <w:autoSpaceDN w:val="0"/>
                    <w:adjustRightInd w:val="0"/>
                    <w:snapToGrid w:val="0"/>
                    <w:jc w:val="center"/>
                    <w:rPr>
                      <w:bCs/>
                      <w:color w:val="auto"/>
                      <w:szCs w:val="21"/>
                    </w:rPr>
                  </w:pPr>
                  <w:r>
                    <w:rPr>
                      <w:rFonts w:hint="eastAsia"/>
                      <w:bCs/>
                      <w:color w:val="auto"/>
                      <w:szCs w:val="21"/>
                    </w:rPr>
                    <w:t>1345</w:t>
                  </w:r>
                </w:p>
              </w:tc>
            </w:tr>
            <w:tr w14:paraId="52E3F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4E233F9F">
                  <w:pPr>
                    <w:widowControl/>
                    <w:autoSpaceDE w:val="0"/>
                    <w:autoSpaceDN w:val="0"/>
                    <w:adjustRightInd w:val="0"/>
                    <w:snapToGrid w:val="0"/>
                    <w:jc w:val="center"/>
                    <w:rPr>
                      <w:color w:val="auto"/>
                      <w:szCs w:val="21"/>
                    </w:rPr>
                  </w:pPr>
                  <w:r>
                    <w:rPr>
                      <w:color w:val="auto"/>
                      <w:szCs w:val="21"/>
                    </w:rPr>
                    <w:t>BOD</w:t>
                  </w:r>
                  <w:r>
                    <w:rPr>
                      <w:color w:val="auto"/>
                      <w:szCs w:val="21"/>
                      <w:vertAlign w:val="subscript"/>
                    </w:rPr>
                    <w:t>5</w:t>
                  </w:r>
                </w:p>
              </w:tc>
              <w:tc>
                <w:tcPr>
                  <w:tcW w:w="2952" w:type="dxa"/>
                  <w:shd w:val="clear" w:color="auto" w:fill="auto"/>
                  <w:vAlign w:val="center"/>
                </w:tcPr>
                <w:p w14:paraId="556D97EF">
                  <w:pPr>
                    <w:widowControl/>
                    <w:autoSpaceDE w:val="0"/>
                    <w:autoSpaceDN w:val="0"/>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89.2</w:t>
                  </w:r>
                </w:p>
              </w:tc>
              <w:tc>
                <w:tcPr>
                  <w:tcW w:w="2952" w:type="dxa"/>
                  <w:vAlign w:val="center"/>
                </w:tcPr>
                <w:p w14:paraId="4C1755CD">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71.5</w:t>
                  </w:r>
                </w:p>
              </w:tc>
              <w:tc>
                <w:tcPr>
                  <w:tcW w:w="2952" w:type="dxa"/>
                  <w:vAlign w:val="center"/>
                </w:tcPr>
                <w:p w14:paraId="364388E4">
                  <w:pPr>
                    <w:widowControl/>
                    <w:autoSpaceDE w:val="0"/>
                    <w:autoSpaceDN w:val="0"/>
                    <w:adjustRightInd w:val="0"/>
                    <w:snapToGrid w:val="0"/>
                    <w:jc w:val="center"/>
                    <w:rPr>
                      <w:bCs/>
                      <w:color w:val="auto"/>
                      <w:szCs w:val="21"/>
                    </w:rPr>
                  </w:pPr>
                  <w:r>
                    <w:rPr>
                      <w:rFonts w:hint="eastAsia"/>
                      <w:bCs/>
                      <w:color w:val="auto"/>
                      <w:szCs w:val="21"/>
                    </w:rPr>
                    <w:t>444</w:t>
                  </w:r>
                </w:p>
              </w:tc>
            </w:tr>
            <w:tr w14:paraId="54132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64D34732">
                  <w:pPr>
                    <w:widowControl/>
                    <w:autoSpaceDE w:val="0"/>
                    <w:autoSpaceDN w:val="0"/>
                    <w:adjustRightInd w:val="0"/>
                    <w:snapToGrid w:val="0"/>
                    <w:jc w:val="center"/>
                    <w:rPr>
                      <w:b/>
                      <w:color w:val="auto"/>
                      <w:szCs w:val="21"/>
                    </w:rPr>
                  </w:pPr>
                  <w:r>
                    <w:rPr>
                      <w:color w:val="auto"/>
                      <w:szCs w:val="21"/>
                    </w:rPr>
                    <w:t>氨氮</w:t>
                  </w:r>
                </w:p>
              </w:tc>
              <w:tc>
                <w:tcPr>
                  <w:tcW w:w="2952" w:type="dxa"/>
                  <w:shd w:val="clear" w:color="auto" w:fill="auto"/>
                  <w:vAlign w:val="center"/>
                </w:tcPr>
                <w:p w14:paraId="2290D30F">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43.8</w:t>
                  </w:r>
                </w:p>
              </w:tc>
              <w:tc>
                <w:tcPr>
                  <w:tcW w:w="2952" w:type="dxa"/>
                  <w:vAlign w:val="center"/>
                </w:tcPr>
                <w:p w14:paraId="17BCED49">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25.2</w:t>
                  </w:r>
                </w:p>
              </w:tc>
              <w:tc>
                <w:tcPr>
                  <w:tcW w:w="2952" w:type="dxa"/>
                  <w:vAlign w:val="center"/>
                </w:tcPr>
                <w:p w14:paraId="45E7BB1F">
                  <w:pPr>
                    <w:widowControl/>
                    <w:autoSpaceDE w:val="0"/>
                    <w:autoSpaceDN w:val="0"/>
                    <w:adjustRightInd w:val="0"/>
                    <w:snapToGrid w:val="0"/>
                    <w:jc w:val="center"/>
                    <w:rPr>
                      <w:bCs/>
                      <w:color w:val="auto"/>
                      <w:szCs w:val="21"/>
                    </w:rPr>
                  </w:pPr>
                  <w:r>
                    <w:rPr>
                      <w:rFonts w:hint="eastAsia"/>
                      <w:bCs/>
                      <w:color w:val="auto"/>
                      <w:szCs w:val="21"/>
                    </w:rPr>
                    <w:t>1.59</w:t>
                  </w:r>
                </w:p>
              </w:tc>
            </w:tr>
            <w:tr w14:paraId="61973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7B090BC7">
                  <w:pPr>
                    <w:widowControl/>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总氮</w:t>
                  </w:r>
                </w:p>
              </w:tc>
              <w:tc>
                <w:tcPr>
                  <w:tcW w:w="2952" w:type="dxa"/>
                  <w:shd w:val="clear" w:color="auto" w:fill="auto"/>
                  <w:vAlign w:val="center"/>
                </w:tcPr>
                <w:p w14:paraId="1CE08449">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65.5</w:t>
                  </w:r>
                </w:p>
              </w:tc>
              <w:tc>
                <w:tcPr>
                  <w:tcW w:w="2952" w:type="dxa"/>
                  <w:vAlign w:val="center"/>
                </w:tcPr>
                <w:p w14:paraId="7614A0A9">
                  <w:pPr>
                    <w:widowControl/>
                    <w:autoSpaceDE w:val="0"/>
                    <w:autoSpaceDN w:val="0"/>
                    <w:adjustRightInd w:val="0"/>
                    <w:snapToGrid w:val="0"/>
                    <w:jc w:val="center"/>
                    <w:rPr>
                      <w:rFonts w:hint="default"/>
                      <w:bCs/>
                      <w:color w:val="auto"/>
                      <w:szCs w:val="21"/>
                      <w:lang w:val="en-US" w:eastAsia="zh-CN"/>
                    </w:rPr>
                  </w:pPr>
                  <w:r>
                    <w:rPr>
                      <w:rFonts w:hint="eastAsia"/>
                      <w:bCs/>
                      <w:color w:val="auto"/>
                      <w:szCs w:val="21"/>
                      <w:lang w:val="en-US" w:eastAsia="zh-CN"/>
                    </w:rPr>
                    <w:t>59.4</w:t>
                  </w:r>
                </w:p>
              </w:tc>
              <w:tc>
                <w:tcPr>
                  <w:tcW w:w="2952" w:type="dxa"/>
                  <w:vAlign w:val="center"/>
                </w:tcPr>
                <w:p w14:paraId="4D05C6AB">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r w14:paraId="0CE0E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07B0DCD3">
                  <w:pPr>
                    <w:widowControl/>
                    <w:autoSpaceDE w:val="0"/>
                    <w:autoSpaceDN w:val="0"/>
                    <w:adjustRightInd w:val="0"/>
                    <w:snapToGrid w:val="0"/>
                    <w:jc w:val="center"/>
                    <w:rPr>
                      <w:color w:val="auto"/>
                      <w:szCs w:val="21"/>
                    </w:rPr>
                  </w:pPr>
                  <w:r>
                    <w:rPr>
                      <w:color w:val="auto"/>
                      <w:szCs w:val="21"/>
                    </w:rPr>
                    <w:t>总磷</w:t>
                  </w:r>
                </w:p>
              </w:tc>
              <w:tc>
                <w:tcPr>
                  <w:tcW w:w="2952" w:type="dxa"/>
                  <w:shd w:val="clear" w:color="auto" w:fill="auto"/>
                  <w:vAlign w:val="center"/>
                </w:tcPr>
                <w:p w14:paraId="33C3E1AD">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1.99</w:t>
                  </w:r>
                </w:p>
              </w:tc>
              <w:tc>
                <w:tcPr>
                  <w:tcW w:w="2952" w:type="dxa"/>
                  <w:vAlign w:val="center"/>
                </w:tcPr>
                <w:p w14:paraId="513B2BA8">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261</w:t>
                  </w:r>
                </w:p>
              </w:tc>
              <w:tc>
                <w:tcPr>
                  <w:tcW w:w="2952" w:type="dxa"/>
                  <w:vAlign w:val="center"/>
                </w:tcPr>
                <w:p w14:paraId="6606A86A">
                  <w:pPr>
                    <w:widowControl/>
                    <w:autoSpaceDE w:val="0"/>
                    <w:autoSpaceDN w:val="0"/>
                    <w:adjustRightInd w:val="0"/>
                    <w:snapToGrid w:val="0"/>
                    <w:jc w:val="center"/>
                    <w:rPr>
                      <w:bCs/>
                      <w:color w:val="auto"/>
                      <w:szCs w:val="21"/>
                    </w:rPr>
                  </w:pPr>
                  <w:r>
                    <w:rPr>
                      <w:rFonts w:hint="eastAsia"/>
                      <w:bCs/>
                      <w:color w:val="auto"/>
                      <w:szCs w:val="21"/>
                    </w:rPr>
                    <w:t>0.645</w:t>
                  </w:r>
                </w:p>
              </w:tc>
            </w:tr>
            <w:tr w14:paraId="6CC9E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08BFC4A6">
                  <w:pPr>
                    <w:widowControl/>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磷酸盐</w:t>
                  </w:r>
                </w:p>
              </w:tc>
              <w:tc>
                <w:tcPr>
                  <w:tcW w:w="2952" w:type="dxa"/>
                  <w:shd w:val="clear" w:color="auto" w:fill="auto"/>
                  <w:vAlign w:val="center"/>
                </w:tcPr>
                <w:p w14:paraId="6EE347D9">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w:t>
                  </w:r>
                </w:p>
              </w:tc>
              <w:tc>
                <w:tcPr>
                  <w:tcW w:w="2952" w:type="dxa"/>
                  <w:vAlign w:val="center"/>
                </w:tcPr>
                <w:p w14:paraId="49483A37">
                  <w:pPr>
                    <w:widowControl/>
                    <w:autoSpaceDE w:val="0"/>
                    <w:autoSpaceDN w:val="0"/>
                    <w:adjustRightInd w:val="0"/>
                    <w:snapToGrid w:val="0"/>
                    <w:jc w:val="center"/>
                    <w:rPr>
                      <w:rFonts w:hint="default"/>
                      <w:bCs/>
                      <w:color w:val="auto"/>
                      <w:szCs w:val="21"/>
                      <w:lang w:val="en-US" w:eastAsia="zh-CN"/>
                    </w:rPr>
                  </w:pPr>
                  <w:r>
                    <w:rPr>
                      <w:rFonts w:hint="eastAsia"/>
                      <w:bCs/>
                      <w:color w:val="auto"/>
                      <w:szCs w:val="21"/>
                      <w:lang w:val="en-US" w:eastAsia="zh-CN"/>
                    </w:rPr>
                    <w:t>127</w:t>
                  </w:r>
                </w:p>
              </w:tc>
              <w:tc>
                <w:tcPr>
                  <w:tcW w:w="2952" w:type="dxa"/>
                  <w:vAlign w:val="center"/>
                </w:tcPr>
                <w:p w14:paraId="2FD67FAB">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w:t>
                  </w:r>
                </w:p>
              </w:tc>
            </w:tr>
            <w:tr w14:paraId="6CBB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1B3D7C40">
                  <w:pPr>
                    <w:widowControl/>
                    <w:autoSpaceDE w:val="0"/>
                    <w:autoSpaceDN w:val="0"/>
                    <w:adjustRightInd w:val="0"/>
                    <w:snapToGrid w:val="0"/>
                    <w:jc w:val="center"/>
                    <w:rPr>
                      <w:color w:val="auto"/>
                      <w:szCs w:val="21"/>
                    </w:rPr>
                  </w:pPr>
                  <w:r>
                    <w:rPr>
                      <w:color w:val="auto"/>
                      <w:szCs w:val="21"/>
                    </w:rPr>
                    <w:t>石油类</w:t>
                  </w:r>
                </w:p>
              </w:tc>
              <w:tc>
                <w:tcPr>
                  <w:tcW w:w="2952" w:type="dxa"/>
                  <w:shd w:val="clear" w:color="auto" w:fill="auto"/>
                  <w:vAlign w:val="center"/>
                </w:tcPr>
                <w:p w14:paraId="42BC7FC9">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1.89</w:t>
                  </w:r>
                </w:p>
              </w:tc>
              <w:tc>
                <w:tcPr>
                  <w:tcW w:w="2952" w:type="dxa"/>
                  <w:vAlign w:val="center"/>
                </w:tcPr>
                <w:p w14:paraId="0D3B0D4E">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0.77</w:t>
                  </w:r>
                </w:p>
              </w:tc>
              <w:tc>
                <w:tcPr>
                  <w:tcW w:w="2952" w:type="dxa"/>
                  <w:vAlign w:val="center"/>
                </w:tcPr>
                <w:p w14:paraId="2D7A2B46">
                  <w:pPr>
                    <w:widowControl/>
                    <w:autoSpaceDE w:val="0"/>
                    <w:autoSpaceDN w:val="0"/>
                    <w:adjustRightInd w:val="0"/>
                    <w:snapToGrid w:val="0"/>
                    <w:jc w:val="center"/>
                    <w:rPr>
                      <w:bCs/>
                      <w:color w:val="auto"/>
                      <w:szCs w:val="21"/>
                    </w:rPr>
                  </w:pPr>
                  <w:r>
                    <w:rPr>
                      <w:rFonts w:hint="eastAsia"/>
                      <w:bCs/>
                      <w:color w:val="auto"/>
                      <w:szCs w:val="21"/>
                    </w:rPr>
                    <w:t>2.085</w:t>
                  </w:r>
                </w:p>
              </w:tc>
            </w:tr>
            <w:tr w14:paraId="4A087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40288F49">
                  <w:pPr>
                    <w:widowControl/>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氯化物</w:t>
                  </w:r>
                </w:p>
              </w:tc>
              <w:tc>
                <w:tcPr>
                  <w:tcW w:w="2952" w:type="dxa"/>
                  <w:shd w:val="clear" w:color="auto" w:fill="auto"/>
                  <w:vAlign w:val="center"/>
                </w:tcPr>
                <w:p w14:paraId="4B2A8732">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w:t>
                  </w:r>
                </w:p>
              </w:tc>
              <w:tc>
                <w:tcPr>
                  <w:tcW w:w="2952" w:type="dxa"/>
                  <w:vAlign w:val="center"/>
                </w:tcPr>
                <w:p w14:paraId="719149B3">
                  <w:pPr>
                    <w:widowControl/>
                    <w:autoSpaceDE w:val="0"/>
                    <w:autoSpaceDN w:val="0"/>
                    <w:adjustRightInd w:val="0"/>
                    <w:snapToGrid w:val="0"/>
                    <w:jc w:val="center"/>
                    <w:rPr>
                      <w:rFonts w:hint="default"/>
                      <w:bCs/>
                      <w:color w:val="auto"/>
                      <w:szCs w:val="21"/>
                      <w:lang w:val="en-US" w:eastAsia="zh-CN"/>
                    </w:rPr>
                  </w:pPr>
                  <w:r>
                    <w:rPr>
                      <w:rFonts w:hint="eastAsia"/>
                      <w:bCs/>
                      <w:color w:val="auto"/>
                      <w:szCs w:val="21"/>
                      <w:lang w:val="en-US" w:eastAsia="zh-CN"/>
                    </w:rPr>
                    <w:t>97.6</w:t>
                  </w:r>
                </w:p>
              </w:tc>
              <w:tc>
                <w:tcPr>
                  <w:tcW w:w="2952" w:type="dxa"/>
                  <w:vAlign w:val="center"/>
                </w:tcPr>
                <w:p w14:paraId="56909072">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r w14:paraId="6C370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3283528C">
                  <w:pPr>
                    <w:widowControl/>
                    <w:autoSpaceDE w:val="0"/>
                    <w:autoSpaceDN w:val="0"/>
                    <w:adjustRightInd w:val="0"/>
                    <w:snapToGrid w:val="0"/>
                    <w:jc w:val="center"/>
                    <w:rPr>
                      <w:rFonts w:hint="default"/>
                      <w:color w:val="auto"/>
                      <w:szCs w:val="21"/>
                      <w:lang w:val="en-US" w:eastAsia="zh-CN"/>
                    </w:rPr>
                  </w:pPr>
                  <w:r>
                    <w:rPr>
                      <w:rFonts w:hint="eastAsia"/>
                      <w:color w:val="auto"/>
                      <w:szCs w:val="21"/>
                      <w:lang w:val="en-US" w:eastAsia="zh-CN"/>
                    </w:rPr>
                    <w:t>硫酸盐</w:t>
                  </w:r>
                </w:p>
              </w:tc>
              <w:tc>
                <w:tcPr>
                  <w:tcW w:w="2952" w:type="dxa"/>
                  <w:shd w:val="clear" w:color="auto" w:fill="auto"/>
                  <w:vAlign w:val="center"/>
                </w:tcPr>
                <w:p w14:paraId="2A9F3613">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w:t>
                  </w:r>
                </w:p>
              </w:tc>
              <w:tc>
                <w:tcPr>
                  <w:tcW w:w="2952" w:type="dxa"/>
                  <w:vAlign w:val="center"/>
                </w:tcPr>
                <w:p w14:paraId="14E00897">
                  <w:pPr>
                    <w:widowControl/>
                    <w:autoSpaceDE w:val="0"/>
                    <w:autoSpaceDN w:val="0"/>
                    <w:adjustRightInd w:val="0"/>
                    <w:snapToGrid w:val="0"/>
                    <w:jc w:val="center"/>
                    <w:rPr>
                      <w:rFonts w:hint="default"/>
                      <w:bCs/>
                      <w:color w:val="auto"/>
                      <w:szCs w:val="21"/>
                      <w:lang w:val="en-US" w:eastAsia="zh-CN"/>
                    </w:rPr>
                  </w:pPr>
                  <w:r>
                    <w:rPr>
                      <w:rFonts w:hint="eastAsia"/>
                      <w:bCs/>
                      <w:color w:val="auto"/>
                      <w:szCs w:val="21"/>
                      <w:lang w:val="en-US" w:eastAsia="zh-CN"/>
                    </w:rPr>
                    <w:t>127</w:t>
                  </w:r>
                </w:p>
              </w:tc>
              <w:tc>
                <w:tcPr>
                  <w:tcW w:w="2952" w:type="dxa"/>
                  <w:vAlign w:val="center"/>
                </w:tcPr>
                <w:p w14:paraId="0DC750DE">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r w14:paraId="088E8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64409115">
                  <w:pPr>
                    <w:widowControl/>
                    <w:autoSpaceDE w:val="0"/>
                    <w:autoSpaceDN w:val="0"/>
                    <w:adjustRightInd w:val="0"/>
                    <w:snapToGrid w:val="0"/>
                    <w:jc w:val="center"/>
                    <w:rPr>
                      <w:color w:val="auto"/>
                      <w:szCs w:val="21"/>
                    </w:rPr>
                  </w:pPr>
                  <w:r>
                    <w:rPr>
                      <w:color w:val="auto"/>
                      <w:szCs w:val="21"/>
                    </w:rPr>
                    <w:t>总锌</w:t>
                  </w:r>
                </w:p>
              </w:tc>
              <w:tc>
                <w:tcPr>
                  <w:tcW w:w="2952" w:type="dxa"/>
                  <w:shd w:val="clear" w:color="auto" w:fill="auto"/>
                  <w:vAlign w:val="center"/>
                </w:tcPr>
                <w:p w14:paraId="2F71A87D">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0.60</w:t>
                  </w:r>
                </w:p>
              </w:tc>
              <w:tc>
                <w:tcPr>
                  <w:tcW w:w="2952" w:type="dxa"/>
                  <w:vAlign w:val="center"/>
                </w:tcPr>
                <w:p w14:paraId="63DFE2BA">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46.9</w:t>
                  </w:r>
                </w:p>
              </w:tc>
              <w:tc>
                <w:tcPr>
                  <w:tcW w:w="2952" w:type="dxa"/>
                  <w:vAlign w:val="center"/>
                </w:tcPr>
                <w:p w14:paraId="1F09D283">
                  <w:pPr>
                    <w:widowControl/>
                    <w:autoSpaceDE w:val="0"/>
                    <w:autoSpaceDN w:val="0"/>
                    <w:adjustRightInd w:val="0"/>
                    <w:snapToGrid w:val="0"/>
                    <w:jc w:val="center"/>
                    <w:rPr>
                      <w:bCs/>
                      <w:color w:val="auto"/>
                      <w:szCs w:val="21"/>
                    </w:rPr>
                  </w:pPr>
                  <w:r>
                    <w:rPr>
                      <w:rFonts w:hint="eastAsia"/>
                      <w:bCs/>
                      <w:color w:val="auto"/>
                      <w:szCs w:val="21"/>
                    </w:rPr>
                    <w:t>ND</w:t>
                  </w:r>
                </w:p>
              </w:tc>
            </w:tr>
            <w:tr w14:paraId="6E77D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4C10B7DB">
                  <w:pPr>
                    <w:widowControl/>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氟化物</w:t>
                  </w:r>
                </w:p>
              </w:tc>
              <w:tc>
                <w:tcPr>
                  <w:tcW w:w="2952" w:type="dxa"/>
                  <w:shd w:val="clear" w:color="auto" w:fill="auto"/>
                  <w:vAlign w:val="center"/>
                </w:tcPr>
                <w:p w14:paraId="0B33A0BD">
                  <w:pPr>
                    <w:widowControl/>
                    <w:autoSpaceDE w:val="0"/>
                    <w:autoSpaceDN w:val="0"/>
                    <w:adjustRightInd w:val="0"/>
                    <w:snapToGrid w:val="0"/>
                    <w:jc w:val="center"/>
                    <w:rPr>
                      <w:rFonts w:hint="default" w:cs="Times New Roman"/>
                      <w:bCs/>
                      <w:color w:val="auto"/>
                      <w:kern w:val="2"/>
                      <w:sz w:val="21"/>
                      <w:szCs w:val="21"/>
                      <w:lang w:val="en-US" w:eastAsia="zh-CN" w:bidi="ar-SA"/>
                    </w:rPr>
                  </w:pPr>
                  <w:r>
                    <w:rPr>
                      <w:rFonts w:hint="eastAsia" w:cs="Times New Roman"/>
                      <w:bCs/>
                      <w:color w:val="auto"/>
                      <w:kern w:val="2"/>
                      <w:sz w:val="21"/>
                      <w:szCs w:val="21"/>
                      <w:lang w:val="en-US" w:eastAsia="zh-CN" w:bidi="ar-SA"/>
                    </w:rPr>
                    <w:t>40.6</w:t>
                  </w:r>
                </w:p>
              </w:tc>
              <w:tc>
                <w:tcPr>
                  <w:tcW w:w="2952" w:type="dxa"/>
                  <w:vAlign w:val="center"/>
                </w:tcPr>
                <w:p w14:paraId="323A268A">
                  <w:pPr>
                    <w:widowControl/>
                    <w:autoSpaceDE w:val="0"/>
                    <w:autoSpaceDN w:val="0"/>
                    <w:adjustRightInd w:val="0"/>
                    <w:snapToGrid w:val="0"/>
                    <w:jc w:val="center"/>
                    <w:rPr>
                      <w:rFonts w:hint="default"/>
                      <w:bCs/>
                      <w:color w:val="auto"/>
                      <w:szCs w:val="21"/>
                      <w:lang w:val="en-US" w:eastAsia="zh-CN"/>
                    </w:rPr>
                  </w:pPr>
                  <w:r>
                    <w:rPr>
                      <w:rFonts w:hint="eastAsia"/>
                      <w:bCs/>
                      <w:color w:val="auto"/>
                      <w:szCs w:val="21"/>
                      <w:lang w:val="en-US" w:eastAsia="zh-CN"/>
                    </w:rPr>
                    <w:t>/</w:t>
                  </w:r>
                </w:p>
              </w:tc>
              <w:tc>
                <w:tcPr>
                  <w:tcW w:w="2952" w:type="dxa"/>
                  <w:vAlign w:val="center"/>
                </w:tcPr>
                <w:p w14:paraId="2841FF0B">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r w14:paraId="771EF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20DD7C63">
                  <w:pPr>
                    <w:widowControl/>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总铝</w:t>
                  </w:r>
                </w:p>
              </w:tc>
              <w:tc>
                <w:tcPr>
                  <w:tcW w:w="2952" w:type="dxa"/>
                  <w:shd w:val="clear" w:color="auto" w:fill="auto"/>
                  <w:vAlign w:val="center"/>
                </w:tcPr>
                <w:p w14:paraId="263EAD2B">
                  <w:pPr>
                    <w:widowControl/>
                    <w:autoSpaceDE w:val="0"/>
                    <w:autoSpaceDN w:val="0"/>
                    <w:adjustRightInd w:val="0"/>
                    <w:snapToGrid w:val="0"/>
                    <w:jc w:val="center"/>
                    <w:rPr>
                      <w:rFonts w:hint="default" w:cs="Times New Roman"/>
                      <w:bCs/>
                      <w:color w:val="auto"/>
                      <w:kern w:val="2"/>
                      <w:sz w:val="21"/>
                      <w:szCs w:val="21"/>
                      <w:lang w:val="en-US" w:eastAsia="zh-CN" w:bidi="ar-SA"/>
                    </w:rPr>
                  </w:pPr>
                  <w:r>
                    <w:rPr>
                      <w:rFonts w:hint="eastAsia" w:cs="Times New Roman"/>
                      <w:bCs/>
                      <w:color w:val="auto"/>
                      <w:kern w:val="2"/>
                      <w:sz w:val="21"/>
                      <w:szCs w:val="21"/>
                      <w:lang w:val="en-US" w:eastAsia="zh-CN" w:bidi="ar-SA"/>
                    </w:rPr>
                    <w:t>1.65</w:t>
                  </w:r>
                </w:p>
              </w:tc>
              <w:tc>
                <w:tcPr>
                  <w:tcW w:w="2952" w:type="dxa"/>
                  <w:vAlign w:val="center"/>
                </w:tcPr>
                <w:p w14:paraId="547433BB">
                  <w:pPr>
                    <w:widowControl/>
                    <w:autoSpaceDE w:val="0"/>
                    <w:autoSpaceDN w:val="0"/>
                    <w:adjustRightInd w:val="0"/>
                    <w:snapToGrid w:val="0"/>
                    <w:jc w:val="center"/>
                    <w:rPr>
                      <w:rFonts w:hint="default"/>
                      <w:bCs/>
                      <w:color w:val="auto"/>
                      <w:szCs w:val="21"/>
                      <w:lang w:val="en-US" w:eastAsia="zh-CN"/>
                    </w:rPr>
                  </w:pPr>
                  <w:r>
                    <w:rPr>
                      <w:rFonts w:hint="eastAsia"/>
                      <w:bCs/>
                      <w:color w:val="auto"/>
                      <w:szCs w:val="21"/>
                      <w:lang w:val="en-US" w:eastAsia="zh-CN"/>
                    </w:rPr>
                    <w:t>/</w:t>
                  </w:r>
                </w:p>
              </w:tc>
              <w:tc>
                <w:tcPr>
                  <w:tcW w:w="2952" w:type="dxa"/>
                  <w:vAlign w:val="center"/>
                </w:tcPr>
                <w:p w14:paraId="4695446E">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r w14:paraId="24571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4F0780AD">
                  <w:pPr>
                    <w:widowControl/>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总铁</w:t>
                  </w:r>
                </w:p>
              </w:tc>
              <w:tc>
                <w:tcPr>
                  <w:tcW w:w="2952" w:type="dxa"/>
                  <w:shd w:val="clear" w:color="auto" w:fill="auto"/>
                  <w:vAlign w:val="center"/>
                </w:tcPr>
                <w:p w14:paraId="27B4CE00">
                  <w:pPr>
                    <w:widowControl/>
                    <w:autoSpaceDE w:val="0"/>
                    <w:autoSpaceDN w:val="0"/>
                    <w:adjustRightInd w:val="0"/>
                    <w:snapToGrid w:val="0"/>
                    <w:jc w:val="center"/>
                    <w:rPr>
                      <w:rFonts w:hint="default" w:cs="Times New Roman"/>
                      <w:bCs/>
                      <w:color w:val="auto"/>
                      <w:kern w:val="2"/>
                      <w:sz w:val="21"/>
                      <w:szCs w:val="21"/>
                      <w:lang w:val="en-US" w:eastAsia="zh-CN" w:bidi="ar-SA"/>
                    </w:rPr>
                  </w:pPr>
                  <w:r>
                    <w:rPr>
                      <w:rFonts w:hint="eastAsia" w:cs="Times New Roman"/>
                      <w:bCs/>
                      <w:color w:val="auto"/>
                      <w:kern w:val="2"/>
                      <w:sz w:val="21"/>
                      <w:szCs w:val="21"/>
                      <w:lang w:val="en-US" w:eastAsia="zh-CN" w:bidi="ar-SA"/>
                    </w:rPr>
                    <w:t>0.36</w:t>
                  </w:r>
                </w:p>
              </w:tc>
              <w:tc>
                <w:tcPr>
                  <w:tcW w:w="2952" w:type="dxa"/>
                  <w:vAlign w:val="center"/>
                </w:tcPr>
                <w:p w14:paraId="77D94DCC">
                  <w:pPr>
                    <w:widowControl/>
                    <w:autoSpaceDE w:val="0"/>
                    <w:autoSpaceDN w:val="0"/>
                    <w:adjustRightInd w:val="0"/>
                    <w:snapToGrid w:val="0"/>
                    <w:jc w:val="center"/>
                    <w:rPr>
                      <w:rFonts w:hint="default"/>
                      <w:bCs/>
                      <w:color w:val="auto"/>
                      <w:szCs w:val="21"/>
                      <w:lang w:val="en-US" w:eastAsia="zh-CN"/>
                    </w:rPr>
                  </w:pPr>
                  <w:r>
                    <w:rPr>
                      <w:rFonts w:hint="eastAsia"/>
                      <w:bCs/>
                      <w:color w:val="auto"/>
                      <w:szCs w:val="21"/>
                      <w:lang w:val="en-US" w:eastAsia="zh-CN"/>
                    </w:rPr>
                    <w:t>/</w:t>
                  </w:r>
                </w:p>
              </w:tc>
              <w:tc>
                <w:tcPr>
                  <w:tcW w:w="2952" w:type="dxa"/>
                  <w:vAlign w:val="center"/>
                </w:tcPr>
                <w:p w14:paraId="1C40BB25">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r w14:paraId="2B36D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02D2A263">
                  <w:pPr>
                    <w:widowControl/>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总铬</w:t>
                  </w:r>
                </w:p>
              </w:tc>
              <w:tc>
                <w:tcPr>
                  <w:tcW w:w="2952" w:type="dxa"/>
                  <w:shd w:val="clear" w:color="auto" w:fill="auto"/>
                  <w:vAlign w:val="center"/>
                </w:tcPr>
                <w:p w14:paraId="499EE8A3">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w:t>
                  </w:r>
                </w:p>
              </w:tc>
              <w:tc>
                <w:tcPr>
                  <w:tcW w:w="2952" w:type="dxa"/>
                  <w:vAlign w:val="center"/>
                </w:tcPr>
                <w:p w14:paraId="7FA8B8A5">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0.03L</w:t>
                  </w:r>
                </w:p>
              </w:tc>
              <w:tc>
                <w:tcPr>
                  <w:tcW w:w="2952" w:type="dxa"/>
                  <w:vAlign w:val="center"/>
                </w:tcPr>
                <w:p w14:paraId="08D434B0">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r w14:paraId="3B2DF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vAlign w:val="center"/>
                </w:tcPr>
                <w:p w14:paraId="14EDC4EA">
                  <w:pPr>
                    <w:widowControl/>
                    <w:autoSpaceDE w:val="0"/>
                    <w:autoSpaceDN w:val="0"/>
                    <w:adjustRightInd w:val="0"/>
                    <w:snapToGrid w:val="0"/>
                    <w:jc w:val="center"/>
                    <w:rPr>
                      <w:rFonts w:hint="default"/>
                      <w:color w:val="auto"/>
                      <w:szCs w:val="21"/>
                      <w:lang w:val="en-US" w:eastAsia="zh-CN"/>
                    </w:rPr>
                  </w:pPr>
                  <w:r>
                    <w:rPr>
                      <w:rFonts w:hint="eastAsia"/>
                      <w:color w:val="auto"/>
                      <w:szCs w:val="21"/>
                      <w:lang w:val="en-US" w:eastAsia="zh-CN"/>
                    </w:rPr>
                    <w:t>六价铬</w:t>
                  </w:r>
                </w:p>
              </w:tc>
              <w:tc>
                <w:tcPr>
                  <w:tcW w:w="2952" w:type="dxa"/>
                  <w:shd w:val="clear" w:color="auto" w:fill="auto"/>
                  <w:vAlign w:val="center"/>
                </w:tcPr>
                <w:p w14:paraId="3E103240">
                  <w:pPr>
                    <w:widowControl/>
                    <w:autoSpaceDE w:val="0"/>
                    <w:autoSpaceDN w:val="0"/>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w:t>
                  </w:r>
                </w:p>
              </w:tc>
              <w:tc>
                <w:tcPr>
                  <w:tcW w:w="2952" w:type="dxa"/>
                  <w:vAlign w:val="center"/>
                </w:tcPr>
                <w:p w14:paraId="322D2599">
                  <w:pPr>
                    <w:widowControl/>
                    <w:autoSpaceDE w:val="0"/>
                    <w:autoSpaceDN w:val="0"/>
                    <w:adjustRightInd w:val="0"/>
                    <w:snapToGrid w:val="0"/>
                    <w:jc w:val="center"/>
                    <w:rPr>
                      <w:rFonts w:hint="default" w:eastAsia="宋体"/>
                      <w:bCs/>
                      <w:color w:val="auto"/>
                      <w:szCs w:val="21"/>
                      <w:lang w:val="en-US" w:eastAsia="zh-CN"/>
                    </w:rPr>
                  </w:pPr>
                  <w:r>
                    <w:rPr>
                      <w:rFonts w:hint="eastAsia"/>
                      <w:bCs/>
                      <w:color w:val="auto"/>
                      <w:szCs w:val="21"/>
                      <w:lang w:val="en-US" w:eastAsia="zh-CN"/>
                    </w:rPr>
                    <w:t>0.004L</w:t>
                  </w:r>
                </w:p>
              </w:tc>
              <w:tc>
                <w:tcPr>
                  <w:tcW w:w="2952" w:type="dxa"/>
                  <w:vAlign w:val="center"/>
                </w:tcPr>
                <w:p w14:paraId="347814B8">
                  <w:pPr>
                    <w:widowControl/>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bl>
          <w:p w14:paraId="2B0A5850">
            <w:pPr>
              <w:pStyle w:val="77"/>
              <w:adjustRightInd w:val="0"/>
              <w:snapToGrid w:val="0"/>
              <w:rPr>
                <w:b/>
                <w:bCs/>
                <w:color w:val="auto"/>
                <w:szCs w:val="21"/>
              </w:rPr>
            </w:pPr>
          </w:p>
          <w:p w14:paraId="4FBF8BE3">
            <w:pPr>
              <w:pStyle w:val="43"/>
              <w:ind w:firstLine="482"/>
              <w:rPr>
                <w:b/>
                <w:bCs/>
                <w:color w:val="auto"/>
              </w:rPr>
            </w:pPr>
            <w:r>
              <w:rPr>
                <w:b/>
                <w:bCs/>
                <w:color w:val="auto"/>
              </w:rPr>
              <w:t>②前处理线废水</w:t>
            </w:r>
            <w:r>
              <w:rPr>
                <w:rFonts w:hint="eastAsia"/>
                <w:b/>
                <w:bCs/>
                <w:color w:val="auto"/>
              </w:rPr>
              <w:t>水质系数法分析</w:t>
            </w:r>
          </w:p>
          <w:p w14:paraId="02665152">
            <w:pPr>
              <w:pStyle w:val="43"/>
              <w:rPr>
                <w:color w:val="auto"/>
              </w:rPr>
            </w:pPr>
            <w:r>
              <w:rPr>
                <w:rFonts w:hint="eastAsia"/>
                <w:color w:val="auto"/>
              </w:rPr>
              <w:t>项目国民经济行业类别属于C3360金属表面处理及热处理加工，根据前文分析，前处理线废水包括</w:t>
            </w:r>
            <w:r>
              <w:rPr>
                <w:color w:val="auto"/>
              </w:rPr>
              <w:t>除油</w:t>
            </w:r>
            <w:r>
              <w:rPr>
                <w:rFonts w:hint="eastAsia"/>
                <w:color w:val="auto"/>
              </w:rPr>
              <w:t>废槽液</w:t>
            </w:r>
            <w:r>
              <w:rPr>
                <w:color w:val="auto"/>
              </w:rPr>
              <w:t>、除锈</w:t>
            </w:r>
            <w:r>
              <w:rPr>
                <w:rFonts w:hint="eastAsia"/>
                <w:color w:val="auto"/>
              </w:rPr>
              <w:t>废槽液</w:t>
            </w:r>
            <w:r>
              <w:rPr>
                <w:color w:val="auto"/>
              </w:rPr>
              <w:t>、脱脂</w:t>
            </w:r>
            <w:r>
              <w:rPr>
                <w:rFonts w:hint="eastAsia"/>
                <w:color w:val="auto"/>
              </w:rPr>
              <w:t>废槽液</w:t>
            </w:r>
            <w:r>
              <w:rPr>
                <w:color w:val="auto"/>
              </w:rPr>
              <w:t>、表调</w:t>
            </w:r>
            <w:r>
              <w:rPr>
                <w:rFonts w:hint="eastAsia"/>
                <w:color w:val="auto"/>
              </w:rPr>
              <w:t>废槽液</w:t>
            </w:r>
            <w:r>
              <w:rPr>
                <w:color w:val="auto"/>
              </w:rPr>
              <w:t>、清洗废水</w:t>
            </w:r>
            <w:r>
              <w:rPr>
                <w:rFonts w:hint="eastAsia"/>
                <w:color w:val="auto"/>
              </w:rPr>
              <w:t>，其中除锈槽采用硫酸除锈法，主要污染物为废硫酸和总铁，呈强酸性。根据《酸洗除锈工艺的试验研究》（表面技术-第31卷第4期，张圣麟，2002年8月）：图3表明随着酸洗时间延长，酸洗液中Fe</w:t>
            </w:r>
            <w:r>
              <w:rPr>
                <w:rFonts w:hint="eastAsia"/>
                <w:color w:val="auto"/>
                <w:vertAlign w:val="superscript"/>
              </w:rPr>
              <w:t>2+</w:t>
            </w:r>
            <w:r>
              <w:rPr>
                <w:rFonts w:hint="eastAsia"/>
                <w:color w:val="auto"/>
              </w:rPr>
              <w:t>的浓度增加，酸洗液的颜色逐渐呈绿色，随着铁盐含量的增加，会显著降低酸洗液的除锈清洗能力，当Fe</w:t>
            </w:r>
            <w:r>
              <w:rPr>
                <w:rFonts w:hint="eastAsia"/>
                <w:color w:val="auto"/>
                <w:vertAlign w:val="superscript"/>
              </w:rPr>
              <w:t>2+</w:t>
            </w:r>
            <w:r>
              <w:rPr>
                <w:rFonts w:hint="eastAsia"/>
                <w:color w:val="auto"/>
              </w:rPr>
              <w:t>的浓度达到极限含量时，就应当更换酸洗液。文献中表1Fe</w:t>
            </w:r>
            <w:r>
              <w:rPr>
                <w:rFonts w:hint="eastAsia"/>
                <w:color w:val="auto"/>
                <w:vertAlign w:val="superscript"/>
              </w:rPr>
              <w:t>2+</w:t>
            </w:r>
            <w:r>
              <w:rPr>
                <w:rFonts w:hint="eastAsia"/>
                <w:color w:val="auto"/>
              </w:rPr>
              <w:t>极限含量为80-100g/L。为确保除锈槽的除锈能力，建设单位在每日开工前会对除锈槽内铁含量进行检测，当铁盐含量超过60g/L即更换槽液，更换周期约3个月1次。项目使用硫酸除锈，则铁盐为FeSO</w:t>
            </w:r>
            <w:r>
              <w:rPr>
                <w:rFonts w:hint="eastAsia"/>
                <w:color w:val="auto"/>
                <w:vertAlign w:val="subscript"/>
              </w:rPr>
              <w:t>4</w:t>
            </w:r>
            <w:r>
              <w:rPr>
                <w:rFonts w:eastAsia="微软雅黑"/>
                <w:color w:val="auto"/>
              </w:rPr>
              <w:t>·</w:t>
            </w:r>
            <w:r>
              <w:rPr>
                <w:rFonts w:hint="eastAsia" w:eastAsia="微软雅黑"/>
                <w:color w:val="auto"/>
              </w:rPr>
              <w:t>7H</w:t>
            </w:r>
            <w:r>
              <w:rPr>
                <w:rFonts w:hint="eastAsia" w:eastAsia="微软雅黑"/>
                <w:color w:val="auto"/>
                <w:vertAlign w:val="subscript"/>
              </w:rPr>
              <w:t>2</w:t>
            </w:r>
            <w:r>
              <w:rPr>
                <w:rFonts w:hint="eastAsia" w:eastAsia="微软雅黑"/>
                <w:color w:val="auto"/>
              </w:rPr>
              <w:t>O</w:t>
            </w:r>
            <w:r>
              <w:rPr>
                <w:color w:val="auto"/>
              </w:rPr>
              <w:t>（</w:t>
            </w:r>
            <w:r>
              <w:rPr>
                <w:rFonts w:hint="eastAsia"/>
                <w:color w:val="auto"/>
              </w:rPr>
              <w:t>相对分子质量为278.02</w:t>
            </w:r>
            <w:r>
              <w:rPr>
                <w:color w:val="auto"/>
              </w:rPr>
              <w:t>）</w:t>
            </w:r>
            <w:r>
              <w:rPr>
                <w:rFonts w:hint="eastAsia"/>
                <w:color w:val="auto"/>
              </w:rPr>
              <w:t>，则项目总铁浓度可折算为   12053mg/L（总铁浓度=铁盐浓度</w:t>
            </w:r>
            <w:r>
              <w:rPr>
                <w:color w:val="auto"/>
              </w:rPr>
              <w:t>÷</w:t>
            </w:r>
            <w:r>
              <w:rPr>
                <w:rFonts w:hint="eastAsia"/>
                <w:color w:val="auto"/>
              </w:rPr>
              <w:t>铁盐相对分子质量×铁的相对原子质量=60g/L</w:t>
            </w:r>
            <w:r>
              <w:rPr>
                <w:color w:val="auto"/>
              </w:rPr>
              <w:t>÷</w:t>
            </w:r>
            <w:r>
              <w:rPr>
                <w:rFonts w:hint="eastAsia"/>
                <w:color w:val="auto"/>
              </w:rPr>
              <w:t>278.02×55.85×1000=12053mg/L，铁的相对原子质量=55.85）。</w:t>
            </w:r>
          </w:p>
          <w:p w14:paraId="2A4A5FB4">
            <w:pPr>
              <w:pStyle w:val="43"/>
              <w:rPr>
                <w:color w:val="auto"/>
              </w:rPr>
            </w:pPr>
            <w:r>
              <w:rPr>
                <w:color w:val="auto"/>
              </w:rPr>
              <w:t>除油</w:t>
            </w:r>
            <w:r>
              <w:rPr>
                <w:rFonts w:hint="eastAsia"/>
                <w:color w:val="auto"/>
              </w:rPr>
              <w:t>废槽液</w:t>
            </w:r>
            <w:r>
              <w:rPr>
                <w:color w:val="auto"/>
              </w:rPr>
              <w:t>、脱脂</w:t>
            </w:r>
            <w:r>
              <w:rPr>
                <w:rFonts w:hint="eastAsia"/>
                <w:color w:val="auto"/>
              </w:rPr>
              <w:t>废槽液</w:t>
            </w:r>
            <w:r>
              <w:rPr>
                <w:color w:val="auto"/>
              </w:rPr>
              <w:t>、表调</w:t>
            </w:r>
            <w:r>
              <w:rPr>
                <w:rFonts w:hint="eastAsia"/>
                <w:color w:val="auto"/>
              </w:rPr>
              <w:t>废槽液</w:t>
            </w:r>
            <w:r>
              <w:rPr>
                <w:color w:val="auto"/>
              </w:rPr>
              <w:t>、清洗废水</w:t>
            </w:r>
            <w:r>
              <w:rPr>
                <w:rFonts w:hint="eastAsia"/>
                <w:color w:val="auto"/>
              </w:rPr>
              <w:t>的废水水质根据</w:t>
            </w:r>
            <w:r>
              <w:rPr>
                <w:color w:val="auto"/>
              </w:rPr>
              <w:t>《排放源统计调查产排污核算方法和系数手册》</w:t>
            </w:r>
            <w:r>
              <w:rPr>
                <w:rFonts w:hint="eastAsia"/>
                <w:color w:val="auto"/>
              </w:rPr>
              <w:t>33-37，431-434机械行业</w:t>
            </w:r>
            <w:r>
              <w:rPr>
                <w:color w:val="auto"/>
              </w:rPr>
              <w:t>系数手册</w:t>
            </w:r>
            <w:r>
              <w:rPr>
                <w:rFonts w:hint="eastAsia"/>
                <w:color w:val="auto"/>
              </w:rPr>
              <w:t>的</w:t>
            </w:r>
            <w:r>
              <w:rPr>
                <w:color w:val="auto"/>
              </w:rPr>
              <w:t>“33-37、431-434机械行业系数手册—</w:t>
            </w:r>
            <w:r>
              <w:rPr>
                <w:rFonts w:hint="eastAsia"/>
                <w:color w:val="auto"/>
              </w:rPr>
              <w:t>06预处理-脱脂、06预处理-酸洗、07机械加工-加工件清洗、11转化膜处理--表调、11转化膜处理--磷化</w:t>
            </w:r>
            <w:r>
              <w:rPr>
                <w:color w:val="auto"/>
              </w:rPr>
              <w:t>”</w:t>
            </w:r>
            <w:r>
              <w:rPr>
                <w:rFonts w:hint="eastAsia"/>
                <w:color w:val="auto"/>
              </w:rPr>
              <w:t>的</w:t>
            </w:r>
            <w:r>
              <w:rPr>
                <w:color w:val="auto"/>
              </w:rPr>
              <w:t>产污系数</w:t>
            </w:r>
            <w:r>
              <w:rPr>
                <w:rFonts w:hint="eastAsia"/>
                <w:color w:val="auto"/>
              </w:rPr>
              <w:t>计算。各功能槽中带出药剂进入清洗废水，根据表2-15可知带出药剂量：除油粉用量为0.94t/a、硫酸用量为2.05t/a、脱脂剂用量为0.54t/a、表调剂用量为0.089t/a、磷化剂用量为1.51t/a、促进剂用量为0.36t/a；各功能槽开槽药剂使用量：除油粉用量为0.6t/a、硫酸用量为2.23t/a、脱脂剂用量为0.21t/a、表调剂用量为0.048t/a。</w:t>
            </w:r>
            <w:r>
              <w:rPr>
                <w:color w:val="auto"/>
              </w:rPr>
              <w:t>则核算得到</w:t>
            </w:r>
            <w:r>
              <w:rPr>
                <w:rFonts w:hint="eastAsia"/>
                <w:color w:val="auto"/>
              </w:rPr>
              <w:t>前处理线废水</w:t>
            </w:r>
            <w:r>
              <w:rPr>
                <w:color w:val="auto"/>
              </w:rPr>
              <w:t xml:space="preserve">污染物产生情况详见下表。 </w:t>
            </w:r>
          </w:p>
          <w:p w14:paraId="0246369E">
            <w:pPr>
              <w:pStyle w:val="77"/>
              <w:numPr>
                <w:ilvl w:val="0"/>
                <w:numId w:val="18"/>
              </w:numPr>
              <w:adjustRightInd w:val="0"/>
              <w:snapToGrid w:val="0"/>
              <w:jc w:val="center"/>
              <w:rPr>
                <w:b/>
                <w:bCs/>
                <w:color w:val="auto"/>
                <w:szCs w:val="21"/>
              </w:rPr>
            </w:pPr>
            <w:r>
              <w:rPr>
                <w:rFonts w:hint="eastAsia"/>
                <w:b/>
                <w:bCs/>
                <w:color w:val="auto"/>
                <w:szCs w:val="21"/>
              </w:rPr>
              <w:t>项目废槽液</w:t>
            </w:r>
            <w:r>
              <w:rPr>
                <w:b/>
                <w:bCs/>
                <w:color w:val="auto"/>
                <w:szCs w:val="21"/>
              </w:rPr>
              <w:t>污染物产生</w:t>
            </w:r>
            <w:r>
              <w:rPr>
                <w:rFonts w:hint="eastAsia"/>
                <w:b/>
                <w:bCs/>
                <w:color w:val="auto"/>
                <w:szCs w:val="21"/>
              </w:rPr>
              <w:t>量核算</w:t>
            </w:r>
            <w:r>
              <w:rPr>
                <w:b/>
                <w:bCs/>
                <w:color w:val="auto"/>
                <w:szCs w:val="21"/>
              </w:rPr>
              <w:t>表</w:t>
            </w:r>
          </w:p>
          <w:tbl>
            <w:tblPr>
              <w:tblStyle w:val="35"/>
              <w:tblW w:w="10373" w:type="dxa"/>
              <w:tblInd w:w="0" w:type="dxa"/>
              <w:tblLayout w:type="fixed"/>
              <w:tblCellMar>
                <w:top w:w="0" w:type="dxa"/>
                <w:left w:w="108" w:type="dxa"/>
                <w:bottom w:w="0" w:type="dxa"/>
                <w:right w:w="108" w:type="dxa"/>
              </w:tblCellMar>
            </w:tblPr>
            <w:tblGrid>
              <w:gridCol w:w="918"/>
              <w:gridCol w:w="943"/>
              <w:gridCol w:w="2034"/>
              <w:gridCol w:w="988"/>
              <w:gridCol w:w="743"/>
              <w:gridCol w:w="1000"/>
              <w:gridCol w:w="979"/>
              <w:gridCol w:w="1330"/>
              <w:gridCol w:w="1438"/>
            </w:tblGrid>
            <w:tr w14:paraId="4AA39EFF">
              <w:tblPrEx>
                <w:tblCellMar>
                  <w:top w:w="0" w:type="dxa"/>
                  <w:left w:w="108" w:type="dxa"/>
                  <w:bottom w:w="0" w:type="dxa"/>
                  <w:right w:w="108" w:type="dxa"/>
                </w:tblCellMar>
              </w:tblPrEx>
              <w:trPr>
                <w:trHeight w:val="525" w:hRule="atLeast"/>
              </w:trPr>
              <w:tc>
                <w:tcPr>
                  <w:tcW w:w="442" w:type="pct"/>
                  <w:tcBorders>
                    <w:top w:val="single" w:color="000000" w:sz="4" w:space="0"/>
                    <w:left w:val="single" w:color="000000" w:sz="4" w:space="0"/>
                    <w:bottom w:val="single" w:color="000000" w:sz="4" w:space="0"/>
                    <w:right w:val="single" w:color="000000" w:sz="4" w:space="0"/>
                  </w:tcBorders>
                  <w:vAlign w:val="center"/>
                </w:tcPr>
                <w:p w14:paraId="5AA9F4AF">
                  <w:pPr>
                    <w:widowControl/>
                    <w:jc w:val="center"/>
                    <w:textAlignment w:val="center"/>
                    <w:rPr>
                      <w:b/>
                      <w:bCs/>
                      <w:color w:val="auto"/>
                      <w:szCs w:val="21"/>
                    </w:rPr>
                  </w:pPr>
                  <w:r>
                    <w:rPr>
                      <w:rFonts w:hint="eastAsia"/>
                      <w:b/>
                      <w:bCs/>
                      <w:color w:val="auto"/>
                      <w:szCs w:val="21"/>
                    </w:rPr>
                    <w:t>废水</w:t>
                  </w:r>
                </w:p>
                <w:p w14:paraId="451CBAA3">
                  <w:pPr>
                    <w:widowControl/>
                    <w:jc w:val="center"/>
                    <w:textAlignment w:val="center"/>
                    <w:rPr>
                      <w:b/>
                      <w:bCs/>
                      <w:color w:val="auto"/>
                      <w:szCs w:val="21"/>
                    </w:rPr>
                  </w:pPr>
                  <w:r>
                    <w:rPr>
                      <w:rFonts w:hint="eastAsia"/>
                      <w:b/>
                      <w:bCs/>
                      <w:color w:val="auto"/>
                      <w:szCs w:val="21"/>
                    </w:rPr>
                    <w:t>类型</w:t>
                  </w:r>
                </w:p>
              </w:tc>
              <w:tc>
                <w:tcPr>
                  <w:tcW w:w="454" w:type="pct"/>
                  <w:tcBorders>
                    <w:top w:val="single" w:color="000000" w:sz="4" w:space="0"/>
                    <w:left w:val="single" w:color="000000" w:sz="4" w:space="0"/>
                    <w:bottom w:val="single" w:color="000000" w:sz="4" w:space="0"/>
                    <w:right w:val="single" w:color="000000" w:sz="4" w:space="0"/>
                  </w:tcBorders>
                  <w:vAlign w:val="center"/>
                </w:tcPr>
                <w:p w14:paraId="7A30E09E">
                  <w:pPr>
                    <w:widowControl/>
                    <w:jc w:val="center"/>
                    <w:textAlignment w:val="center"/>
                    <w:rPr>
                      <w:b/>
                      <w:bCs/>
                      <w:color w:val="auto"/>
                      <w:kern w:val="0"/>
                      <w:szCs w:val="21"/>
                      <w:lang w:bidi="ar"/>
                    </w:rPr>
                  </w:pPr>
                  <w:r>
                    <w:rPr>
                      <w:b/>
                      <w:bCs/>
                      <w:color w:val="auto"/>
                      <w:kern w:val="0"/>
                      <w:szCs w:val="21"/>
                      <w:lang w:bidi="ar"/>
                    </w:rPr>
                    <w:t>污染</w:t>
                  </w:r>
                </w:p>
                <w:p w14:paraId="402612B2">
                  <w:pPr>
                    <w:widowControl/>
                    <w:jc w:val="center"/>
                    <w:textAlignment w:val="center"/>
                    <w:rPr>
                      <w:b/>
                      <w:bCs/>
                      <w:color w:val="auto"/>
                      <w:szCs w:val="21"/>
                    </w:rPr>
                  </w:pPr>
                  <w:r>
                    <w:rPr>
                      <w:b/>
                      <w:bCs/>
                      <w:color w:val="auto"/>
                      <w:kern w:val="0"/>
                      <w:szCs w:val="21"/>
                      <w:lang w:bidi="ar"/>
                    </w:rPr>
                    <w:t>因子</w:t>
                  </w:r>
                </w:p>
              </w:tc>
              <w:tc>
                <w:tcPr>
                  <w:tcW w:w="979" w:type="pct"/>
                  <w:tcBorders>
                    <w:top w:val="single" w:color="000000" w:sz="4" w:space="0"/>
                    <w:left w:val="single" w:color="000000" w:sz="4" w:space="0"/>
                    <w:bottom w:val="single" w:color="000000" w:sz="4" w:space="0"/>
                    <w:right w:val="single" w:color="000000" w:sz="4" w:space="0"/>
                  </w:tcBorders>
                  <w:vAlign w:val="center"/>
                </w:tcPr>
                <w:p w14:paraId="0FA815E7">
                  <w:pPr>
                    <w:widowControl/>
                    <w:jc w:val="center"/>
                    <w:textAlignment w:val="center"/>
                    <w:rPr>
                      <w:b/>
                      <w:bCs/>
                      <w:color w:val="auto"/>
                      <w:szCs w:val="21"/>
                    </w:rPr>
                  </w:pPr>
                  <w:r>
                    <w:rPr>
                      <w:b/>
                      <w:bCs/>
                      <w:color w:val="auto"/>
                      <w:kern w:val="0"/>
                      <w:szCs w:val="21"/>
                      <w:lang w:bidi="ar"/>
                    </w:rPr>
                    <w:t>核算环节</w:t>
                  </w:r>
                </w:p>
              </w:tc>
              <w:tc>
                <w:tcPr>
                  <w:tcW w:w="476" w:type="pct"/>
                  <w:tcBorders>
                    <w:top w:val="single" w:color="000000" w:sz="4" w:space="0"/>
                    <w:left w:val="single" w:color="000000" w:sz="4" w:space="0"/>
                    <w:bottom w:val="single" w:color="000000" w:sz="4" w:space="0"/>
                    <w:right w:val="single" w:color="000000" w:sz="4" w:space="0"/>
                  </w:tcBorders>
                  <w:vAlign w:val="center"/>
                </w:tcPr>
                <w:p w14:paraId="3E5CED39">
                  <w:pPr>
                    <w:widowControl/>
                    <w:jc w:val="center"/>
                    <w:textAlignment w:val="center"/>
                    <w:rPr>
                      <w:b/>
                      <w:bCs/>
                      <w:color w:val="auto"/>
                      <w:szCs w:val="21"/>
                    </w:rPr>
                  </w:pPr>
                  <w:r>
                    <w:rPr>
                      <w:b/>
                      <w:bCs/>
                      <w:color w:val="auto"/>
                      <w:kern w:val="0"/>
                      <w:szCs w:val="21"/>
                      <w:lang w:bidi="ar"/>
                    </w:rPr>
                    <w:t>单位</w:t>
                  </w:r>
                </w:p>
              </w:tc>
              <w:tc>
                <w:tcPr>
                  <w:tcW w:w="358" w:type="pct"/>
                  <w:tcBorders>
                    <w:top w:val="single" w:color="000000" w:sz="4" w:space="0"/>
                    <w:left w:val="single" w:color="000000" w:sz="4" w:space="0"/>
                    <w:bottom w:val="single" w:color="000000" w:sz="4" w:space="0"/>
                    <w:right w:val="single" w:color="000000" w:sz="4" w:space="0"/>
                  </w:tcBorders>
                  <w:vAlign w:val="center"/>
                </w:tcPr>
                <w:p w14:paraId="0E05874A">
                  <w:pPr>
                    <w:widowControl/>
                    <w:jc w:val="center"/>
                    <w:textAlignment w:val="center"/>
                    <w:rPr>
                      <w:b/>
                      <w:bCs/>
                      <w:color w:val="auto"/>
                      <w:szCs w:val="21"/>
                    </w:rPr>
                  </w:pPr>
                  <w:r>
                    <w:rPr>
                      <w:b/>
                      <w:bCs/>
                      <w:color w:val="auto"/>
                      <w:kern w:val="0"/>
                      <w:szCs w:val="21"/>
                      <w:lang w:bidi="ar"/>
                    </w:rPr>
                    <w:t>产污系数</w:t>
                  </w:r>
                </w:p>
              </w:tc>
              <w:tc>
                <w:tcPr>
                  <w:tcW w:w="482" w:type="pct"/>
                  <w:tcBorders>
                    <w:top w:val="single" w:color="000000" w:sz="4" w:space="0"/>
                    <w:left w:val="single" w:color="000000" w:sz="4" w:space="0"/>
                    <w:bottom w:val="single" w:color="000000" w:sz="4" w:space="0"/>
                    <w:right w:val="single" w:color="000000" w:sz="4" w:space="0"/>
                  </w:tcBorders>
                  <w:vAlign w:val="center"/>
                </w:tcPr>
                <w:p w14:paraId="0523E4B9">
                  <w:pPr>
                    <w:widowControl/>
                    <w:jc w:val="center"/>
                    <w:textAlignment w:val="center"/>
                    <w:rPr>
                      <w:b/>
                      <w:bCs/>
                      <w:color w:val="auto"/>
                      <w:kern w:val="0"/>
                      <w:szCs w:val="21"/>
                      <w:lang w:bidi="ar"/>
                    </w:rPr>
                  </w:pPr>
                  <w:r>
                    <w:rPr>
                      <w:rFonts w:hint="eastAsia"/>
                      <w:b/>
                      <w:bCs/>
                      <w:color w:val="auto"/>
                      <w:kern w:val="0"/>
                      <w:szCs w:val="21"/>
                      <w:lang w:bidi="ar"/>
                    </w:rPr>
                    <w:t>物料</w:t>
                  </w:r>
                </w:p>
                <w:p w14:paraId="4D0A4195">
                  <w:pPr>
                    <w:widowControl/>
                    <w:jc w:val="center"/>
                    <w:textAlignment w:val="center"/>
                    <w:rPr>
                      <w:b/>
                      <w:bCs/>
                      <w:color w:val="auto"/>
                      <w:szCs w:val="21"/>
                    </w:rPr>
                  </w:pPr>
                  <w:r>
                    <w:rPr>
                      <w:b/>
                      <w:bCs/>
                      <w:color w:val="auto"/>
                      <w:kern w:val="0"/>
                      <w:szCs w:val="21"/>
                      <w:lang w:bidi="ar"/>
                    </w:rPr>
                    <w:t>名称</w:t>
                  </w:r>
                </w:p>
              </w:tc>
              <w:tc>
                <w:tcPr>
                  <w:tcW w:w="472" w:type="pct"/>
                  <w:tcBorders>
                    <w:top w:val="single" w:color="000000" w:sz="4" w:space="0"/>
                    <w:left w:val="single" w:color="000000" w:sz="4" w:space="0"/>
                    <w:bottom w:val="single" w:color="000000" w:sz="4" w:space="0"/>
                    <w:right w:val="single" w:color="000000" w:sz="4" w:space="0"/>
                  </w:tcBorders>
                  <w:vAlign w:val="center"/>
                </w:tcPr>
                <w:p w14:paraId="1D82C9B2">
                  <w:pPr>
                    <w:widowControl/>
                    <w:jc w:val="center"/>
                    <w:textAlignment w:val="center"/>
                    <w:rPr>
                      <w:b/>
                      <w:bCs/>
                      <w:color w:val="auto"/>
                      <w:szCs w:val="21"/>
                    </w:rPr>
                  </w:pPr>
                  <w:r>
                    <w:rPr>
                      <w:b/>
                      <w:bCs/>
                      <w:color w:val="auto"/>
                      <w:kern w:val="0"/>
                      <w:szCs w:val="21"/>
                      <w:lang w:bidi="ar"/>
                    </w:rPr>
                    <w:t>用量t/a</w:t>
                  </w:r>
                </w:p>
              </w:tc>
              <w:tc>
                <w:tcPr>
                  <w:tcW w:w="640" w:type="pct"/>
                  <w:tcBorders>
                    <w:top w:val="single" w:color="000000" w:sz="4" w:space="0"/>
                    <w:left w:val="single" w:color="000000" w:sz="4" w:space="0"/>
                    <w:bottom w:val="single" w:color="000000" w:sz="4" w:space="0"/>
                    <w:right w:val="single" w:color="000000" w:sz="4" w:space="0"/>
                  </w:tcBorders>
                  <w:vAlign w:val="center"/>
                </w:tcPr>
                <w:p w14:paraId="3D807FF7">
                  <w:pPr>
                    <w:widowControl/>
                    <w:jc w:val="center"/>
                    <w:textAlignment w:val="center"/>
                    <w:rPr>
                      <w:b/>
                      <w:bCs/>
                      <w:color w:val="auto"/>
                      <w:szCs w:val="21"/>
                    </w:rPr>
                  </w:pPr>
                  <w:r>
                    <w:rPr>
                      <w:b/>
                      <w:bCs/>
                      <w:color w:val="auto"/>
                      <w:kern w:val="0"/>
                      <w:szCs w:val="21"/>
                      <w:lang w:bidi="ar"/>
                    </w:rPr>
                    <w:t>取产污系数比例</w:t>
                  </w:r>
                </w:p>
              </w:tc>
              <w:tc>
                <w:tcPr>
                  <w:tcW w:w="692" w:type="pct"/>
                  <w:tcBorders>
                    <w:top w:val="single" w:color="000000" w:sz="4" w:space="0"/>
                    <w:left w:val="single" w:color="000000" w:sz="4" w:space="0"/>
                    <w:bottom w:val="single" w:color="000000" w:sz="4" w:space="0"/>
                    <w:right w:val="single" w:color="000000" w:sz="4" w:space="0"/>
                  </w:tcBorders>
                  <w:vAlign w:val="center"/>
                </w:tcPr>
                <w:p w14:paraId="05B9F975">
                  <w:pPr>
                    <w:widowControl/>
                    <w:jc w:val="center"/>
                    <w:textAlignment w:val="center"/>
                    <w:rPr>
                      <w:b/>
                      <w:bCs/>
                      <w:color w:val="auto"/>
                      <w:szCs w:val="21"/>
                    </w:rPr>
                  </w:pPr>
                  <w:r>
                    <w:rPr>
                      <w:b/>
                      <w:bCs/>
                      <w:color w:val="auto"/>
                      <w:kern w:val="0"/>
                      <w:szCs w:val="21"/>
                      <w:lang w:bidi="ar"/>
                    </w:rPr>
                    <w:t>项目产生量t/a</w:t>
                  </w:r>
                </w:p>
              </w:tc>
            </w:tr>
            <w:tr w14:paraId="368C20BB">
              <w:tblPrEx>
                <w:tblCellMar>
                  <w:top w:w="0" w:type="dxa"/>
                  <w:left w:w="108" w:type="dxa"/>
                  <w:bottom w:w="0" w:type="dxa"/>
                  <w:right w:w="108" w:type="dxa"/>
                </w:tblCellMar>
              </w:tblPrEx>
              <w:trPr>
                <w:trHeight w:val="270" w:hRule="atLeast"/>
              </w:trPr>
              <w:tc>
                <w:tcPr>
                  <w:tcW w:w="442" w:type="pct"/>
                  <w:vMerge w:val="restart"/>
                  <w:tcBorders>
                    <w:top w:val="single" w:color="000000" w:sz="4" w:space="0"/>
                    <w:left w:val="single" w:color="000000" w:sz="4" w:space="0"/>
                    <w:right w:val="single" w:color="000000" w:sz="4" w:space="0"/>
                  </w:tcBorders>
                  <w:vAlign w:val="center"/>
                </w:tcPr>
                <w:p w14:paraId="02177DE6">
                  <w:pPr>
                    <w:widowControl/>
                    <w:jc w:val="center"/>
                    <w:textAlignment w:val="center"/>
                    <w:rPr>
                      <w:color w:val="auto"/>
                      <w:szCs w:val="21"/>
                    </w:rPr>
                  </w:pPr>
                  <w:r>
                    <w:rPr>
                      <w:rFonts w:hint="eastAsia"/>
                      <w:color w:val="auto"/>
                      <w:szCs w:val="21"/>
                    </w:rPr>
                    <w:t>除油废槽液</w:t>
                  </w:r>
                </w:p>
              </w:tc>
              <w:tc>
                <w:tcPr>
                  <w:tcW w:w="454" w:type="pct"/>
                  <w:tcBorders>
                    <w:top w:val="single" w:color="000000" w:sz="4" w:space="0"/>
                    <w:left w:val="single" w:color="000000" w:sz="4" w:space="0"/>
                    <w:bottom w:val="single" w:color="auto" w:sz="4" w:space="0"/>
                    <w:right w:val="single" w:color="000000" w:sz="4" w:space="0"/>
                  </w:tcBorders>
                  <w:vAlign w:val="center"/>
                </w:tcPr>
                <w:p w14:paraId="5A458B30">
                  <w:pPr>
                    <w:widowControl/>
                    <w:jc w:val="center"/>
                    <w:textAlignment w:val="center"/>
                    <w:rPr>
                      <w:color w:val="auto"/>
                      <w:kern w:val="0"/>
                      <w:szCs w:val="21"/>
                      <w:lang w:bidi="ar"/>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979" w:type="pct"/>
                  <w:tcBorders>
                    <w:top w:val="single" w:color="000000" w:sz="4" w:space="0"/>
                    <w:left w:val="single" w:color="000000" w:sz="4" w:space="0"/>
                    <w:bottom w:val="single" w:color="000000" w:sz="4" w:space="0"/>
                    <w:right w:val="single" w:color="000000" w:sz="4" w:space="0"/>
                  </w:tcBorders>
                  <w:vAlign w:val="center"/>
                </w:tcPr>
                <w:p w14:paraId="38F997D7">
                  <w:pPr>
                    <w:widowControl/>
                    <w:jc w:val="center"/>
                    <w:textAlignment w:val="center"/>
                    <w:rPr>
                      <w:color w:val="auto"/>
                      <w:szCs w:val="21"/>
                    </w:rPr>
                  </w:pPr>
                  <w:r>
                    <w:rPr>
                      <w:color w:val="auto"/>
                      <w:kern w:val="0"/>
                      <w:szCs w:val="21"/>
                      <w:lang w:bidi="ar"/>
                    </w:rPr>
                    <w:t>07</w:t>
                  </w:r>
                  <w:r>
                    <w:rPr>
                      <w:rFonts w:hint="eastAsia" w:ascii="宋体" w:hAnsi="宋体" w:cs="宋体"/>
                      <w:color w:val="auto"/>
                      <w:kern w:val="0"/>
                      <w:szCs w:val="21"/>
                      <w:lang w:bidi="ar"/>
                    </w:rPr>
                    <w:t>机械加工</w:t>
                  </w:r>
                  <w:r>
                    <w:rPr>
                      <w:color w:val="auto"/>
                      <w:kern w:val="0"/>
                      <w:szCs w:val="21"/>
                      <w:lang w:bidi="ar"/>
                    </w:rPr>
                    <w:t>-</w:t>
                  </w:r>
                  <w:r>
                    <w:rPr>
                      <w:rFonts w:hint="eastAsia" w:ascii="宋体" w:hAnsi="宋体" w:cs="宋体"/>
                      <w:color w:val="auto"/>
                      <w:kern w:val="0"/>
                      <w:szCs w:val="21"/>
                      <w:lang w:bidi="ar"/>
                    </w:rPr>
                    <w:t>机械加工工段</w:t>
                  </w:r>
                  <w:r>
                    <w:rPr>
                      <w:color w:val="auto"/>
                      <w:kern w:val="0"/>
                      <w:szCs w:val="21"/>
                      <w:lang w:bidi="ar"/>
                    </w:rPr>
                    <w:t>-</w:t>
                  </w:r>
                  <w:r>
                    <w:rPr>
                      <w:rFonts w:hint="eastAsia" w:ascii="宋体" w:hAnsi="宋体" w:cs="宋体"/>
                      <w:color w:val="auto"/>
                      <w:kern w:val="0"/>
                      <w:szCs w:val="21"/>
                      <w:lang w:bidi="ar"/>
                    </w:rPr>
                    <w:t>清洗件</w:t>
                  </w:r>
                  <w:r>
                    <w:rPr>
                      <w:color w:val="auto"/>
                      <w:kern w:val="0"/>
                      <w:szCs w:val="21"/>
                      <w:lang w:bidi="ar"/>
                    </w:rPr>
                    <w:t>-</w:t>
                  </w:r>
                  <w:r>
                    <w:rPr>
                      <w:rFonts w:hint="eastAsia" w:ascii="宋体" w:hAnsi="宋体" w:cs="宋体"/>
                      <w:color w:val="auto"/>
                      <w:kern w:val="0"/>
                      <w:szCs w:val="21"/>
                      <w:lang w:bidi="ar"/>
                    </w:rPr>
                    <w:t>加工件清洗</w:t>
                  </w:r>
                </w:p>
              </w:tc>
              <w:tc>
                <w:tcPr>
                  <w:tcW w:w="476" w:type="pct"/>
                  <w:tcBorders>
                    <w:top w:val="single" w:color="000000" w:sz="4" w:space="0"/>
                    <w:left w:val="single" w:color="000000" w:sz="4" w:space="0"/>
                    <w:bottom w:val="single" w:color="000000" w:sz="4" w:space="0"/>
                    <w:right w:val="single" w:color="000000" w:sz="4" w:space="0"/>
                  </w:tcBorders>
                  <w:vAlign w:val="center"/>
                </w:tcPr>
                <w:p w14:paraId="5A42F70F">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58" w:type="pct"/>
                  <w:tcBorders>
                    <w:top w:val="single" w:color="000000" w:sz="4" w:space="0"/>
                    <w:left w:val="single" w:color="000000" w:sz="4" w:space="0"/>
                    <w:bottom w:val="single" w:color="000000" w:sz="4" w:space="0"/>
                    <w:right w:val="single" w:color="000000" w:sz="4" w:space="0"/>
                  </w:tcBorders>
                  <w:vAlign w:val="center"/>
                </w:tcPr>
                <w:p w14:paraId="560CE020">
                  <w:pPr>
                    <w:widowControl/>
                    <w:jc w:val="center"/>
                    <w:textAlignment w:val="center"/>
                    <w:rPr>
                      <w:color w:val="auto"/>
                      <w:szCs w:val="21"/>
                    </w:rPr>
                  </w:pPr>
                  <w:r>
                    <w:rPr>
                      <w:color w:val="auto"/>
                      <w:kern w:val="0"/>
                      <w:szCs w:val="21"/>
                      <w:lang w:bidi="ar"/>
                    </w:rPr>
                    <w:t>58.5</w:t>
                  </w:r>
                </w:p>
              </w:tc>
              <w:tc>
                <w:tcPr>
                  <w:tcW w:w="482" w:type="pct"/>
                  <w:tcBorders>
                    <w:top w:val="single" w:color="000000" w:sz="4" w:space="0"/>
                    <w:left w:val="single" w:color="000000" w:sz="4" w:space="0"/>
                    <w:bottom w:val="single" w:color="000000" w:sz="4" w:space="0"/>
                    <w:right w:val="single" w:color="000000" w:sz="4" w:space="0"/>
                  </w:tcBorders>
                  <w:vAlign w:val="center"/>
                </w:tcPr>
                <w:p w14:paraId="46FF181F">
                  <w:pPr>
                    <w:widowControl/>
                    <w:jc w:val="center"/>
                    <w:textAlignment w:val="center"/>
                    <w:rPr>
                      <w:color w:val="auto"/>
                      <w:szCs w:val="21"/>
                    </w:rPr>
                  </w:pPr>
                  <w:r>
                    <w:rPr>
                      <w:rFonts w:hint="eastAsia" w:ascii="宋体" w:hAnsi="宋体" w:cs="宋体"/>
                      <w:color w:val="auto"/>
                      <w:kern w:val="0"/>
                      <w:szCs w:val="21"/>
                      <w:lang w:bidi="ar"/>
                    </w:rPr>
                    <w:t>除油粉</w:t>
                  </w:r>
                </w:p>
              </w:tc>
              <w:tc>
                <w:tcPr>
                  <w:tcW w:w="472" w:type="pct"/>
                  <w:tcBorders>
                    <w:top w:val="single" w:color="000000" w:sz="4" w:space="0"/>
                    <w:left w:val="single" w:color="000000" w:sz="4" w:space="0"/>
                    <w:bottom w:val="single" w:color="000000" w:sz="4" w:space="0"/>
                    <w:right w:val="single" w:color="000000" w:sz="4" w:space="0"/>
                  </w:tcBorders>
                  <w:vAlign w:val="center"/>
                </w:tcPr>
                <w:p w14:paraId="434D37B3">
                  <w:pPr>
                    <w:widowControl/>
                    <w:jc w:val="center"/>
                    <w:textAlignment w:val="center"/>
                    <w:rPr>
                      <w:color w:val="auto"/>
                      <w:szCs w:val="21"/>
                    </w:rPr>
                  </w:pPr>
                  <w:r>
                    <w:rPr>
                      <w:rFonts w:hint="eastAsia"/>
                      <w:color w:val="auto"/>
                      <w:kern w:val="0"/>
                      <w:szCs w:val="21"/>
                      <w:lang w:bidi="ar"/>
                    </w:rPr>
                    <w:t>0.6</w:t>
                  </w:r>
                </w:p>
              </w:tc>
              <w:tc>
                <w:tcPr>
                  <w:tcW w:w="640" w:type="pct"/>
                  <w:tcBorders>
                    <w:top w:val="single" w:color="000000" w:sz="4" w:space="0"/>
                    <w:left w:val="single" w:color="000000" w:sz="4" w:space="0"/>
                    <w:bottom w:val="single" w:color="000000" w:sz="4" w:space="0"/>
                    <w:right w:val="single" w:color="000000" w:sz="4" w:space="0"/>
                  </w:tcBorders>
                  <w:vAlign w:val="center"/>
                </w:tcPr>
                <w:p w14:paraId="045EB116">
                  <w:pPr>
                    <w:widowControl/>
                    <w:jc w:val="center"/>
                    <w:textAlignment w:val="center"/>
                    <w:rPr>
                      <w:color w:val="auto"/>
                      <w:szCs w:val="21"/>
                    </w:rPr>
                  </w:pPr>
                  <w:r>
                    <w:rPr>
                      <w:color w:val="auto"/>
                      <w:kern w:val="0"/>
                      <w:szCs w:val="21"/>
                      <w:lang w:bidi="ar"/>
                    </w:rPr>
                    <w:t>100%</w:t>
                  </w:r>
                </w:p>
              </w:tc>
              <w:tc>
                <w:tcPr>
                  <w:tcW w:w="692" w:type="pct"/>
                  <w:tcBorders>
                    <w:top w:val="single" w:color="000000" w:sz="4" w:space="0"/>
                    <w:left w:val="single" w:color="000000" w:sz="4" w:space="0"/>
                    <w:bottom w:val="single" w:color="000000" w:sz="4" w:space="0"/>
                    <w:right w:val="single" w:color="000000" w:sz="4" w:space="0"/>
                  </w:tcBorders>
                  <w:vAlign w:val="center"/>
                </w:tcPr>
                <w:p w14:paraId="3FBC516A">
                  <w:pPr>
                    <w:widowControl/>
                    <w:jc w:val="center"/>
                    <w:textAlignment w:val="center"/>
                    <w:rPr>
                      <w:color w:val="auto"/>
                      <w:kern w:val="0"/>
                      <w:szCs w:val="21"/>
                      <w:lang w:bidi="ar"/>
                    </w:rPr>
                  </w:pPr>
                  <w:r>
                    <w:rPr>
                      <w:color w:val="auto"/>
                      <w:kern w:val="0"/>
                      <w:szCs w:val="21"/>
                      <w:lang w:bidi="ar"/>
                    </w:rPr>
                    <w:t>0.0351</w:t>
                  </w:r>
                </w:p>
              </w:tc>
            </w:tr>
            <w:tr w14:paraId="4C05C9EE">
              <w:tblPrEx>
                <w:tblCellMar>
                  <w:top w:w="0" w:type="dxa"/>
                  <w:left w:w="108" w:type="dxa"/>
                  <w:bottom w:w="0" w:type="dxa"/>
                  <w:right w:w="108" w:type="dxa"/>
                </w:tblCellMar>
              </w:tblPrEx>
              <w:trPr>
                <w:trHeight w:val="270" w:hRule="atLeast"/>
              </w:trPr>
              <w:tc>
                <w:tcPr>
                  <w:tcW w:w="442" w:type="pct"/>
                  <w:vMerge w:val="continue"/>
                  <w:tcBorders>
                    <w:left w:val="single" w:color="000000" w:sz="4" w:space="0"/>
                    <w:bottom w:val="single" w:color="auto" w:sz="4" w:space="0"/>
                    <w:right w:val="single" w:color="000000" w:sz="4" w:space="0"/>
                  </w:tcBorders>
                  <w:vAlign w:val="center"/>
                </w:tcPr>
                <w:p w14:paraId="38D07BE1">
                  <w:pPr>
                    <w:widowControl/>
                    <w:jc w:val="center"/>
                    <w:textAlignment w:val="center"/>
                    <w:rPr>
                      <w:color w:val="auto"/>
                      <w:szCs w:val="21"/>
                    </w:rPr>
                  </w:pPr>
                </w:p>
              </w:tc>
              <w:tc>
                <w:tcPr>
                  <w:tcW w:w="454" w:type="pct"/>
                  <w:tcBorders>
                    <w:top w:val="single" w:color="000000" w:sz="4" w:space="0"/>
                    <w:left w:val="single" w:color="000000" w:sz="4" w:space="0"/>
                    <w:bottom w:val="single" w:color="auto" w:sz="4" w:space="0"/>
                    <w:right w:val="single" w:color="000000" w:sz="4" w:space="0"/>
                  </w:tcBorders>
                  <w:vAlign w:val="center"/>
                </w:tcPr>
                <w:p w14:paraId="312D2754">
                  <w:pPr>
                    <w:widowControl/>
                    <w:jc w:val="center"/>
                    <w:textAlignment w:val="center"/>
                    <w:rPr>
                      <w:color w:val="auto"/>
                      <w:kern w:val="0"/>
                      <w:szCs w:val="21"/>
                      <w:lang w:bidi="ar"/>
                    </w:rPr>
                  </w:pPr>
                  <w:r>
                    <w:rPr>
                      <w:rFonts w:hint="eastAsia"/>
                      <w:color w:val="auto"/>
                      <w:kern w:val="0"/>
                      <w:szCs w:val="21"/>
                      <w:lang w:bidi="ar"/>
                    </w:rPr>
                    <w:t>石油类</w:t>
                  </w:r>
                </w:p>
              </w:tc>
              <w:tc>
                <w:tcPr>
                  <w:tcW w:w="979" w:type="pct"/>
                  <w:tcBorders>
                    <w:top w:val="single" w:color="000000" w:sz="4" w:space="0"/>
                    <w:left w:val="single" w:color="000000" w:sz="4" w:space="0"/>
                    <w:bottom w:val="single" w:color="auto" w:sz="4" w:space="0"/>
                    <w:right w:val="single" w:color="000000" w:sz="4" w:space="0"/>
                  </w:tcBorders>
                  <w:vAlign w:val="center"/>
                </w:tcPr>
                <w:p w14:paraId="2C4A8B06">
                  <w:pPr>
                    <w:widowControl/>
                    <w:jc w:val="center"/>
                    <w:textAlignment w:val="center"/>
                    <w:rPr>
                      <w:color w:val="auto"/>
                      <w:szCs w:val="21"/>
                    </w:rPr>
                  </w:pPr>
                  <w:r>
                    <w:rPr>
                      <w:color w:val="auto"/>
                      <w:kern w:val="0"/>
                      <w:szCs w:val="21"/>
                      <w:lang w:bidi="ar"/>
                    </w:rPr>
                    <w:t>07</w:t>
                  </w:r>
                  <w:r>
                    <w:rPr>
                      <w:rFonts w:hint="eastAsia" w:ascii="宋体" w:hAnsi="宋体" w:cs="宋体"/>
                      <w:color w:val="auto"/>
                      <w:kern w:val="0"/>
                      <w:szCs w:val="21"/>
                      <w:lang w:bidi="ar"/>
                    </w:rPr>
                    <w:t>机械加工</w:t>
                  </w:r>
                  <w:r>
                    <w:rPr>
                      <w:color w:val="auto"/>
                      <w:kern w:val="0"/>
                      <w:szCs w:val="21"/>
                      <w:lang w:bidi="ar"/>
                    </w:rPr>
                    <w:t>-</w:t>
                  </w:r>
                  <w:r>
                    <w:rPr>
                      <w:rFonts w:hint="eastAsia" w:ascii="宋体" w:hAnsi="宋体" w:cs="宋体"/>
                      <w:color w:val="auto"/>
                      <w:kern w:val="0"/>
                      <w:szCs w:val="21"/>
                      <w:lang w:bidi="ar"/>
                    </w:rPr>
                    <w:t>机械加工工段</w:t>
                  </w:r>
                  <w:r>
                    <w:rPr>
                      <w:color w:val="auto"/>
                      <w:kern w:val="0"/>
                      <w:szCs w:val="21"/>
                      <w:lang w:bidi="ar"/>
                    </w:rPr>
                    <w:t>-</w:t>
                  </w:r>
                  <w:r>
                    <w:rPr>
                      <w:rFonts w:hint="eastAsia" w:ascii="宋体" w:hAnsi="宋体" w:cs="宋体"/>
                      <w:color w:val="auto"/>
                      <w:kern w:val="0"/>
                      <w:szCs w:val="21"/>
                      <w:lang w:bidi="ar"/>
                    </w:rPr>
                    <w:t>清洗件</w:t>
                  </w:r>
                  <w:r>
                    <w:rPr>
                      <w:color w:val="auto"/>
                      <w:kern w:val="0"/>
                      <w:szCs w:val="21"/>
                      <w:lang w:bidi="ar"/>
                    </w:rPr>
                    <w:t>-</w:t>
                  </w:r>
                  <w:r>
                    <w:rPr>
                      <w:rFonts w:hint="eastAsia" w:ascii="宋体" w:hAnsi="宋体" w:cs="宋体"/>
                      <w:color w:val="auto"/>
                      <w:kern w:val="0"/>
                      <w:szCs w:val="21"/>
                      <w:lang w:bidi="ar"/>
                    </w:rPr>
                    <w:t>加工件清洗</w:t>
                  </w:r>
                </w:p>
              </w:tc>
              <w:tc>
                <w:tcPr>
                  <w:tcW w:w="476" w:type="pct"/>
                  <w:tcBorders>
                    <w:top w:val="single" w:color="000000" w:sz="4" w:space="0"/>
                    <w:left w:val="single" w:color="000000" w:sz="4" w:space="0"/>
                    <w:bottom w:val="single" w:color="auto" w:sz="4" w:space="0"/>
                    <w:right w:val="single" w:color="000000" w:sz="4" w:space="0"/>
                  </w:tcBorders>
                  <w:vAlign w:val="center"/>
                </w:tcPr>
                <w:p w14:paraId="42C41FE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58" w:type="pct"/>
                  <w:tcBorders>
                    <w:top w:val="single" w:color="000000" w:sz="4" w:space="0"/>
                    <w:left w:val="single" w:color="000000" w:sz="4" w:space="0"/>
                    <w:bottom w:val="single" w:color="auto" w:sz="4" w:space="0"/>
                    <w:right w:val="single" w:color="000000" w:sz="4" w:space="0"/>
                  </w:tcBorders>
                  <w:vAlign w:val="center"/>
                </w:tcPr>
                <w:p w14:paraId="79098A28">
                  <w:pPr>
                    <w:widowControl/>
                    <w:jc w:val="center"/>
                    <w:textAlignment w:val="center"/>
                    <w:rPr>
                      <w:color w:val="auto"/>
                      <w:szCs w:val="21"/>
                    </w:rPr>
                  </w:pPr>
                  <w:r>
                    <w:rPr>
                      <w:color w:val="auto"/>
                      <w:kern w:val="0"/>
                      <w:szCs w:val="21"/>
                      <w:lang w:bidi="ar"/>
                    </w:rPr>
                    <w:t>19.5</w:t>
                  </w:r>
                </w:p>
              </w:tc>
              <w:tc>
                <w:tcPr>
                  <w:tcW w:w="482" w:type="pct"/>
                  <w:tcBorders>
                    <w:top w:val="single" w:color="000000" w:sz="4" w:space="0"/>
                    <w:left w:val="single" w:color="000000" w:sz="4" w:space="0"/>
                    <w:bottom w:val="single" w:color="auto" w:sz="4" w:space="0"/>
                    <w:right w:val="single" w:color="000000" w:sz="4" w:space="0"/>
                  </w:tcBorders>
                  <w:vAlign w:val="center"/>
                </w:tcPr>
                <w:p w14:paraId="7E06102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除油粉</w:t>
                  </w:r>
                </w:p>
              </w:tc>
              <w:tc>
                <w:tcPr>
                  <w:tcW w:w="472" w:type="pct"/>
                  <w:tcBorders>
                    <w:top w:val="single" w:color="000000" w:sz="4" w:space="0"/>
                    <w:left w:val="single" w:color="000000" w:sz="4" w:space="0"/>
                    <w:bottom w:val="single" w:color="auto" w:sz="4" w:space="0"/>
                    <w:right w:val="single" w:color="000000" w:sz="4" w:space="0"/>
                  </w:tcBorders>
                  <w:vAlign w:val="center"/>
                </w:tcPr>
                <w:p w14:paraId="49A75AB3">
                  <w:pPr>
                    <w:widowControl/>
                    <w:jc w:val="center"/>
                    <w:textAlignment w:val="center"/>
                    <w:rPr>
                      <w:color w:val="auto"/>
                      <w:szCs w:val="21"/>
                    </w:rPr>
                  </w:pPr>
                  <w:r>
                    <w:rPr>
                      <w:rFonts w:hint="eastAsia"/>
                      <w:color w:val="auto"/>
                      <w:kern w:val="0"/>
                      <w:szCs w:val="21"/>
                      <w:lang w:bidi="ar"/>
                    </w:rPr>
                    <w:t>0.6</w:t>
                  </w:r>
                </w:p>
              </w:tc>
              <w:tc>
                <w:tcPr>
                  <w:tcW w:w="640" w:type="pct"/>
                  <w:tcBorders>
                    <w:top w:val="single" w:color="000000" w:sz="4" w:space="0"/>
                    <w:left w:val="single" w:color="000000" w:sz="4" w:space="0"/>
                    <w:bottom w:val="single" w:color="auto" w:sz="4" w:space="0"/>
                    <w:right w:val="single" w:color="000000" w:sz="4" w:space="0"/>
                  </w:tcBorders>
                  <w:vAlign w:val="center"/>
                </w:tcPr>
                <w:p w14:paraId="344F6277">
                  <w:pPr>
                    <w:widowControl/>
                    <w:jc w:val="center"/>
                    <w:textAlignment w:val="center"/>
                    <w:rPr>
                      <w:color w:val="auto"/>
                      <w:szCs w:val="21"/>
                    </w:rPr>
                  </w:pPr>
                  <w:r>
                    <w:rPr>
                      <w:color w:val="auto"/>
                      <w:kern w:val="0"/>
                      <w:szCs w:val="21"/>
                      <w:lang w:bidi="ar"/>
                    </w:rPr>
                    <w:t>100%</w:t>
                  </w:r>
                </w:p>
              </w:tc>
              <w:tc>
                <w:tcPr>
                  <w:tcW w:w="692" w:type="pct"/>
                  <w:tcBorders>
                    <w:top w:val="single" w:color="000000" w:sz="4" w:space="0"/>
                    <w:left w:val="single" w:color="000000" w:sz="4" w:space="0"/>
                    <w:bottom w:val="single" w:color="auto" w:sz="4" w:space="0"/>
                    <w:right w:val="single" w:color="000000" w:sz="4" w:space="0"/>
                  </w:tcBorders>
                  <w:vAlign w:val="center"/>
                </w:tcPr>
                <w:p w14:paraId="6481361C">
                  <w:pPr>
                    <w:widowControl/>
                    <w:jc w:val="center"/>
                    <w:textAlignment w:val="center"/>
                    <w:rPr>
                      <w:color w:val="auto"/>
                      <w:kern w:val="0"/>
                      <w:szCs w:val="21"/>
                      <w:lang w:bidi="ar"/>
                    </w:rPr>
                  </w:pPr>
                  <w:r>
                    <w:rPr>
                      <w:color w:val="auto"/>
                      <w:kern w:val="0"/>
                      <w:szCs w:val="21"/>
                      <w:lang w:bidi="ar"/>
                    </w:rPr>
                    <w:t>0.0117</w:t>
                  </w:r>
                </w:p>
              </w:tc>
            </w:tr>
            <w:tr w14:paraId="7FDEE9E0">
              <w:tblPrEx>
                <w:tblCellMar>
                  <w:top w:w="0" w:type="dxa"/>
                  <w:left w:w="108" w:type="dxa"/>
                  <w:bottom w:w="0" w:type="dxa"/>
                  <w:right w:w="108" w:type="dxa"/>
                </w:tblCellMar>
              </w:tblPrEx>
              <w:trPr>
                <w:trHeight w:val="680" w:hRule="atLeast"/>
              </w:trPr>
              <w:tc>
                <w:tcPr>
                  <w:tcW w:w="442" w:type="pct"/>
                  <w:vMerge w:val="restart"/>
                  <w:tcBorders>
                    <w:top w:val="single" w:color="auto" w:sz="4" w:space="0"/>
                    <w:left w:val="single" w:color="auto" w:sz="4" w:space="0"/>
                    <w:bottom w:val="single" w:color="auto" w:sz="4" w:space="0"/>
                    <w:right w:val="single" w:color="auto" w:sz="4" w:space="0"/>
                  </w:tcBorders>
                  <w:vAlign w:val="center"/>
                </w:tcPr>
                <w:p w14:paraId="15208FAC">
                  <w:pPr>
                    <w:widowControl/>
                    <w:jc w:val="center"/>
                    <w:textAlignment w:val="center"/>
                    <w:rPr>
                      <w:color w:val="auto"/>
                      <w:szCs w:val="21"/>
                    </w:rPr>
                  </w:pPr>
                  <w:r>
                    <w:rPr>
                      <w:rFonts w:hint="eastAsia"/>
                      <w:color w:val="auto"/>
                      <w:szCs w:val="21"/>
                    </w:rPr>
                    <w:t>脱脂废槽液</w:t>
                  </w:r>
                </w:p>
              </w:tc>
              <w:tc>
                <w:tcPr>
                  <w:tcW w:w="454" w:type="pct"/>
                  <w:tcBorders>
                    <w:top w:val="single" w:color="auto" w:sz="4" w:space="0"/>
                    <w:left w:val="single" w:color="auto" w:sz="4" w:space="0"/>
                    <w:bottom w:val="single" w:color="auto" w:sz="4" w:space="0"/>
                    <w:right w:val="single" w:color="auto" w:sz="4" w:space="0"/>
                  </w:tcBorders>
                  <w:vAlign w:val="center"/>
                </w:tcPr>
                <w:p w14:paraId="1D3475A7">
                  <w:pPr>
                    <w:widowControl/>
                    <w:jc w:val="center"/>
                    <w:textAlignment w:val="center"/>
                    <w:rPr>
                      <w:color w:val="auto"/>
                      <w:szCs w:val="21"/>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979" w:type="pct"/>
                  <w:tcBorders>
                    <w:top w:val="single" w:color="auto" w:sz="4" w:space="0"/>
                    <w:left w:val="single" w:color="auto" w:sz="4" w:space="0"/>
                    <w:bottom w:val="single" w:color="auto" w:sz="4" w:space="0"/>
                    <w:right w:val="single" w:color="auto" w:sz="4" w:space="0"/>
                  </w:tcBorders>
                  <w:vAlign w:val="center"/>
                </w:tcPr>
                <w:p w14:paraId="00925C0B">
                  <w:pPr>
                    <w:widowControl/>
                    <w:jc w:val="center"/>
                    <w:textAlignment w:val="center"/>
                    <w:rPr>
                      <w:color w:val="auto"/>
                      <w:szCs w:val="21"/>
                    </w:rPr>
                  </w:pPr>
                  <w:r>
                    <w:rPr>
                      <w:color w:val="auto"/>
                      <w:kern w:val="0"/>
                      <w:szCs w:val="21"/>
                      <w:lang w:bidi="ar"/>
                    </w:rPr>
                    <w:t>06</w:t>
                  </w:r>
                  <w:r>
                    <w:rPr>
                      <w:rFonts w:hint="eastAsia" w:ascii="宋体" w:hAnsi="宋体" w:cs="宋体"/>
                      <w:color w:val="auto"/>
                      <w:kern w:val="0"/>
                      <w:szCs w:val="21"/>
                      <w:lang w:bidi="ar"/>
                    </w:rPr>
                    <w:t>预处理</w:t>
                  </w:r>
                  <w:r>
                    <w:rPr>
                      <w:color w:val="auto"/>
                      <w:kern w:val="0"/>
                      <w:szCs w:val="21"/>
                      <w:lang w:bidi="ar"/>
                    </w:rPr>
                    <w:t>-</w:t>
                  </w:r>
                  <w:r>
                    <w:rPr>
                      <w:rFonts w:hint="eastAsia" w:ascii="宋体" w:hAnsi="宋体" w:cs="宋体"/>
                      <w:color w:val="auto"/>
                      <w:kern w:val="0"/>
                      <w:szCs w:val="21"/>
                      <w:lang w:bidi="ar"/>
                    </w:rPr>
                    <w:t>预处理工段</w:t>
                  </w:r>
                  <w:r>
                    <w:rPr>
                      <w:color w:val="auto"/>
                      <w:kern w:val="0"/>
                      <w:szCs w:val="21"/>
                      <w:lang w:bidi="ar"/>
                    </w:rPr>
                    <w:t>-</w:t>
                  </w:r>
                  <w:r>
                    <w:rPr>
                      <w:rFonts w:hint="eastAsia" w:ascii="宋体" w:hAnsi="宋体" w:cs="宋体"/>
                      <w:color w:val="auto"/>
                      <w:kern w:val="0"/>
                      <w:szCs w:val="21"/>
                      <w:lang w:bidi="ar"/>
                    </w:rPr>
                    <w:t>脱脂剂</w:t>
                  </w:r>
                  <w:r>
                    <w:rPr>
                      <w:color w:val="auto"/>
                      <w:kern w:val="0"/>
                      <w:szCs w:val="21"/>
                      <w:lang w:bidi="ar"/>
                    </w:rPr>
                    <w:t>-</w:t>
                  </w:r>
                  <w:r>
                    <w:rPr>
                      <w:rFonts w:hint="eastAsia" w:ascii="宋体" w:hAnsi="宋体" w:cs="宋体"/>
                      <w:color w:val="auto"/>
                      <w:kern w:val="0"/>
                      <w:szCs w:val="21"/>
                      <w:lang w:bidi="ar"/>
                    </w:rPr>
                    <w:t>脱脂</w:t>
                  </w:r>
                </w:p>
              </w:tc>
              <w:tc>
                <w:tcPr>
                  <w:tcW w:w="476" w:type="pct"/>
                  <w:tcBorders>
                    <w:top w:val="single" w:color="auto" w:sz="4" w:space="0"/>
                    <w:left w:val="single" w:color="auto" w:sz="4" w:space="0"/>
                    <w:bottom w:val="single" w:color="auto" w:sz="4" w:space="0"/>
                    <w:right w:val="single" w:color="auto" w:sz="4" w:space="0"/>
                  </w:tcBorders>
                  <w:vAlign w:val="center"/>
                </w:tcPr>
                <w:p w14:paraId="09E1B358">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58" w:type="pct"/>
                  <w:tcBorders>
                    <w:top w:val="single" w:color="auto" w:sz="4" w:space="0"/>
                    <w:left w:val="single" w:color="auto" w:sz="4" w:space="0"/>
                    <w:bottom w:val="single" w:color="auto" w:sz="4" w:space="0"/>
                    <w:right w:val="single" w:color="auto" w:sz="4" w:space="0"/>
                  </w:tcBorders>
                  <w:vAlign w:val="center"/>
                </w:tcPr>
                <w:p w14:paraId="32A9E3EE">
                  <w:pPr>
                    <w:widowControl/>
                    <w:jc w:val="center"/>
                    <w:textAlignment w:val="center"/>
                    <w:rPr>
                      <w:color w:val="auto"/>
                      <w:szCs w:val="21"/>
                    </w:rPr>
                  </w:pPr>
                  <w:r>
                    <w:rPr>
                      <w:color w:val="auto"/>
                      <w:kern w:val="0"/>
                      <w:szCs w:val="21"/>
                      <w:lang w:bidi="ar"/>
                    </w:rPr>
                    <w:t>714</w:t>
                  </w:r>
                </w:p>
              </w:tc>
              <w:tc>
                <w:tcPr>
                  <w:tcW w:w="482" w:type="pct"/>
                  <w:tcBorders>
                    <w:top w:val="single" w:color="auto" w:sz="4" w:space="0"/>
                    <w:left w:val="single" w:color="auto" w:sz="4" w:space="0"/>
                    <w:bottom w:val="single" w:color="auto" w:sz="4" w:space="0"/>
                    <w:right w:val="single" w:color="auto" w:sz="4" w:space="0"/>
                  </w:tcBorders>
                  <w:vAlign w:val="center"/>
                </w:tcPr>
                <w:p w14:paraId="3A99DFD7">
                  <w:pPr>
                    <w:widowControl/>
                    <w:jc w:val="center"/>
                    <w:textAlignment w:val="center"/>
                    <w:rPr>
                      <w:color w:val="auto"/>
                      <w:szCs w:val="21"/>
                    </w:rPr>
                  </w:pPr>
                  <w:r>
                    <w:rPr>
                      <w:rFonts w:hint="eastAsia" w:ascii="宋体" w:hAnsi="宋体" w:cs="宋体"/>
                      <w:color w:val="auto"/>
                      <w:kern w:val="0"/>
                      <w:szCs w:val="21"/>
                      <w:lang w:bidi="ar"/>
                    </w:rPr>
                    <w:t>脱脂剂</w:t>
                  </w:r>
                </w:p>
              </w:tc>
              <w:tc>
                <w:tcPr>
                  <w:tcW w:w="472" w:type="pct"/>
                  <w:tcBorders>
                    <w:top w:val="single" w:color="auto" w:sz="4" w:space="0"/>
                    <w:left w:val="single" w:color="auto" w:sz="4" w:space="0"/>
                    <w:bottom w:val="single" w:color="auto" w:sz="4" w:space="0"/>
                    <w:right w:val="single" w:color="auto" w:sz="4" w:space="0"/>
                  </w:tcBorders>
                  <w:vAlign w:val="center"/>
                </w:tcPr>
                <w:p w14:paraId="3C2D0A0B">
                  <w:pPr>
                    <w:widowControl/>
                    <w:jc w:val="center"/>
                    <w:textAlignment w:val="center"/>
                    <w:rPr>
                      <w:color w:val="auto"/>
                      <w:szCs w:val="21"/>
                    </w:rPr>
                  </w:pPr>
                  <w:r>
                    <w:rPr>
                      <w:rFonts w:hint="eastAsia"/>
                      <w:color w:val="auto"/>
                      <w:kern w:val="0"/>
                      <w:szCs w:val="21"/>
                      <w:lang w:bidi="ar"/>
                    </w:rPr>
                    <w:t>0.21</w:t>
                  </w:r>
                </w:p>
              </w:tc>
              <w:tc>
                <w:tcPr>
                  <w:tcW w:w="640" w:type="pct"/>
                  <w:tcBorders>
                    <w:top w:val="single" w:color="auto" w:sz="4" w:space="0"/>
                    <w:left w:val="single" w:color="auto" w:sz="4" w:space="0"/>
                    <w:bottom w:val="single" w:color="auto" w:sz="4" w:space="0"/>
                    <w:right w:val="single" w:color="auto" w:sz="4" w:space="0"/>
                  </w:tcBorders>
                  <w:vAlign w:val="center"/>
                </w:tcPr>
                <w:p w14:paraId="26E71C5E">
                  <w:pPr>
                    <w:widowControl/>
                    <w:jc w:val="center"/>
                    <w:textAlignment w:val="center"/>
                    <w:rPr>
                      <w:color w:val="auto"/>
                      <w:szCs w:val="21"/>
                    </w:rPr>
                  </w:pPr>
                  <w:r>
                    <w:rPr>
                      <w:color w:val="auto"/>
                      <w:kern w:val="0"/>
                      <w:szCs w:val="21"/>
                      <w:lang w:bidi="ar"/>
                    </w:rPr>
                    <w:t>100%</w:t>
                  </w:r>
                </w:p>
              </w:tc>
              <w:tc>
                <w:tcPr>
                  <w:tcW w:w="692" w:type="pct"/>
                  <w:tcBorders>
                    <w:top w:val="single" w:color="auto" w:sz="4" w:space="0"/>
                    <w:left w:val="single" w:color="auto" w:sz="4" w:space="0"/>
                    <w:bottom w:val="single" w:color="auto" w:sz="4" w:space="0"/>
                    <w:right w:val="single" w:color="auto" w:sz="4" w:space="0"/>
                  </w:tcBorders>
                  <w:vAlign w:val="center"/>
                </w:tcPr>
                <w:p w14:paraId="0B3809DC">
                  <w:pPr>
                    <w:widowControl/>
                    <w:jc w:val="center"/>
                    <w:textAlignment w:val="center"/>
                    <w:rPr>
                      <w:color w:val="auto"/>
                      <w:szCs w:val="21"/>
                    </w:rPr>
                  </w:pPr>
                  <w:r>
                    <w:rPr>
                      <w:color w:val="auto"/>
                      <w:kern w:val="0"/>
                      <w:szCs w:val="21"/>
                      <w:lang w:bidi="ar"/>
                    </w:rPr>
                    <w:t xml:space="preserve">0.150 </w:t>
                  </w:r>
                </w:p>
              </w:tc>
            </w:tr>
            <w:tr w14:paraId="59C13CCE">
              <w:tblPrEx>
                <w:tblCellMar>
                  <w:top w:w="0" w:type="dxa"/>
                  <w:left w:w="108" w:type="dxa"/>
                  <w:bottom w:w="0" w:type="dxa"/>
                  <w:right w:w="108" w:type="dxa"/>
                </w:tblCellMar>
              </w:tblPrEx>
              <w:trPr>
                <w:trHeight w:val="680" w:hRule="atLeast"/>
              </w:trPr>
              <w:tc>
                <w:tcPr>
                  <w:tcW w:w="442" w:type="pct"/>
                  <w:vMerge w:val="continue"/>
                  <w:tcBorders>
                    <w:top w:val="single" w:color="auto" w:sz="4" w:space="0"/>
                    <w:left w:val="single" w:color="auto" w:sz="4" w:space="0"/>
                    <w:bottom w:val="single" w:color="auto" w:sz="4" w:space="0"/>
                    <w:right w:val="single" w:color="auto" w:sz="4" w:space="0"/>
                  </w:tcBorders>
                  <w:noWrap/>
                  <w:vAlign w:val="center"/>
                </w:tcPr>
                <w:p w14:paraId="25BF35FB">
                  <w:pPr>
                    <w:widowControl/>
                    <w:jc w:val="center"/>
                    <w:textAlignment w:val="center"/>
                    <w:rPr>
                      <w:rFonts w:hint="eastAsia" w:ascii="宋体" w:hAnsi="宋体" w:cs="宋体"/>
                      <w:color w:val="auto"/>
                      <w:szCs w:val="21"/>
                    </w:rPr>
                  </w:pPr>
                </w:p>
              </w:tc>
              <w:tc>
                <w:tcPr>
                  <w:tcW w:w="454" w:type="pct"/>
                  <w:tcBorders>
                    <w:top w:val="single" w:color="auto" w:sz="4" w:space="0"/>
                    <w:left w:val="single" w:color="auto" w:sz="4" w:space="0"/>
                    <w:bottom w:val="single" w:color="auto" w:sz="4" w:space="0"/>
                    <w:right w:val="single" w:color="auto" w:sz="4" w:space="0"/>
                  </w:tcBorders>
                  <w:noWrap/>
                  <w:vAlign w:val="center"/>
                </w:tcPr>
                <w:p w14:paraId="33869E8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总磷</w:t>
                  </w:r>
                </w:p>
              </w:tc>
              <w:tc>
                <w:tcPr>
                  <w:tcW w:w="979" w:type="pct"/>
                  <w:tcBorders>
                    <w:top w:val="single" w:color="auto" w:sz="4" w:space="0"/>
                    <w:left w:val="single" w:color="auto" w:sz="4" w:space="0"/>
                    <w:bottom w:val="single" w:color="auto" w:sz="4" w:space="0"/>
                    <w:right w:val="single" w:color="auto" w:sz="4" w:space="0"/>
                  </w:tcBorders>
                  <w:vAlign w:val="center"/>
                </w:tcPr>
                <w:p w14:paraId="4E7D3BD2">
                  <w:pPr>
                    <w:widowControl/>
                    <w:jc w:val="center"/>
                    <w:textAlignment w:val="center"/>
                    <w:rPr>
                      <w:color w:val="auto"/>
                      <w:szCs w:val="21"/>
                    </w:rPr>
                  </w:pPr>
                  <w:r>
                    <w:rPr>
                      <w:color w:val="auto"/>
                      <w:kern w:val="0"/>
                      <w:szCs w:val="21"/>
                      <w:lang w:bidi="ar"/>
                    </w:rPr>
                    <w:t>06</w:t>
                  </w:r>
                  <w:r>
                    <w:rPr>
                      <w:rFonts w:hint="eastAsia" w:ascii="宋体" w:hAnsi="宋体" w:cs="宋体"/>
                      <w:color w:val="auto"/>
                      <w:kern w:val="0"/>
                      <w:szCs w:val="21"/>
                      <w:lang w:bidi="ar"/>
                    </w:rPr>
                    <w:t>预处理</w:t>
                  </w:r>
                  <w:r>
                    <w:rPr>
                      <w:color w:val="auto"/>
                      <w:kern w:val="0"/>
                      <w:szCs w:val="21"/>
                      <w:lang w:bidi="ar"/>
                    </w:rPr>
                    <w:t>-</w:t>
                  </w:r>
                  <w:r>
                    <w:rPr>
                      <w:rFonts w:hint="eastAsia" w:ascii="宋体" w:hAnsi="宋体" w:cs="宋体"/>
                      <w:color w:val="auto"/>
                      <w:kern w:val="0"/>
                      <w:szCs w:val="21"/>
                      <w:lang w:bidi="ar"/>
                    </w:rPr>
                    <w:t>预处理工段</w:t>
                  </w:r>
                  <w:r>
                    <w:rPr>
                      <w:color w:val="auto"/>
                      <w:kern w:val="0"/>
                      <w:szCs w:val="21"/>
                      <w:lang w:bidi="ar"/>
                    </w:rPr>
                    <w:t>-</w:t>
                  </w:r>
                  <w:r>
                    <w:rPr>
                      <w:rFonts w:hint="eastAsia" w:ascii="宋体" w:hAnsi="宋体" w:cs="宋体"/>
                      <w:color w:val="auto"/>
                      <w:kern w:val="0"/>
                      <w:szCs w:val="21"/>
                      <w:lang w:bidi="ar"/>
                    </w:rPr>
                    <w:t>脱脂剂</w:t>
                  </w:r>
                  <w:r>
                    <w:rPr>
                      <w:color w:val="auto"/>
                      <w:kern w:val="0"/>
                      <w:szCs w:val="21"/>
                      <w:lang w:bidi="ar"/>
                    </w:rPr>
                    <w:t>-</w:t>
                  </w:r>
                  <w:r>
                    <w:rPr>
                      <w:rFonts w:hint="eastAsia" w:ascii="宋体" w:hAnsi="宋体" w:cs="宋体"/>
                      <w:color w:val="auto"/>
                      <w:kern w:val="0"/>
                      <w:szCs w:val="21"/>
                      <w:lang w:bidi="ar"/>
                    </w:rPr>
                    <w:t>脱脂</w:t>
                  </w:r>
                </w:p>
              </w:tc>
              <w:tc>
                <w:tcPr>
                  <w:tcW w:w="476" w:type="pct"/>
                  <w:tcBorders>
                    <w:top w:val="single" w:color="auto" w:sz="4" w:space="0"/>
                    <w:left w:val="single" w:color="auto" w:sz="4" w:space="0"/>
                    <w:bottom w:val="single" w:color="auto" w:sz="4" w:space="0"/>
                    <w:right w:val="single" w:color="auto" w:sz="4" w:space="0"/>
                  </w:tcBorders>
                  <w:vAlign w:val="center"/>
                </w:tcPr>
                <w:p w14:paraId="356CD4C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58" w:type="pct"/>
                  <w:tcBorders>
                    <w:top w:val="single" w:color="auto" w:sz="4" w:space="0"/>
                    <w:left w:val="single" w:color="auto" w:sz="4" w:space="0"/>
                    <w:bottom w:val="single" w:color="auto" w:sz="4" w:space="0"/>
                    <w:right w:val="single" w:color="auto" w:sz="4" w:space="0"/>
                  </w:tcBorders>
                  <w:vAlign w:val="center"/>
                </w:tcPr>
                <w:p w14:paraId="2B2AFEC7">
                  <w:pPr>
                    <w:widowControl/>
                    <w:jc w:val="center"/>
                    <w:textAlignment w:val="center"/>
                    <w:rPr>
                      <w:color w:val="auto"/>
                      <w:szCs w:val="21"/>
                    </w:rPr>
                  </w:pPr>
                  <w:r>
                    <w:rPr>
                      <w:color w:val="auto"/>
                      <w:kern w:val="0"/>
                      <w:szCs w:val="21"/>
                      <w:lang w:bidi="ar"/>
                    </w:rPr>
                    <w:t>5.1</w:t>
                  </w:r>
                </w:p>
              </w:tc>
              <w:tc>
                <w:tcPr>
                  <w:tcW w:w="482" w:type="pct"/>
                  <w:tcBorders>
                    <w:top w:val="single" w:color="auto" w:sz="4" w:space="0"/>
                    <w:left w:val="single" w:color="auto" w:sz="4" w:space="0"/>
                    <w:bottom w:val="single" w:color="auto" w:sz="4" w:space="0"/>
                    <w:right w:val="single" w:color="auto" w:sz="4" w:space="0"/>
                  </w:tcBorders>
                  <w:vAlign w:val="center"/>
                </w:tcPr>
                <w:p w14:paraId="2B7CEC2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脱脂剂</w:t>
                  </w:r>
                </w:p>
              </w:tc>
              <w:tc>
                <w:tcPr>
                  <w:tcW w:w="472" w:type="pct"/>
                  <w:tcBorders>
                    <w:top w:val="single" w:color="auto" w:sz="4" w:space="0"/>
                    <w:left w:val="single" w:color="auto" w:sz="4" w:space="0"/>
                    <w:bottom w:val="single" w:color="auto" w:sz="4" w:space="0"/>
                    <w:right w:val="single" w:color="auto" w:sz="4" w:space="0"/>
                  </w:tcBorders>
                  <w:vAlign w:val="center"/>
                </w:tcPr>
                <w:p w14:paraId="727BDE5E">
                  <w:pPr>
                    <w:widowControl/>
                    <w:jc w:val="center"/>
                    <w:textAlignment w:val="center"/>
                    <w:rPr>
                      <w:color w:val="auto"/>
                      <w:szCs w:val="21"/>
                    </w:rPr>
                  </w:pPr>
                  <w:r>
                    <w:rPr>
                      <w:rFonts w:hint="eastAsia"/>
                      <w:color w:val="auto"/>
                      <w:kern w:val="0"/>
                      <w:szCs w:val="21"/>
                      <w:lang w:bidi="ar"/>
                    </w:rPr>
                    <w:t>0.21</w:t>
                  </w:r>
                </w:p>
              </w:tc>
              <w:tc>
                <w:tcPr>
                  <w:tcW w:w="640" w:type="pct"/>
                  <w:tcBorders>
                    <w:top w:val="single" w:color="auto" w:sz="4" w:space="0"/>
                    <w:left w:val="single" w:color="auto" w:sz="4" w:space="0"/>
                    <w:bottom w:val="single" w:color="auto" w:sz="4" w:space="0"/>
                    <w:right w:val="single" w:color="auto" w:sz="4" w:space="0"/>
                  </w:tcBorders>
                  <w:vAlign w:val="center"/>
                </w:tcPr>
                <w:p w14:paraId="150EAC52">
                  <w:pPr>
                    <w:widowControl/>
                    <w:jc w:val="center"/>
                    <w:textAlignment w:val="center"/>
                    <w:rPr>
                      <w:color w:val="auto"/>
                      <w:szCs w:val="21"/>
                    </w:rPr>
                  </w:pPr>
                  <w:r>
                    <w:rPr>
                      <w:color w:val="auto"/>
                      <w:kern w:val="0"/>
                      <w:szCs w:val="21"/>
                      <w:lang w:bidi="ar"/>
                    </w:rPr>
                    <w:t>100%</w:t>
                  </w:r>
                </w:p>
              </w:tc>
              <w:tc>
                <w:tcPr>
                  <w:tcW w:w="692" w:type="pct"/>
                  <w:tcBorders>
                    <w:top w:val="single" w:color="auto" w:sz="4" w:space="0"/>
                    <w:left w:val="single" w:color="auto" w:sz="4" w:space="0"/>
                    <w:bottom w:val="single" w:color="auto" w:sz="4" w:space="0"/>
                    <w:right w:val="single" w:color="auto" w:sz="4" w:space="0"/>
                  </w:tcBorders>
                  <w:noWrap/>
                  <w:vAlign w:val="center"/>
                </w:tcPr>
                <w:p w14:paraId="6EF5761E">
                  <w:pPr>
                    <w:widowControl/>
                    <w:jc w:val="center"/>
                    <w:textAlignment w:val="center"/>
                    <w:rPr>
                      <w:color w:val="auto"/>
                      <w:szCs w:val="21"/>
                    </w:rPr>
                  </w:pPr>
                  <w:r>
                    <w:rPr>
                      <w:color w:val="auto"/>
                      <w:kern w:val="0"/>
                      <w:szCs w:val="21"/>
                      <w:lang w:bidi="ar"/>
                    </w:rPr>
                    <w:t xml:space="preserve">0.0011 </w:t>
                  </w:r>
                </w:p>
              </w:tc>
            </w:tr>
            <w:tr w14:paraId="1CE7EF43">
              <w:tblPrEx>
                <w:tblCellMar>
                  <w:top w:w="0" w:type="dxa"/>
                  <w:left w:w="108" w:type="dxa"/>
                  <w:bottom w:w="0" w:type="dxa"/>
                  <w:right w:w="108" w:type="dxa"/>
                </w:tblCellMar>
              </w:tblPrEx>
              <w:trPr>
                <w:trHeight w:val="680" w:hRule="atLeast"/>
              </w:trPr>
              <w:tc>
                <w:tcPr>
                  <w:tcW w:w="442" w:type="pct"/>
                  <w:vMerge w:val="continue"/>
                  <w:tcBorders>
                    <w:top w:val="single" w:color="auto" w:sz="4" w:space="0"/>
                    <w:left w:val="single" w:color="auto" w:sz="4" w:space="0"/>
                    <w:bottom w:val="single" w:color="auto" w:sz="4" w:space="0"/>
                    <w:right w:val="single" w:color="auto" w:sz="4" w:space="0"/>
                  </w:tcBorders>
                  <w:noWrap/>
                  <w:vAlign w:val="center"/>
                </w:tcPr>
                <w:p w14:paraId="654697DB">
                  <w:pPr>
                    <w:widowControl/>
                    <w:jc w:val="center"/>
                    <w:textAlignment w:val="center"/>
                    <w:rPr>
                      <w:rFonts w:hint="eastAsia" w:ascii="宋体" w:hAnsi="宋体" w:cs="宋体"/>
                      <w:color w:val="auto"/>
                      <w:szCs w:val="21"/>
                    </w:rPr>
                  </w:pPr>
                </w:p>
              </w:tc>
              <w:tc>
                <w:tcPr>
                  <w:tcW w:w="454" w:type="pct"/>
                  <w:tcBorders>
                    <w:top w:val="single" w:color="auto" w:sz="4" w:space="0"/>
                    <w:left w:val="single" w:color="auto" w:sz="4" w:space="0"/>
                    <w:bottom w:val="single" w:color="auto" w:sz="4" w:space="0"/>
                    <w:right w:val="single" w:color="auto" w:sz="4" w:space="0"/>
                  </w:tcBorders>
                  <w:noWrap/>
                  <w:vAlign w:val="center"/>
                </w:tcPr>
                <w:p w14:paraId="603C916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石油类</w:t>
                  </w:r>
                </w:p>
              </w:tc>
              <w:tc>
                <w:tcPr>
                  <w:tcW w:w="979" w:type="pct"/>
                  <w:tcBorders>
                    <w:top w:val="single" w:color="auto" w:sz="4" w:space="0"/>
                    <w:left w:val="single" w:color="auto" w:sz="4" w:space="0"/>
                    <w:bottom w:val="single" w:color="auto" w:sz="4" w:space="0"/>
                    <w:right w:val="single" w:color="auto" w:sz="4" w:space="0"/>
                  </w:tcBorders>
                  <w:vAlign w:val="center"/>
                </w:tcPr>
                <w:p w14:paraId="0EA355B8">
                  <w:pPr>
                    <w:widowControl/>
                    <w:jc w:val="center"/>
                    <w:textAlignment w:val="center"/>
                    <w:rPr>
                      <w:color w:val="auto"/>
                      <w:szCs w:val="21"/>
                    </w:rPr>
                  </w:pPr>
                  <w:r>
                    <w:rPr>
                      <w:color w:val="auto"/>
                      <w:kern w:val="0"/>
                      <w:szCs w:val="21"/>
                      <w:lang w:bidi="ar"/>
                    </w:rPr>
                    <w:t>06</w:t>
                  </w:r>
                  <w:r>
                    <w:rPr>
                      <w:rFonts w:hint="eastAsia" w:ascii="宋体" w:hAnsi="宋体" w:cs="宋体"/>
                      <w:color w:val="auto"/>
                      <w:kern w:val="0"/>
                      <w:szCs w:val="21"/>
                      <w:lang w:bidi="ar"/>
                    </w:rPr>
                    <w:t>预处理</w:t>
                  </w:r>
                  <w:r>
                    <w:rPr>
                      <w:color w:val="auto"/>
                      <w:kern w:val="0"/>
                      <w:szCs w:val="21"/>
                      <w:lang w:bidi="ar"/>
                    </w:rPr>
                    <w:t>-</w:t>
                  </w:r>
                  <w:r>
                    <w:rPr>
                      <w:rFonts w:hint="eastAsia" w:ascii="宋体" w:hAnsi="宋体" w:cs="宋体"/>
                      <w:color w:val="auto"/>
                      <w:kern w:val="0"/>
                      <w:szCs w:val="21"/>
                      <w:lang w:bidi="ar"/>
                    </w:rPr>
                    <w:t>预处理工段</w:t>
                  </w:r>
                  <w:r>
                    <w:rPr>
                      <w:color w:val="auto"/>
                      <w:kern w:val="0"/>
                      <w:szCs w:val="21"/>
                      <w:lang w:bidi="ar"/>
                    </w:rPr>
                    <w:t>-</w:t>
                  </w:r>
                  <w:r>
                    <w:rPr>
                      <w:rFonts w:hint="eastAsia" w:ascii="宋体" w:hAnsi="宋体" w:cs="宋体"/>
                      <w:color w:val="auto"/>
                      <w:kern w:val="0"/>
                      <w:szCs w:val="21"/>
                      <w:lang w:bidi="ar"/>
                    </w:rPr>
                    <w:t>脱脂剂</w:t>
                  </w:r>
                  <w:r>
                    <w:rPr>
                      <w:color w:val="auto"/>
                      <w:kern w:val="0"/>
                      <w:szCs w:val="21"/>
                      <w:lang w:bidi="ar"/>
                    </w:rPr>
                    <w:t>-</w:t>
                  </w:r>
                  <w:r>
                    <w:rPr>
                      <w:rFonts w:hint="eastAsia" w:ascii="宋体" w:hAnsi="宋体" w:cs="宋体"/>
                      <w:color w:val="auto"/>
                      <w:kern w:val="0"/>
                      <w:szCs w:val="21"/>
                      <w:lang w:bidi="ar"/>
                    </w:rPr>
                    <w:t>脱脂</w:t>
                  </w:r>
                </w:p>
              </w:tc>
              <w:tc>
                <w:tcPr>
                  <w:tcW w:w="476" w:type="pct"/>
                  <w:tcBorders>
                    <w:top w:val="single" w:color="auto" w:sz="4" w:space="0"/>
                    <w:left w:val="single" w:color="auto" w:sz="4" w:space="0"/>
                    <w:bottom w:val="single" w:color="auto" w:sz="4" w:space="0"/>
                    <w:right w:val="single" w:color="auto" w:sz="4" w:space="0"/>
                  </w:tcBorders>
                  <w:vAlign w:val="center"/>
                </w:tcPr>
                <w:p w14:paraId="2B1C2EE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58" w:type="pct"/>
                  <w:tcBorders>
                    <w:top w:val="single" w:color="auto" w:sz="4" w:space="0"/>
                    <w:left w:val="single" w:color="auto" w:sz="4" w:space="0"/>
                    <w:bottom w:val="single" w:color="auto" w:sz="4" w:space="0"/>
                    <w:right w:val="single" w:color="auto" w:sz="4" w:space="0"/>
                  </w:tcBorders>
                  <w:vAlign w:val="center"/>
                </w:tcPr>
                <w:p w14:paraId="733F9965">
                  <w:pPr>
                    <w:widowControl/>
                    <w:jc w:val="center"/>
                    <w:textAlignment w:val="center"/>
                    <w:rPr>
                      <w:color w:val="auto"/>
                      <w:szCs w:val="21"/>
                    </w:rPr>
                  </w:pPr>
                  <w:r>
                    <w:rPr>
                      <w:color w:val="auto"/>
                      <w:kern w:val="0"/>
                      <w:szCs w:val="21"/>
                      <w:lang w:bidi="ar"/>
                    </w:rPr>
                    <w:t>51</w:t>
                  </w:r>
                </w:p>
              </w:tc>
              <w:tc>
                <w:tcPr>
                  <w:tcW w:w="482" w:type="pct"/>
                  <w:tcBorders>
                    <w:top w:val="single" w:color="auto" w:sz="4" w:space="0"/>
                    <w:left w:val="single" w:color="auto" w:sz="4" w:space="0"/>
                    <w:bottom w:val="single" w:color="auto" w:sz="4" w:space="0"/>
                    <w:right w:val="single" w:color="auto" w:sz="4" w:space="0"/>
                  </w:tcBorders>
                  <w:vAlign w:val="center"/>
                </w:tcPr>
                <w:p w14:paraId="69ECBD3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脱脂剂</w:t>
                  </w:r>
                </w:p>
              </w:tc>
              <w:tc>
                <w:tcPr>
                  <w:tcW w:w="472" w:type="pct"/>
                  <w:tcBorders>
                    <w:top w:val="single" w:color="auto" w:sz="4" w:space="0"/>
                    <w:left w:val="single" w:color="auto" w:sz="4" w:space="0"/>
                    <w:bottom w:val="single" w:color="auto" w:sz="4" w:space="0"/>
                    <w:right w:val="single" w:color="auto" w:sz="4" w:space="0"/>
                  </w:tcBorders>
                  <w:vAlign w:val="center"/>
                </w:tcPr>
                <w:p w14:paraId="3A23B4D5">
                  <w:pPr>
                    <w:widowControl/>
                    <w:jc w:val="center"/>
                    <w:textAlignment w:val="center"/>
                    <w:rPr>
                      <w:color w:val="auto"/>
                      <w:szCs w:val="21"/>
                    </w:rPr>
                  </w:pPr>
                  <w:r>
                    <w:rPr>
                      <w:rFonts w:hint="eastAsia"/>
                      <w:color w:val="auto"/>
                      <w:kern w:val="0"/>
                      <w:szCs w:val="21"/>
                      <w:lang w:bidi="ar"/>
                    </w:rPr>
                    <w:t>0.21</w:t>
                  </w:r>
                </w:p>
              </w:tc>
              <w:tc>
                <w:tcPr>
                  <w:tcW w:w="640" w:type="pct"/>
                  <w:tcBorders>
                    <w:top w:val="single" w:color="auto" w:sz="4" w:space="0"/>
                    <w:left w:val="single" w:color="auto" w:sz="4" w:space="0"/>
                    <w:bottom w:val="single" w:color="auto" w:sz="4" w:space="0"/>
                    <w:right w:val="single" w:color="auto" w:sz="4" w:space="0"/>
                  </w:tcBorders>
                  <w:vAlign w:val="center"/>
                </w:tcPr>
                <w:p w14:paraId="06DD1EA8">
                  <w:pPr>
                    <w:widowControl/>
                    <w:jc w:val="center"/>
                    <w:textAlignment w:val="center"/>
                    <w:rPr>
                      <w:color w:val="auto"/>
                      <w:szCs w:val="21"/>
                    </w:rPr>
                  </w:pPr>
                  <w:r>
                    <w:rPr>
                      <w:color w:val="auto"/>
                      <w:kern w:val="0"/>
                      <w:szCs w:val="21"/>
                      <w:lang w:bidi="ar"/>
                    </w:rPr>
                    <w:t>100%</w:t>
                  </w:r>
                </w:p>
              </w:tc>
              <w:tc>
                <w:tcPr>
                  <w:tcW w:w="692" w:type="pct"/>
                  <w:tcBorders>
                    <w:top w:val="single" w:color="auto" w:sz="4" w:space="0"/>
                    <w:left w:val="single" w:color="auto" w:sz="4" w:space="0"/>
                    <w:bottom w:val="single" w:color="auto" w:sz="4" w:space="0"/>
                    <w:right w:val="single" w:color="auto" w:sz="4" w:space="0"/>
                  </w:tcBorders>
                  <w:noWrap/>
                  <w:vAlign w:val="center"/>
                </w:tcPr>
                <w:p w14:paraId="6BEDCD40">
                  <w:pPr>
                    <w:widowControl/>
                    <w:jc w:val="center"/>
                    <w:textAlignment w:val="center"/>
                    <w:rPr>
                      <w:color w:val="auto"/>
                      <w:szCs w:val="21"/>
                    </w:rPr>
                  </w:pPr>
                  <w:r>
                    <w:rPr>
                      <w:color w:val="auto"/>
                      <w:kern w:val="0"/>
                      <w:szCs w:val="21"/>
                      <w:lang w:bidi="ar"/>
                    </w:rPr>
                    <w:t xml:space="preserve">0.0107 </w:t>
                  </w:r>
                </w:p>
              </w:tc>
            </w:tr>
            <w:tr w14:paraId="5A7520B1">
              <w:tblPrEx>
                <w:tblCellMar>
                  <w:top w:w="0" w:type="dxa"/>
                  <w:left w:w="108" w:type="dxa"/>
                  <w:bottom w:w="0" w:type="dxa"/>
                  <w:right w:w="108" w:type="dxa"/>
                </w:tblCellMar>
              </w:tblPrEx>
              <w:trPr>
                <w:trHeight w:val="680" w:hRule="atLeast"/>
              </w:trPr>
              <w:tc>
                <w:tcPr>
                  <w:tcW w:w="442" w:type="pct"/>
                  <w:vMerge w:val="restart"/>
                  <w:tcBorders>
                    <w:top w:val="single" w:color="auto" w:sz="4" w:space="0"/>
                    <w:left w:val="single" w:color="auto" w:sz="4" w:space="0"/>
                    <w:right w:val="single" w:color="auto" w:sz="4" w:space="0"/>
                  </w:tcBorders>
                  <w:noWrap/>
                  <w:vAlign w:val="center"/>
                </w:tcPr>
                <w:p w14:paraId="08D29D1C">
                  <w:pPr>
                    <w:widowControl/>
                    <w:jc w:val="center"/>
                    <w:textAlignment w:val="center"/>
                    <w:rPr>
                      <w:rFonts w:hint="eastAsia" w:ascii="宋体" w:hAnsi="宋体" w:cs="宋体"/>
                      <w:color w:val="auto"/>
                      <w:szCs w:val="21"/>
                    </w:rPr>
                  </w:pPr>
                  <w:r>
                    <w:rPr>
                      <w:color w:val="auto"/>
                    </w:rPr>
                    <w:t>表调</w:t>
                  </w:r>
                  <w:r>
                    <w:rPr>
                      <w:rFonts w:hint="eastAsia"/>
                      <w:color w:val="auto"/>
                    </w:rPr>
                    <w:t>废槽液</w:t>
                  </w:r>
                </w:p>
              </w:tc>
              <w:tc>
                <w:tcPr>
                  <w:tcW w:w="454" w:type="pct"/>
                  <w:tcBorders>
                    <w:top w:val="single" w:color="auto" w:sz="4" w:space="0"/>
                    <w:left w:val="single" w:color="auto" w:sz="4" w:space="0"/>
                    <w:bottom w:val="single" w:color="auto" w:sz="4" w:space="0"/>
                    <w:right w:val="single" w:color="auto" w:sz="4" w:space="0"/>
                  </w:tcBorders>
                  <w:noWrap/>
                  <w:vAlign w:val="center"/>
                </w:tcPr>
                <w:p w14:paraId="12E1DE64">
                  <w:pPr>
                    <w:widowControl/>
                    <w:jc w:val="center"/>
                    <w:textAlignment w:val="center"/>
                    <w:rPr>
                      <w:color w:val="auto"/>
                      <w:szCs w:val="21"/>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979" w:type="pct"/>
                  <w:tcBorders>
                    <w:top w:val="single" w:color="auto" w:sz="4" w:space="0"/>
                    <w:left w:val="single" w:color="auto" w:sz="4" w:space="0"/>
                    <w:bottom w:val="single" w:color="auto" w:sz="4" w:space="0"/>
                    <w:right w:val="single" w:color="auto" w:sz="4" w:space="0"/>
                  </w:tcBorders>
                  <w:vAlign w:val="center"/>
                </w:tcPr>
                <w:p w14:paraId="7E1D6409">
                  <w:pPr>
                    <w:widowControl/>
                    <w:jc w:val="center"/>
                    <w:textAlignment w:val="center"/>
                    <w:rPr>
                      <w:color w:val="auto"/>
                      <w:szCs w:val="21"/>
                    </w:rPr>
                  </w:pPr>
                  <w:r>
                    <w:rPr>
                      <w:color w:val="auto"/>
                      <w:kern w:val="0"/>
                      <w:szCs w:val="21"/>
                      <w:lang w:bidi="ar"/>
                    </w:rPr>
                    <w:t>11</w:t>
                  </w:r>
                  <w:r>
                    <w:rPr>
                      <w:rFonts w:hint="eastAsia" w:ascii="宋体" w:hAnsi="宋体" w:cs="宋体"/>
                      <w:color w:val="auto"/>
                      <w:kern w:val="0"/>
                      <w:szCs w:val="21"/>
                      <w:lang w:bidi="ar"/>
                    </w:rPr>
                    <w:t>转化膜处理</w:t>
                  </w:r>
                  <w:r>
                    <w:rPr>
                      <w:color w:val="auto"/>
                      <w:kern w:val="0"/>
                      <w:szCs w:val="21"/>
                      <w:lang w:bidi="ar"/>
                    </w:rPr>
                    <w:t>-</w:t>
                  </w:r>
                  <w:r>
                    <w:rPr>
                      <w:rFonts w:hint="eastAsia" w:ascii="宋体" w:hAnsi="宋体" w:cs="宋体"/>
                      <w:color w:val="auto"/>
                      <w:kern w:val="0"/>
                      <w:szCs w:val="21"/>
                      <w:lang w:bidi="ar"/>
                    </w:rPr>
                    <w:t>转化膜处理工段</w:t>
                  </w:r>
                  <w:r>
                    <w:rPr>
                      <w:color w:val="auto"/>
                      <w:kern w:val="0"/>
                      <w:szCs w:val="21"/>
                      <w:lang w:bidi="ar"/>
                    </w:rPr>
                    <w:t>-</w:t>
                  </w:r>
                  <w:r>
                    <w:rPr>
                      <w:rFonts w:hint="eastAsia" w:ascii="宋体" w:hAnsi="宋体" w:cs="宋体"/>
                      <w:color w:val="auto"/>
                      <w:kern w:val="0"/>
                      <w:szCs w:val="21"/>
                      <w:lang w:bidi="ar"/>
                    </w:rPr>
                    <w:t>表调</w:t>
                  </w:r>
                </w:p>
              </w:tc>
              <w:tc>
                <w:tcPr>
                  <w:tcW w:w="476" w:type="pct"/>
                  <w:tcBorders>
                    <w:top w:val="single" w:color="auto" w:sz="4" w:space="0"/>
                    <w:left w:val="single" w:color="auto" w:sz="4" w:space="0"/>
                    <w:bottom w:val="single" w:color="auto" w:sz="4" w:space="0"/>
                    <w:right w:val="single" w:color="auto" w:sz="4" w:space="0"/>
                  </w:tcBorders>
                  <w:vAlign w:val="center"/>
                </w:tcPr>
                <w:p w14:paraId="4893B8F0">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58" w:type="pct"/>
                  <w:tcBorders>
                    <w:top w:val="single" w:color="auto" w:sz="4" w:space="0"/>
                    <w:left w:val="single" w:color="auto" w:sz="4" w:space="0"/>
                    <w:bottom w:val="single" w:color="auto" w:sz="4" w:space="0"/>
                    <w:right w:val="single" w:color="auto" w:sz="4" w:space="0"/>
                  </w:tcBorders>
                  <w:vAlign w:val="center"/>
                </w:tcPr>
                <w:p w14:paraId="662A98D7">
                  <w:pPr>
                    <w:widowControl/>
                    <w:jc w:val="center"/>
                    <w:textAlignment w:val="center"/>
                    <w:rPr>
                      <w:color w:val="auto"/>
                      <w:szCs w:val="21"/>
                    </w:rPr>
                  </w:pPr>
                  <w:r>
                    <w:rPr>
                      <w:color w:val="auto"/>
                      <w:kern w:val="0"/>
                      <w:szCs w:val="21"/>
                      <w:lang w:bidi="ar"/>
                    </w:rPr>
                    <w:t>30.3</w:t>
                  </w:r>
                </w:p>
              </w:tc>
              <w:tc>
                <w:tcPr>
                  <w:tcW w:w="482" w:type="pct"/>
                  <w:tcBorders>
                    <w:top w:val="single" w:color="auto" w:sz="4" w:space="0"/>
                    <w:left w:val="single" w:color="auto" w:sz="4" w:space="0"/>
                    <w:bottom w:val="single" w:color="auto" w:sz="4" w:space="0"/>
                    <w:right w:val="single" w:color="auto" w:sz="4" w:space="0"/>
                  </w:tcBorders>
                  <w:vAlign w:val="center"/>
                </w:tcPr>
                <w:p w14:paraId="0B365F27">
                  <w:pPr>
                    <w:widowControl/>
                    <w:jc w:val="center"/>
                    <w:textAlignment w:val="center"/>
                    <w:rPr>
                      <w:color w:val="auto"/>
                      <w:szCs w:val="21"/>
                    </w:rPr>
                  </w:pPr>
                  <w:r>
                    <w:rPr>
                      <w:rFonts w:hint="eastAsia" w:ascii="宋体" w:hAnsi="宋体" w:cs="宋体"/>
                      <w:color w:val="auto"/>
                      <w:kern w:val="0"/>
                      <w:szCs w:val="21"/>
                      <w:lang w:bidi="ar"/>
                    </w:rPr>
                    <w:t>表调剂</w:t>
                  </w:r>
                </w:p>
              </w:tc>
              <w:tc>
                <w:tcPr>
                  <w:tcW w:w="472" w:type="pct"/>
                  <w:tcBorders>
                    <w:top w:val="single" w:color="auto" w:sz="4" w:space="0"/>
                    <w:left w:val="single" w:color="auto" w:sz="4" w:space="0"/>
                    <w:bottom w:val="single" w:color="auto" w:sz="4" w:space="0"/>
                    <w:right w:val="single" w:color="auto" w:sz="4" w:space="0"/>
                  </w:tcBorders>
                  <w:vAlign w:val="center"/>
                </w:tcPr>
                <w:p w14:paraId="3FED15FD">
                  <w:pPr>
                    <w:widowControl/>
                    <w:jc w:val="center"/>
                    <w:textAlignment w:val="center"/>
                    <w:rPr>
                      <w:color w:val="auto"/>
                      <w:szCs w:val="21"/>
                    </w:rPr>
                  </w:pPr>
                  <w:r>
                    <w:rPr>
                      <w:rFonts w:hint="eastAsia"/>
                      <w:color w:val="auto"/>
                      <w:kern w:val="0"/>
                      <w:szCs w:val="21"/>
                      <w:lang w:bidi="ar"/>
                    </w:rPr>
                    <w:t>0.048</w:t>
                  </w:r>
                </w:p>
              </w:tc>
              <w:tc>
                <w:tcPr>
                  <w:tcW w:w="640" w:type="pct"/>
                  <w:tcBorders>
                    <w:top w:val="single" w:color="auto" w:sz="4" w:space="0"/>
                    <w:left w:val="single" w:color="auto" w:sz="4" w:space="0"/>
                    <w:bottom w:val="single" w:color="auto" w:sz="4" w:space="0"/>
                    <w:right w:val="single" w:color="auto" w:sz="4" w:space="0"/>
                  </w:tcBorders>
                  <w:vAlign w:val="center"/>
                </w:tcPr>
                <w:p w14:paraId="057154F1">
                  <w:pPr>
                    <w:widowControl/>
                    <w:jc w:val="center"/>
                    <w:textAlignment w:val="center"/>
                    <w:rPr>
                      <w:color w:val="auto"/>
                      <w:szCs w:val="21"/>
                    </w:rPr>
                  </w:pPr>
                  <w:r>
                    <w:rPr>
                      <w:color w:val="auto"/>
                      <w:kern w:val="0"/>
                      <w:szCs w:val="21"/>
                      <w:lang w:bidi="ar"/>
                    </w:rPr>
                    <w:t>100%</w:t>
                  </w:r>
                </w:p>
              </w:tc>
              <w:tc>
                <w:tcPr>
                  <w:tcW w:w="692" w:type="pct"/>
                  <w:tcBorders>
                    <w:top w:val="single" w:color="auto" w:sz="4" w:space="0"/>
                    <w:left w:val="single" w:color="auto" w:sz="4" w:space="0"/>
                    <w:bottom w:val="single" w:color="auto" w:sz="4" w:space="0"/>
                    <w:right w:val="single" w:color="auto" w:sz="4" w:space="0"/>
                  </w:tcBorders>
                  <w:noWrap/>
                  <w:vAlign w:val="center"/>
                </w:tcPr>
                <w:p w14:paraId="67D466B5">
                  <w:pPr>
                    <w:widowControl/>
                    <w:jc w:val="center"/>
                    <w:textAlignment w:val="center"/>
                    <w:rPr>
                      <w:color w:val="auto"/>
                      <w:szCs w:val="21"/>
                    </w:rPr>
                  </w:pPr>
                  <w:r>
                    <w:rPr>
                      <w:color w:val="auto"/>
                      <w:kern w:val="0"/>
                      <w:szCs w:val="21"/>
                      <w:lang w:bidi="ar"/>
                    </w:rPr>
                    <w:t xml:space="preserve">0.0015 </w:t>
                  </w:r>
                </w:p>
              </w:tc>
            </w:tr>
            <w:tr w14:paraId="034A2951">
              <w:tblPrEx>
                <w:tblCellMar>
                  <w:top w:w="0" w:type="dxa"/>
                  <w:left w:w="108" w:type="dxa"/>
                  <w:bottom w:w="0" w:type="dxa"/>
                  <w:right w:w="108" w:type="dxa"/>
                </w:tblCellMar>
              </w:tblPrEx>
              <w:trPr>
                <w:trHeight w:val="680" w:hRule="atLeast"/>
              </w:trPr>
              <w:tc>
                <w:tcPr>
                  <w:tcW w:w="442" w:type="pct"/>
                  <w:vMerge w:val="continue"/>
                  <w:tcBorders>
                    <w:left w:val="single" w:color="auto" w:sz="4" w:space="0"/>
                    <w:bottom w:val="single" w:color="auto" w:sz="4" w:space="0"/>
                    <w:right w:val="single" w:color="auto" w:sz="4" w:space="0"/>
                  </w:tcBorders>
                  <w:noWrap/>
                  <w:vAlign w:val="center"/>
                </w:tcPr>
                <w:p w14:paraId="5A741891">
                  <w:pPr>
                    <w:widowControl/>
                    <w:jc w:val="center"/>
                    <w:textAlignment w:val="center"/>
                    <w:rPr>
                      <w:color w:val="auto"/>
                    </w:rPr>
                  </w:pPr>
                </w:p>
              </w:tc>
              <w:tc>
                <w:tcPr>
                  <w:tcW w:w="454" w:type="pct"/>
                  <w:tcBorders>
                    <w:top w:val="single" w:color="auto" w:sz="4" w:space="0"/>
                    <w:left w:val="single" w:color="auto" w:sz="4" w:space="0"/>
                    <w:bottom w:val="single" w:color="auto" w:sz="4" w:space="0"/>
                    <w:right w:val="single" w:color="auto" w:sz="4" w:space="0"/>
                  </w:tcBorders>
                  <w:noWrap/>
                  <w:vAlign w:val="center"/>
                </w:tcPr>
                <w:p w14:paraId="32DF4C9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总磷</w:t>
                  </w:r>
                </w:p>
              </w:tc>
              <w:tc>
                <w:tcPr>
                  <w:tcW w:w="979" w:type="pct"/>
                  <w:tcBorders>
                    <w:top w:val="single" w:color="auto" w:sz="4" w:space="0"/>
                    <w:left w:val="single" w:color="auto" w:sz="4" w:space="0"/>
                    <w:bottom w:val="single" w:color="auto" w:sz="4" w:space="0"/>
                    <w:right w:val="single" w:color="auto" w:sz="4" w:space="0"/>
                  </w:tcBorders>
                  <w:vAlign w:val="center"/>
                </w:tcPr>
                <w:p w14:paraId="3B8A157F">
                  <w:pPr>
                    <w:widowControl/>
                    <w:jc w:val="center"/>
                    <w:textAlignment w:val="center"/>
                    <w:rPr>
                      <w:color w:val="auto"/>
                      <w:szCs w:val="21"/>
                    </w:rPr>
                  </w:pPr>
                  <w:r>
                    <w:rPr>
                      <w:color w:val="auto"/>
                      <w:kern w:val="0"/>
                      <w:szCs w:val="21"/>
                      <w:lang w:bidi="ar"/>
                    </w:rPr>
                    <w:t>11</w:t>
                  </w:r>
                  <w:r>
                    <w:rPr>
                      <w:rFonts w:hint="eastAsia" w:ascii="宋体" w:hAnsi="宋体" w:cs="宋体"/>
                      <w:color w:val="auto"/>
                      <w:kern w:val="0"/>
                      <w:szCs w:val="21"/>
                      <w:lang w:bidi="ar"/>
                    </w:rPr>
                    <w:t>转化膜处理</w:t>
                  </w:r>
                  <w:r>
                    <w:rPr>
                      <w:color w:val="auto"/>
                      <w:kern w:val="0"/>
                      <w:szCs w:val="21"/>
                      <w:lang w:bidi="ar"/>
                    </w:rPr>
                    <w:t>-</w:t>
                  </w:r>
                  <w:r>
                    <w:rPr>
                      <w:rFonts w:hint="eastAsia" w:ascii="宋体" w:hAnsi="宋体" w:cs="宋体"/>
                      <w:color w:val="auto"/>
                      <w:kern w:val="0"/>
                      <w:szCs w:val="21"/>
                      <w:lang w:bidi="ar"/>
                    </w:rPr>
                    <w:t>转化膜处理工段</w:t>
                  </w:r>
                  <w:r>
                    <w:rPr>
                      <w:color w:val="auto"/>
                      <w:kern w:val="0"/>
                      <w:szCs w:val="21"/>
                      <w:lang w:bidi="ar"/>
                    </w:rPr>
                    <w:t>-</w:t>
                  </w:r>
                  <w:r>
                    <w:rPr>
                      <w:rFonts w:hint="eastAsia" w:ascii="宋体" w:hAnsi="宋体" w:cs="宋体"/>
                      <w:color w:val="auto"/>
                      <w:kern w:val="0"/>
                      <w:szCs w:val="21"/>
                      <w:lang w:bidi="ar"/>
                    </w:rPr>
                    <w:t>表调</w:t>
                  </w:r>
                </w:p>
              </w:tc>
              <w:tc>
                <w:tcPr>
                  <w:tcW w:w="476" w:type="pct"/>
                  <w:tcBorders>
                    <w:top w:val="single" w:color="auto" w:sz="4" w:space="0"/>
                    <w:left w:val="single" w:color="auto" w:sz="4" w:space="0"/>
                    <w:bottom w:val="single" w:color="auto" w:sz="4" w:space="0"/>
                    <w:right w:val="single" w:color="auto" w:sz="4" w:space="0"/>
                  </w:tcBorders>
                  <w:vAlign w:val="center"/>
                </w:tcPr>
                <w:p w14:paraId="3B677E6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58" w:type="pct"/>
                  <w:tcBorders>
                    <w:top w:val="single" w:color="auto" w:sz="4" w:space="0"/>
                    <w:left w:val="single" w:color="auto" w:sz="4" w:space="0"/>
                    <w:bottom w:val="single" w:color="auto" w:sz="4" w:space="0"/>
                    <w:right w:val="single" w:color="auto" w:sz="4" w:space="0"/>
                  </w:tcBorders>
                  <w:vAlign w:val="center"/>
                </w:tcPr>
                <w:p w14:paraId="0C692A62">
                  <w:pPr>
                    <w:widowControl/>
                    <w:jc w:val="center"/>
                    <w:textAlignment w:val="center"/>
                    <w:rPr>
                      <w:color w:val="auto"/>
                      <w:szCs w:val="21"/>
                    </w:rPr>
                  </w:pPr>
                  <w:r>
                    <w:rPr>
                      <w:color w:val="auto"/>
                      <w:kern w:val="0"/>
                      <w:szCs w:val="21"/>
                      <w:lang w:bidi="ar"/>
                    </w:rPr>
                    <w:t>20.2</w:t>
                  </w:r>
                </w:p>
              </w:tc>
              <w:tc>
                <w:tcPr>
                  <w:tcW w:w="482" w:type="pct"/>
                  <w:tcBorders>
                    <w:top w:val="single" w:color="auto" w:sz="4" w:space="0"/>
                    <w:left w:val="single" w:color="auto" w:sz="4" w:space="0"/>
                    <w:bottom w:val="single" w:color="auto" w:sz="4" w:space="0"/>
                    <w:right w:val="single" w:color="auto" w:sz="4" w:space="0"/>
                  </w:tcBorders>
                  <w:vAlign w:val="center"/>
                </w:tcPr>
                <w:p w14:paraId="398BB9D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表调剂</w:t>
                  </w:r>
                </w:p>
              </w:tc>
              <w:tc>
                <w:tcPr>
                  <w:tcW w:w="472" w:type="pct"/>
                  <w:tcBorders>
                    <w:top w:val="single" w:color="auto" w:sz="4" w:space="0"/>
                    <w:left w:val="single" w:color="auto" w:sz="4" w:space="0"/>
                    <w:bottom w:val="single" w:color="auto" w:sz="4" w:space="0"/>
                    <w:right w:val="single" w:color="auto" w:sz="4" w:space="0"/>
                  </w:tcBorders>
                  <w:vAlign w:val="center"/>
                </w:tcPr>
                <w:p w14:paraId="4064FE1D">
                  <w:pPr>
                    <w:widowControl/>
                    <w:jc w:val="center"/>
                    <w:textAlignment w:val="center"/>
                    <w:rPr>
                      <w:color w:val="auto"/>
                      <w:szCs w:val="21"/>
                    </w:rPr>
                  </w:pPr>
                  <w:r>
                    <w:rPr>
                      <w:rFonts w:hint="eastAsia"/>
                      <w:color w:val="auto"/>
                      <w:kern w:val="0"/>
                      <w:szCs w:val="21"/>
                      <w:lang w:bidi="ar"/>
                    </w:rPr>
                    <w:t>0.048</w:t>
                  </w:r>
                </w:p>
              </w:tc>
              <w:tc>
                <w:tcPr>
                  <w:tcW w:w="640" w:type="pct"/>
                  <w:tcBorders>
                    <w:top w:val="single" w:color="auto" w:sz="4" w:space="0"/>
                    <w:left w:val="single" w:color="auto" w:sz="4" w:space="0"/>
                    <w:bottom w:val="single" w:color="auto" w:sz="4" w:space="0"/>
                    <w:right w:val="single" w:color="auto" w:sz="4" w:space="0"/>
                  </w:tcBorders>
                  <w:vAlign w:val="center"/>
                </w:tcPr>
                <w:p w14:paraId="7D75814A">
                  <w:pPr>
                    <w:widowControl/>
                    <w:jc w:val="center"/>
                    <w:textAlignment w:val="center"/>
                    <w:rPr>
                      <w:color w:val="auto"/>
                      <w:szCs w:val="21"/>
                    </w:rPr>
                  </w:pPr>
                  <w:r>
                    <w:rPr>
                      <w:color w:val="auto"/>
                      <w:kern w:val="0"/>
                      <w:szCs w:val="21"/>
                      <w:lang w:bidi="ar"/>
                    </w:rPr>
                    <w:t>100%</w:t>
                  </w:r>
                </w:p>
              </w:tc>
              <w:tc>
                <w:tcPr>
                  <w:tcW w:w="692" w:type="pct"/>
                  <w:tcBorders>
                    <w:top w:val="single" w:color="auto" w:sz="4" w:space="0"/>
                    <w:left w:val="single" w:color="auto" w:sz="4" w:space="0"/>
                    <w:bottom w:val="single" w:color="auto" w:sz="4" w:space="0"/>
                    <w:right w:val="single" w:color="auto" w:sz="4" w:space="0"/>
                  </w:tcBorders>
                  <w:noWrap/>
                  <w:vAlign w:val="center"/>
                </w:tcPr>
                <w:p w14:paraId="1FEDDD29">
                  <w:pPr>
                    <w:widowControl/>
                    <w:jc w:val="center"/>
                    <w:textAlignment w:val="center"/>
                    <w:rPr>
                      <w:color w:val="auto"/>
                      <w:szCs w:val="21"/>
                    </w:rPr>
                  </w:pPr>
                  <w:r>
                    <w:rPr>
                      <w:color w:val="auto"/>
                      <w:kern w:val="0"/>
                      <w:szCs w:val="21"/>
                      <w:lang w:bidi="ar"/>
                    </w:rPr>
                    <w:t xml:space="preserve">0.0010 </w:t>
                  </w:r>
                </w:p>
              </w:tc>
            </w:tr>
          </w:tbl>
          <w:p w14:paraId="4F1FBD79">
            <w:pPr>
              <w:pStyle w:val="77"/>
              <w:adjustRightInd w:val="0"/>
              <w:snapToGrid w:val="0"/>
              <w:rPr>
                <w:b/>
                <w:bCs/>
                <w:color w:val="auto"/>
                <w:szCs w:val="21"/>
              </w:rPr>
            </w:pPr>
          </w:p>
          <w:p w14:paraId="0FF24C05">
            <w:pPr>
              <w:pStyle w:val="77"/>
              <w:numPr>
                <w:ilvl w:val="0"/>
                <w:numId w:val="18"/>
              </w:numPr>
              <w:adjustRightInd w:val="0"/>
              <w:snapToGrid w:val="0"/>
              <w:jc w:val="center"/>
              <w:rPr>
                <w:b/>
                <w:bCs/>
                <w:color w:val="auto"/>
                <w:szCs w:val="21"/>
              </w:rPr>
            </w:pPr>
            <w:r>
              <w:rPr>
                <w:rFonts w:hint="eastAsia"/>
                <w:b/>
                <w:bCs/>
                <w:color w:val="auto"/>
                <w:szCs w:val="21"/>
              </w:rPr>
              <w:t>项目清洗</w:t>
            </w:r>
            <w:r>
              <w:rPr>
                <w:b/>
                <w:bCs/>
                <w:color w:val="auto"/>
                <w:szCs w:val="21"/>
              </w:rPr>
              <w:t>废水污染物产生</w:t>
            </w:r>
            <w:r>
              <w:rPr>
                <w:rFonts w:hint="eastAsia"/>
                <w:b/>
                <w:bCs/>
                <w:color w:val="auto"/>
                <w:szCs w:val="21"/>
              </w:rPr>
              <w:t>量核算</w:t>
            </w:r>
            <w:r>
              <w:rPr>
                <w:b/>
                <w:bCs/>
                <w:color w:val="auto"/>
                <w:szCs w:val="21"/>
              </w:rPr>
              <w:t>表</w:t>
            </w:r>
          </w:p>
          <w:tbl>
            <w:tblPr>
              <w:tblStyle w:val="35"/>
              <w:tblW w:w="10361" w:type="dxa"/>
              <w:tblInd w:w="0" w:type="dxa"/>
              <w:tblLayout w:type="fixed"/>
              <w:tblCellMar>
                <w:top w:w="0" w:type="dxa"/>
                <w:left w:w="108" w:type="dxa"/>
                <w:bottom w:w="0" w:type="dxa"/>
                <w:right w:w="108" w:type="dxa"/>
              </w:tblCellMar>
            </w:tblPr>
            <w:tblGrid>
              <w:gridCol w:w="1063"/>
              <w:gridCol w:w="999"/>
              <w:gridCol w:w="1989"/>
              <w:gridCol w:w="999"/>
              <w:gridCol w:w="806"/>
              <w:gridCol w:w="1102"/>
              <w:gridCol w:w="1024"/>
              <w:gridCol w:w="1192"/>
              <w:gridCol w:w="1187"/>
            </w:tblGrid>
            <w:tr w14:paraId="08AFA095">
              <w:tblPrEx>
                <w:tblCellMar>
                  <w:top w:w="0" w:type="dxa"/>
                  <w:left w:w="108" w:type="dxa"/>
                  <w:bottom w:w="0" w:type="dxa"/>
                  <w:right w:w="108" w:type="dxa"/>
                </w:tblCellMar>
              </w:tblPrEx>
              <w:trPr>
                <w:trHeight w:val="525" w:hRule="atLeast"/>
              </w:trPr>
              <w:tc>
                <w:tcPr>
                  <w:tcW w:w="512" w:type="pct"/>
                  <w:tcBorders>
                    <w:top w:val="single" w:color="000000" w:sz="4" w:space="0"/>
                    <w:left w:val="single" w:color="000000" w:sz="4" w:space="0"/>
                    <w:bottom w:val="single" w:color="auto" w:sz="4" w:space="0"/>
                    <w:right w:val="single" w:color="000000" w:sz="4" w:space="0"/>
                  </w:tcBorders>
                  <w:vAlign w:val="center"/>
                </w:tcPr>
                <w:p w14:paraId="5D5B21DF">
                  <w:pPr>
                    <w:widowControl/>
                    <w:jc w:val="center"/>
                    <w:textAlignment w:val="center"/>
                    <w:rPr>
                      <w:b/>
                      <w:bCs/>
                      <w:color w:val="auto"/>
                      <w:kern w:val="0"/>
                      <w:szCs w:val="21"/>
                      <w:lang w:bidi="ar"/>
                    </w:rPr>
                  </w:pPr>
                  <w:r>
                    <w:rPr>
                      <w:rFonts w:hint="eastAsia"/>
                      <w:b/>
                      <w:bCs/>
                      <w:color w:val="auto"/>
                      <w:kern w:val="0"/>
                      <w:szCs w:val="21"/>
                      <w:lang w:bidi="ar"/>
                    </w:rPr>
                    <w:t>废水类型</w:t>
                  </w:r>
                </w:p>
              </w:tc>
              <w:tc>
                <w:tcPr>
                  <w:tcW w:w="482" w:type="pct"/>
                  <w:tcBorders>
                    <w:top w:val="single" w:color="000000" w:sz="4" w:space="0"/>
                    <w:left w:val="single" w:color="000000" w:sz="4" w:space="0"/>
                    <w:bottom w:val="single" w:color="auto" w:sz="4" w:space="0"/>
                    <w:right w:val="single" w:color="000000" w:sz="4" w:space="0"/>
                  </w:tcBorders>
                  <w:vAlign w:val="center"/>
                </w:tcPr>
                <w:p w14:paraId="0C2F61D9">
                  <w:pPr>
                    <w:widowControl/>
                    <w:jc w:val="center"/>
                    <w:textAlignment w:val="center"/>
                    <w:rPr>
                      <w:b/>
                      <w:bCs/>
                      <w:color w:val="auto"/>
                      <w:kern w:val="0"/>
                      <w:szCs w:val="21"/>
                      <w:lang w:bidi="ar"/>
                    </w:rPr>
                  </w:pPr>
                  <w:r>
                    <w:rPr>
                      <w:b/>
                      <w:bCs/>
                      <w:color w:val="auto"/>
                      <w:kern w:val="0"/>
                      <w:szCs w:val="21"/>
                      <w:lang w:bidi="ar"/>
                    </w:rPr>
                    <w:t>污染</w:t>
                  </w:r>
                </w:p>
                <w:p w14:paraId="10C982A6">
                  <w:pPr>
                    <w:widowControl/>
                    <w:jc w:val="center"/>
                    <w:textAlignment w:val="center"/>
                    <w:rPr>
                      <w:b/>
                      <w:bCs/>
                      <w:color w:val="auto"/>
                      <w:szCs w:val="21"/>
                    </w:rPr>
                  </w:pPr>
                  <w:r>
                    <w:rPr>
                      <w:b/>
                      <w:bCs/>
                      <w:color w:val="auto"/>
                      <w:kern w:val="0"/>
                      <w:szCs w:val="21"/>
                      <w:lang w:bidi="ar"/>
                    </w:rPr>
                    <w:t>因子</w:t>
                  </w:r>
                </w:p>
              </w:tc>
              <w:tc>
                <w:tcPr>
                  <w:tcW w:w="959" w:type="pct"/>
                  <w:tcBorders>
                    <w:top w:val="single" w:color="000000" w:sz="4" w:space="0"/>
                    <w:left w:val="single" w:color="000000" w:sz="4" w:space="0"/>
                    <w:bottom w:val="single" w:color="auto" w:sz="4" w:space="0"/>
                    <w:right w:val="single" w:color="000000" w:sz="4" w:space="0"/>
                  </w:tcBorders>
                  <w:vAlign w:val="center"/>
                </w:tcPr>
                <w:p w14:paraId="1DA5D25A">
                  <w:pPr>
                    <w:widowControl/>
                    <w:jc w:val="center"/>
                    <w:textAlignment w:val="center"/>
                    <w:rPr>
                      <w:b/>
                      <w:bCs/>
                      <w:color w:val="auto"/>
                      <w:szCs w:val="21"/>
                    </w:rPr>
                  </w:pPr>
                  <w:r>
                    <w:rPr>
                      <w:b/>
                      <w:bCs/>
                      <w:color w:val="auto"/>
                      <w:kern w:val="0"/>
                      <w:szCs w:val="21"/>
                      <w:lang w:bidi="ar"/>
                    </w:rPr>
                    <w:t>核算环节</w:t>
                  </w:r>
                </w:p>
              </w:tc>
              <w:tc>
                <w:tcPr>
                  <w:tcW w:w="482" w:type="pct"/>
                  <w:tcBorders>
                    <w:top w:val="single" w:color="000000" w:sz="4" w:space="0"/>
                    <w:left w:val="single" w:color="000000" w:sz="4" w:space="0"/>
                    <w:bottom w:val="single" w:color="auto" w:sz="4" w:space="0"/>
                    <w:right w:val="single" w:color="000000" w:sz="4" w:space="0"/>
                  </w:tcBorders>
                  <w:vAlign w:val="center"/>
                </w:tcPr>
                <w:p w14:paraId="7D839B70">
                  <w:pPr>
                    <w:widowControl/>
                    <w:jc w:val="center"/>
                    <w:textAlignment w:val="center"/>
                    <w:rPr>
                      <w:b/>
                      <w:bCs/>
                      <w:color w:val="auto"/>
                      <w:szCs w:val="21"/>
                    </w:rPr>
                  </w:pPr>
                  <w:r>
                    <w:rPr>
                      <w:b/>
                      <w:bCs/>
                      <w:color w:val="auto"/>
                      <w:kern w:val="0"/>
                      <w:szCs w:val="21"/>
                      <w:lang w:bidi="ar"/>
                    </w:rPr>
                    <w:t>单位</w:t>
                  </w:r>
                </w:p>
              </w:tc>
              <w:tc>
                <w:tcPr>
                  <w:tcW w:w="389" w:type="pct"/>
                  <w:tcBorders>
                    <w:top w:val="single" w:color="000000" w:sz="4" w:space="0"/>
                    <w:left w:val="single" w:color="000000" w:sz="4" w:space="0"/>
                    <w:bottom w:val="single" w:color="auto" w:sz="4" w:space="0"/>
                    <w:right w:val="single" w:color="000000" w:sz="4" w:space="0"/>
                  </w:tcBorders>
                  <w:vAlign w:val="center"/>
                </w:tcPr>
                <w:p w14:paraId="3CEF023C">
                  <w:pPr>
                    <w:widowControl/>
                    <w:jc w:val="center"/>
                    <w:textAlignment w:val="center"/>
                    <w:rPr>
                      <w:b/>
                      <w:bCs/>
                      <w:color w:val="auto"/>
                      <w:kern w:val="0"/>
                      <w:szCs w:val="21"/>
                      <w:lang w:bidi="ar"/>
                    </w:rPr>
                  </w:pPr>
                  <w:r>
                    <w:rPr>
                      <w:b/>
                      <w:bCs/>
                      <w:color w:val="auto"/>
                      <w:kern w:val="0"/>
                      <w:szCs w:val="21"/>
                      <w:lang w:bidi="ar"/>
                    </w:rPr>
                    <w:t>产污</w:t>
                  </w:r>
                </w:p>
                <w:p w14:paraId="38359D07">
                  <w:pPr>
                    <w:widowControl/>
                    <w:jc w:val="center"/>
                    <w:textAlignment w:val="center"/>
                    <w:rPr>
                      <w:b/>
                      <w:bCs/>
                      <w:color w:val="auto"/>
                      <w:szCs w:val="21"/>
                    </w:rPr>
                  </w:pPr>
                  <w:r>
                    <w:rPr>
                      <w:b/>
                      <w:bCs/>
                      <w:color w:val="auto"/>
                      <w:kern w:val="0"/>
                      <w:szCs w:val="21"/>
                      <w:lang w:bidi="ar"/>
                    </w:rPr>
                    <w:t>系数</w:t>
                  </w:r>
                </w:p>
              </w:tc>
              <w:tc>
                <w:tcPr>
                  <w:tcW w:w="531" w:type="pct"/>
                  <w:tcBorders>
                    <w:top w:val="single" w:color="000000" w:sz="4" w:space="0"/>
                    <w:left w:val="single" w:color="000000" w:sz="4" w:space="0"/>
                    <w:bottom w:val="single" w:color="auto" w:sz="4" w:space="0"/>
                    <w:right w:val="single" w:color="000000" w:sz="4" w:space="0"/>
                  </w:tcBorders>
                  <w:vAlign w:val="center"/>
                </w:tcPr>
                <w:p w14:paraId="7BD5D83A">
                  <w:pPr>
                    <w:widowControl/>
                    <w:jc w:val="center"/>
                    <w:textAlignment w:val="center"/>
                    <w:rPr>
                      <w:b/>
                      <w:bCs/>
                      <w:color w:val="auto"/>
                      <w:szCs w:val="21"/>
                    </w:rPr>
                  </w:pPr>
                  <w:r>
                    <w:rPr>
                      <w:rFonts w:hint="eastAsia"/>
                      <w:b/>
                      <w:bCs/>
                      <w:color w:val="auto"/>
                      <w:kern w:val="0"/>
                      <w:szCs w:val="21"/>
                      <w:lang w:bidi="ar"/>
                    </w:rPr>
                    <w:t>物料</w:t>
                  </w:r>
                  <w:r>
                    <w:rPr>
                      <w:b/>
                      <w:bCs/>
                      <w:color w:val="auto"/>
                      <w:kern w:val="0"/>
                      <w:szCs w:val="21"/>
                      <w:lang w:bidi="ar"/>
                    </w:rPr>
                    <w:t>名称</w:t>
                  </w:r>
                </w:p>
              </w:tc>
              <w:tc>
                <w:tcPr>
                  <w:tcW w:w="494" w:type="pct"/>
                  <w:tcBorders>
                    <w:top w:val="single" w:color="000000" w:sz="4" w:space="0"/>
                    <w:left w:val="single" w:color="000000" w:sz="4" w:space="0"/>
                    <w:bottom w:val="single" w:color="auto" w:sz="4" w:space="0"/>
                    <w:right w:val="single" w:color="000000" w:sz="4" w:space="0"/>
                  </w:tcBorders>
                  <w:vAlign w:val="center"/>
                </w:tcPr>
                <w:p w14:paraId="55D51C3C">
                  <w:pPr>
                    <w:widowControl/>
                    <w:jc w:val="center"/>
                    <w:textAlignment w:val="center"/>
                    <w:rPr>
                      <w:b/>
                      <w:bCs/>
                      <w:color w:val="auto"/>
                      <w:szCs w:val="21"/>
                    </w:rPr>
                  </w:pPr>
                  <w:r>
                    <w:rPr>
                      <w:b/>
                      <w:bCs/>
                      <w:color w:val="auto"/>
                      <w:kern w:val="0"/>
                      <w:szCs w:val="21"/>
                      <w:lang w:bidi="ar"/>
                    </w:rPr>
                    <w:t>用量t/a</w:t>
                  </w:r>
                </w:p>
              </w:tc>
              <w:tc>
                <w:tcPr>
                  <w:tcW w:w="574" w:type="pct"/>
                  <w:tcBorders>
                    <w:top w:val="single" w:color="000000" w:sz="4" w:space="0"/>
                    <w:left w:val="single" w:color="000000" w:sz="4" w:space="0"/>
                    <w:bottom w:val="single" w:color="auto" w:sz="4" w:space="0"/>
                    <w:right w:val="single" w:color="000000" w:sz="4" w:space="0"/>
                  </w:tcBorders>
                  <w:vAlign w:val="center"/>
                </w:tcPr>
                <w:p w14:paraId="6BA90AAD">
                  <w:pPr>
                    <w:widowControl/>
                    <w:jc w:val="center"/>
                    <w:textAlignment w:val="center"/>
                    <w:rPr>
                      <w:b/>
                      <w:bCs/>
                      <w:color w:val="auto"/>
                      <w:szCs w:val="21"/>
                    </w:rPr>
                  </w:pPr>
                  <w:r>
                    <w:rPr>
                      <w:b/>
                      <w:bCs/>
                      <w:color w:val="auto"/>
                      <w:kern w:val="0"/>
                      <w:szCs w:val="21"/>
                      <w:lang w:bidi="ar"/>
                    </w:rPr>
                    <w:t>取产污系数比例</w:t>
                  </w:r>
                </w:p>
              </w:tc>
              <w:tc>
                <w:tcPr>
                  <w:tcW w:w="572" w:type="pct"/>
                  <w:tcBorders>
                    <w:top w:val="single" w:color="000000" w:sz="4" w:space="0"/>
                    <w:left w:val="single" w:color="000000" w:sz="4" w:space="0"/>
                    <w:bottom w:val="single" w:color="auto" w:sz="4" w:space="0"/>
                    <w:right w:val="single" w:color="000000" w:sz="4" w:space="0"/>
                  </w:tcBorders>
                  <w:vAlign w:val="center"/>
                </w:tcPr>
                <w:p w14:paraId="4F0B89BB">
                  <w:pPr>
                    <w:widowControl/>
                    <w:jc w:val="center"/>
                    <w:textAlignment w:val="center"/>
                    <w:rPr>
                      <w:b/>
                      <w:bCs/>
                      <w:color w:val="auto"/>
                      <w:szCs w:val="21"/>
                    </w:rPr>
                  </w:pPr>
                  <w:r>
                    <w:rPr>
                      <w:b/>
                      <w:bCs/>
                      <w:color w:val="auto"/>
                      <w:kern w:val="0"/>
                      <w:szCs w:val="21"/>
                      <w:lang w:bidi="ar"/>
                    </w:rPr>
                    <w:t>项目产生量t/a</w:t>
                  </w:r>
                </w:p>
              </w:tc>
            </w:tr>
            <w:tr w14:paraId="4BAD6D59">
              <w:tblPrEx>
                <w:tblCellMar>
                  <w:top w:w="0" w:type="dxa"/>
                  <w:left w:w="108" w:type="dxa"/>
                  <w:bottom w:w="0" w:type="dxa"/>
                  <w:right w:w="108" w:type="dxa"/>
                </w:tblCellMar>
              </w:tblPrEx>
              <w:trPr>
                <w:trHeight w:val="680" w:hRule="atLeast"/>
              </w:trPr>
              <w:tc>
                <w:tcPr>
                  <w:tcW w:w="512" w:type="pct"/>
                  <w:vMerge w:val="restart"/>
                  <w:tcBorders>
                    <w:top w:val="single" w:color="auto" w:sz="4" w:space="0"/>
                    <w:left w:val="single" w:color="auto" w:sz="4" w:space="0"/>
                    <w:bottom w:val="single" w:color="auto" w:sz="4" w:space="0"/>
                    <w:right w:val="single" w:color="auto" w:sz="4" w:space="0"/>
                  </w:tcBorders>
                  <w:vAlign w:val="center"/>
                </w:tcPr>
                <w:p w14:paraId="54B018D8">
                  <w:pPr>
                    <w:widowControl/>
                    <w:jc w:val="center"/>
                    <w:textAlignment w:val="center"/>
                    <w:rPr>
                      <w:color w:val="auto"/>
                      <w:kern w:val="0"/>
                      <w:szCs w:val="21"/>
                      <w:lang w:bidi="ar"/>
                    </w:rPr>
                  </w:pPr>
                  <w:r>
                    <w:rPr>
                      <w:rFonts w:hint="eastAsia"/>
                      <w:color w:val="auto"/>
                      <w:kern w:val="0"/>
                      <w:szCs w:val="21"/>
                      <w:lang w:bidi="ar"/>
                    </w:rPr>
                    <w:t>清洗废水</w:t>
                  </w:r>
                </w:p>
              </w:tc>
              <w:tc>
                <w:tcPr>
                  <w:tcW w:w="482" w:type="pct"/>
                  <w:vMerge w:val="restart"/>
                  <w:tcBorders>
                    <w:top w:val="single" w:color="auto" w:sz="4" w:space="0"/>
                    <w:left w:val="single" w:color="auto" w:sz="4" w:space="0"/>
                    <w:bottom w:val="single" w:color="auto" w:sz="4" w:space="0"/>
                    <w:right w:val="single" w:color="auto" w:sz="4" w:space="0"/>
                  </w:tcBorders>
                  <w:vAlign w:val="center"/>
                </w:tcPr>
                <w:p w14:paraId="02B5F076">
                  <w:pPr>
                    <w:widowControl/>
                    <w:jc w:val="center"/>
                    <w:textAlignment w:val="center"/>
                    <w:rPr>
                      <w:color w:val="auto"/>
                      <w:szCs w:val="21"/>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959" w:type="pct"/>
                  <w:tcBorders>
                    <w:top w:val="single" w:color="auto" w:sz="4" w:space="0"/>
                    <w:left w:val="single" w:color="auto" w:sz="4" w:space="0"/>
                    <w:bottom w:val="single" w:color="auto" w:sz="4" w:space="0"/>
                    <w:right w:val="single" w:color="auto" w:sz="4" w:space="0"/>
                  </w:tcBorders>
                  <w:vAlign w:val="center"/>
                </w:tcPr>
                <w:p w14:paraId="18D6981D">
                  <w:pPr>
                    <w:widowControl/>
                    <w:jc w:val="center"/>
                    <w:textAlignment w:val="center"/>
                    <w:rPr>
                      <w:color w:val="auto"/>
                      <w:szCs w:val="21"/>
                    </w:rPr>
                  </w:pPr>
                  <w:r>
                    <w:rPr>
                      <w:color w:val="auto"/>
                      <w:kern w:val="0"/>
                      <w:szCs w:val="21"/>
                      <w:lang w:bidi="ar"/>
                    </w:rPr>
                    <w:t>06</w:t>
                  </w:r>
                  <w:r>
                    <w:rPr>
                      <w:rFonts w:hint="eastAsia" w:ascii="宋体" w:hAnsi="宋体" w:cs="宋体"/>
                      <w:color w:val="auto"/>
                      <w:kern w:val="0"/>
                      <w:szCs w:val="21"/>
                      <w:lang w:bidi="ar"/>
                    </w:rPr>
                    <w:t>预处理</w:t>
                  </w:r>
                  <w:r>
                    <w:rPr>
                      <w:color w:val="auto"/>
                      <w:kern w:val="0"/>
                      <w:szCs w:val="21"/>
                      <w:lang w:bidi="ar"/>
                    </w:rPr>
                    <w:t>-</w:t>
                  </w:r>
                  <w:r>
                    <w:rPr>
                      <w:rFonts w:hint="eastAsia" w:ascii="宋体" w:hAnsi="宋体" w:cs="宋体"/>
                      <w:color w:val="auto"/>
                      <w:kern w:val="0"/>
                      <w:szCs w:val="21"/>
                      <w:lang w:bidi="ar"/>
                    </w:rPr>
                    <w:t>预处理工段</w:t>
                  </w:r>
                  <w:r>
                    <w:rPr>
                      <w:color w:val="auto"/>
                      <w:kern w:val="0"/>
                      <w:szCs w:val="21"/>
                      <w:lang w:bidi="ar"/>
                    </w:rPr>
                    <w:t>-</w:t>
                  </w:r>
                  <w:r>
                    <w:rPr>
                      <w:rFonts w:hint="eastAsia" w:ascii="宋体" w:hAnsi="宋体" w:cs="宋体"/>
                      <w:color w:val="auto"/>
                      <w:kern w:val="0"/>
                      <w:szCs w:val="21"/>
                      <w:lang w:bidi="ar"/>
                    </w:rPr>
                    <w:t>脱脂剂</w:t>
                  </w:r>
                  <w:r>
                    <w:rPr>
                      <w:color w:val="auto"/>
                      <w:kern w:val="0"/>
                      <w:szCs w:val="21"/>
                      <w:lang w:bidi="ar"/>
                    </w:rPr>
                    <w:t>-</w:t>
                  </w:r>
                  <w:r>
                    <w:rPr>
                      <w:rFonts w:hint="eastAsia" w:ascii="宋体" w:hAnsi="宋体" w:cs="宋体"/>
                      <w:color w:val="auto"/>
                      <w:kern w:val="0"/>
                      <w:szCs w:val="21"/>
                      <w:lang w:bidi="ar"/>
                    </w:rPr>
                    <w:t>脱脂</w:t>
                  </w:r>
                </w:p>
              </w:tc>
              <w:tc>
                <w:tcPr>
                  <w:tcW w:w="482" w:type="pct"/>
                  <w:tcBorders>
                    <w:top w:val="single" w:color="auto" w:sz="4" w:space="0"/>
                    <w:left w:val="single" w:color="auto" w:sz="4" w:space="0"/>
                    <w:bottom w:val="single" w:color="auto" w:sz="4" w:space="0"/>
                    <w:right w:val="single" w:color="auto" w:sz="4" w:space="0"/>
                  </w:tcBorders>
                  <w:vAlign w:val="center"/>
                </w:tcPr>
                <w:p w14:paraId="7B9661AE">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532E5C8D">
                  <w:pPr>
                    <w:widowControl/>
                    <w:jc w:val="center"/>
                    <w:textAlignment w:val="center"/>
                    <w:rPr>
                      <w:color w:val="auto"/>
                      <w:szCs w:val="21"/>
                    </w:rPr>
                  </w:pPr>
                  <w:r>
                    <w:rPr>
                      <w:color w:val="auto"/>
                      <w:kern w:val="0"/>
                      <w:szCs w:val="21"/>
                      <w:lang w:bidi="ar"/>
                    </w:rPr>
                    <w:t>714</w:t>
                  </w:r>
                </w:p>
              </w:tc>
              <w:tc>
                <w:tcPr>
                  <w:tcW w:w="531" w:type="pct"/>
                  <w:tcBorders>
                    <w:top w:val="single" w:color="auto" w:sz="4" w:space="0"/>
                    <w:left w:val="single" w:color="auto" w:sz="4" w:space="0"/>
                    <w:bottom w:val="single" w:color="auto" w:sz="4" w:space="0"/>
                    <w:right w:val="single" w:color="auto" w:sz="4" w:space="0"/>
                  </w:tcBorders>
                  <w:vAlign w:val="center"/>
                </w:tcPr>
                <w:p w14:paraId="34A16F4E">
                  <w:pPr>
                    <w:widowControl/>
                    <w:jc w:val="center"/>
                    <w:textAlignment w:val="center"/>
                    <w:rPr>
                      <w:color w:val="auto"/>
                      <w:szCs w:val="21"/>
                    </w:rPr>
                  </w:pPr>
                  <w:r>
                    <w:rPr>
                      <w:rFonts w:hint="eastAsia" w:ascii="宋体" w:hAnsi="宋体" w:cs="宋体"/>
                      <w:color w:val="auto"/>
                      <w:kern w:val="0"/>
                      <w:szCs w:val="21"/>
                      <w:lang w:bidi="ar"/>
                    </w:rPr>
                    <w:t>脱脂剂</w:t>
                  </w:r>
                </w:p>
              </w:tc>
              <w:tc>
                <w:tcPr>
                  <w:tcW w:w="494" w:type="pct"/>
                  <w:tcBorders>
                    <w:top w:val="single" w:color="auto" w:sz="4" w:space="0"/>
                    <w:left w:val="single" w:color="auto" w:sz="4" w:space="0"/>
                    <w:bottom w:val="single" w:color="auto" w:sz="4" w:space="0"/>
                    <w:right w:val="single" w:color="auto" w:sz="4" w:space="0"/>
                  </w:tcBorders>
                  <w:vAlign w:val="center"/>
                </w:tcPr>
                <w:p w14:paraId="3037D443">
                  <w:pPr>
                    <w:widowControl/>
                    <w:jc w:val="center"/>
                    <w:textAlignment w:val="center"/>
                    <w:rPr>
                      <w:color w:val="auto"/>
                      <w:szCs w:val="21"/>
                    </w:rPr>
                  </w:pPr>
                  <w:r>
                    <w:rPr>
                      <w:rFonts w:hint="eastAsia"/>
                      <w:color w:val="auto"/>
                      <w:kern w:val="0"/>
                      <w:szCs w:val="21"/>
                      <w:lang w:bidi="ar"/>
                    </w:rPr>
                    <w:t>0.54</w:t>
                  </w:r>
                </w:p>
              </w:tc>
              <w:tc>
                <w:tcPr>
                  <w:tcW w:w="574" w:type="pct"/>
                  <w:tcBorders>
                    <w:top w:val="single" w:color="auto" w:sz="4" w:space="0"/>
                    <w:left w:val="single" w:color="auto" w:sz="4" w:space="0"/>
                    <w:bottom w:val="single" w:color="auto" w:sz="4" w:space="0"/>
                    <w:right w:val="single" w:color="auto" w:sz="4" w:space="0"/>
                  </w:tcBorders>
                  <w:vAlign w:val="center"/>
                </w:tcPr>
                <w:p w14:paraId="68D6C868">
                  <w:pPr>
                    <w:widowControl/>
                    <w:jc w:val="center"/>
                    <w:textAlignment w:val="center"/>
                    <w:rPr>
                      <w:color w:val="auto"/>
                      <w:szCs w:val="21"/>
                    </w:rPr>
                  </w:pPr>
                  <w:r>
                    <w:rPr>
                      <w:color w:val="auto"/>
                      <w:kern w:val="0"/>
                      <w:szCs w:val="21"/>
                      <w:lang w:bidi="ar"/>
                    </w:rPr>
                    <w:t>100%</w:t>
                  </w:r>
                </w:p>
              </w:tc>
              <w:tc>
                <w:tcPr>
                  <w:tcW w:w="572" w:type="pct"/>
                  <w:vMerge w:val="restart"/>
                  <w:tcBorders>
                    <w:top w:val="single" w:color="auto" w:sz="4" w:space="0"/>
                    <w:left w:val="single" w:color="auto" w:sz="4" w:space="0"/>
                    <w:bottom w:val="single" w:color="auto" w:sz="4" w:space="0"/>
                    <w:right w:val="single" w:color="auto" w:sz="4" w:space="0"/>
                  </w:tcBorders>
                  <w:vAlign w:val="center"/>
                </w:tcPr>
                <w:p w14:paraId="12D33538">
                  <w:pPr>
                    <w:widowControl/>
                    <w:jc w:val="center"/>
                    <w:textAlignment w:val="center"/>
                    <w:rPr>
                      <w:color w:val="auto"/>
                      <w:szCs w:val="21"/>
                    </w:rPr>
                  </w:pPr>
                  <w:r>
                    <w:rPr>
                      <w:color w:val="auto"/>
                      <w:kern w:val="0"/>
                      <w:szCs w:val="21"/>
                      <w:lang w:bidi="ar"/>
                    </w:rPr>
                    <w:t xml:space="preserve">0.620 </w:t>
                  </w:r>
                </w:p>
              </w:tc>
            </w:tr>
            <w:tr w14:paraId="41B43286">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vAlign w:val="center"/>
                </w:tcPr>
                <w:p w14:paraId="5748DE86">
                  <w:pPr>
                    <w:jc w:val="center"/>
                    <w:rPr>
                      <w:color w:val="auto"/>
                      <w:szCs w:val="21"/>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218DA9CD">
                  <w:pPr>
                    <w:jc w:val="center"/>
                    <w:rPr>
                      <w:color w:val="auto"/>
                      <w:szCs w:val="21"/>
                    </w:rPr>
                  </w:pPr>
                </w:p>
              </w:tc>
              <w:tc>
                <w:tcPr>
                  <w:tcW w:w="959" w:type="pct"/>
                  <w:tcBorders>
                    <w:top w:val="single" w:color="auto" w:sz="4" w:space="0"/>
                    <w:left w:val="single" w:color="auto" w:sz="4" w:space="0"/>
                    <w:bottom w:val="single" w:color="auto" w:sz="4" w:space="0"/>
                    <w:right w:val="single" w:color="auto" w:sz="4" w:space="0"/>
                  </w:tcBorders>
                  <w:vAlign w:val="center"/>
                </w:tcPr>
                <w:p w14:paraId="52B7DF42">
                  <w:pPr>
                    <w:widowControl/>
                    <w:jc w:val="center"/>
                    <w:textAlignment w:val="center"/>
                    <w:rPr>
                      <w:color w:val="auto"/>
                      <w:szCs w:val="21"/>
                    </w:rPr>
                  </w:pPr>
                  <w:r>
                    <w:rPr>
                      <w:color w:val="auto"/>
                      <w:kern w:val="0"/>
                      <w:szCs w:val="21"/>
                      <w:lang w:bidi="ar"/>
                    </w:rPr>
                    <w:t>06</w:t>
                  </w:r>
                  <w:r>
                    <w:rPr>
                      <w:rFonts w:hint="eastAsia" w:ascii="宋体" w:hAnsi="宋体" w:cs="宋体"/>
                      <w:color w:val="auto"/>
                      <w:kern w:val="0"/>
                      <w:szCs w:val="21"/>
                      <w:lang w:bidi="ar"/>
                    </w:rPr>
                    <w:t>预处理</w:t>
                  </w:r>
                  <w:r>
                    <w:rPr>
                      <w:color w:val="auto"/>
                      <w:kern w:val="0"/>
                      <w:szCs w:val="21"/>
                      <w:lang w:bidi="ar"/>
                    </w:rPr>
                    <w:t>-</w:t>
                  </w:r>
                  <w:r>
                    <w:rPr>
                      <w:rFonts w:hint="eastAsia" w:ascii="宋体" w:hAnsi="宋体" w:cs="宋体"/>
                      <w:color w:val="auto"/>
                      <w:kern w:val="0"/>
                      <w:szCs w:val="21"/>
                      <w:lang w:bidi="ar"/>
                    </w:rPr>
                    <w:t>预处理工段</w:t>
                  </w:r>
                  <w:r>
                    <w:rPr>
                      <w:color w:val="auto"/>
                      <w:kern w:val="0"/>
                      <w:szCs w:val="21"/>
                      <w:lang w:bidi="ar"/>
                    </w:rPr>
                    <w:t>-</w:t>
                  </w:r>
                  <w:r>
                    <w:rPr>
                      <w:rFonts w:hint="eastAsia" w:ascii="宋体" w:hAnsi="宋体" w:cs="宋体"/>
                      <w:color w:val="auto"/>
                      <w:kern w:val="0"/>
                      <w:szCs w:val="21"/>
                      <w:lang w:bidi="ar"/>
                    </w:rPr>
                    <w:t>盐酸</w:t>
                  </w:r>
                  <w:r>
                    <w:rPr>
                      <w:color w:val="auto"/>
                      <w:kern w:val="0"/>
                      <w:szCs w:val="21"/>
                      <w:lang w:bidi="ar"/>
                    </w:rPr>
                    <w:t>-</w:t>
                  </w:r>
                  <w:r>
                    <w:rPr>
                      <w:rFonts w:hint="eastAsia" w:ascii="宋体" w:hAnsi="宋体" w:cs="宋体"/>
                      <w:color w:val="auto"/>
                      <w:kern w:val="0"/>
                      <w:szCs w:val="21"/>
                      <w:lang w:bidi="ar"/>
                    </w:rPr>
                    <w:t>酸洗</w:t>
                  </w:r>
                </w:p>
              </w:tc>
              <w:tc>
                <w:tcPr>
                  <w:tcW w:w="482" w:type="pct"/>
                  <w:tcBorders>
                    <w:top w:val="single" w:color="auto" w:sz="4" w:space="0"/>
                    <w:left w:val="single" w:color="auto" w:sz="4" w:space="0"/>
                    <w:bottom w:val="single" w:color="auto" w:sz="4" w:space="0"/>
                    <w:right w:val="single" w:color="auto" w:sz="4" w:space="0"/>
                  </w:tcBorders>
                  <w:vAlign w:val="center"/>
                </w:tcPr>
                <w:p w14:paraId="72FCD33F">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产品</w:t>
                  </w:r>
                </w:p>
              </w:tc>
              <w:tc>
                <w:tcPr>
                  <w:tcW w:w="389" w:type="pct"/>
                  <w:tcBorders>
                    <w:top w:val="single" w:color="auto" w:sz="4" w:space="0"/>
                    <w:left w:val="single" w:color="auto" w:sz="4" w:space="0"/>
                    <w:bottom w:val="single" w:color="auto" w:sz="4" w:space="0"/>
                    <w:right w:val="single" w:color="auto" w:sz="4" w:space="0"/>
                  </w:tcBorders>
                  <w:vAlign w:val="center"/>
                </w:tcPr>
                <w:p w14:paraId="684103C8">
                  <w:pPr>
                    <w:widowControl/>
                    <w:jc w:val="center"/>
                    <w:textAlignment w:val="center"/>
                    <w:rPr>
                      <w:color w:val="auto"/>
                      <w:szCs w:val="21"/>
                    </w:rPr>
                  </w:pPr>
                  <w:r>
                    <w:rPr>
                      <w:color w:val="auto"/>
                      <w:kern w:val="0"/>
                      <w:szCs w:val="21"/>
                      <w:lang w:bidi="ar"/>
                    </w:rPr>
                    <w:t>0.016</w:t>
                  </w:r>
                </w:p>
              </w:tc>
              <w:tc>
                <w:tcPr>
                  <w:tcW w:w="531" w:type="pct"/>
                  <w:tcBorders>
                    <w:top w:val="single" w:color="auto" w:sz="4" w:space="0"/>
                    <w:left w:val="single" w:color="auto" w:sz="4" w:space="0"/>
                    <w:bottom w:val="single" w:color="auto" w:sz="4" w:space="0"/>
                    <w:right w:val="single" w:color="auto" w:sz="4" w:space="0"/>
                  </w:tcBorders>
                  <w:vAlign w:val="center"/>
                </w:tcPr>
                <w:p w14:paraId="213AFF14">
                  <w:pPr>
                    <w:widowControl/>
                    <w:jc w:val="center"/>
                    <w:textAlignment w:val="center"/>
                    <w:rPr>
                      <w:color w:val="auto"/>
                      <w:szCs w:val="21"/>
                    </w:rPr>
                  </w:pPr>
                  <w:r>
                    <w:rPr>
                      <w:rFonts w:hint="eastAsia" w:ascii="宋体" w:hAnsi="宋体" w:cs="宋体"/>
                      <w:color w:val="auto"/>
                      <w:kern w:val="0"/>
                      <w:szCs w:val="21"/>
                      <w:lang w:bidi="ar"/>
                    </w:rPr>
                    <w:t>产品</w:t>
                  </w:r>
                </w:p>
              </w:tc>
              <w:tc>
                <w:tcPr>
                  <w:tcW w:w="494" w:type="pct"/>
                  <w:tcBorders>
                    <w:top w:val="single" w:color="auto" w:sz="4" w:space="0"/>
                    <w:left w:val="single" w:color="auto" w:sz="4" w:space="0"/>
                    <w:bottom w:val="single" w:color="auto" w:sz="4" w:space="0"/>
                    <w:right w:val="single" w:color="auto" w:sz="4" w:space="0"/>
                  </w:tcBorders>
                  <w:vAlign w:val="center"/>
                </w:tcPr>
                <w:p w14:paraId="6F58598F">
                  <w:pPr>
                    <w:widowControl/>
                    <w:jc w:val="center"/>
                    <w:textAlignment w:val="center"/>
                    <w:rPr>
                      <w:color w:val="auto"/>
                      <w:szCs w:val="21"/>
                    </w:rPr>
                  </w:pPr>
                  <w:r>
                    <w:rPr>
                      <w:rFonts w:hint="eastAsia"/>
                      <w:color w:val="auto"/>
                      <w:kern w:val="0"/>
                      <w:szCs w:val="21"/>
                      <w:lang w:bidi="ar"/>
                    </w:rPr>
                    <w:t>1497</w:t>
                  </w:r>
                </w:p>
              </w:tc>
              <w:tc>
                <w:tcPr>
                  <w:tcW w:w="574" w:type="pct"/>
                  <w:tcBorders>
                    <w:top w:val="single" w:color="auto" w:sz="4" w:space="0"/>
                    <w:left w:val="single" w:color="auto" w:sz="4" w:space="0"/>
                    <w:bottom w:val="single" w:color="auto" w:sz="4" w:space="0"/>
                    <w:right w:val="single" w:color="auto" w:sz="4" w:space="0"/>
                  </w:tcBorders>
                  <w:vAlign w:val="center"/>
                </w:tcPr>
                <w:p w14:paraId="2B70C51A">
                  <w:pPr>
                    <w:widowControl/>
                    <w:jc w:val="center"/>
                    <w:textAlignment w:val="center"/>
                    <w:rPr>
                      <w:color w:val="auto"/>
                      <w:szCs w:val="21"/>
                    </w:rPr>
                  </w:pPr>
                  <w:r>
                    <w:rPr>
                      <w:color w:val="auto"/>
                      <w:kern w:val="0"/>
                      <w:szCs w:val="21"/>
                      <w:lang w:bidi="ar"/>
                    </w:rPr>
                    <w:t>100%</w:t>
                  </w:r>
                </w:p>
              </w:tc>
              <w:tc>
                <w:tcPr>
                  <w:tcW w:w="572" w:type="pct"/>
                  <w:vMerge w:val="continue"/>
                  <w:tcBorders>
                    <w:top w:val="single" w:color="auto" w:sz="4" w:space="0"/>
                    <w:left w:val="single" w:color="auto" w:sz="4" w:space="0"/>
                    <w:bottom w:val="single" w:color="auto" w:sz="4" w:space="0"/>
                    <w:right w:val="single" w:color="auto" w:sz="4" w:space="0"/>
                  </w:tcBorders>
                  <w:vAlign w:val="center"/>
                </w:tcPr>
                <w:p w14:paraId="20463D8E">
                  <w:pPr>
                    <w:jc w:val="center"/>
                    <w:rPr>
                      <w:color w:val="auto"/>
                      <w:szCs w:val="21"/>
                    </w:rPr>
                  </w:pPr>
                </w:p>
              </w:tc>
            </w:tr>
            <w:tr w14:paraId="34F75F96">
              <w:tblPrEx>
                <w:tblCellMar>
                  <w:top w:w="0" w:type="dxa"/>
                  <w:left w:w="108" w:type="dxa"/>
                  <w:bottom w:w="0" w:type="dxa"/>
                  <w:right w:w="108" w:type="dxa"/>
                </w:tblCellMar>
              </w:tblPrEx>
              <w:trPr>
                <w:trHeight w:val="907" w:hRule="atLeast"/>
              </w:trPr>
              <w:tc>
                <w:tcPr>
                  <w:tcW w:w="512" w:type="pct"/>
                  <w:vMerge w:val="continue"/>
                  <w:tcBorders>
                    <w:top w:val="single" w:color="auto" w:sz="4" w:space="0"/>
                    <w:left w:val="single" w:color="auto" w:sz="4" w:space="0"/>
                    <w:bottom w:val="single" w:color="auto" w:sz="4" w:space="0"/>
                    <w:right w:val="single" w:color="auto" w:sz="4" w:space="0"/>
                  </w:tcBorders>
                  <w:vAlign w:val="center"/>
                </w:tcPr>
                <w:p w14:paraId="39031286">
                  <w:pPr>
                    <w:jc w:val="center"/>
                    <w:rPr>
                      <w:color w:val="auto"/>
                      <w:szCs w:val="21"/>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45EA8256">
                  <w:pPr>
                    <w:jc w:val="center"/>
                    <w:rPr>
                      <w:color w:val="auto"/>
                      <w:szCs w:val="21"/>
                    </w:rPr>
                  </w:pPr>
                </w:p>
              </w:tc>
              <w:tc>
                <w:tcPr>
                  <w:tcW w:w="959" w:type="pct"/>
                  <w:tcBorders>
                    <w:top w:val="single" w:color="auto" w:sz="4" w:space="0"/>
                    <w:left w:val="single" w:color="auto" w:sz="4" w:space="0"/>
                    <w:bottom w:val="single" w:color="auto" w:sz="4" w:space="0"/>
                    <w:right w:val="single" w:color="auto" w:sz="4" w:space="0"/>
                  </w:tcBorders>
                  <w:vAlign w:val="center"/>
                </w:tcPr>
                <w:p w14:paraId="5096E70C">
                  <w:pPr>
                    <w:widowControl/>
                    <w:jc w:val="center"/>
                    <w:textAlignment w:val="center"/>
                    <w:rPr>
                      <w:color w:val="auto"/>
                      <w:szCs w:val="21"/>
                    </w:rPr>
                  </w:pPr>
                  <w:r>
                    <w:rPr>
                      <w:color w:val="auto"/>
                      <w:kern w:val="0"/>
                      <w:szCs w:val="21"/>
                      <w:lang w:bidi="ar"/>
                    </w:rPr>
                    <w:t>07</w:t>
                  </w:r>
                  <w:r>
                    <w:rPr>
                      <w:rFonts w:hint="eastAsia" w:ascii="宋体" w:hAnsi="宋体" w:cs="宋体"/>
                      <w:color w:val="auto"/>
                      <w:kern w:val="0"/>
                      <w:szCs w:val="21"/>
                      <w:lang w:bidi="ar"/>
                    </w:rPr>
                    <w:t>机械加工</w:t>
                  </w:r>
                  <w:r>
                    <w:rPr>
                      <w:color w:val="auto"/>
                      <w:kern w:val="0"/>
                      <w:szCs w:val="21"/>
                      <w:lang w:bidi="ar"/>
                    </w:rPr>
                    <w:t>-</w:t>
                  </w:r>
                  <w:r>
                    <w:rPr>
                      <w:rFonts w:hint="eastAsia" w:ascii="宋体" w:hAnsi="宋体" w:cs="宋体"/>
                      <w:color w:val="auto"/>
                      <w:kern w:val="0"/>
                      <w:szCs w:val="21"/>
                      <w:lang w:bidi="ar"/>
                    </w:rPr>
                    <w:t>机械加工工段</w:t>
                  </w:r>
                  <w:r>
                    <w:rPr>
                      <w:color w:val="auto"/>
                      <w:kern w:val="0"/>
                      <w:szCs w:val="21"/>
                      <w:lang w:bidi="ar"/>
                    </w:rPr>
                    <w:t>-</w:t>
                  </w:r>
                  <w:r>
                    <w:rPr>
                      <w:rFonts w:hint="eastAsia" w:ascii="宋体" w:hAnsi="宋体" w:cs="宋体"/>
                      <w:color w:val="auto"/>
                      <w:kern w:val="0"/>
                      <w:szCs w:val="21"/>
                      <w:lang w:bidi="ar"/>
                    </w:rPr>
                    <w:t>清洗件</w:t>
                  </w:r>
                  <w:r>
                    <w:rPr>
                      <w:color w:val="auto"/>
                      <w:kern w:val="0"/>
                      <w:szCs w:val="21"/>
                      <w:lang w:bidi="ar"/>
                    </w:rPr>
                    <w:t>-</w:t>
                  </w:r>
                  <w:r>
                    <w:rPr>
                      <w:rFonts w:hint="eastAsia" w:ascii="宋体" w:hAnsi="宋体" w:cs="宋体"/>
                      <w:color w:val="auto"/>
                      <w:kern w:val="0"/>
                      <w:szCs w:val="21"/>
                      <w:lang w:bidi="ar"/>
                    </w:rPr>
                    <w:t>加工件清洗</w:t>
                  </w:r>
                </w:p>
              </w:tc>
              <w:tc>
                <w:tcPr>
                  <w:tcW w:w="482" w:type="pct"/>
                  <w:tcBorders>
                    <w:top w:val="single" w:color="auto" w:sz="4" w:space="0"/>
                    <w:left w:val="single" w:color="auto" w:sz="4" w:space="0"/>
                    <w:bottom w:val="single" w:color="auto" w:sz="4" w:space="0"/>
                    <w:right w:val="single" w:color="auto" w:sz="4" w:space="0"/>
                  </w:tcBorders>
                  <w:vAlign w:val="center"/>
                </w:tcPr>
                <w:p w14:paraId="482A8DFA">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239588C3">
                  <w:pPr>
                    <w:widowControl/>
                    <w:jc w:val="center"/>
                    <w:textAlignment w:val="center"/>
                    <w:rPr>
                      <w:color w:val="auto"/>
                      <w:szCs w:val="21"/>
                    </w:rPr>
                  </w:pPr>
                  <w:r>
                    <w:rPr>
                      <w:color w:val="auto"/>
                      <w:kern w:val="0"/>
                      <w:szCs w:val="21"/>
                      <w:lang w:bidi="ar"/>
                    </w:rPr>
                    <w:t>58.5</w:t>
                  </w:r>
                </w:p>
              </w:tc>
              <w:tc>
                <w:tcPr>
                  <w:tcW w:w="531" w:type="pct"/>
                  <w:tcBorders>
                    <w:top w:val="single" w:color="auto" w:sz="4" w:space="0"/>
                    <w:left w:val="single" w:color="auto" w:sz="4" w:space="0"/>
                    <w:bottom w:val="single" w:color="auto" w:sz="4" w:space="0"/>
                    <w:right w:val="single" w:color="auto" w:sz="4" w:space="0"/>
                  </w:tcBorders>
                  <w:vAlign w:val="center"/>
                </w:tcPr>
                <w:p w14:paraId="3AAC6B9E">
                  <w:pPr>
                    <w:widowControl/>
                    <w:jc w:val="center"/>
                    <w:textAlignment w:val="center"/>
                    <w:rPr>
                      <w:color w:val="auto"/>
                      <w:szCs w:val="21"/>
                    </w:rPr>
                  </w:pPr>
                  <w:r>
                    <w:rPr>
                      <w:rFonts w:hint="eastAsia" w:ascii="宋体" w:hAnsi="宋体" w:cs="宋体"/>
                      <w:color w:val="auto"/>
                      <w:kern w:val="0"/>
                      <w:szCs w:val="21"/>
                      <w:lang w:bidi="ar"/>
                    </w:rPr>
                    <w:t>除油粉</w:t>
                  </w:r>
                </w:p>
              </w:tc>
              <w:tc>
                <w:tcPr>
                  <w:tcW w:w="494" w:type="pct"/>
                  <w:tcBorders>
                    <w:top w:val="single" w:color="auto" w:sz="4" w:space="0"/>
                    <w:left w:val="single" w:color="auto" w:sz="4" w:space="0"/>
                    <w:bottom w:val="single" w:color="auto" w:sz="4" w:space="0"/>
                    <w:right w:val="single" w:color="auto" w:sz="4" w:space="0"/>
                  </w:tcBorders>
                  <w:vAlign w:val="center"/>
                </w:tcPr>
                <w:p w14:paraId="03A970E2">
                  <w:pPr>
                    <w:widowControl/>
                    <w:jc w:val="center"/>
                    <w:textAlignment w:val="center"/>
                    <w:rPr>
                      <w:color w:val="auto"/>
                      <w:szCs w:val="21"/>
                    </w:rPr>
                  </w:pPr>
                  <w:r>
                    <w:rPr>
                      <w:rFonts w:hint="eastAsia"/>
                      <w:color w:val="auto"/>
                      <w:kern w:val="0"/>
                      <w:szCs w:val="21"/>
                      <w:lang w:bidi="ar"/>
                    </w:rPr>
                    <w:t>0.94</w:t>
                  </w:r>
                </w:p>
              </w:tc>
              <w:tc>
                <w:tcPr>
                  <w:tcW w:w="574" w:type="pct"/>
                  <w:tcBorders>
                    <w:top w:val="single" w:color="auto" w:sz="4" w:space="0"/>
                    <w:left w:val="single" w:color="auto" w:sz="4" w:space="0"/>
                    <w:bottom w:val="single" w:color="auto" w:sz="4" w:space="0"/>
                    <w:right w:val="single" w:color="auto" w:sz="4" w:space="0"/>
                  </w:tcBorders>
                  <w:vAlign w:val="center"/>
                </w:tcPr>
                <w:p w14:paraId="165C3178">
                  <w:pPr>
                    <w:widowControl/>
                    <w:jc w:val="center"/>
                    <w:textAlignment w:val="center"/>
                    <w:rPr>
                      <w:color w:val="auto"/>
                      <w:szCs w:val="21"/>
                    </w:rPr>
                  </w:pPr>
                  <w:r>
                    <w:rPr>
                      <w:color w:val="auto"/>
                      <w:kern w:val="0"/>
                      <w:szCs w:val="21"/>
                      <w:lang w:bidi="ar"/>
                    </w:rPr>
                    <w:t>100%</w:t>
                  </w:r>
                </w:p>
              </w:tc>
              <w:tc>
                <w:tcPr>
                  <w:tcW w:w="572" w:type="pct"/>
                  <w:vMerge w:val="continue"/>
                  <w:tcBorders>
                    <w:top w:val="single" w:color="auto" w:sz="4" w:space="0"/>
                    <w:left w:val="single" w:color="auto" w:sz="4" w:space="0"/>
                    <w:bottom w:val="single" w:color="auto" w:sz="4" w:space="0"/>
                    <w:right w:val="single" w:color="auto" w:sz="4" w:space="0"/>
                  </w:tcBorders>
                  <w:vAlign w:val="center"/>
                </w:tcPr>
                <w:p w14:paraId="69E2983E">
                  <w:pPr>
                    <w:jc w:val="center"/>
                    <w:rPr>
                      <w:color w:val="auto"/>
                      <w:szCs w:val="21"/>
                    </w:rPr>
                  </w:pPr>
                </w:p>
              </w:tc>
            </w:tr>
            <w:tr w14:paraId="513D3E9D">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vAlign w:val="center"/>
                </w:tcPr>
                <w:p w14:paraId="111AC7E6">
                  <w:pPr>
                    <w:jc w:val="center"/>
                    <w:rPr>
                      <w:color w:val="auto"/>
                      <w:szCs w:val="21"/>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4B738431">
                  <w:pPr>
                    <w:jc w:val="center"/>
                    <w:rPr>
                      <w:color w:val="auto"/>
                      <w:szCs w:val="21"/>
                    </w:rPr>
                  </w:pPr>
                </w:p>
              </w:tc>
              <w:tc>
                <w:tcPr>
                  <w:tcW w:w="959" w:type="pct"/>
                  <w:tcBorders>
                    <w:top w:val="single" w:color="auto" w:sz="4" w:space="0"/>
                    <w:left w:val="single" w:color="auto" w:sz="4" w:space="0"/>
                    <w:bottom w:val="single" w:color="auto" w:sz="4" w:space="0"/>
                    <w:right w:val="single" w:color="auto" w:sz="4" w:space="0"/>
                  </w:tcBorders>
                  <w:vAlign w:val="center"/>
                </w:tcPr>
                <w:p w14:paraId="29A32A23">
                  <w:pPr>
                    <w:widowControl/>
                    <w:jc w:val="center"/>
                    <w:textAlignment w:val="center"/>
                    <w:rPr>
                      <w:color w:val="auto"/>
                      <w:szCs w:val="21"/>
                    </w:rPr>
                  </w:pPr>
                  <w:r>
                    <w:rPr>
                      <w:color w:val="auto"/>
                      <w:kern w:val="0"/>
                      <w:szCs w:val="21"/>
                      <w:lang w:bidi="ar"/>
                    </w:rPr>
                    <w:t>11</w:t>
                  </w:r>
                  <w:r>
                    <w:rPr>
                      <w:rFonts w:hint="eastAsia" w:ascii="宋体" w:hAnsi="宋体" w:cs="宋体"/>
                      <w:color w:val="auto"/>
                      <w:kern w:val="0"/>
                      <w:szCs w:val="21"/>
                      <w:lang w:bidi="ar"/>
                    </w:rPr>
                    <w:t>转化膜处理</w:t>
                  </w:r>
                  <w:r>
                    <w:rPr>
                      <w:color w:val="auto"/>
                      <w:kern w:val="0"/>
                      <w:szCs w:val="21"/>
                      <w:lang w:bidi="ar"/>
                    </w:rPr>
                    <w:t>-</w:t>
                  </w:r>
                  <w:r>
                    <w:rPr>
                      <w:rFonts w:hint="eastAsia" w:ascii="宋体" w:hAnsi="宋体" w:cs="宋体"/>
                      <w:color w:val="auto"/>
                      <w:kern w:val="0"/>
                      <w:szCs w:val="21"/>
                      <w:lang w:bidi="ar"/>
                    </w:rPr>
                    <w:t>转化膜处理工段</w:t>
                  </w:r>
                  <w:r>
                    <w:rPr>
                      <w:color w:val="auto"/>
                      <w:kern w:val="0"/>
                      <w:szCs w:val="21"/>
                      <w:lang w:bidi="ar"/>
                    </w:rPr>
                    <w:t>-</w:t>
                  </w:r>
                  <w:r>
                    <w:rPr>
                      <w:rFonts w:hint="eastAsia" w:ascii="宋体" w:hAnsi="宋体" w:cs="宋体"/>
                      <w:color w:val="auto"/>
                      <w:kern w:val="0"/>
                      <w:szCs w:val="21"/>
                      <w:lang w:bidi="ar"/>
                    </w:rPr>
                    <w:t>表调</w:t>
                  </w:r>
                </w:p>
              </w:tc>
              <w:tc>
                <w:tcPr>
                  <w:tcW w:w="482" w:type="pct"/>
                  <w:tcBorders>
                    <w:top w:val="single" w:color="auto" w:sz="4" w:space="0"/>
                    <w:left w:val="single" w:color="auto" w:sz="4" w:space="0"/>
                    <w:bottom w:val="single" w:color="auto" w:sz="4" w:space="0"/>
                    <w:right w:val="single" w:color="auto" w:sz="4" w:space="0"/>
                  </w:tcBorders>
                  <w:vAlign w:val="center"/>
                </w:tcPr>
                <w:p w14:paraId="73944E7D">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1B940015">
                  <w:pPr>
                    <w:widowControl/>
                    <w:jc w:val="center"/>
                    <w:textAlignment w:val="center"/>
                    <w:rPr>
                      <w:color w:val="auto"/>
                      <w:szCs w:val="21"/>
                    </w:rPr>
                  </w:pPr>
                  <w:r>
                    <w:rPr>
                      <w:color w:val="auto"/>
                      <w:kern w:val="0"/>
                      <w:szCs w:val="21"/>
                      <w:lang w:bidi="ar"/>
                    </w:rPr>
                    <w:t>30.3</w:t>
                  </w:r>
                </w:p>
              </w:tc>
              <w:tc>
                <w:tcPr>
                  <w:tcW w:w="531" w:type="pct"/>
                  <w:tcBorders>
                    <w:top w:val="single" w:color="auto" w:sz="4" w:space="0"/>
                    <w:left w:val="single" w:color="auto" w:sz="4" w:space="0"/>
                    <w:bottom w:val="single" w:color="auto" w:sz="4" w:space="0"/>
                    <w:right w:val="single" w:color="auto" w:sz="4" w:space="0"/>
                  </w:tcBorders>
                  <w:vAlign w:val="center"/>
                </w:tcPr>
                <w:p w14:paraId="17D3E40C">
                  <w:pPr>
                    <w:widowControl/>
                    <w:jc w:val="center"/>
                    <w:textAlignment w:val="center"/>
                    <w:rPr>
                      <w:color w:val="auto"/>
                      <w:szCs w:val="21"/>
                    </w:rPr>
                  </w:pPr>
                  <w:r>
                    <w:rPr>
                      <w:rFonts w:hint="eastAsia" w:ascii="宋体" w:hAnsi="宋体" w:cs="宋体"/>
                      <w:color w:val="auto"/>
                      <w:kern w:val="0"/>
                      <w:szCs w:val="21"/>
                      <w:lang w:bidi="ar"/>
                    </w:rPr>
                    <w:t>表调剂</w:t>
                  </w:r>
                </w:p>
              </w:tc>
              <w:tc>
                <w:tcPr>
                  <w:tcW w:w="494" w:type="pct"/>
                  <w:tcBorders>
                    <w:top w:val="single" w:color="auto" w:sz="4" w:space="0"/>
                    <w:left w:val="single" w:color="auto" w:sz="4" w:space="0"/>
                    <w:bottom w:val="single" w:color="auto" w:sz="4" w:space="0"/>
                    <w:right w:val="single" w:color="auto" w:sz="4" w:space="0"/>
                  </w:tcBorders>
                  <w:vAlign w:val="center"/>
                </w:tcPr>
                <w:p w14:paraId="36E05F9A">
                  <w:pPr>
                    <w:widowControl/>
                    <w:jc w:val="center"/>
                    <w:textAlignment w:val="center"/>
                    <w:rPr>
                      <w:color w:val="auto"/>
                      <w:szCs w:val="21"/>
                    </w:rPr>
                  </w:pPr>
                  <w:r>
                    <w:rPr>
                      <w:rFonts w:hint="eastAsia"/>
                      <w:color w:val="auto"/>
                      <w:kern w:val="0"/>
                      <w:szCs w:val="21"/>
                      <w:lang w:bidi="ar"/>
                    </w:rPr>
                    <w:t>0.089</w:t>
                  </w:r>
                </w:p>
              </w:tc>
              <w:tc>
                <w:tcPr>
                  <w:tcW w:w="574" w:type="pct"/>
                  <w:tcBorders>
                    <w:top w:val="single" w:color="auto" w:sz="4" w:space="0"/>
                    <w:left w:val="single" w:color="auto" w:sz="4" w:space="0"/>
                    <w:bottom w:val="single" w:color="auto" w:sz="4" w:space="0"/>
                    <w:right w:val="single" w:color="auto" w:sz="4" w:space="0"/>
                  </w:tcBorders>
                  <w:vAlign w:val="center"/>
                </w:tcPr>
                <w:p w14:paraId="58C0561C">
                  <w:pPr>
                    <w:widowControl/>
                    <w:jc w:val="center"/>
                    <w:textAlignment w:val="center"/>
                    <w:rPr>
                      <w:color w:val="auto"/>
                      <w:szCs w:val="21"/>
                    </w:rPr>
                  </w:pPr>
                  <w:r>
                    <w:rPr>
                      <w:color w:val="auto"/>
                      <w:kern w:val="0"/>
                      <w:szCs w:val="21"/>
                      <w:lang w:bidi="ar"/>
                    </w:rPr>
                    <w:t>100%</w:t>
                  </w:r>
                </w:p>
              </w:tc>
              <w:tc>
                <w:tcPr>
                  <w:tcW w:w="572" w:type="pct"/>
                  <w:vMerge w:val="continue"/>
                  <w:tcBorders>
                    <w:top w:val="single" w:color="auto" w:sz="4" w:space="0"/>
                    <w:left w:val="single" w:color="auto" w:sz="4" w:space="0"/>
                    <w:bottom w:val="single" w:color="auto" w:sz="4" w:space="0"/>
                    <w:right w:val="single" w:color="auto" w:sz="4" w:space="0"/>
                  </w:tcBorders>
                  <w:vAlign w:val="center"/>
                </w:tcPr>
                <w:p w14:paraId="65B44EBB">
                  <w:pPr>
                    <w:jc w:val="center"/>
                    <w:rPr>
                      <w:color w:val="auto"/>
                      <w:szCs w:val="21"/>
                    </w:rPr>
                  </w:pPr>
                </w:p>
              </w:tc>
            </w:tr>
            <w:tr w14:paraId="520451C5">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vAlign w:val="center"/>
                </w:tcPr>
                <w:p w14:paraId="3597EF58">
                  <w:pPr>
                    <w:jc w:val="center"/>
                    <w:rPr>
                      <w:color w:val="auto"/>
                      <w:szCs w:val="21"/>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20C5C26F">
                  <w:pPr>
                    <w:jc w:val="center"/>
                    <w:rPr>
                      <w:color w:val="auto"/>
                      <w:szCs w:val="21"/>
                    </w:rPr>
                  </w:pPr>
                </w:p>
              </w:tc>
              <w:tc>
                <w:tcPr>
                  <w:tcW w:w="959" w:type="pct"/>
                  <w:tcBorders>
                    <w:top w:val="single" w:color="auto" w:sz="4" w:space="0"/>
                    <w:left w:val="single" w:color="auto" w:sz="4" w:space="0"/>
                    <w:bottom w:val="single" w:color="auto" w:sz="4" w:space="0"/>
                    <w:right w:val="single" w:color="auto" w:sz="4" w:space="0"/>
                  </w:tcBorders>
                  <w:vAlign w:val="center"/>
                </w:tcPr>
                <w:p w14:paraId="5DC0F064">
                  <w:pPr>
                    <w:widowControl/>
                    <w:jc w:val="center"/>
                    <w:textAlignment w:val="center"/>
                    <w:rPr>
                      <w:color w:val="auto"/>
                      <w:szCs w:val="21"/>
                    </w:rPr>
                  </w:pPr>
                  <w:r>
                    <w:rPr>
                      <w:color w:val="auto"/>
                      <w:kern w:val="0"/>
                      <w:szCs w:val="21"/>
                      <w:lang w:bidi="ar"/>
                    </w:rPr>
                    <w:t>11</w:t>
                  </w:r>
                  <w:r>
                    <w:rPr>
                      <w:rFonts w:hint="eastAsia" w:ascii="宋体" w:hAnsi="宋体" w:cs="宋体"/>
                      <w:color w:val="auto"/>
                      <w:kern w:val="0"/>
                      <w:szCs w:val="21"/>
                      <w:lang w:bidi="ar"/>
                    </w:rPr>
                    <w:t>转化膜处理</w:t>
                  </w:r>
                  <w:r>
                    <w:rPr>
                      <w:color w:val="auto"/>
                      <w:kern w:val="0"/>
                      <w:szCs w:val="21"/>
                      <w:lang w:bidi="ar"/>
                    </w:rPr>
                    <w:t>-</w:t>
                  </w:r>
                  <w:r>
                    <w:rPr>
                      <w:rFonts w:hint="eastAsia" w:ascii="宋体" w:hAnsi="宋体" w:cs="宋体"/>
                      <w:color w:val="auto"/>
                      <w:kern w:val="0"/>
                      <w:szCs w:val="21"/>
                      <w:lang w:bidi="ar"/>
                    </w:rPr>
                    <w:t>转化膜处理工段</w:t>
                  </w:r>
                  <w:r>
                    <w:rPr>
                      <w:color w:val="auto"/>
                      <w:kern w:val="0"/>
                      <w:szCs w:val="21"/>
                      <w:lang w:bidi="ar"/>
                    </w:rPr>
                    <w:t>-</w:t>
                  </w:r>
                  <w:r>
                    <w:rPr>
                      <w:rFonts w:hint="eastAsia" w:ascii="宋体" w:hAnsi="宋体" w:cs="宋体"/>
                      <w:color w:val="auto"/>
                      <w:kern w:val="0"/>
                      <w:szCs w:val="21"/>
                      <w:lang w:bidi="ar"/>
                    </w:rPr>
                    <w:t>磷化</w:t>
                  </w:r>
                </w:p>
              </w:tc>
              <w:tc>
                <w:tcPr>
                  <w:tcW w:w="482" w:type="pct"/>
                  <w:tcBorders>
                    <w:top w:val="single" w:color="auto" w:sz="4" w:space="0"/>
                    <w:left w:val="single" w:color="auto" w:sz="4" w:space="0"/>
                    <w:bottom w:val="single" w:color="auto" w:sz="4" w:space="0"/>
                    <w:right w:val="single" w:color="auto" w:sz="4" w:space="0"/>
                  </w:tcBorders>
                  <w:vAlign w:val="center"/>
                </w:tcPr>
                <w:p w14:paraId="4DD324E3">
                  <w:pPr>
                    <w:widowControl/>
                    <w:jc w:val="center"/>
                    <w:textAlignment w:val="center"/>
                    <w:rPr>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383AFC45">
                  <w:pPr>
                    <w:widowControl/>
                    <w:jc w:val="center"/>
                    <w:textAlignment w:val="center"/>
                    <w:rPr>
                      <w:color w:val="auto"/>
                      <w:szCs w:val="21"/>
                    </w:rPr>
                  </w:pPr>
                  <w:r>
                    <w:rPr>
                      <w:color w:val="auto"/>
                      <w:kern w:val="0"/>
                      <w:szCs w:val="21"/>
                      <w:lang w:bidi="ar"/>
                    </w:rPr>
                    <w:t>101</w:t>
                  </w:r>
                </w:p>
              </w:tc>
              <w:tc>
                <w:tcPr>
                  <w:tcW w:w="531" w:type="pct"/>
                  <w:tcBorders>
                    <w:top w:val="single" w:color="auto" w:sz="4" w:space="0"/>
                    <w:left w:val="single" w:color="auto" w:sz="4" w:space="0"/>
                    <w:bottom w:val="single" w:color="auto" w:sz="4" w:space="0"/>
                    <w:right w:val="single" w:color="auto" w:sz="4" w:space="0"/>
                  </w:tcBorders>
                  <w:vAlign w:val="center"/>
                </w:tcPr>
                <w:p w14:paraId="49ECBACF">
                  <w:pPr>
                    <w:widowControl/>
                    <w:jc w:val="center"/>
                    <w:textAlignment w:val="center"/>
                    <w:rPr>
                      <w:color w:val="auto"/>
                      <w:szCs w:val="21"/>
                    </w:rPr>
                  </w:pPr>
                  <w:r>
                    <w:rPr>
                      <w:rFonts w:hint="eastAsia" w:ascii="宋体" w:hAnsi="宋体" w:cs="宋体"/>
                      <w:color w:val="auto"/>
                      <w:kern w:val="0"/>
                      <w:szCs w:val="21"/>
                      <w:lang w:bidi="ar"/>
                    </w:rPr>
                    <w:t>磷化剂</w:t>
                  </w:r>
                </w:p>
              </w:tc>
              <w:tc>
                <w:tcPr>
                  <w:tcW w:w="494" w:type="pct"/>
                  <w:tcBorders>
                    <w:top w:val="single" w:color="auto" w:sz="4" w:space="0"/>
                    <w:left w:val="single" w:color="auto" w:sz="4" w:space="0"/>
                    <w:bottom w:val="single" w:color="auto" w:sz="4" w:space="0"/>
                    <w:right w:val="single" w:color="auto" w:sz="4" w:space="0"/>
                  </w:tcBorders>
                  <w:vAlign w:val="center"/>
                </w:tcPr>
                <w:p w14:paraId="19C76594">
                  <w:pPr>
                    <w:widowControl/>
                    <w:jc w:val="center"/>
                    <w:textAlignment w:val="center"/>
                    <w:rPr>
                      <w:color w:val="auto"/>
                      <w:szCs w:val="21"/>
                    </w:rPr>
                  </w:pPr>
                  <w:r>
                    <w:rPr>
                      <w:rFonts w:hint="eastAsia"/>
                      <w:color w:val="auto"/>
                      <w:kern w:val="0"/>
                      <w:szCs w:val="21"/>
                      <w:lang w:bidi="ar"/>
                    </w:rPr>
                    <w:t>1.51</w:t>
                  </w:r>
                </w:p>
              </w:tc>
              <w:tc>
                <w:tcPr>
                  <w:tcW w:w="574" w:type="pct"/>
                  <w:tcBorders>
                    <w:top w:val="single" w:color="auto" w:sz="4" w:space="0"/>
                    <w:left w:val="single" w:color="auto" w:sz="4" w:space="0"/>
                    <w:bottom w:val="single" w:color="auto" w:sz="4" w:space="0"/>
                    <w:right w:val="single" w:color="auto" w:sz="4" w:space="0"/>
                  </w:tcBorders>
                  <w:vAlign w:val="center"/>
                </w:tcPr>
                <w:p w14:paraId="11909218">
                  <w:pPr>
                    <w:widowControl/>
                    <w:jc w:val="center"/>
                    <w:textAlignment w:val="center"/>
                    <w:rPr>
                      <w:color w:val="auto"/>
                      <w:szCs w:val="21"/>
                    </w:rPr>
                  </w:pPr>
                  <w:r>
                    <w:rPr>
                      <w:color w:val="auto"/>
                      <w:kern w:val="0"/>
                      <w:szCs w:val="21"/>
                      <w:lang w:bidi="ar"/>
                    </w:rPr>
                    <w:t>100%</w:t>
                  </w:r>
                </w:p>
              </w:tc>
              <w:tc>
                <w:tcPr>
                  <w:tcW w:w="572" w:type="pct"/>
                  <w:vMerge w:val="continue"/>
                  <w:tcBorders>
                    <w:top w:val="single" w:color="auto" w:sz="4" w:space="0"/>
                    <w:left w:val="single" w:color="auto" w:sz="4" w:space="0"/>
                    <w:bottom w:val="single" w:color="auto" w:sz="4" w:space="0"/>
                    <w:right w:val="single" w:color="auto" w:sz="4" w:space="0"/>
                  </w:tcBorders>
                  <w:vAlign w:val="center"/>
                </w:tcPr>
                <w:p w14:paraId="72416674">
                  <w:pPr>
                    <w:jc w:val="center"/>
                    <w:rPr>
                      <w:color w:val="auto"/>
                      <w:szCs w:val="21"/>
                    </w:rPr>
                  </w:pPr>
                </w:p>
              </w:tc>
            </w:tr>
            <w:tr w14:paraId="7D5ED8F9">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noWrap/>
                  <w:vAlign w:val="center"/>
                </w:tcPr>
                <w:p w14:paraId="0AC1E67C">
                  <w:pPr>
                    <w:widowControl/>
                    <w:jc w:val="center"/>
                    <w:textAlignment w:val="center"/>
                    <w:rPr>
                      <w:rFonts w:hint="eastAsia" w:ascii="宋体" w:hAnsi="宋体" w:cs="宋体"/>
                      <w:color w:val="auto"/>
                      <w:kern w:val="0"/>
                      <w:szCs w:val="21"/>
                      <w:lang w:bidi="ar"/>
                    </w:rPr>
                  </w:pPr>
                </w:p>
              </w:tc>
              <w:tc>
                <w:tcPr>
                  <w:tcW w:w="482" w:type="pct"/>
                  <w:vMerge w:val="restart"/>
                  <w:tcBorders>
                    <w:top w:val="single" w:color="auto" w:sz="4" w:space="0"/>
                    <w:left w:val="single" w:color="auto" w:sz="4" w:space="0"/>
                    <w:bottom w:val="single" w:color="auto" w:sz="4" w:space="0"/>
                    <w:right w:val="single" w:color="auto" w:sz="4" w:space="0"/>
                  </w:tcBorders>
                  <w:noWrap/>
                  <w:vAlign w:val="center"/>
                </w:tcPr>
                <w:p w14:paraId="4BB3D67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总磷</w:t>
                  </w:r>
                </w:p>
              </w:tc>
              <w:tc>
                <w:tcPr>
                  <w:tcW w:w="959" w:type="pct"/>
                  <w:tcBorders>
                    <w:top w:val="single" w:color="auto" w:sz="4" w:space="0"/>
                    <w:left w:val="single" w:color="auto" w:sz="4" w:space="0"/>
                    <w:bottom w:val="single" w:color="auto" w:sz="4" w:space="0"/>
                    <w:right w:val="single" w:color="auto" w:sz="4" w:space="0"/>
                  </w:tcBorders>
                  <w:vAlign w:val="center"/>
                </w:tcPr>
                <w:p w14:paraId="4D36C47B">
                  <w:pPr>
                    <w:widowControl/>
                    <w:jc w:val="center"/>
                    <w:textAlignment w:val="center"/>
                    <w:rPr>
                      <w:color w:val="auto"/>
                      <w:szCs w:val="21"/>
                    </w:rPr>
                  </w:pPr>
                  <w:r>
                    <w:rPr>
                      <w:color w:val="auto"/>
                      <w:kern w:val="0"/>
                      <w:szCs w:val="21"/>
                      <w:lang w:bidi="ar"/>
                    </w:rPr>
                    <w:t>06</w:t>
                  </w:r>
                  <w:r>
                    <w:rPr>
                      <w:rFonts w:hint="eastAsia" w:ascii="宋体" w:hAnsi="宋体" w:cs="宋体"/>
                      <w:color w:val="auto"/>
                      <w:kern w:val="0"/>
                      <w:szCs w:val="21"/>
                      <w:lang w:bidi="ar"/>
                    </w:rPr>
                    <w:t>预处理</w:t>
                  </w:r>
                  <w:r>
                    <w:rPr>
                      <w:color w:val="auto"/>
                      <w:kern w:val="0"/>
                      <w:szCs w:val="21"/>
                      <w:lang w:bidi="ar"/>
                    </w:rPr>
                    <w:t>-</w:t>
                  </w:r>
                  <w:r>
                    <w:rPr>
                      <w:rFonts w:hint="eastAsia" w:ascii="宋体" w:hAnsi="宋体" w:cs="宋体"/>
                      <w:color w:val="auto"/>
                      <w:kern w:val="0"/>
                      <w:szCs w:val="21"/>
                      <w:lang w:bidi="ar"/>
                    </w:rPr>
                    <w:t>预处理工段</w:t>
                  </w:r>
                  <w:r>
                    <w:rPr>
                      <w:color w:val="auto"/>
                      <w:kern w:val="0"/>
                      <w:szCs w:val="21"/>
                      <w:lang w:bidi="ar"/>
                    </w:rPr>
                    <w:t>-</w:t>
                  </w:r>
                  <w:r>
                    <w:rPr>
                      <w:rFonts w:hint="eastAsia" w:ascii="宋体" w:hAnsi="宋体" w:cs="宋体"/>
                      <w:color w:val="auto"/>
                      <w:kern w:val="0"/>
                      <w:szCs w:val="21"/>
                      <w:lang w:bidi="ar"/>
                    </w:rPr>
                    <w:t>脱脂剂</w:t>
                  </w:r>
                  <w:r>
                    <w:rPr>
                      <w:color w:val="auto"/>
                      <w:kern w:val="0"/>
                      <w:szCs w:val="21"/>
                      <w:lang w:bidi="ar"/>
                    </w:rPr>
                    <w:t>-</w:t>
                  </w:r>
                  <w:r>
                    <w:rPr>
                      <w:rFonts w:hint="eastAsia" w:ascii="宋体" w:hAnsi="宋体" w:cs="宋体"/>
                      <w:color w:val="auto"/>
                      <w:kern w:val="0"/>
                      <w:szCs w:val="21"/>
                      <w:lang w:bidi="ar"/>
                    </w:rPr>
                    <w:t>脱脂</w:t>
                  </w:r>
                </w:p>
              </w:tc>
              <w:tc>
                <w:tcPr>
                  <w:tcW w:w="482" w:type="pct"/>
                  <w:tcBorders>
                    <w:top w:val="single" w:color="auto" w:sz="4" w:space="0"/>
                    <w:left w:val="single" w:color="auto" w:sz="4" w:space="0"/>
                    <w:bottom w:val="single" w:color="auto" w:sz="4" w:space="0"/>
                    <w:right w:val="single" w:color="auto" w:sz="4" w:space="0"/>
                  </w:tcBorders>
                  <w:vAlign w:val="center"/>
                </w:tcPr>
                <w:p w14:paraId="491C803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656ECC03">
                  <w:pPr>
                    <w:widowControl/>
                    <w:jc w:val="center"/>
                    <w:textAlignment w:val="center"/>
                    <w:rPr>
                      <w:color w:val="auto"/>
                      <w:szCs w:val="21"/>
                    </w:rPr>
                  </w:pPr>
                  <w:r>
                    <w:rPr>
                      <w:color w:val="auto"/>
                      <w:kern w:val="0"/>
                      <w:szCs w:val="21"/>
                      <w:lang w:bidi="ar"/>
                    </w:rPr>
                    <w:t>5.1</w:t>
                  </w:r>
                </w:p>
              </w:tc>
              <w:tc>
                <w:tcPr>
                  <w:tcW w:w="531" w:type="pct"/>
                  <w:tcBorders>
                    <w:top w:val="single" w:color="auto" w:sz="4" w:space="0"/>
                    <w:left w:val="single" w:color="auto" w:sz="4" w:space="0"/>
                    <w:bottom w:val="single" w:color="auto" w:sz="4" w:space="0"/>
                    <w:right w:val="single" w:color="auto" w:sz="4" w:space="0"/>
                  </w:tcBorders>
                  <w:vAlign w:val="center"/>
                </w:tcPr>
                <w:p w14:paraId="669584B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脱脂剂</w:t>
                  </w:r>
                </w:p>
              </w:tc>
              <w:tc>
                <w:tcPr>
                  <w:tcW w:w="494" w:type="pct"/>
                  <w:tcBorders>
                    <w:top w:val="single" w:color="auto" w:sz="4" w:space="0"/>
                    <w:left w:val="single" w:color="auto" w:sz="4" w:space="0"/>
                    <w:bottom w:val="single" w:color="auto" w:sz="4" w:space="0"/>
                    <w:right w:val="single" w:color="auto" w:sz="4" w:space="0"/>
                  </w:tcBorders>
                  <w:vAlign w:val="center"/>
                </w:tcPr>
                <w:p w14:paraId="1111B428">
                  <w:pPr>
                    <w:widowControl/>
                    <w:jc w:val="center"/>
                    <w:textAlignment w:val="center"/>
                    <w:rPr>
                      <w:color w:val="auto"/>
                      <w:szCs w:val="21"/>
                    </w:rPr>
                  </w:pPr>
                  <w:r>
                    <w:rPr>
                      <w:rFonts w:hint="eastAsia"/>
                      <w:color w:val="auto"/>
                      <w:kern w:val="0"/>
                      <w:szCs w:val="21"/>
                      <w:lang w:bidi="ar"/>
                    </w:rPr>
                    <w:t>0.54</w:t>
                  </w:r>
                </w:p>
              </w:tc>
              <w:tc>
                <w:tcPr>
                  <w:tcW w:w="574" w:type="pct"/>
                  <w:tcBorders>
                    <w:top w:val="single" w:color="auto" w:sz="4" w:space="0"/>
                    <w:left w:val="single" w:color="auto" w:sz="4" w:space="0"/>
                    <w:bottom w:val="single" w:color="auto" w:sz="4" w:space="0"/>
                    <w:right w:val="single" w:color="auto" w:sz="4" w:space="0"/>
                  </w:tcBorders>
                  <w:vAlign w:val="center"/>
                </w:tcPr>
                <w:p w14:paraId="6F391B2D">
                  <w:pPr>
                    <w:widowControl/>
                    <w:jc w:val="center"/>
                    <w:textAlignment w:val="center"/>
                    <w:rPr>
                      <w:color w:val="auto"/>
                      <w:szCs w:val="21"/>
                    </w:rPr>
                  </w:pPr>
                  <w:r>
                    <w:rPr>
                      <w:color w:val="auto"/>
                      <w:kern w:val="0"/>
                      <w:szCs w:val="21"/>
                      <w:lang w:bidi="ar"/>
                    </w:rPr>
                    <w:t>100%</w:t>
                  </w:r>
                </w:p>
              </w:tc>
              <w:tc>
                <w:tcPr>
                  <w:tcW w:w="572" w:type="pct"/>
                  <w:vMerge w:val="restart"/>
                  <w:tcBorders>
                    <w:top w:val="single" w:color="auto" w:sz="4" w:space="0"/>
                    <w:left w:val="single" w:color="auto" w:sz="4" w:space="0"/>
                    <w:bottom w:val="single" w:color="auto" w:sz="4" w:space="0"/>
                    <w:right w:val="single" w:color="auto" w:sz="4" w:space="0"/>
                  </w:tcBorders>
                  <w:noWrap/>
                  <w:vAlign w:val="center"/>
                </w:tcPr>
                <w:p w14:paraId="7CD47379">
                  <w:pPr>
                    <w:widowControl/>
                    <w:jc w:val="center"/>
                    <w:textAlignment w:val="center"/>
                    <w:rPr>
                      <w:color w:val="auto"/>
                      <w:szCs w:val="21"/>
                    </w:rPr>
                  </w:pPr>
                  <w:r>
                    <w:rPr>
                      <w:color w:val="auto"/>
                      <w:kern w:val="0"/>
                      <w:szCs w:val="21"/>
                      <w:lang w:bidi="ar"/>
                    </w:rPr>
                    <w:t xml:space="preserve">0.127 </w:t>
                  </w:r>
                </w:p>
              </w:tc>
            </w:tr>
            <w:tr w14:paraId="4B6CCC4E">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noWrap/>
                  <w:vAlign w:val="center"/>
                </w:tcPr>
                <w:p w14:paraId="3AB6B794">
                  <w:pPr>
                    <w:jc w:val="center"/>
                    <w:rPr>
                      <w:color w:val="auto"/>
                      <w:szCs w:val="21"/>
                    </w:rPr>
                  </w:pPr>
                </w:p>
              </w:tc>
              <w:tc>
                <w:tcPr>
                  <w:tcW w:w="482" w:type="pct"/>
                  <w:vMerge w:val="continue"/>
                  <w:tcBorders>
                    <w:top w:val="single" w:color="auto" w:sz="4" w:space="0"/>
                    <w:left w:val="single" w:color="auto" w:sz="4" w:space="0"/>
                    <w:bottom w:val="single" w:color="auto" w:sz="4" w:space="0"/>
                    <w:right w:val="single" w:color="auto" w:sz="4" w:space="0"/>
                  </w:tcBorders>
                  <w:noWrap/>
                  <w:vAlign w:val="center"/>
                </w:tcPr>
                <w:p w14:paraId="0EAD6AA2">
                  <w:pPr>
                    <w:jc w:val="center"/>
                    <w:rPr>
                      <w:color w:val="auto"/>
                      <w:szCs w:val="21"/>
                    </w:rPr>
                  </w:pPr>
                </w:p>
              </w:tc>
              <w:tc>
                <w:tcPr>
                  <w:tcW w:w="959" w:type="pct"/>
                  <w:tcBorders>
                    <w:top w:val="single" w:color="auto" w:sz="4" w:space="0"/>
                    <w:left w:val="single" w:color="auto" w:sz="4" w:space="0"/>
                    <w:bottom w:val="single" w:color="auto" w:sz="4" w:space="0"/>
                    <w:right w:val="single" w:color="auto" w:sz="4" w:space="0"/>
                  </w:tcBorders>
                  <w:vAlign w:val="center"/>
                </w:tcPr>
                <w:p w14:paraId="2DE06F5E">
                  <w:pPr>
                    <w:widowControl/>
                    <w:jc w:val="center"/>
                    <w:textAlignment w:val="center"/>
                    <w:rPr>
                      <w:color w:val="auto"/>
                      <w:szCs w:val="21"/>
                    </w:rPr>
                  </w:pPr>
                  <w:r>
                    <w:rPr>
                      <w:color w:val="auto"/>
                      <w:kern w:val="0"/>
                      <w:szCs w:val="21"/>
                      <w:lang w:bidi="ar"/>
                    </w:rPr>
                    <w:t>11</w:t>
                  </w:r>
                  <w:r>
                    <w:rPr>
                      <w:rFonts w:hint="eastAsia" w:ascii="宋体" w:hAnsi="宋体" w:cs="宋体"/>
                      <w:color w:val="auto"/>
                      <w:kern w:val="0"/>
                      <w:szCs w:val="21"/>
                      <w:lang w:bidi="ar"/>
                    </w:rPr>
                    <w:t>转化膜处理</w:t>
                  </w:r>
                  <w:r>
                    <w:rPr>
                      <w:color w:val="auto"/>
                      <w:kern w:val="0"/>
                      <w:szCs w:val="21"/>
                      <w:lang w:bidi="ar"/>
                    </w:rPr>
                    <w:t>-</w:t>
                  </w:r>
                  <w:r>
                    <w:rPr>
                      <w:rFonts w:hint="eastAsia" w:ascii="宋体" w:hAnsi="宋体" w:cs="宋体"/>
                      <w:color w:val="auto"/>
                      <w:kern w:val="0"/>
                      <w:szCs w:val="21"/>
                      <w:lang w:bidi="ar"/>
                    </w:rPr>
                    <w:t>转化膜处理工段</w:t>
                  </w:r>
                  <w:r>
                    <w:rPr>
                      <w:color w:val="auto"/>
                      <w:kern w:val="0"/>
                      <w:szCs w:val="21"/>
                      <w:lang w:bidi="ar"/>
                    </w:rPr>
                    <w:t>-</w:t>
                  </w:r>
                  <w:r>
                    <w:rPr>
                      <w:rFonts w:hint="eastAsia" w:ascii="宋体" w:hAnsi="宋体" w:cs="宋体"/>
                      <w:color w:val="auto"/>
                      <w:kern w:val="0"/>
                      <w:szCs w:val="21"/>
                      <w:lang w:bidi="ar"/>
                    </w:rPr>
                    <w:t>表调</w:t>
                  </w:r>
                </w:p>
              </w:tc>
              <w:tc>
                <w:tcPr>
                  <w:tcW w:w="482" w:type="pct"/>
                  <w:tcBorders>
                    <w:top w:val="single" w:color="auto" w:sz="4" w:space="0"/>
                    <w:left w:val="single" w:color="auto" w:sz="4" w:space="0"/>
                    <w:bottom w:val="single" w:color="auto" w:sz="4" w:space="0"/>
                    <w:right w:val="single" w:color="auto" w:sz="4" w:space="0"/>
                  </w:tcBorders>
                  <w:vAlign w:val="center"/>
                </w:tcPr>
                <w:p w14:paraId="161D2A9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77F69FBD">
                  <w:pPr>
                    <w:widowControl/>
                    <w:jc w:val="center"/>
                    <w:textAlignment w:val="center"/>
                    <w:rPr>
                      <w:color w:val="auto"/>
                      <w:szCs w:val="21"/>
                    </w:rPr>
                  </w:pPr>
                  <w:r>
                    <w:rPr>
                      <w:color w:val="auto"/>
                      <w:kern w:val="0"/>
                      <w:szCs w:val="21"/>
                      <w:lang w:bidi="ar"/>
                    </w:rPr>
                    <w:t>20.2</w:t>
                  </w:r>
                </w:p>
              </w:tc>
              <w:tc>
                <w:tcPr>
                  <w:tcW w:w="531" w:type="pct"/>
                  <w:tcBorders>
                    <w:top w:val="single" w:color="auto" w:sz="4" w:space="0"/>
                    <w:left w:val="single" w:color="auto" w:sz="4" w:space="0"/>
                    <w:bottom w:val="single" w:color="auto" w:sz="4" w:space="0"/>
                    <w:right w:val="single" w:color="auto" w:sz="4" w:space="0"/>
                  </w:tcBorders>
                  <w:vAlign w:val="center"/>
                </w:tcPr>
                <w:p w14:paraId="4B5B162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表调剂</w:t>
                  </w:r>
                </w:p>
              </w:tc>
              <w:tc>
                <w:tcPr>
                  <w:tcW w:w="494" w:type="pct"/>
                  <w:tcBorders>
                    <w:top w:val="single" w:color="auto" w:sz="4" w:space="0"/>
                    <w:left w:val="single" w:color="auto" w:sz="4" w:space="0"/>
                    <w:bottom w:val="single" w:color="auto" w:sz="4" w:space="0"/>
                    <w:right w:val="single" w:color="auto" w:sz="4" w:space="0"/>
                  </w:tcBorders>
                  <w:vAlign w:val="center"/>
                </w:tcPr>
                <w:p w14:paraId="006E1085">
                  <w:pPr>
                    <w:widowControl/>
                    <w:jc w:val="center"/>
                    <w:textAlignment w:val="center"/>
                    <w:rPr>
                      <w:color w:val="auto"/>
                      <w:szCs w:val="21"/>
                    </w:rPr>
                  </w:pPr>
                  <w:r>
                    <w:rPr>
                      <w:rFonts w:hint="eastAsia"/>
                      <w:color w:val="auto"/>
                      <w:kern w:val="0"/>
                      <w:szCs w:val="21"/>
                      <w:lang w:bidi="ar"/>
                    </w:rPr>
                    <w:t>0.089</w:t>
                  </w:r>
                </w:p>
              </w:tc>
              <w:tc>
                <w:tcPr>
                  <w:tcW w:w="574" w:type="pct"/>
                  <w:tcBorders>
                    <w:top w:val="single" w:color="auto" w:sz="4" w:space="0"/>
                    <w:left w:val="single" w:color="auto" w:sz="4" w:space="0"/>
                    <w:bottom w:val="single" w:color="auto" w:sz="4" w:space="0"/>
                    <w:right w:val="single" w:color="auto" w:sz="4" w:space="0"/>
                  </w:tcBorders>
                  <w:vAlign w:val="center"/>
                </w:tcPr>
                <w:p w14:paraId="197C67D4">
                  <w:pPr>
                    <w:widowControl/>
                    <w:jc w:val="center"/>
                    <w:textAlignment w:val="center"/>
                    <w:rPr>
                      <w:color w:val="auto"/>
                      <w:szCs w:val="21"/>
                    </w:rPr>
                  </w:pPr>
                  <w:r>
                    <w:rPr>
                      <w:color w:val="auto"/>
                      <w:kern w:val="0"/>
                      <w:szCs w:val="21"/>
                      <w:lang w:bidi="ar"/>
                    </w:rPr>
                    <w:t>100%</w:t>
                  </w:r>
                </w:p>
              </w:tc>
              <w:tc>
                <w:tcPr>
                  <w:tcW w:w="572" w:type="pct"/>
                  <w:vMerge w:val="continue"/>
                  <w:tcBorders>
                    <w:top w:val="single" w:color="auto" w:sz="4" w:space="0"/>
                    <w:left w:val="single" w:color="auto" w:sz="4" w:space="0"/>
                    <w:bottom w:val="single" w:color="auto" w:sz="4" w:space="0"/>
                    <w:right w:val="single" w:color="auto" w:sz="4" w:space="0"/>
                  </w:tcBorders>
                  <w:noWrap/>
                  <w:vAlign w:val="center"/>
                </w:tcPr>
                <w:p w14:paraId="54A7FB9E">
                  <w:pPr>
                    <w:jc w:val="center"/>
                    <w:rPr>
                      <w:color w:val="auto"/>
                      <w:szCs w:val="21"/>
                    </w:rPr>
                  </w:pPr>
                </w:p>
              </w:tc>
            </w:tr>
            <w:tr w14:paraId="20539DAB">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noWrap/>
                  <w:vAlign w:val="center"/>
                </w:tcPr>
                <w:p w14:paraId="27E69DB6">
                  <w:pPr>
                    <w:jc w:val="center"/>
                    <w:rPr>
                      <w:color w:val="auto"/>
                      <w:szCs w:val="21"/>
                    </w:rPr>
                  </w:pPr>
                </w:p>
              </w:tc>
              <w:tc>
                <w:tcPr>
                  <w:tcW w:w="482" w:type="pct"/>
                  <w:vMerge w:val="continue"/>
                  <w:tcBorders>
                    <w:top w:val="single" w:color="auto" w:sz="4" w:space="0"/>
                    <w:left w:val="single" w:color="auto" w:sz="4" w:space="0"/>
                    <w:bottom w:val="single" w:color="auto" w:sz="4" w:space="0"/>
                    <w:right w:val="single" w:color="auto" w:sz="4" w:space="0"/>
                  </w:tcBorders>
                  <w:noWrap/>
                  <w:vAlign w:val="center"/>
                </w:tcPr>
                <w:p w14:paraId="553D0CA2">
                  <w:pPr>
                    <w:jc w:val="center"/>
                    <w:rPr>
                      <w:color w:val="auto"/>
                      <w:szCs w:val="21"/>
                    </w:rPr>
                  </w:pPr>
                </w:p>
              </w:tc>
              <w:tc>
                <w:tcPr>
                  <w:tcW w:w="959" w:type="pct"/>
                  <w:tcBorders>
                    <w:top w:val="single" w:color="auto" w:sz="4" w:space="0"/>
                    <w:left w:val="single" w:color="auto" w:sz="4" w:space="0"/>
                    <w:bottom w:val="single" w:color="auto" w:sz="4" w:space="0"/>
                    <w:right w:val="single" w:color="auto" w:sz="4" w:space="0"/>
                  </w:tcBorders>
                  <w:vAlign w:val="center"/>
                </w:tcPr>
                <w:p w14:paraId="221A8190">
                  <w:pPr>
                    <w:widowControl/>
                    <w:jc w:val="center"/>
                    <w:textAlignment w:val="center"/>
                    <w:rPr>
                      <w:color w:val="auto"/>
                      <w:szCs w:val="21"/>
                    </w:rPr>
                  </w:pPr>
                  <w:r>
                    <w:rPr>
                      <w:color w:val="auto"/>
                      <w:kern w:val="0"/>
                      <w:szCs w:val="21"/>
                      <w:lang w:bidi="ar"/>
                    </w:rPr>
                    <w:t>11</w:t>
                  </w:r>
                  <w:r>
                    <w:rPr>
                      <w:rFonts w:hint="eastAsia" w:ascii="宋体" w:hAnsi="宋体" w:cs="宋体"/>
                      <w:color w:val="auto"/>
                      <w:kern w:val="0"/>
                      <w:szCs w:val="21"/>
                      <w:lang w:bidi="ar"/>
                    </w:rPr>
                    <w:t>转化膜处理</w:t>
                  </w:r>
                  <w:r>
                    <w:rPr>
                      <w:color w:val="auto"/>
                      <w:kern w:val="0"/>
                      <w:szCs w:val="21"/>
                      <w:lang w:bidi="ar"/>
                    </w:rPr>
                    <w:t>-</w:t>
                  </w:r>
                  <w:r>
                    <w:rPr>
                      <w:rFonts w:hint="eastAsia" w:ascii="宋体" w:hAnsi="宋体" w:cs="宋体"/>
                      <w:color w:val="auto"/>
                      <w:kern w:val="0"/>
                      <w:szCs w:val="21"/>
                      <w:lang w:bidi="ar"/>
                    </w:rPr>
                    <w:t>转化膜处理工段</w:t>
                  </w:r>
                  <w:r>
                    <w:rPr>
                      <w:color w:val="auto"/>
                      <w:kern w:val="0"/>
                      <w:szCs w:val="21"/>
                      <w:lang w:bidi="ar"/>
                    </w:rPr>
                    <w:t>-</w:t>
                  </w:r>
                  <w:r>
                    <w:rPr>
                      <w:rFonts w:hint="eastAsia" w:ascii="宋体" w:hAnsi="宋体" w:cs="宋体"/>
                      <w:color w:val="auto"/>
                      <w:kern w:val="0"/>
                      <w:szCs w:val="21"/>
                      <w:lang w:bidi="ar"/>
                    </w:rPr>
                    <w:t>磷化</w:t>
                  </w:r>
                </w:p>
              </w:tc>
              <w:tc>
                <w:tcPr>
                  <w:tcW w:w="482" w:type="pct"/>
                  <w:tcBorders>
                    <w:top w:val="single" w:color="auto" w:sz="4" w:space="0"/>
                    <w:left w:val="single" w:color="auto" w:sz="4" w:space="0"/>
                    <w:bottom w:val="single" w:color="auto" w:sz="4" w:space="0"/>
                    <w:right w:val="single" w:color="auto" w:sz="4" w:space="0"/>
                  </w:tcBorders>
                  <w:vAlign w:val="center"/>
                </w:tcPr>
                <w:p w14:paraId="6DE93B9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279F03BE">
                  <w:pPr>
                    <w:widowControl/>
                    <w:jc w:val="center"/>
                    <w:textAlignment w:val="center"/>
                    <w:rPr>
                      <w:color w:val="auto"/>
                      <w:szCs w:val="21"/>
                    </w:rPr>
                  </w:pPr>
                  <w:r>
                    <w:rPr>
                      <w:color w:val="auto"/>
                      <w:kern w:val="0"/>
                      <w:szCs w:val="21"/>
                      <w:lang w:bidi="ar"/>
                    </w:rPr>
                    <w:t>80.8</w:t>
                  </w:r>
                </w:p>
              </w:tc>
              <w:tc>
                <w:tcPr>
                  <w:tcW w:w="531" w:type="pct"/>
                  <w:tcBorders>
                    <w:top w:val="single" w:color="auto" w:sz="4" w:space="0"/>
                    <w:left w:val="single" w:color="auto" w:sz="4" w:space="0"/>
                    <w:bottom w:val="single" w:color="auto" w:sz="4" w:space="0"/>
                    <w:right w:val="single" w:color="auto" w:sz="4" w:space="0"/>
                  </w:tcBorders>
                  <w:vAlign w:val="center"/>
                </w:tcPr>
                <w:p w14:paraId="1A5F506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磷化剂</w:t>
                  </w:r>
                </w:p>
              </w:tc>
              <w:tc>
                <w:tcPr>
                  <w:tcW w:w="494" w:type="pct"/>
                  <w:tcBorders>
                    <w:top w:val="single" w:color="auto" w:sz="4" w:space="0"/>
                    <w:left w:val="single" w:color="auto" w:sz="4" w:space="0"/>
                    <w:bottom w:val="single" w:color="auto" w:sz="4" w:space="0"/>
                    <w:right w:val="single" w:color="auto" w:sz="4" w:space="0"/>
                  </w:tcBorders>
                  <w:vAlign w:val="center"/>
                </w:tcPr>
                <w:p w14:paraId="559BC0ED">
                  <w:pPr>
                    <w:widowControl/>
                    <w:jc w:val="center"/>
                    <w:textAlignment w:val="center"/>
                    <w:rPr>
                      <w:color w:val="auto"/>
                      <w:szCs w:val="21"/>
                    </w:rPr>
                  </w:pPr>
                  <w:r>
                    <w:rPr>
                      <w:rFonts w:hint="eastAsia"/>
                      <w:color w:val="auto"/>
                      <w:kern w:val="0"/>
                      <w:szCs w:val="21"/>
                      <w:lang w:bidi="ar"/>
                    </w:rPr>
                    <w:t>1.51</w:t>
                  </w:r>
                </w:p>
              </w:tc>
              <w:tc>
                <w:tcPr>
                  <w:tcW w:w="574" w:type="pct"/>
                  <w:tcBorders>
                    <w:top w:val="single" w:color="auto" w:sz="4" w:space="0"/>
                    <w:left w:val="single" w:color="auto" w:sz="4" w:space="0"/>
                    <w:bottom w:val="single" w:color="auto" w:sz="4" w:space="0"/>
                    <w:right w:val="single" w:color="auto" w:sz="4" w:space="0"/>
                  </w:tcBorders>
                  <w:vAlign w:val="center"/>
                </w:tcPr>
                <w:p w14:paraId="53453191">
                  <w:pPr>
                    <w:widowControl/>
                    <w:jc w:val="center"/>
                    <w:textAlignment w:val="center"/>
                    <w:rPr>
                      <w:color w:val="auto"/>
                      <w:szCs w:val="21"/>
                    </w:rPr>
                  </w:pPr>
                  <w:r>
                    <w:rPr>
                      <w:color w:val="auto"/>
                      <w:kern w:val="0"/>
                      <w:szCs w:val="21"/>
                      <w:lang w:bidi="ar"/>
                    </w:rPr>
                    <w:t>100%</w:t>
                  </w:r>
                </w:p>
              </w:tc>
              <w:tc>
                <w:tcPr>
                  <w:tcW w:w="572" w:type="pct"/>
                  <w:vMerge w:val="continue"/>
                  <w:tcBorders>
                    <w:top w:val="single" w:color="auto" w:sz="4" w:space="0"/>
                    <w:left w:val="single" w:color="auto" w:sz="4" w:space="0"/>
                    <w:bottom w:val="single" w:color="auto" w:sz="4" w:space="0"/>
                    <w:right w:val="single" w:color="auto" w:sz="4" w:space="0"/>
                  </w:tcBorders>
                  <w:noWrap/>
                  <w:vAlign w:val="center"/>
                </w:tcPr>
                <w:p w14:paraId="208B6FFA">
                  <w:pPr>
                    <w:jc w:val="center"/>
                    <w:rPr>
                      <w:color w:val="auto"/>
                      <w:szCs w:val="21"/>
                    </w:rPr>
                  </w:pPr>
                </w:p>
              </w:tc>
            </w:tr>
            <w:tr w14:paraId="3E9705A9">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noWrap/>
                  <w:vAlign w:val="center"/>
                </w:tcPr>
                <w:p w14:paraId="42D4666A">
                  <w:pPr>
                    <w:widowControl/>
                    <w:jc w:val="center"/>
                    <w:textAlignment w:val="center"/>
                    <w:rPr>
                      <w:rFonts w:hint="eastAsia" w:ascii="宋体" w:hAnsi="宋体" w:cs="宋体"/>
                      <w:color w:val="auto"/>
                      <w:kern w:val="0"/>
                      <w:szCs w:val="21"/>
                      <w:lang w:bidi="ar"/>
                    </w:rPr>
                  </w:pPr>
                </w:p>
              </w:tc>
              <w:tc>
                <w:tcPr>
                  <w:tcW w:w="482" w:type="pct"/>
                  <w:tcBorders>
                    <w:top w:val="single" w:color="auto" w:sz="4" w:space="0"/>
                    <w:left w:val="single" w:color="auto" w:sz="4" w:space="0"/>
                    <w:bottom w:val="single" w:color="auto" w:sz="4" w:space="0"/>
                    <w:right w:val="single" w:color="auto" w:sz="4" w:space="0"/>
                  </w:tcBorders>
                  <w:noWrap/>
                  <w:vAlign w:val="center"/>
                </w:tcPr>
                <w:p w14:paraId="6969BA4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总氮</w:t>
                  </w:r>
                </w:p>
              </w:tc>
              <w:tc>
                <w:tcPr>
                  <w:tcW w:w="959" w:type="pct"/>
                  <w:tcBorders>
                    <w:top w:val="single" w:color="auto" w:sz="4" w:space="0"/>
                    <w:left w:val="single" w:color="auto" w:sz="4" w:space="0"/>
                    <w:bottom w:val="single" w:color="auto" w:sz="4" w:space="0"/>
                    <w:right w:val="single" w:color="auto" w:sz="4" w:space="0"/>
                  </w:tcBorders>
                  <w:vAlign w:val="center"/>
                </w:tcPr>
                <w:p w14:paraId="181D65AF">
                  <w:pPr>
                    <w:widowControl/>
                    <w:jc w:val="center"/>
                    <w:textAlignment w:val="center"/>
                    <w:rPr>
                      <w:color w:val="auto"/>
                      <w:szCs w:val="21"/>
                    </w:rPr>
                  </w:pPr>
                  <w:r>
                    <w:rPr>
                      <w:color w:val="auto"/>
                      <w:kern w:val="0"/>
                      <w:szCs w:val="21"/>
                      <w:lang w:bidi="ar"/>
                    </w:rPr>
                    <w:t>11</w:t>
                  </w:r>
                  <w:r>
                    <w:rPr>
                      <w:rFonts w:hint="eastAsia" w:ascii="宋体" w:hAnsi="宋体" w:cs="宋体"/>
                      <w:color w:val="auto"/>
                      <w:kern w:val="0"/>
                      <w:szCs w:val="21"/>
                      <w:lang w:bidi="ar"/>
                    </w:rPr>
                    <w:t>转化膜处理</w:t>
                  </w:r>
                  <w:r>
                    <w:rPr>
                      <w:color w:val="auto"/>
                      <w:kern w:val="0"/>
                      <w:szCs w:val="21"/>
                      <w:lang w:bidi="ar"/>
                    </w:rPr>
                    <w:t>-</w:t>
                  </w:r>
                  <w:r>
                    <w:rPr>
                      <w:rFonts w:hint="eastAsia" w:ascii="宋体" w:hAnsi="宋体" w:cs="宋体"/>
                      <w:color w:val="auto"/>
                      <w:kern w:val="0"/>
                      <w:szCs w:val="21"/>
                      <w:lang w:bidi="ar"/>
                    </w:rPr>
                    <w:t>转化膜处理工段</w:t>
                  </w:r>
                  <w:r>
                    <w:rPr>
                      <w:color w:val="auto"/>
                      <w:kern w:val="0"/>
                      <w:szCs w:val="21"/>
                      <w:lang w:bidi="ar"/>
                    </w:rPr>
                    <w:t>-</w:t>
                  </w:r>
                  <w:r>
                    <w:rPr>
                      <w:rFonts w:hint="eastAsia" w:ascii="宋体" w:hAnsi="宋体" w:cs="宋体"/>
                      <w:color w:val="auto"/>
                      <w:kern w:val="0"/>
                      <w:szCs w:val="21"/>
                      <w:lang w:bidi="ar"/>
                    </w:rPr>
                    <w:t>磷化</w:t>
                  </w:r>
                </w:p>
              </w:tc>
              <w:tc>
                <w:tcPr>
                  <w:tcW w:w="482" w:type="pct"/>
                  <w:tcBorders>
                    <w:top w:val="single" w:color="auto" w:sz="4" w:space="0"/>
                    <w:left w:val="single" w:color="auto" w:sz="4" w:space="0"/>
                    <w:bottom w:val="single" w:color="auto" w:sz="4" w:space="0"/>
                    <w:right w:val="single" w:color="auto" w:sz="4" w:space="0"/>
                  </w:tcBorders>
                  <w:vAlign w:val="center"/>
                </w:tcPr>
                <w:p w14:paraId="3AD29D2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3CE3ABF2">
                  <w:pPr>
                    <w:widowControl/>
                    <w:jc w:val="center"/>
                    <w:textAlignment w:val="center"/>
                    <w:rPr>
                      <w:color w:val="auto"/>
                      <w:szCs w:val="21"/>
                    </w:rPr>
                  </w:pPr>
                  <w:r>
                    <w:rPr>
                      <w:color w:val="auto"/>
                      <w:kern w:val="0"/>
                      <w:szCs w:val="21"/>
                      <w:lang w:bidi="ar"/>
                    </w:rPr>
                    <w:t>10.1</w:t>
                  </w:r>
                </w:p>
              </w:tc>
              <w:tc>
                <w:tcPr>
                  <w:tcW w:w="531" w:type="pct"/>
                  <w:tcBorders>
                    <w:top w:val="single" w:color="auto" w:sz="4" w:space="0"/>
                    <w:left w:val="single" w:color="auto" w:sz="4" w:space="0"/>
                    <w:bottom w:val="single" w:color="auto" w:sz="4" w:space="0"/>
                    <w:right w:val="single" w:color="auto" w:sz="4" w:space="0"/>
                  </w:tcBorders>
                  <w:vAlign w:val="center"/>
                </w:tcPr>
                <w:p w14:paraId="0548476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磷化剂</w:t>
                  </w:r>
                </w:p>
              </w:tc>
              <w:tc>
                <w:tcPr>
                  <w:tcW w:w="494" w:type="pct"/>
                  <w:tcBorders>
                    <w:top w:val="single" w:color="auto" w:sz="4" w:space="0"/>
                    <w:left w:val="single" w:color="auto" w:sz="4" w:space="0"/>
                    <w:bottom w:val="single" w:color="auto" w:sz="4" w:space="0"/>
                    <w:right w:val="single" w:color="auto" w:sz="4" w:space="0"/>
                  </w:tcBorders>
                  <w:vAlign w:val="center"/>
                </w:tcPr>
                <w:p w14:paraId="40E7B76C">
                  <w:pPr>
                    <w:widowControl/>
                    <w:jc w:val="center"/>
                    <w:textAlignment w:val="center"/>
                    <w:rPr>
                      <w:color w:val="auto"/>
                      <w:szCs w:val="21"/>
                    </w:rPr>
                  </w:pPr>
                  <w:r>
                    <w:rPr>
                      <w:rFonts w:hint="eastAsia"/>
                      <w:color w:val="auto"/>
                      <w:kern w:val="0"/>
                      <w:szCs w:val="21"/>
                      <w:lang w:bidi="ar"/>
                    </w:rPr>
                    <w:t>1.51</w:t>
                  </w:r>
                </w:p>
              </w:tc>
              <w:tc>
                <w:tcPr>
                  <w:tcW w:w="574" w:type="pct"/>
                  <w:tcBorders>
                    <w:top w:val="single" w:color="auto" w:sz="4" w:space="0"/>
                    <w:left w:val="single" w:color="auto" w:sz="4" w:space="0"/>
                    <w:bottom w:val="single" w:color="auto" w:sz="4" w:space="0"/>
                    <w:right w:val="single" w:color="auto" w:sz="4" w:space="0"/>
                  </w:tcBorders>
                  <w:vAlign w:val="center"/>
                </w:tcPr>
                <w:p w14:paraId="147479E3">
                  <w:pPr>
                    <w:widowControl/>
                    <w:jc w:val="center"/>
                    <w:textAlignment w:val="center"/>
                    <w:rPr>
                      <w:color w:val="auto"/>
                      <w:szCs w:val="21"/>
                    </w:rPr>
                  </w:pPr>
                  <w:r>
                    <w:rPr>
                      <w:color w:val="auto"/>
                      <w:kern w:val="0"/>
                      <w:szCs w:val="21"/>
                      <w:lang w:bidi="ar"/>
                    </w:rPr>
                    <w:t>100%</w:t>
                  </w:r>
                </w:p>
              </w:tc>
              <w:tc>
                <w:tcPr>
                  <w:tcW w:w="572" w:type="pct"/>
                  <w:tcBorders>
                    <w:top w:val="single" w:color="auto" w:sz="4" w:space="0"/>
                    <w:left w:val="single" w:color="auto" w:sz="4" w:space="0"/>
                    <w:bottom w:val="single" w:color="auto" w:sz="4" w:space="0"/>
                    <w:right w:val="single" w:color="auto" w:sz="4" w:space="0"/>
                  </w:tcBorders>
                  <w:noWrap/>
                  <w:vAlign w:val="center"/>
                </w:tcPr>
                <w:p w14:paraId="5374B029">
                  <w:pPr>
                    <w:widowControl/>
                    <w:jc w:val="center"/>
                    <w:textAlignment w:val="center"/>
                    <w:rPr>
                      <w:color w:val="auto"/>
                      <w:szCs w:val="21"/>
                    </w:rPr>
                  </w:pPr>
                  <w:r>
                    <w:rPr>
                      <w:color w:val="auto"/>
                      <w:kern w:val="0"/>
                      <w:szCs w:val="21"/>
                      <w:lang w:bidi="ar"/>
                    </w:rPr>
                    <w:t xml:space="preserve">0.0153 </w:t>
                  </w:r>
                </w:p>
              </w:tc>
            </w:tr>
            <w:tr w14:paraId="1ECA55B8">
              <w:tblPrEx>
                <w:tblCellMar>
                  <w:top w:w="0" w:type="dxa"/>
                  <w:left w:w="108" w:type="dxa"/>
                  <w:bottom w:w="0" w:type="dxa"/>
                  <w:right w:w="108" w:type="dxa"/>
                </w:tblCellMar>
              </w:tblPrEx>
              <w:trPr>
                <w:trHeight w:val="680" w:hRule="atLeast"/>
              </w:trPr>
              <w:tc>
                <w:tcPr>
                  <w:tcW w:w="512" w:type="pct"/>
                  <w:vMerge w:val="continue"/>
                  <w:tcBorders>
                    <w:top w:val="single" w:color="auto" w:sz="4" w:space="0"/>
                    <w:left w:val="single" w:color="auto" w:sz="4" w:space="0"/>
                    <w:bottom w:val="single" w:color="auto" w:sz="4" w:space="0"/>
                    <w:right w:val="single" w:color="auto" w:sz="4" w:space="0"/>
                  </w:tcBorders>
                  <w:noWrap/>
                  <w:vAlign w:val="center"/>
                </w:tcPr>
                <w:p w14:paraId="42C10C65">
                  <w:pPr>
                    <w:widowControl/>
                    <w:jc w:val="center"/>
                    <w:textAlignment w:val="center"/>
                    <w:rPr>
                      <w:rFonts w:hint="eastAsia" w:ascii="宋体" w:hAnsi="宋体" w:cs="宋体"/>
                      <w:color w:val="auto"/>
                      <w:kern w:val="0"/>
                      <w:szCs w:val="21"/>
                      <w:lang w:bidi="ar"/>
                    </w:rPr>
                  </w:pPr>
                </w:p>
              </w:tc>
              <w:tc>
                <w:tcPr>
                  <w:tcW w:w="482" w:type="pct"/>
                  <w:vMerge w:val="restart"/>
                  <w:tcBorders>
                    <w:top w:val="single" w:color="auto" w:sz="4" w:space="0"/>
                    <w:left w:val="single" w:color="auto" w:sz="4" w:space="0"/>
                    <w:bottom w:val="single" w:color="auto" w:sz="4" w:space="0"/>
                    <w:right w:val="single" w:color="auto" w:sz="4" w:space="0"/>
                  </w:tcBorders>
                  <w:noWrap/>
                  <w:vAlign w:val="center"/>
                </w:tcPr>
                <w:p w14:paraId="03055D0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石油类</w:t>
                  </w:r>
                </w:p>
              </w:tc>
              <w:tc>
                <w:tcPr>
                  <w:tcW w:w="959" w:type="pct"/>
                  <w:tcBorders>
                    <w:top w:val="single" w:color="auto" w:sz="4" w:space="0"/>
                    <w:left w:val="single" w:color="auto" w:sz="4" w:space="0"/>
                    <w:bottom w:val="single" w:color="auto" w:sz="4" w:space="0"/>
                    <w:right w:val="single" w:color="auto" w:sz="4" w:space="0"/>
                  </w:tcBorders>
                  <w:vAlign w:val="center"/>
                </w:tcPr>
                <w:p w14:paraId="7FCEA351">
                  <w:pPr>
                    <w:widowControl/>
                    <w:jc w:val="center"/>
                    <w:textAlignment w:val="center"/>
                    <w:rPr>
                      <w:color w:val="auto"/>
                      <w:szCs w:val="21"/>
                    </w:rPr>
                  </w:pPr>
                  <w:r>
                    <w:rPr>
                      <w:color w:val="auto"/>
                      <w:kern w:val="0"/>
                      <w:szCs w:val="21"/>
                      <w:lang w:bidi="ar"/>
                    </w:rPr>
                    <w:t>06</w:t>
                  </w:r>
                  <w:r>
                    <w:rPr>
                      <w:rFonts w:hint="eastAsia" w:ascii="宋体" w:hAnsi="宋体" w:cs="宋体"/>
                      <w:color w:val="auto"/>
                      <w:kern w:val="0"/>
                      <w:szCs w:val="21"/>
                      <w:lang w:bidi="ar"/>
                    </w:rPr>
                    <w:t>预处理</w:t>
                  </w:r>
                  <w:r>
                    <w:rPr>
                      <w:color w:val="auto"/>
                      <w:kern w:val="0"/>
                      <w:szCs w:val="21"/>
                      <w:lang w:bidi="ar"/>
                    </w:rPr>
                    <w:t>-</w:t>
                  </w:r>
                  <w:r>
                    <w:rPr>
                      <w:rFonts w:hint="eastAsia" w:ascii="宋体" w:hAnsi="宋体" w:cs="宋体"/>
                      <w:color w:val="auto"/>
                      <w:kern w:val="0"/>
                      <w:szCs w:val="21"/>
                      <w:lang w:bidi="ar"/>
                    </w:rPr>
                    <w:t>预处理工段</w:t>
                  </w:r>
                  <w:r>
                    <w:rPr>
                      <w:color w:val="auto"/>
                      <w:kern w:val="0"/>
                      <w:szCs w:val="21"/>
                      <w:lang w:bidi="ar"/>
                    </w:rPr>
                    <w:t>-</w:t>
                  </w:r>
                  <w:r>
                    <w:rPr>
                      <w:rFonts w:hint="eastAsia" w:ascii="宋体" w:hAnsi="宋体" w:cs="宋体"/>
                      <w:color w:val="auto"/>
                      <w:kern w:val="0"/>
                      <w:szCs w:val="21"/>
                      <w:lang w:bidi="ar"/>
                    </w:rPr>
                    <w:t>脱脂剂</w:t>
                  </w:r>
                  <w:r>
                    <w:rPr>
                      <w:color w:val="auto"/>
                      <w:kern w:val="0"/>
                      <w:szCs w:val="21"/>
                      <w:lang w:bidi="ar"/>
                    </w:rPr>
                    <w:t>-</w:t>
                  </w:r>
                  <w:r>
                    <w:rPr>
                      <w:rFonts w:hint="eastAsia" w:ascii="宋体" w:hAnsi="宋体" w:cs="宋体"/>
                      <w:color w:val="auto"/>
                      <w:kern w:val="0"/>
                      <w:szCs w:val="21"/>
                      <w:lang w:bidi="ar"/>
                    </w:rPr>
                    <w:t>脱脂</w:t>
                  </w:r>
                </w:p>
              </w:tc>
              <w:tc>
                <w:tcPr>
                  <w:tcW w:w="482" w:type="pct"/>
                  <w:tcBorders>
                    <w:top w:val="single" w:color="auto" w:sz="4" w:space="0"/>
                    <w:left w:val="single" w:color="auto" w:sz="4" w:space="0"/>
                    <w:bottom w:val="single" w:color="auto" w:sz="4" w:space="0"/>
                    <w:right w:val="single" w:color="auto" w:sz="4" w:space="0"/>
                  </w:tcBorders>
                  <w:vAlign w:val="center"/>
                </w:tcPr>
                <w:p w14:paraId="355C491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306D196D">
                  <w:pPr>
                    <w:widowControl/>
                    <w:jc w:val="center"/>
                    <w:textAlignment w:val="center"/>
                    <w:rPr>
                      <w:color w:val="auto"/>
                      <w:szCs w:val="21"/>
                    </w:rPr>
                  </w:pPr>
                  <w:r>
                    <w:rPr>
                      <w:color w:val="auto"/>
                      <w:kern w:val="0"/>
                      <w:szCs w:val="21"/>
                      <w:lang w:bidi="ar"/>
                    </w:rPr>
                    <w:t>51</w:t>
                  </w:r>
                </w:p>
              </w:tc>
              <w:tc>
                <w:tcPr>
                  <w:tcW w:w="531" w:type="pct"/>
                  <w:tcBorders>
                    <w:top w:val="single" w:color="auto" w:sz="4" w:space="0"/>
                    <w:left w:val="single" w:color="auto" w:sz="4" w:space="0"/>
                    <w:bottom w:val="single" w:color="auto" w:sz="4" w:space="0"/>
                    <w:right w:val="single" w:color="auto" w:sz="4" w:space="0"/>
                  </w:tcBorders>
                  <w:vAlign w:val="center"/>
                </w:tcPr>
                <w:p w14:paraId="6475402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脱脂剂</w:t>
                  </w:r>
                </w:p>
              </w:tc>
              <w:tc>
                <w:tcPr>
                  <w:tcW w:w="494" w:type="pct"/>
                  <w:tcBorders>
                    <w:top w:val="single" w:color="auto" w:sz="4" w:space="0"/>
                    <w:left w:val="single" w:color="auto" w:sz="4" w:space="0"/>
                    <w:bottom w:val="single" w:color="auto" w:sz="4" w:space="0"/>
                    <w:right w:val="single" w:color="auto" w:sz="4" w:space="0"/>
                  </w:tcBorders>
                  <w:vAlign w:val="center"/>
                </w:tcPr>
                <w:p w14:paraId="012B75BC">
                  <w:pPr>
                    <w:widowControl/>
                    <w:jc w:val="center"/>
                    <w:textAlignment w:val="center"/>
                    <w:rPr>
                      <w:color w:val="auto"/>
                      <w:szCs w:val="21"/>
                    </w:rPr>
                  </w:pPr>
                  <w:r>
                    <w:rPr>
                      <w:rFonts w:hint="eastAsia"/>
                      <w:color w:val="auto"/>
                      <w:kern w:val="0"/>
                      <w:szCs w:val="21"/>
                      <w:lang w:bidi="ar"/>
                    </w:rPr>
                    <w:t>0.54</w:t>
                  </w:r>
                </w:p>
              </w:tc>
              <w:tc>
                <w:tcPr>
                  <w:tcW w:w="574" w:type="pct"/>
                  <w:tcBorders>
                    <w:top w:val="single" w:color="auto" w:sz="4" w:space="0"/>
                    <w:left w:val="single" w:color="auto" w:sz="4" w:space="0"/>
                    <w:bottom w:val="single" w:color="auto" w:sz="4" w:space="0"/>
                    <w:right w:val="single" w:color="auto" w:sz="4" w:space="0"/>
                  </w:tcBorders>
                  <w:vAlign w:val="center"/>
                </w:tcPr>
                <w:p w14:paraId="7B50650A">
                  <w:pPr>
                    <w:widowControl/>
                    <w:jc w:val="center"/>
                    <w:textAlignment w:val="center"/>
                    <w:rPr>
                      <w:color w:val="auto"/>
                      <w:szCs w:val="21"/>
                    </w:rPr>
                  </w:pPr>
                  <w:r>
                    <w:rPr>
                      <w:color w:val="auto"/>
                      <w:kern w:val="0"/>
                      <w:szCs w:val="21"/>
                      <w:lang w:bidi="ar"/>
                    </w:rPr>
                    <w:t>100%</w:t>
                  </w:r>
                </w:p>
              </w:tc>
              <w:tc>
                <w:tcPr>
                  <w:tcW w:w="572" w:type="pct"/>
                  <w:vMerge w:val="restart"/>
                  <w:tcBorders>
                    <w:top w:val="single" w:color="auto" w:sz="4" w:space="0"/>
                    <w:left w:val="single" w:color="auto" w:sz="4" w:space="0"/>
                    <w:bottom w:val="single" w:color="auto" w:sz="4" w:space="0"/>
                    <w:right w:val="single" w:color="auto" w:sz="4" w:space="0"/>
                  </w:tcBorders>
                  <w:noWrap/>
                  <w:vAlign w:val="center"/>
                </w:tcPr>
                <w:p w14:paraId="5641363B">
                  <w:pPr>
                    <w:widowControl/>
                    <w:jc w:val="center"/>
                    <w:textAlignment w:val="center"/>
                    <w:rPr>
                      <w:color w:val="auto"/>
                      <w:szCs w:val="21"/>
                    </w:rPr>
                  </w:pPr>
                  <w:r>
                    <w:rPr>
                      <w:color w:val="auto"/>
                      <w:kern w:val="0"/>
                      <w:szCs w:val="21"/>
                      <w:lang w:bidi="ar"/>
                    </w:rPr>
                    <w:t xml:space="preserve">0.0459 </w:t>
                  </w:r>
                </w:p>
              </w:tc>
            </w:tr>
            <w:tr w14:paraId="5464A653">
              <w:tblPrEx>
                <w:tblCellMar>
                  <w:top w:w="0" w:type="dxa"/>
                  <w:left w:w="108" w:type="dxa"/>
                  <w:bottom w:w="0" w:type="dxa"/>
                  <w:right w:w="108" w:type="dxa"/>
                </w:tblCellMar>
              </w:tblPrEx>
              <w:trPr>
                <w:trHeight w:val="907" w:hRule="atLeast"/>
              </w:trPr>
              <w:tc>
                <w:tcPr>
                  <w:tcW w:w="512" w:type="pct"/>
                  <w:vMerge w:val="continue"/>
                  <w:tcBorders>
                    <w:top w:val="single" w:color="auto" w:sz="4" w:space="0"/>
                    <w:left w:val="single" w:color="auto" w:sz="4" w:space="0"/>
                    <w:bottom w:val="single" w:color="auto" w:sz="4" w:space="0"/>
                    <w:right w:val="single" w:color="auto" w:sz="4" w:space="0"/>
                  </w:tcBorders>
                  <w:noWrap/>
                  <w:vAlign w:val="center"/>
                </w:tcPr>
                <w:p w14:paraId="534736FB">
                  <w:pPr>
                    <w:jc w:val="center"/>
                    <w:rPr>
                      <w:color w:val="auto"/>
                      <w:szCs w:val="21"/>
                    </w:rPr>
                  </w:pPr>
                </w:p>
              </w:tc>
              <w:tc>
                <w:tcPr>
                  <w:tcW w:w="482" w:type="pct"/>
                  <w:vMerge w:val="continue"/>
                  <w:tcBorders>
                    <w:top w:val="single" w:color="auto" w:sz="4" w:space="0"/>
                    <w:left w:val="single" w:color="auto" w:sz="4" w:space="0"/>
                    <w:bottom w:val="single" w:color="auto" w:sz="4" w:space="0"/>
                    <w:right w:val="single" w:color="auto" w:sz="4" w:space="0"/>
                  </w:tcBorders>
                  <w:noWrap/>
                  <w:vAlign w:val="center"/>
                </w:tcPr>
                <w:p w14:paraId="6E150B6E">
                  <w:pPr>
                    <w:jc w:val="center"/>
                    <w:rPr>
                      <w:color w:val="auto"/>
                      <w:szCs w:val="21"/>
                    </w:rPr>
                  </w:pPr>
                </w:p>
              </w:tc>
              <w:tc>
                <w:tcPr>
                  <w:tcW w:w="959" w:type="pct"/>
                  <w:tcBorders>
                    <w:top w:val="single" w:color="auto" w:sz="4" w:space="0"/>
                    <w:left w:val="single" w:color="auto" w:sz="4" w:space="0"/>
                    <w:bottom w:val="single" w:color="auto" w:sz="4" w:space="0"/>
                    <w:right w:val="single" w:color="auto" w:sz="4" w:space="0"/>
                  </w:tcBorders>
                  <w:vAlign w:val="center"/>
                </w:tcPr>
                <w:p w14:paraId="38646968">
                  <w:pPr>
                    <w:widowControl/>
                    <w:jc w:val="center"/>
                    <w:textAlignment w:val="center"/>
                    <w:rPr>
                      <w:color w:val="auto"/>
                      <w:szCs w:val="21"/>
                    </w:rPr>
                  </w:pPr>
                  <w:r>
                    <w:rPr>
                      <w:color w:val="auto"/>
                      <w:kern w:val="0"/>
                      <w:szCs w:val="21"/>
                      <w:lang w:bidi="ar"/>
                    </w:rPr>
                    <w:t>07</w:t>
                  </w:r>
                  <w:r>
                    <w:rPr>
                      <w:rFonts w:hint="eastAsia" w:ascii="宋体" w:hAnsi="宋体" w:cs="宋体"/>
                      <w:color w:val="auto"/>
                      <w:kern w:val="0"/>
                      <w:szCs w:val="21"/>
                      <w:lang w:bidi="ar"/>
                    </w:rPr>
                    <w:t>机械加工</w:t>
                  </w:r>
                  <w:r>
                    <w:rPr>
                      <w:color w:val="auto"/>
                      <w:kern w:val="0"/>
                      <w:szCs w:val="21"/>
                      <w:lang w:bidi="ar"/>
                    </w:rPr>
                    <w:t>-</w:t>
                  </w:r>
                  <w:r>
                    <w:rPr>
                      <w:rFonts w:hint="eastAsia" w:ascii="宋体" w:hAnsi="宋体" w:cs="宋体"/>
                      <w:color w:val="auto"/>
                      <w:kern w:val="0"/>
                      <w:szCs w:val="21"/>
                      <w:lang w:bidi="ar"/>
                    </w:rPr>
                    <w:t>机械加工工段</w:t>
                  </w:r>
                  <w:r>
                    <w:rPr>
                      <w:color w:val="auto"/>
                      <w:kern w:val="0"/>
                      <w:szCs w:val="21"/>
                      <w:lang w:bidi="ar"/>
                    </w:rPr>
                    <w:t>-</w:t>
                  </w:r>
                  <w:r>
                    <w:rPr>
                      <w:rFonts w:hint="eastAsia" w:ascii="宋体" w:hAnsi="宋体" w:cs="宋体"/>
                      <w:color w:val="auto"/>
                      <w:kern w:val="0"/>
                      <w:szCs w:val="21"/>
                      <w:lang w:bidi="ar"/>
                    </w:rPr>
                    <w:t>清洗件</w:t>
                  </w:r>
                  <w:r>
                    <w:rPr>
                      <w:color w:val="auto"/>
                      <w:kern w:val="0"/>
                      <w:szCs w:val="21"/>
                      <w:lang w:bidi="ar"/>
                    </w:rPr>
                    <w:t>-</w:t>
                  </w:r>
                  <w:r>
                    <w:rPr>
                      <w:rFonts w:hint="eastAsia" w:ascii="宋体" w:hAnsi="宋体" w:cs="宋体"/>
                      <w:color w:val="auto"/>
                      <w:kern w:val="0"/>
                      <w:szCs w:val="21"/>
                      <w:lang w:bidi="ar"/>
                    </w:rPr>
                    <w:t>加工件清洗</w:t>
                  </w:r>
                </w:p>
              </w:tc>
              <w:tc>
                <w:tcPr>
                  <w:tcW w:w="482" w:type="pct"/>
                  <w:tcBorders>
                    <w:top w:val="single" w:color="auto" w:sz="4" w:space="0"/>
                    <w:left w:val="single" w:color="auto" w:sz="4" w:space="0"/>
                    <w:bottom w:val="single" w:color="auto" w:sz="4" w:space="0"/>
                    <w:right w:val="single" w:color="auto" w:sz="4" w:space="0"/>
                  </w:tcBorders>
                  <w:vAlign w:val="center"/>
                </w:tcPr>
                <w:p w14:paraId="7F2C8AB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千克</w:t>
                  </w:r>
                  <w:r>
                    <w:rPr>
                      <w:color w:val="auto"/>
                      <w:kern w:val="0"/>
                      <w:szCs w:val="21"/>
                      <w:lang w:bidi="ar"/>
                    </w:rPr>
                    <w:t>/</w:t>
                  </w:r>
                  <w:r>
                    <w:rPr>
                      <w:rFonts w:hint="eastAsia" w:ascii="宋体" w:hAnsi="宋体" w:cs="宋体"/>
                      <w:color w:val="auto"/>
                      <w:kern w:val="0"/>
                      <w:szCs w:val="21"/>
                      <w:lang w:bidi="ar"/>
                    </w:rPr>
                    <w:t>吨</w:t>
                  </w:r>
                  <w:r>
                    <w:rPr>
                      <w:color w:val="auto"/>
                      <w:kern w:val="0"/>
                      <w:szCs w:val="21"/>
                      <w:lang w:bidi="ar"/>
                    </w:rPr>
                    <w:t>-</w:t>
                  </w:r>
                  <w:r>
                    <w:rPr>
                      <w:rFonts w:hint="eastAsia" w:ascii="宋体" w:hAnsi="宋体" w:cs="宋体"/>
                      <w:color w:val="auto"/>
                      <w:kern w:val="0"/>
                      <w:szCs w:val="21"/>
                      <w:lang w:bidi="ar"/>
                    </w:rPr>
                    <w:t>原料</w:t>
                  </w:r>
                </w:p>
              </w:tc>
              <w:tc>
                <w:tcPr>
                  <w:tcW w:w="389" w:type="pct"/>
                  <w:tcBorders>
                    <w:top w:val="single" w:color="auto" w:sz="4" w:space="0"/>
                    <w:left w:val="single" w:color="auto" w:sz="4" w:space="0"/>
                    <w:bottom w:val="single" w:color="auto" w:sz="4" w:space="0"/>
                    <w:right w:val="single" w:color="auto" w:sz="4" w:space="0"/>
                  </w:tcBorders>
                  <w:vAlign w:val="center"/>
                </w:tcPr>
                <w:p w14:paraId="6AD2FA81">
                  <w:pPr>
                    <w:widowControl/>
                    <w:jc w:val="center"/>
                    <w:textAlignment w:val="center"/>
                    <w:rPr>
                      <w:color w:val="auto"/>
                      <w:szCs w:val="21"/>
                    </w:rPr>
                  </w:pPr>
                  <w:r>
                    <w:rPr>
                      <w:color w:val="auto"/>
                      <w:kern w:val="0"/>
                      <w:szCs w:val="21"/>
                      <w:lang w:bidi="ar"/>
                    </w:rPr>
                    <w:t>19.5</w:t>
                  </w:r>
                </w:p>
              </w:tc>
              <w:tc>
                <w:tcPr>
                  <w:tcW w:w="531" w:type="pct"/>
                  <w:tcBorders>
                    <w:top w:val="single" w:color="auto" w:sz="4" w:space="0"/>
                    <w:left w:val="single" w:color="auto" w:sz="4" w:space="0"/>
                    <w:bottom w:val="single" w:color="auto" w:sz="4" w:space="0"/>
                    <w:right w:val="single" w:color="auto" w:sz="4" w:space="0"/>
                  </w:tcBorders>
                  <w:vAlign w:val="center"/>
                </w:tcPr>
                <w:p w14:paraId="3AE1074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除油粉</w:t>
                  </w:r>
                </w:p>
              </w:tc>
              <w:tc>
                <w:tcPr>
                  <w:tcW w:w="494" w:type="pct"/>
                  <w:tcBorders>
                    <w:top w:val="single" w:color="auto" w:sz="4" w:space="0"/>
                    <w:left w:val="single" w:color="auto" w:sz="4" w:space="0"/>
                    <w:bottom w:val="single" w:color="auto" w:sz="4" w:space="0"/>
                    <w:right w:val="single" w:color="auto" w:sz="4" w:space="0"/>
                  </w:tcBorders>
                  <w:vAlign w:val="center"/>
                </w:tcPr>
                <w:p w14:paraId="65E1BFC1">
                  <w:pPr>
                    <w:widowControl/>
                    <w:jc w:val="center"/>
                    <w:textAlignment w:val="center"/>
                    <w:rPr>
                      <w:color w:val="auto"/>
                      <w:szCs w:val="21"/>
                    </w:rPr>
                  </w:pPr>
                  <w:r>
                    <w:rPr>
                      <w:rFonts w:hint="eastAsia"/>
                      <w:color w:val="auto"/>
                      <w:kern w:val="0"/>
                      <w:szCs w:val="21"/>
                      <w:lang w:bidi="ar"/>
                    </w:rPr>
                    <w:t>0.94</w:t>
                  </w:r>
                </w:p>
              </w:tc>
              <w:tc>
                <w:tcPr>
                  <w:tcW w:w="574" w:type="pct"/>
                  <w:tcBorders>
                    <w:top w:val="single" w:color="auto" w:sz="4" w:space="0"/>
                    <w:left w:val="single" w:color="auto" w:sz="4" w:space="0"/>
                    <w:bottom w:val="single" w:color="auto" w:sz="4" w:space="0"/>
                    <w:right w:val="single" w:color="auto" w:sz="4" w:space="0"/>
                  </w:tcBorders>
                  <w:vAlign w:val="center"/>
                </w:tcPr>
                <w:p w14:paraId="20864474">
                  <w:pPr>
                    <w:widowControl/>
                    <w:jc w:val="center"/>
                    <w:textAlignment w:val="center"/>
                    <w:rPr>
                      <w:color w:val="auto"/>
                      <w:szCs w:val="21"/>
                    </w:rPr>
                  </w:pPr>
                  <w:r>
                    <w:rPr>
                      <w:color w:val="auto"/>
                      <w:kern w:val="0"/>
                      <w:szCs w:val="21"/>
                      <w:lang w:bidi="ar"/>
                    </w:rPr>
                    <w:t>100%</w:t>
                  </w:r>
                </w:p>
              </w:tc>
              <w:tc>
                <w:tcPr>
                  <w:tcW w:w="572" w:type="pct"/>
                  <w:vMerge w:val="continue"/>
                  <w:tcBorders>
                    <w:top w:val="single" w:color="auto" w:sz="4" w:space="0"/>
                    <w:left w:val="single" w:color="auto" w:sz="4" w:space="0"/>
                    <w:bottom w:val="single" w:color="auto" w:sz="4" w:space="0"/>
                    <w:right w:val="single" w:color="auto" w:sz="4" w:space="0"/>
                  </w:tcBorders>
                  <w:noWrap/>
                  <w:vAlign w:val="center"/>
                </w:tcPr>
                <w:p w14:paraId="59FCDAD9">
                  <w:pPr>
                    <w:jc w:val="center"/>
                    <w:rPr>
                      <w:color w:val="auto"/>
                      <w:szCs w:val="21"/>
                    </w:rPr>
                  </w:pPr>
                </w:p>
              </w:tc>
            </w:tr>
          </w:tbl>
          <w:p w14:paraId="344DA2C8">
            <w:pPr>
              <w:pStyle w:val="43"/>
              <w:rPr>
                <w:color w:val="auto"/>
              </w:rPr>
            </w:pPr>
            <w:r>
              <w:rPr>
                <w:rFonts w:hint="eastAsia"/>
                <w:color w:val="auto"/>
              </w:rPr>
              <w:t>经过工程分析，项目废槽液产生量为10.8t/a、除锈废槽液量为11.7t/a、脱脂废槽液量为3.61t/a，表调废槽液量为14.4t/a、清洗废水产生量为4.32t/d（1296t/a），根据上表核算的产生量进行核算得到废水产生浓度，则前处理线废水产生情况见下表：</w:t>
            </w:r>
          </w:p>
          <w:p w14:paraId="216AAA53">
            <w:pPr>
              <w:pStyle w:val="77"/>
              <w:numPr>
                <w:ilvl w:val="0"/>
                <w:numId w:val="18"/>
              </w:numPr>
              <w:adjustRightInd w:val="0"/>
              <w:snapToGrid w:val="0"/>
              <w:jc w:val="center"/>
              <w:rPr>
                <w:b/>
                <w:bCs/>
                <w:color w:val="auto"/>
                <w:szCs w:val="21"/>
              </w:rPr>
            </w:pPr>
            <w:r>
              <w:rPr>
                <w:rFonts w:hint="eastAsia"/>
                <w:b/>
                <w:bCs/>
                <w:color w:val="auto"/>
                <w:szCs w:val="21"/>
              </w:rPr>
              <w:t>项目前处理线废水产生情况一览表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8"/>
              <w:gridCol w:w="1716"/>
              <w:gridCol w:w="1233"/>
              <w:gridCol w:w="1370"/>
              <w:gridCol w:w="1840"/>
              <w:gridCol w:w="2673"/>
            </w:tblGrid>
            <w:tr w14:paraId="18A4E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Align w:val="center"/>
                </w:tcPr>
                <w:p w14:paraId="1414F990">
                  <w:pPr>
                    <w:widowControl/>
                    <w:jc w:val="center"/>
                    <w:textAlignment w:val="center"/>
                    <w:rPr>
                      <w:b/>
                      <w:bCs/>
                      <w:color w:val="auto"/>
                      <w:kern w:val="0"/>
                      <w:szCs w:val="21"/>
                      <w:lang w:bidi="ar"/>
                    </w:rPr>
                  </w:pPr>
                  <w:r>
                    <w:rPr>
                      <w:rFonts w:hint="eastAsia"/>
                      <w:b/>
                      <w:bCs/>
                      <w:color w:val="auto"/>
                      <w:kern w:val="0"/>
                      <w:szCs w:val="21"/>
                      <w:lang w:bidi="ar"/>
                    </w:rPr>
                    <w:t>废水类型</w:t>
                  </w:r>
                </w:p>
              </w:tc>
              <w:tc>
                <w:tcPr>
                  <w:tcW w:w="828" w:type="pct"/>
                  <w:vAlign w:val="center"/>
                </w:tcPr>
                <w:p w14:paraId="03B6C0C3">
                  <w:pPr>
                    <w:widowControl/>
                    <w:jc w:val="center"/>
                    <w:textAlignment w:val="center"/>
                    <w:rPr>
                      <w:b/>
                      <w:bCs/>
                      <w:color w:val="auto"/>
                      <w:kern w:val="0"/>
                      <w:szCs w:val="21"/>
                      <w:lang w:bidi="ar"/>
                    </w:rPr>
                  </w:pPr>
                  <w:r>
                    <w:rPr>
                      <w:rFonts w:hint="eastAsia"/>
                      <w:b/>
                      <w:bCs/>
                      <w:color w:val="auto"/>
                      <w:kern w:val="0"/>
                      <w:szCs w:val="21"/>
                      <w:lang w:bidi="ar"/>
                    </w:rPr>
                    <w:t>废水产生</w:t>
                  </w:r>
                  <w:r>
                    <w:rPr>
                      <w:b/>
                      <w:bCs/>
                      <w:color w:val="auto"/>
                      <w:kern w:val="0"/>
                      <w:szCs w:val="21"/>
                      <w:lang w:bidi="ar"/>
                    </w:rPr>
                    <w:t>量t/a</w:t>
                  </w:r>
                </w:p>
              </w:tc>
              <w:tc>
                <w:tcPr>
                  <w:tcW w:w="595" w:type="pct"/>
                  <w:vAlign w:val="center"/>
                </w:tcPr>
                <w:p w14:paraId="150DBC34">
                  <w:pPr>
                    <w:widowControl/>
                    <w:jc w:val="center"/>
                    <w:textAlignment w:val="center"/>
                    <w:rPr>
                      <w:b/>
                      <w:bCs/>
                      <w:color w:val="auto"/>
                      <w:szCs w:val="21"/>
                    </w:rPr>
                  </w:pPr>
                  <w:r>
                    <w:rPr>
                      <w:b/>
                      <w:bCs/>
                      <w:color w:val="auto"/>
                      <w:kern w:val="0"/>
                      <w:szCs w:val="21"/>
                      <w:lang w:bidi="ar"/>
                    </w:rPr>
                    <w:t>污染因子</w:t>
                  </w:r>
                </w:p>
              </w:tc>
              <w:tc>
                <w:tcPr>
                  <w:tcW w:w="661" w:type="pct"/>
                  <w:vAlign w:val="center"/>
                </w:tcPr>
                <w:p w14:paraId="4AF9D5AE">
                  <w:pPr>
                    <w:widowControl/>
                    <w:jc w:val="center"/>
                    <w:textAlignment w:val="center"/>
                    <w:rPr>
                      <w:b/>
                      <w:bCs/>
                      <w:color w:val="auto"/>
                      <w:szCs w:val="21"/>
                    </w:rPr>
                  </w:pPr>
                  <w:r>
                    <w:rPr>
                      <w:b/>
                      <w:bCs/>
                      <w:color w:val="auto"/>
                      <w:kern w:val="0"/>
                      <w:szCs w:val="21"/>
                      <w:lang w:bidi="ar"/>
                    </w:rPr>
                    <w:t>产生量t/a</w:t>
                  </w:r>
                </w:p>
              </w:tc>
              <w:tc>
                <w:tcPr>
                  <w:tcW w:w="888" w:type="pct"/>
                  <w:vAlign w:val="center"/>
                </w:tcPr>
                <w:p w14:paraId="6D87564A">
                  <w:pPr>
                    <w:widowControl/>
                    <w:jc w:val="center"/>
                    <w:textAlignment w:val="center"/>
                    <w:rPr>
                      <w:b/>
                      <w:bCs/>
                      <w:color w:val="auto"/>
                      <w:szCs w:val="21"/>
                    </w:rPr>
                  </w:pPr>
                  <w:r>
                    <w:rPr>
                      <w:rFonts w:hint="eastAsia"/>
                      <w:b/>
                      <w:bCs/>
                      <w:color w:val="auto"/>
                      <w:kern w:val="0"/>
                      <w:szCs w:val="21"/>
                      <w:lang w:bidi="ar"/>
                    </w:rPr>
                    <w:t>产生</w:t>
                  </w:r>
                  <w:r>
                    <w:rPr>
                      <w:b/>
                      <w:bCs/>
                      <w:color w:val="auto"/>
                      <w:kern w:val="0"/>
                      <w:szCs w:val="21"/>
                      <w:lang w:bidi="ar"/>
                    </w:rPr>
                    <w:t>浓度mg/L</w:t>
                  </w:r>
                </w:p>
              </w:tc>
              <w:tc>
                <w:tcPr>
                  <w:tcW w:w="1290" w:type="pct"/>
                  <w:vAlign w:val="center"/>
                </w:tcPr>
                <w:p w14:paraId="7C064C2A">
                  <w:pPr>
                    <w:widowControl/>
                    <w:jc w:val="center"/>
                    <w:textAlignment w:val="center"/>
                    <w:rPr>
                      <w:b/>
                      <w:bCs/>
                      <w:color w:val="auto"/>
                      <w:kern w:val="0"/>
                      <w:szCs w:val="21"/>
                      <w:lang w:bidi="ar"/>
                    </w:rPr>
                  </w:pPr>
                  <w:r>
                    <w:rPr>
                      <w:rFonts w:hint="eastAsia"/>
                      <w:b/>
                      <w:bCs/>
                      <w:color w:val="auto"/>
                      <w:kern w:val="0"/>
                      <w:szCs w:val="21"/>
                      <w:lang w:bidi="ar"/>
                    </w:rPr>
                    <w:t>废水排放</w:t>
                  </w:r>
                </w:p>
              </w:tc>
            </w:tr>
            <w:tr w14:paraId="2C5CC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restart"/>
                  <w:vAlign w:val="center"/>
                </w:tcPr>
                <w:p w14:paraId="0A4D603D">
                  <w:pPr>
                    <w:widowControl/>
                    <w:jc w:val="center"/>
                    <w:textAlignment w:val="center"/>
                    <w:rPr>
                      <w:color w:val="auto"/>
                      <w:szCs w:val="21"/>
                    </w:rPr>
                  </w:pPr>
                  <w:r>
                    <w:rPr>
                      <w:rFonts w:hint="eastAsia"/>
                      <w:color w:val="auto"/>
                      <w:szCs w:val="21"/>
                    </w:rPr>
                    <w:t>除油废槽液</w:t>
                  </w:r>
                </w:p>
              </w:tc>
              <w:tc>
                <w:tcPr>
                  <w:tcW w:w="828" w:type="pct"/>
                  <w:vMerge w:val="restart"/>
                  <w:vAlign w:val="center"/>
                </w:tcPr>
                <w:p w14:paraId="5571ACC5">
                  <w:pPr>
                    <w:widowControl/>
                    <w:jc w:val="center"/>
                    <w:textAlignment w:val="center"/>
                    <w:rPr>
                      <w:color w:val="auto"/>
                    </w:rPr>
                  </w:pPr>
                  <w:r>
                    <w:rPr>
                      <w:rFonts w:hint="eastAsia"/>
                      <w:color w:val="auto"/>
                    </w:rPr>
                    <w:t>10.8</w:t>
                  </w:r>
                </w:p>
              </w:tc>
              <w:tc>
                <w:tcPr>
                  <w:tcW w:w="595" w:type="pct"/>
                  <w:vAlign w:val="center"/>
                </w:tcPr>
                <w:p w14:paraId="04FDECA5">
                  <w:pPr>
                    <w:widowControl/>
                    <w:jc w:val="center"/>
                    <w:textAlignment w:val="center"/>
                    <w:rPr>
                      <w:color w:val="auto"/>
                      <w:kern w:val="0"/>
                      <w:szCs w:val="21"/>
                      <w:lang w:bidi="ar"/>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661" w:type="pct"/>
                  <w:vAlign w:val="center"/>
                </w:tcPr>
                <w:p w14:paraId="1C6C18B6">
                  <w:pPr>
                    <w:widowControl/>
                    <w:jc w:val="center"/>
                    <w:textAlignment w:val="center"/>
                    <w:rPr>
                      <w:color w:val="auto"/>
                      <w:kern w:val="0"/>
                      <w:szCs w:val="21"/>
                      <w:lang w:bidi="ar"/>
                    </w:rPr>
                  </w:pPr>
                  <w:r>
                    <w:rPr>
                      <w:color w:val="auto"/>
                      <w:kern w:val="0"/>
                      <w:szCs w:val="21"/>
                      <w:lang w:bidi="ar"/>
                    </w:rPr>
                    <w:t>0.0351</w:t>
                  </w:r>
                </w:p>
              </w:tc>
              <w:tc>
                <w:tcPr>
                  <w:tcW w:w="888" w:type="pct"/>
                  <w:vAlign w:val="center"/>
                </w:tcPr>
                <w:p w14:paraId="79FCBC61">
                  <w:pPr>
                    <w:widowControl/>
                    <w:jc w:val="center"/>
                    <w:textAlignment w:val="center"/>
                    <w:rPr>
                      <w:color w:val="auto"/>
                      <w:kern w:val="0"/>
                      <w:szCs w:val="21"/>
                      <w:lang w:bidi="ar"/>
                    </w:rPr>
                  </w:pPr>
                  <w:r>
                    <w:rPr>
                      <w:color w:val="auto"/>
                      <w:kern w:val="0"/>
                      <w:szCs w:val="21"/>
                      <w:lang w:bidi="ar"/>
                    </w:rPr>
                    <w:t>3250</w:t>
                  </w:r>
                </w:p>
              </w:tc>
              <w:tc>
                <w:tcPr>
                  <w:tcW w:w="1290" w:type="pct"/>
                  <w:vMerge w:val="restart"/>
                  <w:vAlign w:val="center"/>
                </w:tcPr>
                <w:p w14:paraId="6FD3D344">
                  <w:pPr>
                    <w:widowControl/>
                    <w:jc w:val="center"/>
                    <w:textAlignment w:val="center"/>
                    <w:rPr>
                      <w:color w:val="auto"/>
                      <w:kern w:val="0"/>
                      <w:szCs w:val="21"/>
                      <w:lang w:bidi="ar"/>
                    </w:rPr>
                  </w:pPr>
                  <w:r>
                    <w:rPr>
                      <w:rFonts w:hint="eastAsia"/>
                      <w:color w:val="auto"/>
                      <w:kern w:val="0"/>
                      <w:szCs w:val="21"/>
                      <w:lang w:bidi="ar"/>
                    </w:rPr>
                    <w:t>经自建废水处理设施+中水回用水系统处理后达到《城市污水再生利用 工业用水水质》（GB/T19923-2024）中“工艺与产品用水”和“洗涤用水”的较严值及项目自身要求的水质标准（电导率≤350us/m）回用于生产，蒸发浓缩液委外处置。</w:t>
                  </w:r>
                </w:p>
              </w:tc>
            </w:tr>
            <w:tr w14:paraId="3D941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vAlign w:val="center"/>
                </w:tcPr>
                <w:p w14:paraId="7E165094">
                  <w:pPr>
                    <w:widowControl/>
                    <w:jc w:val="center"/>
                    <w:textAlignment w:val="center"/>
                    <w:rPr>
                      <w:color w:val="auto"/>
                      <w:kern w:val="0"/>
                      <w:szCs w:val="21"/>
                      <w:lang w:bidi="ar"/>
                    </w:rPr>
                  </w:pPr>
                </w:p>
              </w:tc>
              <w:tc>
                <w:tcPr>
                  <w:tcW w:w="828" w:type="pct"/>
                  <w:vMerge w:val="continue"/>
                  <w:vAlign w:val="center"/>
                </w:tcPr>
                <w:p w14:paraId="391E4C94">
                  <w:pPr>
                    <w:widowControl/>
                    <w:jc w:val="center"/>
                    <w:textAlignment w:val="center"/>
                    <w:rPr>
                      <w:color w:val="auto"/>
                    </w:rPr>
                  </w:pPr>
                </w:p>
              </w:tc>
              <w:tc>
                <w:tcPr>
                  <w:tcW w:w="595" w:type="pct"/>
                  <w:vAlign w:val="center"/>
                </w:tcPr>
                <w:p w14:paraId="5A6CABB2">
                  <w:pPr>
                    <w:widowControl/>
                    <w:jc w:val="center"/>
                    <w:textAlignment w:val="center"/>
                    <w:rPr>
                      <w:color w:val="auto"/>
                      <w:kern w:val="0"/>
                      <w:szCs w:val="21"/>
                      <w:lang w:bidi="ar"/>
                    </w:rPr>
                  </w:pPr>
                  <w:r>
                    <w:rPr>
                      <w:rFonts w:hint="eastAsia"/>
                      <w:color w:val="auto"/>
                      <w:kern w:val="0"/>
                      <w:szCs w:val="21"/>
                      <w:lang w:bidi="ar"/>
                    </w:rPr>
                    <w:t>石油类</w:t>
                  </w:r>
                </w:p>
              </w:tc>
              <w:tc>
                <w:tcPr>
                  <w:tcW w:w="661" w:type="pct"/>
                  <w:vAlign w:val="center"/>
                </w:tcPr>
                <w:p w14:paraId="1603B504">
                  <w:pPr>
                    <w:widowControl/>
                    <w:jc w:val="center"/>
                    <w:textAlignment w:val="center"/>
                    <w:rPr>
                      <w:color w:val="auto"/>
                      <w:kern w:val="0"/>
                      <w:szCs w:val="21"/>
                      <w:lang w:bidi="ar"/>
                    </w:rPr>
                  </w:pPr>
                  <w:r>
                    <w:rPr>
                      <w:color w:val="auto"/>
                      <w:kern w:val="0"/>
                      <w:szCs w:val="21"/>
                      <w:lang w:bidi="ar"/>
                    </w:rPr>
                    <w:t>0.0117</w:t>
                  </w:r>
                </w:p>
              </w:tc>
              <w:tc>
                <w:tcPr>
                  <w:tcW w:w="888" w:type="pct"/>
                  <w:vAlign w:val="center"/>
                </w:tcPr>
                <w:p w14:paraId="27441CC4">
                  <w:pPr>
                    <w:widowControl/>
                    <w:jc w:val="center"/>
                    <w:textAlignment w:val="center"/>
                    <w:rPr>
                      <w:color w:val="auto"/>
                      <w:kern w:val="0"/>
                      <w:szCs w:val="21"/>
                      <w:lang w:bidi="ar"/>
                    </w:rPr>
                  </w:pPr>
                  <w:r>
                    <w:rPr>
                      <w:color w:val="auto"/>
                      <w:kern w:val="0"/>
                      <w:szCs w:val="21"/>
                      <w:lang w:bidi="ar"/>
                    </w:rPr>
                    <w:t xml:space="preserve">1083 </w:t>
                  </w:r>
                </w:p>
              </w:tc>
              <w:tc>
                <w:tcPr>
                  <w:tcW w:w="1290" w:type="pct"/>
                  <w:vMerge w:val="continue"/>
                  <w:vAlign w:val="center"/>
                </w:tcPr>
                <w:p w14:paraId="7B105B86">
                  <w:pPr>
                    <w:widowControl/>
                    <w:jc w:val="center"/>
                    <w:textAlignment w:val="center"/>
                    <w:rPr>
                      <w:color w:val="auto"/>
                      <w:kern w:val="0"/>
                      <w:szCs w:val="21"/>
                      <w:lang w:bidi="ar"/>
                    </w:rPr>
                  </w:pPr>
                </w:p>
              </w:tc>
            </w:tr>
            <w:tr w14:paraId="10AF0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Align w:val="center"/>
                </w:tcPr>
                <w:p w14:paraId="75937978">
                  <w:pPr>
                    <w:widowControl/>
                    <w:jc w:val="center"/>
                    <w:textAlignment w:val="center"/>
                    <w:rPr>
                      <w:color w:val="auto"/>
                      <w:kern w:val="0"/>
                      <w:szCs w:val="21"/>
                      <w:lang w:bidi="ar"/>
                    </w:rPr>
                  </w:pPr>
                  <w:r>
                    <w:rPr>
                      <w:rFonts w:hint="eastAsia"/>
                      <w:color w:val="auto"/>
                      <w:kern w:val="0"/>
                      <w:szCs w:val="21"/>
                      <w:lang w:bidi="ar"/>
                    </w:rPr>
                    <w:t>除锈废槽液</w:t>
                  </w:r>
                </w:p>
              </w:tc>
              <w:tc>
                <w:tcPr>
                  <w:tcW w:w="828" w:type="pct"/>
                  <w:vAlign w:val="center"/>
                </w:tcPr>
                <w:p w14:paraId="35A7E2EF">
                  <w:pPr>
                    <w:widowControl/>
                    <w:jc w:val="center"/>
                    <w:textAlignment w:val="center"/>
                    <w:rPr>
                      <w:color w:val="auto"/>
                    </w:rPr>
                  </w:pPr>
                  <w:r>
                    <w:rPr>
                      <w:rFonts w:hint="eastAsia"/>
                      <w:color w:val="auto"/>
                    </w:rPr>
                    <w:t>11.7</w:t>
                  </w:r>
                </w:p>
              </w:tc>
              <w:tc>
                <w:tcPr>
                  <w:tcW w:w="595" w:type="pct"/>
                  <w:vAlign w:val="center"/>
                </w:tcPr>
                <w:p w14:paraId="04B9CBDC">
                  <w:pPr>
                    <w:widowControl/>
                    <w:jc w:val="center"/>
                    <w:textAlignment w:val="center"/>
                    <w:rPr>
                      <w:color w:val="auto"/>
                      <w:kern w:val="0"/>
                      <w:szCs w:val="21"/>
                      <w:lang w:bidi="ar"/>
                    </w:rPr>
                  </w:pPr>
                  <w:r>
                    <w:rPr>
                      <w:rFonts w:hint="eastAsia"/>
                      <w:color w:val="auto"/>
                      <w:kern w:val="0"/>
                      <w:szCs w:val="21"/>
                      <w:lang w:bidi="ar"/>
                    </w:rPr>
                    <w:t>总铁</w:t>
                  </w:r>
                </w:p>
              </w:tc>
              <w:tc>
                <w:tcPr>
                  <w:tcW w:w="661" w:type="pct"/>
                  <w:vAlign w:val="center"/>
                </w:tcPr>
                <w:p w14:paraId="66CE7303">
                  <w:pPr>
                    <w:widowControl/>
                    <w:jc w:val="center"/>
                    <w:textAlignment w:val="center"/>
                    <w:rPr>
                      <w:color w:val="auto"/>
                      <w:kern w:val="0"/>
                      <w:szCs w:val="21"/>
                      <w:lang w:bidi="ar"/>
                    </w:rPr>
                  </w:pPr>
                  <w:r>
                    <w:rPr>
                      <w:rFonts w:hint="eastAsia"/>
                      <w:color w:val="auto"/>
                      <w:kern w:val="0"/>
                      <w:szCs w:val="21"/>
                      <w:lang w:bidi="ar"/>
                    </w:rPr>
                    <w:t>0.141</w:t>
                  </w:r>
                </w:p>
              </w:tc>
              <w:tc>
                <w:tcPr>
                  <w:tcW w:w="888" w:type="pct"/>
                  <w:vAlign w:val="center"/>
                </w:tcPr>
                <w:p w14:paraId="191F2DDB">
                  <w:pPr>
                    <w:widowControl/>
                    <w:jc w:val="center"/>
                    <w:textAlignment w:val="center"/>
                    <w:rPr>
                      <w:color w:val="auto"/>
                      <w:kern w:val="0"/>
                      <w:szCs w:val="21"/>
                      <w:lang w:bidi="ar"/>
                    </w:rPr>
                  </w:pPr>
                  <w:r>
                    <w:rPr>
                      <w:rFonts w:hint="eastAsia"/>
                      <w:color w:val="auto"/>
                      <w:kern w:val="0"/>
                      <w:szCs w:val="21"/>
                      <w:lang w:bidi="ar"/>
                    </w:rPr>
                    <w:t>12053</w:t>
                  </w:r>
                </w:p>
              </w:tc>
              <w:tc>
                <w:tcPr>
                  <w:tcW w:w="1290" w:type="pct"/>
                  <w:vMerge w:val="continue"/>
                  <w:vAlign w:val="center"/>
                </w:tcPr>
                <w:p w14:paraId="5C2EF662">
                  <w:pPr>
                    <w:widowControl/>
                    <w:jc w:val="center"/>
                    <w:textAlignment w:val="center"/>
                    <w:rPr>
                      <w:color w:val="auto"/>
                      <w:kern w:val="0"/>
                      <w:szCs w:val="21"/>
                      <w:lang w:bidi="ar"/>
                    </w:rPr>
                  </w:pPr>
                </w:p>
              </w:tc>
            </w:tr>
            <w:tr w14:paraId="28ECB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restart"/>
                  <w:vAlign w:val="center"/>
                </w:tcPr>
                <w:p w14:paraId="25A8F568">
                  <w:pPr>
                    <w:widowControl/>
                    <w:jc w:val="center"/>
                    <w:textAlignment w:val="center"/>
                    <w:rPr>
                      <w:color w:val="auto"/>
                      <w:szCs w:val="21"/>
                    </w:rPr>
                  </w:pPr>
                  <w:r>
                    <w:rPr>
                      <w:rFonts w:hint="eastAsia"/>
                      <w:color w:val="auto"/>
                      <w:szCs w:val="21"/>
                    </w:rPr>
                    <w:t>脱脂废槽液</w:t>
                  </w:r>
                </w:p>
              </w:tc>
              <w:tc>
                <w:tcPr>
                  <w:tcW w:w="828" w:type="pct"/>
                  <w:vMerge w:val="restart"/>
                  <w:vAlign w:val="center"/>
                </w:tcPr>
                <w:p w14:paraId="5DDB6BAC">
                  <w:pPr>
                    <w:widowControl/>
                    <w:jc w:val="center"/>
                    <w:textAlignment w:val="center"/>
                    <w:rPr>
                      <w:color w:val="auto"/>
                    </w:rPr>
                  </w:pPr>
                  <w:r>
                    <w:rPr>
                      <w:rFonts w:hint="eastAsia"/>
                      <w:color w:val="auto"/>
                    </w:rPr>
                    <w:t>3.61</w:t>
                  </w:r>
                </w:p>
              </w:tc>
              <w:tc>
                <w:tcPr>
                  <w:tcW w:w="595" w:type="pct"/>
                  <w:vAlign w:val="center"/>
                </w:tcPr>
                <w:p w14:paraId="45BE9DF8">
                  <w:pPr>
                    <w:widowControl/>
                    <w:jc w:val="center"/>
                    <w:textAlignment w:val="center"/>
                    <w:rPr>
                      <w:color w:val="auto"/>
                      <w:kern w:val="0"/>
                      <w:szCs w:val="21"/>
                      <w:lang w:bidi="ar"/>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661" w:type="pct"/>
                  <w:vAlign w:val="center"/>
                </w:tcPr>
                <w:p w14:paraId="3CBF0FEE">
                  <w:pPr>
                    <w:widowControl/>
                    <w:jc w:val="center"/>
                    <w:textAlignment w:val="center"/>
                    <w:rPr>
                      <w:color w:val="auto"/>
                      <w:kern w:val="0"/>
                      <w:szCs w:val="21"/>
                      <w:lang w:bidi="ar"/>
                    </w:rPr>
                  </w:pPr>
                  <w:r>
                    <w:rPr>
                      <w:color w:val="auto"/>
                      <w:kern w:val="0"/>
                      <w:szCs w:val="21"/>
                      <w:lang w:bidi="ar"/>
                    </w:rPr>
                    <w:t>0.15</w:t>
                  </w:r>
                </w:p>
              </w:tc>
              <w:tc>
                <w:tcPr>
                  <w:tcW w:w="888" w:type="pct"/>
                  <w:vAlign w:val="center"/>
                </w:tcPr>
                <w:p w14:paraId="08D2F954">
                  <w:pPr>
                    <w:widowControl/>
                    <w:jc w:val="center"/>
                    <w:textAlignment w:val="center"/>
                    <w:rPr>
                      <w:color w:val="auto"/>
                      <w:kern w:val="0"/>
                      <w:szCs w:val="21"/>
                      <w:lang w:bidi="ar"/>
                    </w:rPr>
                  </w:pPr>
                  <w:r>
                    <w:rPr>
                      <w:color w:val="auto"/>
                      <w:kern w:val="0"/>
                      <w:szCs w:val="21"/>
                      <w:lang w:bidi="ar"/>
                    </w:rPr>
                    <w:t xml:space="preserve">41551 </w:t>
                  </w:r>
                </w:p>
              </w:tc>
              <w:tc>
                <w:tcPr>
                  <w:tcW w:w="1290" w:type="pct"/>
                  <w:vMerge w:val="continue"/>
                  <w:vAlign w:val="center"/>
                </w:tcPr>
                <w:p w14:paraId="20B3B328">
                  <w:pPr>
                    <w:widowControl/>
                    <w:jc w:val="center"/>
                    <w:textAlignment w:val="center"/>
                    <w:rPr>
                      <w:color w:val="auto"/>
                      <w:kern w:val="0"/>
                      <w:szCs w:val="21"/>
                      <w:lang w:bidi="ar"/>
                    </w:rPr>
                  </w:pPr>
                </w:p>
              </w:tc>
            </w:tr>
            <w:tr w14:paraId="47345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vAlign w:val="center"/>
                </w:tcPr>
                <w:p w14:paraId="1D03AD95">
                  <w:pPr>
                    <w:widowControl/>
                    <w:jc w:val="center"/>
                    <w:textAlignment w:val="center"/>
                    <w:rPr>
                      <w:color w:val="auto"/>
                      <w:szCs w:val="21"/>
                    </w:rPr>
                  </w:pPr>
                </w:p>
              </w:tc>
              <w:tc>
                <w:tcPr>
                  <w:tcW w:w="828" w:type="pct"/>
                  <w:vMerge w:val="continue"/>
                  <w:vAlign w:val="center"/>
                </w:tcPr>
                <w:p w14:paraId="3126E686">
                  <w:pPr>
                    <w:widowControl/>
                    <w:jc w:val="center"/>
                    <w:textAlignment w:val="center"/>
                    <w:rPr>
                      <w:color w:val="auto"/>
                    </w:rPr>
                  </w:pPr>
                </w:p>
              </w:tc>
              <w:tc>
                <w:tcPr>
                  <w:tcW w:w="595" w:type="pct"/>
                  <w:vAlign w:val="center"/>
                </w:tcPr>
                <w:p w14:paraId="3C6681C4">
                  <w:pPr>
                    <w:widowControl/>
                    <w:jc w:val="center"/>
                    <w:textAlignment w:val="center"/>
                    <w:rPr>
                      <w:color w:val="auto"/>
                      <w:kern w:val="0"/>
                      <w:szCs w:val="21"/>
                      <w:lang w:bidi="ar"/>
                    </w:rPr>
                  </w:pPr>
                  <w:r>
                    <w:rPr>
                      <w:rFonts w:hint="eastAsia" w:ascii="宋体" w:hAnsi="宋体" w:cs="宋体"/>
                      <w:color w:val="auto"/>
                      <w:kern w:val="0"/>
                      <w:szCs w:val="21"/>
                      <w:lang w:bidi="ar"/>
                    </w:rPr>
                    <w:t>总磷</w:t>
                  </w:r>
                </w:p>
              </w:tc>
              <w:tc>
                <w:tcPr>
                  <w:tcW w:w="661" w:type="pct"/>
                  <w:vAlign w:val="center"/>
                </w:tcPr>
                <w:p w14:paraId="438D02EF">
                  <w:pPr>
                    <w:widowControl/>
                    <w:jc w:val="center"/>
                    <w:textAlignment w:val="center"/>
                    <w:rPr>
                      <w:color w:val="auto"/>
                      <w:kern w:val="0"/>
                      <w:szCs w:val="21"/>
                      <w:lang w:bidi="ar"/>
                    </w:rPr>
                  </w:pPr>
                  <w:r>
                    <w:rPr>
                      <w:color w:val="auto"/>
                      <w:kern w:val="0"/>
                      <w:szCs w:val="21"/>
                      <w:lang w:bidi="ar"/>
                    </w:rPr>
                    <w:t>0.0011</w:t>
                  </w:r>
                </w:p>
              </w:tc>
              <w:tc>
                <w:tcPr>
                  <w:tcW w:w="888" w:type="pct"/>
                  <w:vAlign w:val="center"/>
                </w:tcPr>
                <w:p w14:paraId="13B676A6">
                  <w:pPr>
                    <w:widowControl/>
                    <w:jc w:val="center"/>
                    <w:textAlignment w:val="center"/>
                    <w:rPr>
                      <w:color w:val="auto"/>
                      <w:kern w:val="0"/>
                      <w:szCs w:val="21"/>
                      <w:lang w:bidi="ar"/>
                    </w:rPr>
                  </w:pPr>
                  <w:r>
                    <w:rPr>
                      <w:color w:val="auto"/>
                      <w:kern w:val="0"/>
                      <w:szCs w:val="21"/>
                      <w:lang w:bidi="ar"/>
                    </w:rPr>
                    <w:t xml:space="preserve">305 </w:t>
                  </w:r>
                </w:p>
              </w:tc>
              <w:tc>
                <w:tcPr>
                  <w:tcW w:w="1290" w:type="pct"/>
                  <w:vMerge w:val="continue"/>
                  <w:vAlign w:val="center"/>
                </w:tcPr>
                <w:p w14:paraId="59F28064">
                  <w:pPr>
                    <w:widowControl/>
                    <w:jc w:val="center"/>
                    <w:textAlignment w:val="center"/>
                    <w:rPr>
                      <w:color w:val="auto"/>
                      <w:kern w:val="0"/>
                      <w:szCs w:val="21"/>
                      <w:lang w:bidi="ar"/>
                    </w:rPr>
                  </w:pPr>
                </w:p>
              </w:tc>
            </w:tr>
            <w:tr w14:paraId="64D01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vAlign w:val="center"/>
                </w:tcPr>
                <w:p w14:paraId="3F0B3396">
                  <w:pPr>
                    <w:widowControl/>
                    <w:jc w:val="center"/>
                    <w:textAlignment w:val="center"/>
                    <w:rPr>
                      <w:color w:val="auto"/>
                      <w:kern w:val="0"/>
                      <w:szCs w:val="21"/>
                      <w:lang w:bidi="ar"/>
                    </w:rPr>
                  </w:pPr>
                </w:p>
              </w:tc>
              <w:tc>
                <w:tcPr>
                  <w:tcW w:w="828" w:type="pct"/>
                  <w:vMerge w:val="continue"/>
                  <w:vAlign w:val="center"/>
                </w:tcPr>
                <w:p w14:paraId="2BC6CC0C">
                  <w:pPr>
                    <w:widowControl/>
                    <w:jc w:val="center"/>
                    <w:textAlignment w:val="center"/>
                    <w:rPr>
                      <w:color w:val="auto"/>
                    </w:rPr>
                  </w:pPr>
                </w:p>
              </w:tc>
              <w:tc>
                <w:tcPr>
                  <w:tcW w:w="595" w:type="pct"/>
                  <w:vAlign w:val="center"/>
                </w:tcPr>
                <w:p w14:paraId="048EB7F0">
                  <w:pPr>
                    <w:widowControl/>
                    <w:jc w:val="center"/>
                    <w:textAlignment w:val="center"/>
                    <w:rPr>
                      <w:color w:val="auto"/>
                      <w:kern w:val="0"/>
                      <w:szCs w:val="21"/>
                      <w:lang w:bidi="ar"/>
                    </w:rPr>
                  </w:pPr>
                  <w:r>
                    <w:rPr>
                      <w:rFonts w:hint="eastAsia" w:ascii="宋体" w:hAnsi="宋体" w:cs="宋体"/>
                      <w:color w:val="auto"/>
                      <w:kern w:val="0"/>
                      <w:szCs w:val="21"/>
                      <w:lang w:bidi="ar"/>
                    </w:rPr>
                    <w:t>石油类</w:t>
                  </w:r>
                </w:p>
              </w:tc>
              <w:tc>
                <w:tcPr>
                  <w:tcW w:w="661" w:type="pct"/>
                  <w:vAlign w:val="center"/>
                </w:tcPr>
                <w:p w14:paraId="723321EA">
                  <w:pPr>
                    <w:widowControl/>
                    <w:jc w:val="center"/>
                    <w:textAlignment w:val="center"/>
                    <w:rPr>
                      <w:color w:val="auto"/>
                      <w:kern w:val="0"/>
                      <w:szCs w:val="21"/>
                      <w:lang w:bidi="ar"/>
                    </w:rPr>
                  </w:pPr>
                  <w:r>
                    <w:rPr>
                      <w:color w:val="auto"/>
                      <w:kern w:val="0"/>
                      <w:szCs w:val="21"/>
                      <w:lang w:bidi="ar"/>
                    </w:rPr>
                    <w:t>0.0107</w:t>
                  </w:r>
                </w:p>
              </w:tc>
              <w:tc>
                <w:tcPr>
                  <w:tcW w:w="888" w:type="pct"/>
                  <w:vAlign w:val="center"/>
                </w:tcPr>
                <w:p w14:paraId="2EA902E6">
                  <w:pPr>
                    <w:widowControl/>
                    <w:jc w:val="center"/>
                    <w:textAlignment w:val="center"/>
                    <w:rPr>
                      <w:color w:val="auto"/>
                      <w:kern w:val="0"/>
                      <w:szCs w:val="21"/>
                      <w:lang w:bidi="ar"/>
                    </w:rPr>
                  </w:pPr>
                  <w:r>
                    <w:rPr>
                      <w:color w:val="auto"/>
                      <w:kern w:val="0"/>
                      <w:szCs w:val="21"/>
                      <w:lang w:bidi="ar"/>
                    </w:rPr>
                    <w:t xml:space="preserve">2964 </w:t>
                  </w:r>
                </w:p>
              </w:tc>
              <w:tc>
                <w:tcPr>
                  <w:tcW w:w="1290" w:type="pct"/>
                  <w:vMerge w:val="continue"/>
                  <w:vAlign w:val="center"/>
                </w:tcPr>
                <w:p w14:paraId="24E0F2D2">
                  <w:pPr>
                    <w:widowControl/>
                    <w:jc w:val="center"/>
                    <w:textAlignment w:val="center"/>
                    <w:rPr>
                      <w:color w:val="auto"/>
                      <w:kern w:val="0"/>
                      <w:szCs w:val="21"/>
                      <w:lang w:bidi="ar"/>
                    </w:rPr>
                  </w:pPr>
                </w:p>
              </w:tc>
            </w:tr>
            <w:tr w14:paraId="7B46B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restart"/>
                  <w:vAlign w:val="center"/>
                </w:tcPr>
                <w:p w14:paraId="1F13640A">
                  <w:pPr>
                    <w:widowControl/>
                    <w:jc w:val="center"/>
                    <w:textAlignment w:val="center"/>
                    <w:rPr>
                      <w:color w:val="auto"/>
                      <w:kern w:val="0"/>
                      <w:szCs w:val="21"/>
                      <w:lang w:bidi="ar"/>
                    </w:rPr>
                  </w:pPr>
                  <w:r>
                    <w:rPr>
                      <w:rFonts w:hint="eastAsia"/>
                      <w:color w:val="auto"/>
                      <w:kern w:val="0"/>
                      <w:szCs w:val="21"/>
                      <w:lang w:bidi="ar"/>
                    </w:rPr>
                    <w:t>表调废槽液</w:t>
                  </w:r>
                </w:p>
              </w:tc>
              <w:tc>
                <w:tcPr>
                  <w:tcW w:w="828" w:type="pct"/>
                  <w:vMerge w:val="restart"/>
                  <w:vAlign w:val="center"/>
                </w:tcPr>
                <w:p w14:paraId="45F19A11">
                  <w:pPr>
                    <w:widowControl/>
                    <w:jc w:val="center"/>
                    <w:textAlignment w:val="center"/>
                    <w:rPr>
                      <w:color w:val="auto"/>
                    </w:rPr>
                  </w:pPr>
                  <w:r>
                    <w:rPr>
                      <w:rFonts w:hint="eastAsia"/>
                      <w:color w:val="auto"/>
                    </w:rPr>
                    <w:t>14.4</w:t>
                  </w:r>
                </w:p>
              </w:tc>
              <w:tc>
                <w:tcPr>
                  <w:tcW w:w="595" w:type="pct"/>
                  <w:vAlign w:val="center"/>
                </w:tcPr>
                <w:p w14:paraId="60B04E1F">
                  <w:pPr>
                    <w:widowControl/>
                    <w:jc w:val="center"/>
                    <w:textAlignment w:val="center"/>
                    <w:rPr>
                      <w:rFonts w:hint="eastAsia" w:ascii="宋体" w:hAnsi="宋体" w:cs="宋体"/>
                      <w:color w:val="auto"/>
                      <w:kern w:val="0"/>
                      <w:szCs w:val="21"/>
                      <w:lang w:bidi="ar"/>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661" w:type="pct"/>
                  <w:vAlign w:val="center"/>
                </w:tcPr>
                <w:p w14:paraId="66B1F432">
                  <w:pPr>
                    <w:widowControl/>
                    <w:jc w:val="center"/>
                    <w:textAlignment w:val="center"/>
                    <w:rPr>
                      <w:color w:val="auto"/>
                      <w:kern w:val="0"/>
                      <w:szCs w:val="21"/>
                      <w:lang w:bidi="ar"/>
                    </w:rPr>
                  </w:pPr>
                  <w:r>
                    <w:rPr>
                      <w:color w:val="auto"/>
                      <w:kern w:val="0"/>
                      <w:szCs w:val="21"/>
                      <w:lang w:bidi="ar"/>
                    </w:rPr>
                    <w:t>0.0015</w:t>
                  </w:r>
                </w:p>
              </w:tc>
              <w:tc>
                <w:tcPr>
                  <w:tcW w:w="888" w:type="pct"/>
                  <w:vAlign w:val="center"/>
                </w:tcPr>
                <w:p w14:paraId="53F20272">
                  <w:pPr>
                    <w:widowControl/>
                    <w:jc w:val="center"/>
                    <w:textAlignment w:val="center"/>
                    <w:rPr>
                      <w:color w:val="auto"/>
                      <w:kern w:val="0"/>
                      <w:szCs w:val="21"/>
                      <w:lang w:bidi="ar"/>
                    </w:rPr>
                  </w:pPr>
                  <w:r>
                    <w:rPr>
                      <w:color w:val="auto"/>
                      <w:kern w:val="0"/>
                      <w:szCs w:val="21"/>
                      <w:lang w:bidi="ar"/>
                    </w:rPr>
                    <w:t xml:space="preserve">104 </w:t>
                  </w:r>
                </w:p>
              </w:tc>
              <w:tc>
                <w:tcPr>
                  <w:tcW w:w="1290" w:type="pct"/>
                  <w:vMerge w:val="continue"/>
                  <w:vAlign w:val="center"/>
                </w:tcPr>
                <w:p w14:paraId="0654B8EB">
                  <w:pPr>
                    <w:widowControl/>
                    <w:jc w:val="center"/>
                    <w:textAlignment w:val="center"/>
                    <w:rPr>
                      <w:color w:val="auto"/>
                      <w:kern w:val="0"/>
                      <w:szCs w:val="21"/>
                      <w:lang w:bidi="ar"/>
                    </w:rPr>
                  </w:pPr>
                </w:p>
              </w:tc>
            </w:tr>
            <w:tr w14:paraId="03552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vAlign w:val="center"/>
                </w:tcPr>
                <w:p w14:paraId="633DE10E">
                  <w:pPr>
                    <w:widowControl/>
                    <w:jc w:val="center"/>
                    <w:textAlignment w:val="center"/>
                    <w:rPr>
                      <w:color w:val="auto"/>
                      <w:kern w:val="0"/>
                      <w:szCs w:val="21"/>
                      <w:lang w:bidi="ar"/>
                    </w:rPr>
                  </w:pPr>
                </w:p>
              </w:tc>
              <w:tc>
                <w:tcPr>
                  <w:tcW w:w="828" w:type="pct"/>
                  <w:vMerge w:val="continue"/>
                  <w:vAlign w:val="center"/>
                </w:tcPr>
                <w:p w14:paraId="57EFCC66">
                  <w:pPr>
                    <w:widowControl/>
                    <w:jc w:val="center"/>
                    <w:textAlignment w:val="center"/>
                    <w:rPr>
                      <w:color w:val="auto"/>
                    </w:rPr>
                  </w:pPr>
                </w:p>
              </w:tc>
              <w:tc>
                <w:tcPr>
                  <w:tcW w:w="595" w:type="pct"/>
                  <w:vAlign w:val="center"/>
                </w:tcPr>
                <w:p w14:paraId="258137A1">
                  <w:pPr>
                    <w:widowControl/>
                    <w:jc w:val="center"/>
                    <w:textAlignment w:val="center"/>
                    <w:rPr>
                      <w:rFonts w:hint="eastAsia" w:ascii="宋体" w:hAnsi="宋体" w:cs="宋体"/>
                      <w:color w:val="auto"/>
                      <w:kern w:val="0"/>
                      <w:szCs w:val="21"/>
                      <w:lang w:bidi="ar"/>
                    </w:rPr>
                  </w:pPr>
                  <w:r>
                    <w:rPr>
                      <w:rFonts w:hint="eastAsia" w:ascii="宋体" w:hAnsi="宋体" w:cs="宋体"/>
                      <w:color w:val="auto"/>
                      <w:kern w:val="0"/>
                      <w:szCs w:val="21"/>
                      <w:lang w:bidi="ar"/>
                    </w:rPr>
                    <w:t>总磷</w:t>
                  </w:r>
                </w:p>
              </w:tc>
              <w:tc>
                <w:tcPr>
                  <w:tcW w:w="661" w:type="pct"/>
                  <w:vAlign w:val="center"/>
                </w:tcPr>
                <w:p w14:paraId="693FD568">
                  <w:pPr>
                    <w:widowControl/>
                    <w:jc w:val="center"/>
                    <w:textAlignment w:val="center"/>
                    <w:rPr>
                      <w:color w:val="auto"/>
                      <w:kern w:val="0"/>
                      <w:szCs w:val="21"/>
                      <w:lang w:bidi="ar"/>
                    </w:rPr>
                  </w:pPr>
                  <w:r>
                    <w:rPr>
                      <w:color w:val="auto"/>
                      <w:kern w:val="0"/>
                      <w:szCs w:val="21"/>
                      <w:lang w:bidi="ar"/>
                    </w:rPr>
                    <w:t>0.001</w:t>
                  </w:r>
                </w:p>
              </w:tc>
              <w:tc>
                <w:tcPr>
                  <w:tcW w:w="888" w:type="pct"/>
                  <w:vAlign w:val="center"/>
                </w:tcPr>
                <w:p w14:paraId="50EAE048">
                  <w:pPr>
                    <w:widowControl/>
                    <w:jc w:val="center"/>
                    <w:textAlignment w:val="center"/>
                    <w:rPr>
                      <w:color w:val="auto"/>
                      <w:kern w:val="0"/>
                      <w:szCs w:val="21"/>
                      <w:lang w:bidi="ar"/>
                    </w:rPr>
                  </w:pPr>
                  <w:r>
                    <w:rPr>
                      <w:color w:val="auto"/>
                      <w:kern w:val="0"/>
                      <w:szCs w:val="21"/>
                      <w:lang w:bidi="ar"/>
                    </w:rPr>
                    <w:t xml:space="preserve">69 </w:t>
                  </w:r>
                </w:p>
              </w:tc>
              <w:tc>
                <w:tcPr>
                  <w:tcW w:w="1290" w:type="pct"/>
                  <w:vMerge w:val="continue"/>
                  <w:vAlign w:val="center"/>
                </w:tcPr>
                <w:p w14:paraId="5DAAFA67">
                  <w:pPr>
                    <w:widowControl/>
                    <w:jc w:val="center"/>
                    <w:textAlignment w:val="center"/>
                    <w:rPr>
                      <w:color w:val="auto"/>
                      <w:kern w:val="0"/>
                      <w:szCs w:val="21"/>
                      <w:lang w:bidi="ar"/>
                    </w:rPr>
                  </w:pPr>
                </w:p>
              </w:tc>
            </w:tr>
            <w:tr w14:paraId="0E3E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restart"/>
                  <w:vAlign w:val="center"/>
                </w:tcPr>
                <w:p w14:paraId="761A0115">
                  <w:pPr>
                    <w:widowControl/>
                    <w:jc w:val="center"/>
                    <w:textAlignment w:val="center"/>
                    <w:rPr>
                      <w:color w:val="auto"/>
                      <w:kern w:val="0"/>
                      <w:szCs w:val="21"/>
                      <w:lang w:bidi="ar"/>
                    </w:rPr>
                  </w:pPr>
                  <w:r>
                    <w:rPr>
                      <w:rFonts w:hint="eastAsia"/>
                      <w:color w:val="auto"/>
                      <w:kern w:val="0"/>
                      <w:szCs w:val="21"/>
                      <w:lang w:bidi="ar"/>
                    </w:rPr>
                    <w:t>清洗废水</w:t>
                  </w:r>
                </w:p>
              </w:tc>
              <w:tc>
                <w:tcPr>
                  <w:tcW w:w="828" w:type="pct"/>
                  <w:vMerge w:val="restart"/>
                  <w:vAlign w:val="center"/>
                </w:tcPr>
                <w:p w14:paraId="5EA86DA1">
                  <w:pPr>
                    <w:widowControl/>
                    <w:jc w:val="center"/>
                    <w:textAlignment w:val="center"/>
                    <w:rPr>
                      <w:color w:val="auto"/>
                    </w:rPr>
                  </w:pPr>
                  <w:r>
                    <w:rPr>
                      <w:rFonts w:hint="eastAsia"/>
                      <w:color w:val="auto"/>
                    </w:rPr>
                    <w:t>1296</w:t>
                  </w:r>
                </w:p>
              </w:tc>
              <w:tc>
                <w:tcPr>
                  <w:tcW w:w="595" w:type="pct"/>
                  <w:vAlign w:val="center"/>
                </w:tcPr>
                <w:p w14:paraId="7E8292B9">
                  <w:pPr>
                    <w:widowControl/>
                    <w:jc w:val="center"/>
                    <w:textAlignment w:val="center"/>
                    <w:rPr>
                      <w:color w:val="auto"/>
                      <w:szCs w:val="21"/>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661" w:type="pct"/>
                  <w:vAlign w:val="center"/>
                </w:tcPr>
                <w:p w14:paraId="7243D038">
                  <w:pPr>
                    <w:widowControl/>
                    <w:jc w:val="center"/>
                    <w:textAlignment w:val="center"/>
                    <w:rPr>
                      <w:color w:val="auto"/>
                      <w:szCs w:val="21"/>
                    </w:rPr>
                  </w:pPr>
                  <w:r>
                    <w:rPr>
                      <w:color w:val="auto"/>
                      <w:kern w:val="0"/>
                      <w:szCs w:val="21"/>
                      <w:lang w:bidi="ar"/>
                    </w:rPr>
                    <w:t>0.62</w:t>
                  </w:r>
                </w:p>
              </w:tc>
              <w:tc>
                <w:tcPr>
                  <w:tcW w:w="888" w:type="pct"/>
                  <w:vAlign w:val="center"/>
                </w:tcPr>
                <w:p w14:paraId="2E97EEDA">
                  <w:pPr>
                    <w:widowControl/>
                    <w:jc w:val="center"/>
                    <w:textAlignment w:val="center"/>
                    <w:rPr>
                      <w:color w:val="auto"/>
                      <w:szCs w:val="21"/>
                    </w:rPr>
                  </w:pPr>
                  <w:r>
                    <w:rPr>
                      <w:color w:val="auto"/>
                      <w:kern w:val="0"/>
                      <w:szCs w:val="21"/>
                      <w:lang w:bidi="ar"/>
                    </w:rPr>
                    <w:t xml:space="preserve">478 </w:t>
                  </w:r>
                </w:p>
              </w:tc>
              <w:tc>
                <w:tcPr>
                  <w:tcW w:w="1290" w:type="pct"/>
                  <w:vMerge w:val="continue"/>
                  <w:vAlign w:val="center"/>
                </w:tcPr>
                <w:p w14:paraId="15B2FA70">
                  <w:pPr>
                    <w:widowControl/>
                    <w:jc w:val="center"/>
                    <w:textAlignment w:val="center"/>
                    <w:rPr>
                      <w:color w:val="auto"/>
                      <w:kern w:val="0"/>
                      <w:szCs w:val="21"/>
                      <w:lang w:bidi="ar"/>
                    </w:rPr>
                  </w:pPr>
                </w:p>
              </w:tc>
            </w:tr>
            <w:tr w14:paraId="31A40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vAlign w:val="center"/>
                </w:tcPr>
                <w:p w14:paraId="0934FCD2">
                  <w:pPr>
                    <w:widowControl/>
                    <w:jc w:val="center"/>
                    <w:textAlignment w:val="center"/>
                    <w:rPr>
                      <w:color w:val="auto"/>
                      <w:kern w:val="0"/>
                      <w:szCs w:val="21"/>
                      <w:lang w:bidi="ar"/>
                    </w:rPr>
                  </w:pPr>
                </w:p>
              </w:tc>
              <w:tc>
                <w:tcPr>
                  <w:tcW w:w="828" w:type="pct"/>
                  <w:vMerge w:val="continue"/>
                  <w:vAlign w:val="center"/>
                </w:tcPr>
                <w:p w14:paraId="50D3A927">
                  <w:pPr>
                    <w:widowControl/>
                    <w:jc w:val="center"/>
                    <w:textAlignment w:val="center"/>
                    <w:rPr>
                      <w:color w:val="auto"/>
                      <w:kern w:val="0"/>
                      <w:szCs w:val="21"/>
                      <w:lang w:bidi="ar"/>
                    </w:rPr>
                  </w:pPr>
                </w:p>
              </w:tc>
              <w:tc>
                <w:tcPr>
                  <w:tcW w:w="595" w:type="pct"/>
                  <w:vAlign w:val="center"/>
                </w:tcPr>
                <w:p w14:paraId="630D2517">
                  <w:pPr>
                    <w:widowControl/>
                    <w:jc w:val="center"/>
                    <w:textAlignment w:val="center"/>
                    <w:rPr>
                      <w:color w:val="auto"/>
                      <w:szCs w:val="21"/>
                    </w:rPr>
                  </w:pPr>
                  <w:r>
                    <w:rPr>
                      <w:color w:val="auto"/>
                      <w:kern w:val="0"/>
                      <w:szCs w:val="21"/>
                      <w:lang w:bidi="ar"/>
                    </w:rPr>
                    <w:t>总磷</w:t>
                  </w:r>
                </w:p>
              </w:tc>
              <w:tc>
                <w:tcPr>
                  <w:tcW w:w="661" w:type="pct"/>
                  <w:vAlign w:val="center"/>
                </w:tcPr>
                <w:p w14:paraId="0A54E117">
                  <w:pPr>
                    <w:widowControl/>
                    <w:jc w:val="center"/>
                    <w:textAlignment w:val="center"/>
                    <w:rPr>
                      <w:color w:val="auto"/>
                      <w:szCs w:val="21"/>
                    </w:rPr>
                  </w:pPr>
                  <w:r>
                    <w:rPr>
                      <w:color w:val="auto"/>
                      <w:kern w:val="0"/>
                      <w:szCs w:val="21"/>
                      <w:lang w:bidi="ar"/>
                    </w:rPr>
                    <w:t>0.127</w:t>
                  </w:r>
                </w:p>
              </w:tc>
              <w:tc>
                <w:tcPr>
                  <w:tcW w:w="888" w:type="pct"/>
                  <w:vAlign w:val="center"/>
                </w:tcPr>
                <w:p w14:paraId="754BDAE3">
                  <w:pPr>
                    <w:widowControl/>
                    <w:jc w:val="center"/>
                    <w:textAlignment w:val="center"/>
                    <w:rPr>
                      <w:color w:val="auto"/>
                      <w:szCs w:val="21"/>
                    </w:rPr>
                  </w:pPr>
                  <w:r>
                    <w:rPr>
                      <w:color w:val="auto"/>
                      <w:kern w:val="0"/>
                      <w:szCs w:val="21"/>
                      <w:lang w:bidi="ar"/>
                    </w:rPr>
                    <w:t xml:space="preserve">98 </w:t>
                  </w:r>
                </w:p>
              </w:tc>
              <w:tc>
                <w:tcPr>
                  <w:tcW w:w="1290" w:type="pct"/>
                  <w:vMerge w:val="continue"/>
                  <w:vAlign w:val="center"/>
                </w:tcPr>
                <w:p w14:paraId="7A1924C2">
                  <w:pPr>
                    <w:widowControl/>
                    <w:jc w:val="center"/>
                    <w:textAlignment w:val="center"/>
                    <w:rPr>
                      <w:color w:val="auto"/>
                      <w:kern w:val="0"/>
                      <w:szCs w:val="21"/>
                      <w:lang w:bidi="ar"/>
                    </w:rPr>
                  </w:pPr>
                </w:p>
              </w:tc>
            </w:tr>
            <w:tr w14:paraId="7E155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vAlign w:val="center"/>
                </w:tcPr>
                <w:p w14:paraId="7DD4DC57">
                  <w:pPr>
                    <w:widowControl/>
                    <w:jc w:val="center"/>
                    <w:textAlignment w:val="center"/>
                    <w:rPr>
                      <w:color w:val="auto"/>
                      <w:kern w:val="0"/>
                      <w:szCs w:val="21"/>
                      <w:lang w:bidi="ar"/>
                    </w:rPr>
                  </w:pPr>
                </w:p>
              </w:tc>
              <w:tc>
                <w:tcPr>
                  <w:tcW w:w="828" w:type="pct"/>
                  <w:vMerge w:val="continue"/>
                  <w:vAlign w:val="center"/>
                </w:tcPr>
                <w:p w14:paraId="6A15E459">
                  <w:pPr>
                    <w:widowControl/>
                    <w:jc w:val="center"/>
                    <w:textAlignment w:val="center"/>
                    <w:rPr>
                      <w:color w:val="auto"/>
                      <w:kern w:val="0"/>
                      <w:szCs w:val="21"/>
                      <w:lang w:bidi="ar"/>
                    </w:rPr>
                  </w:pPr>
                </w:p>
              </w:tc>
              <w:tc>
                <w:tcPr>
                  <w:tcW w:w="595" w:type="pct"/>
                  <w:vAlign w:val="center"/>
                </w:tcPr>
                <w:p w14:paraId="64E61627">
                  <w:pPr>
                    <w:widowControl/>
                    <w:jc w:val="center"/>
                    <w:textAlignment w:val="center"/>
                    <w:rPr>
                      <w:color w:val="auto"/>
                      <w:szCs w:val="21"/>
                    </w:rPr>
                  </w:pPr>
                  <w:r>
                    <w:rPr>
                      <w:color w:val="auto"/>
                      <w:kern w:val="0"/>
                      <w:szCs w:val="21"/>
                      <w:lang w:bidi="ar"/>
                    </w:rPr>
                    <w:t>总氮</w:t>
                  </w:r>
                </w:p>
              </w:tc>
              <w:tc>
                <w:tcPr>
                  <w:tcW w:w="661" w:type="pct"/>
                  <w:vAlign w:val="center"/>
                </w:tcPr>
                <w:p w14:paraId="69ECBE9E">
                  <w:pPr>
                    <w:widowControl/>
                    <w:jc w:val="center"/>
                    <w:textAlignment w:val="center"/>
                    <w:rPr>
                      <w:color w:val="auto"/>
                      <w:szCs w:val="21"/>
                    </w:rPr>
                  </w:pPr>
                  <w:r>
                    <w:rPr>
                      <w:color w:val="auto"/>
                      <w:kern w:val="0"/>
                      <w:szCs w:val="21"/>
                      <w:lang w:bidi="ar"/>
                    </w:rPr>
                    <w:t>0.0153</w:t>
                  </w:r>
                </w:p>
              </w:tc>
              <w:tc>
                <w:tcPr>
                  <w:tcW w:w="888" w:type="pct"/>
                  <w:vAlign w:val="center"/>
                </w:tcPr>
                <w:p w14:paraId="3A59952E">
                  <w:pPr>
                    <w:widowControl/>
                    <w:jc w:val="center"/>
                    <w:textAlignment w:val="center"/>
                    <w:rPr>
                      <w:color w:val="auto"/>
                      <w:szCs w:val="21"/>
                    </w:rPr>
                  </w:pPr>
                  <w:r>
                    <w:rPr>
                      <w:color w:val="auto"/>
                      <w:kern w:val="0"/>
                      <w:szCs w:val="21"/>
                      <w:lang w:bidi="ar"/>
                    </w:rPr>
                    <w:t xml:space="preserve">12 </w:t>
                  </w:r>
                </w:p>
              </w:tc>
              <w:tc>
                <w:tcPr>
                  <w:tcW w:w="1290" w:type="pct"/>
                  <w:vMerge w:val="continue"/>
                  <w:vAlign w:val="center"/>
                </w:tcPr>
                <w:p w14:paraId="19BCE120">
                  <w:pPr>
                    <w:widowControl/>
                    <w:jc w:val="center"/>
                    <w:textAlignment w:val="center"/>
                    <w:rPr>
                      <w:color w:val="auto"/>
                      <w:kern w:val="0"/>
                      <w:szCs w:val="21"/>
                      <w:lang w:bidi="ar"/>
                    </w:rPr>
                  </w:pPr>
                </w:p>
              </w:tc>
            </w:tr>
            <w:tr w14:paraId="55E2B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vAlign w:val="center"/>
                </w:tcPr>
                <w:p w14:paraId="1324DB4A">
                  <w:pPr>
                    <w:widowControl/>
                    <w:jc w:val="center"/>
                    <w:textAlignment w:val="center"/>
                    <w:rPr>
                      <w:color w:val="auto"/>
                      <w:kern w:val="0"/>
                      <w:szCs w:val="21"/>
                      <w:lang w:bidi="ar"/>
                    </w:rPr>
                  </w:pPr>
                </w:p>
              </w:tc>
              <w:tc>
                <w:tcPr>
                  <w:tcW w:w="828" w:type="pct"/>
                  <w:vMerge w:val="continue"/>
                  <w:vAlign w:val="center"/>
                </w:tcPr>
                <w:p w14:paraId="07FD55C4">
                  <w:pPr>
                    <w:widowControl/>
                    <w:jc w:val="center"/>
                    <w:textAlignment w:val="center"/>
                    <w:rPr>
                      <w:color w:val="auto"/>
                      <w:kern w:val="0"/>
                      <w:szCs w:val="21"/>
                      <w:lang w:bidi="ar"/>
                    </w:rPr>
                  </w:pPr>
                </w:p>
              </w:tc>
              <w:tc>
                <w:tcPr>
                  <w:tcW w:w="595" w:type="pct"/>
                  <w:vAlign w:val="center"/>
                </w:tcPr>
                <w:p w14:paraId="1CCFF64E">
                  <w:pPr>
                    <w:widowControl/>
                    <w:jc w:val="center"/>
                    <w:textAlignment w:val="center"/>
                    <w:rPr>
                      <w:color w:val="auto"/>
                      <w:szCs w:val="21"/>
                    </w:rPr>
                  </w:pPr>
                  <w:r>
                    <w:rPr>
                      <w:color w:val="auto"/>
                      <w:kern w:val="0"/>
                      <w:szCs w:val="21"/>
                      <w:lang w:bidi="ar"/>
                    </w:rPr>
                    <w:t>石油类</w:t>
                  </w:r>
                </w:p>
              </w:tc>
              <w:tc>
                <w:tcPr>
                  <w:tcW w:w="661" w:type="pct"/>
                  <w:vAlign w:val="center"/>
                </w:tcPr>
                <w:p w14:paraId="7128C75B">
                  <w:pPr>
                    <w:widowControl/>
                    <w:jc w:val="center"/>
                    <w:textAlignment w:val="center"/>
                    <w:rPr>
                      <w:color w:val="auto"/>
                      <w:szCs w:val="21"/>
                    </w:rPr>
                  </w:pPr>
                  <w:r>
                    <w:rPr>
                      <w:color w:val="auto"/>
                      <w:kern w:val="0"/>
                      <w:szCs w:val="21"/>
                      <w:lang w:bidi="ar"/>
                    </w:rPr>
                    <w:t>0.0459</w:t>
                  </w:r>
                </w:p>
              </w:tc>
              <w:tc>
                <w:tcPr>
                  <w:tcW w:w="888" w:type="pct"/>
                  <w:vAlign w:val="center"/>
                </w:tcPr>
                <w:p w14:paraId="4474D0AA">
                  <w:pPr>
                    <w:widowControl/>
                    <w:jc w:val="center"/>
                    <w:textAlignment w:val="center"/>
                    <w:rPr>
                      <w:color w:val="auto"/>
                      <w:szCs w:val="21"/>
                    </w:rPr>
                  </w:pPr>
                  <w:r>
                    <w:rPr>
                      <w:color w:val="auto"/>
                      <w:kern w:val="0"/>
                      <w:szCs w:val="21"/>
                      <w:lang w:bidi="ar"/>
                    </w:rPr>
                    <w:t xml:space="preserve">35 </w:t>
                  </w:r>
                </w:p>
              </w:tc>
              <w:tc>
                <w:tcPr>
                  <w:tcW w:w="1290" w:type="pct"/>
                  <w:vMerge w:val="continue"/>
                  <w:vAlign w:val="center"/>
                </w:tcPr>
                <w:p w14:paraId="5075E518">
                  <w:pPr>
                    <w:widowControl/>
                    <w:jc w:val="center"/>
                    <w:textAlignment w:val="center"/>
                    <w:rPr>
                      <w:color w:val="auto"/>
                      <w:kern w:val="0"/>
                      <w:szCs w:val="21"/>
                      <w:lang w:bidi="ar"/>
                    </w:rPr>
                  </w:pPr>
                </w:p>
              </w:tc>
            </w:tr>
            <w:tr w14:paraId="0EAAF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restart"/>
                  <w:vAlign w:val="center"/>
                </w:tcPr>
                <w:p w14:paraId="75137AD0">
                  <w:pPr>
                    <w:widowControl/>
                    <w:jc w:val="center"/>
                    <w:textAlignment w:val="center"/>
                    <w:rPr>
                      <w:color w:val="auto"/>
                      <w:kern w:val="0"/>
                      <w:szCs w:val="21"/>
                      <w:lang w:bidi="ar"/>
                    </w:rPr>
                  </w:pPr>
                  <w:r>
                    <w:rPr>
                      <w:rFonts w:hint="eastAsia"/>
                      <w:color w:val="auto"/>
                      <w:kern w:val="0"/>
                      <w:szCs w:val="21"/>
                      <w:lang w:bidi="ar"/>
                    </w:rPr>
                    <w:t>合计</w:t>
                  </w:r>
                </w:p>
              </w:tc>
              <w:tc>
                <w:tcPr>
                  <w:tcW w:w="828" w:type="pct"/>
                  <w:vMerge w:val="restart"/>
                  <w:vAlign w:val="center"/>
                </w:tcPr>
                <w:p w14:paraId="075B79A6">
                  <w:pPr>
                    <w:widowControl/>
                    <w:jc w:val="center"/>
                    <w:textAlignment w:val="center"/>
                    <w:rPr>
                      <w:color w:val="auto"/>
                      <w:kern w:val="0"/>
                      <w:szCs w:val="21"/>
                      <w:lang w:bidi="ar"/>
                    </w:rPr>
                  </w:pPr>
                  <w:r>
                    <w:rPr>
                      <w:rFonts w:hint="eastAsia"/>
                      <w:color w:val="auto"/>
                      <w:kern w:val="0"/>
                      <w:szCs w:val="21"/>
                      <w:lang w:bidi="ar"/>
                    </w:rPr>
                    <w:t>1336.51</w:t>
                  </w:r>
                </w:p>
              </w:tc>
              <w:tc>
                <w:tcPr>
                  <w:tcW w:w="595" w:type="pct"/>
                  <w:vAlign w:val="center"/>
                </w:tcPr>
                <w:p w14:paraId="5B5680FD">
                  <w:pPr>
                    <w:widowControl/>
                    <w:jc w:val="center"/>
                    <w:textAlignment w:val="center"/>
                    <w:rPr>
                      <w:color w:val="auto"/>
                      <w:szCs w:val="21"/>
                    </w:rPr>
                  </w:pPr>
                  <w:r>
                    <w:rPr>
                      <w:color w:val="auto"/>
                      <w:kern w:val="0"/>
                      <w:szCs w:val="21"/>
                      <w:lang w:bidi="ar"/>
                    </w:rPr>
                    <w:t>COD</w:t>
                  </w:r>
                  <w:r>
                    <w:rPr>
                      <w:rFonts w:hint="eastAsia"/>
                      <w:color w:val="auto"/>
                      <w:kern w:val="0"/>
                      <w:szCs w:val="21"/>
                      <w:vertAlign w:val="subscript"/>
                      <w:lang w:bidi="ar"/>
                    </w:rPr>
                    <w:t>C</w:t>
                  </w:r>
                  <w:r>
                    <w:rPr>
                      <w:color w:val="auto"/>
                      <w:kern w:val="0"/>
                      <w:szCs w:val="21"/>
                      <w:vertAlign w:val="subscript"/>
                      <w:lang w:bidi="ar"/>
                    </w:rPr>
                    <w:t>r</w:t>
                  </w:r>
                </w:p>
              </w:tc>
              <w:tc>
                <w:tcPr>
                  <w:tcW w:w="661" w:type="pct"/>
                  <w:vAlign w:val="center"/>
                </w:tcPr>
                <w:p w14:paraId="209F3FC8">
                  <w:pPr>
                    <w:widowControl/>
                    <w:jc w:val="center"/>
                    <w:textAlignment w:val="center"/>
                    <w:rPr>
                      <w:color w:val="auto"/>
                      <w:kern w:val="0"/>
                      <w:szCs w:val="21"/>
                      <w:lang w:bidi="ar"/>
                    </w:rPr>
                  </w:pPr>
                  <w:r>
                    <w:rPr>
                      <w:color w:val="auto"/>
                      <w:kern w:val="0"/>
                      <w:szCs w:val="21"/>
                      <w:lang w:bidi="ar"/>
                    </w:rPr>
                    <w:t>0.8066</w:t>
                  </w:r>
                </w:p>
              </w:tc>
              <w:tc>
                <w:tcPr>
                  <w:tcW w:w="888" w:type="pct"/>
                  <w:vAlign w:val="center"/>
                </w:tcPr>
                <w:p w14:paraId="185E9547">
                  <w:pPr>
                    <w:widowControl/>
                    <w:jc w:val="center"/>
                    <w:textAlignment w:val="center"/>
                    <w:rPr>
                      <w:color w:val="auto"/>
                      <w:kern w:val="0"/>
                      <w:szCs w:val="21"/>
                      <w:lang w:bidi="ar"/>
                    </w:rPr>
                  </w:pPr>
                  <w:r>
                    <w:rPr>
                      <w:color w:val="auto"/>
                      <w:kern w:val="0"/>
                      <w:szCs w:val="21"/>
                      <w:lang w:bidi="ar"/>
                    </w:rPr>
                    <w:t xml:space="preserve">604 </w:t>
                  </w:r>
                </w:p>
              </w:tc>
              <w:tc>
                <w:tcPr>
                  <w:tcW w:w="1290" w:type="pct"/>
                  <w:vMerge w:val="continue"/>
                  <w:vAlign w:val="center"/>
                </w:tcPr>
                <w:p w14:paraId="7F91926A">
                  <w:pPr>
                    <w:widowControl/>
                    <w:jc w:val="center"/>
                    <w:textAlignment w:val="center"/>
                    <w:rPr>
                      <w:color w:val="auto"/>
                      <w:kern w:val="0"/>
                      <w:szCs w:val="21"/>
                      <w:lang w:bidi="ar"/>
                    </w:rPr>
                  </w:pPr>
                </w:p>
              </w:tc>
            </w:tr>
            <w:tr w14:paraId="42B8A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tcPr>
                <w:p w14:paraId="4F5047F7">
                  <w:pPr>
                    <w:widowControl/>
                    <w:jc w:val="center"/>
                    <w:textAlignment w:val="center"/>
                    <w:rPr>
                      <w:color w:val="auto"/>
                      <w:kern w:val="0"/>
                      <w:szCs w:val="21"/>
                      <w:lang w:bidi="ar"/>
                    </w:rPr>
                  </w:pPr>
                </w:p>
              </w:tc>
              <w:tc>
                <w:tcPr>
                  <w:tcW w:w="828" w:type="pct"/>
                  <w:vMerge w:val="continue"/>
                </w:tcPr>
                <w:p w14:paraId="55E5B395">
                  <w:pPr>
                    <w:widowControl/>
                    <w:jc w:val="center"/>
                    <w:textAlignment w:val="center"/>
                    <w:rPr>
                      <w:color w:val="auto"/>
                      <w:kern w:val="0"/>
                      <w:szCs w:val="21"/>
                      <w:lang w:bidi="ar"/>
                    </w:rPr>
                  </w:pPr>
                </w:p>
              </w:tc>
              <w:tc>
                <w:tcPr>
                  <w:tcW w:w="595" w:type="pct"/>
                  <w:vAlign w:val="center"/>
                </w:tcPr>
                <w:p w14:paraId="682747B3">
                  <w:pPr>
                    <w:widowControl/>
                    <w:jc w:val="center"/>
                    <w:textAlignment w:val="center"/>
                    <w:rPr>
                      <w:color w:val="auto"/>
                      <w:szCs w:val="21"/>
                    </w:rPr>
                  </w:pPr>
                  <w:r>
                    <w:rPr>
                      <w:color w:val="auto"/>
                      <w:kern w:val="0"/>
                      <w:szCs w:val="21"/>
                      <w:lang w:bidi="ar"/>
                    </w:rPr>
                    <w:t>总磷</w:t>
                  </w:r>
                </w:p>
              </w:tc>
              <w:tc>
                <w:tcPr>
                  <w:tcW w:w="661" w:type="pct"/>
                  <w:vAlign w:val="center"/>
                </w:tcPr>
                <w:p w14:paraId="45F67F6F">
                  <w:pPr>
                    <w:widowControl/>
                    <w:jc w:val="center"/>
                    <w:textAlignment w:val="center"/>
                    <w:rPr>
                      <w:color w:val="auto"/>
                      <w:kern w:val="0"/>
                      <w:szCs w:val="21"/>
                      <w:lang w:bidi="ar"/>
                    </w:rPr>
                  </w:pPr>
                  <w:r>
                    <w:rPr>
                      <w:color w:val="auto"/>
                      <w:kern w:val="0"/>
                      <w:szCs w:val="21"/>
                      <w:lang w:bidi="ar"/>
                    </w:rPr>
                    <w:t>0.1291</w:t>
                  </w:r>
                </w:p>
              </w:tc>
              <w:tc>
                <w:tcPr>
                  <w:tcW w:w="888" w:type="pct"/>
                  <w:vAlign w:val="center"/>
                </w:tcPr>
                <w:p w14:paraId="1C83A443">
                  <w:pPr>
                    <w:widowControl/>
                    <w:jc w:val="center"/>
                    <w:textAlignment w:val="center"/>
                    <w:rPr>
                      <w:color w:val="auto"/>
                      <w:kern w:val="0"/>
                      <w:szCs w:val="21"/>
                      <w:lang w:bidi="ar"/>
                    </w:rPr>
                  </w:pPr>
                  <w:r>
                    <w:rPr>
                      <w:color w:val="auto"/>
                      <w:kern w:val="0"/>
                      <w:szCs w:val="21"/>
                      <w:lang w:bidi="ar"/>
                    </w:rPr>
                    <w:t xml:space="preserve">97 </w:t>
                  </w:r>
                </w:p>
              </w:tc>
              <w:tc>
                <w:tcPr>
                  <w:tcW w:w="1290" w:type="pct"/>
                  <w:vMerge w:val="continue"/>
                </w:tcPr>
                <w:p w14:paraId="01415724">
                  <w:pPr>
                    <w:widowControl/>
                    <w:jc w:val="center"/>
                    <w:textAlignment w:val="center"/>
                    <w:rPr>
                      <w:color w:val="auto"/>
                      <w:kern w:val="0"/>
                      <w:szCs w:val="21"/>
                      <w:lang w:bidi="ar"/>
                    </w:rPr>
                  </w:pPr>
                </w:p>
              </w:tc>
            </w:tr>
            <w:tr w14:paraId="1E6B8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tcPr>
                <w:p w14:paraId="40FB7536">
                  <w:pPr>
                    <w:widowControl/>
                    <w:jc w:val="center"/>
                    <w:textAlignment w:val="center"/>
                    <w:rPr>
                      <w:color w:val="auto"/>
                      <w:kern w:val="0"/>
                      <w:szCs w:val="21"/>
                      <w:lang w:bidi="ar"/>
                    </w:rPr>
                  </w:pPr>
                </w:p>
              </w:tc>
              <w:tc>
                <w:tcPr>
                  <w:tcW w:w="828" w:type="pct"/>
                  <w:vMerge w:val="continue"/>
                </w:tcPr>
                <w:p w14:paraId="09CC668C">
                  <w:pPr>
                    <w:widowControl/>
                    <w:jc w:val="center"/>
                    <w:textAlignment w:val="center"/>
                    <w:rPr>
                      <w:color w:val="auto"/>
                      <w:kern w:val="0"/>
                      <w:szCs w:val="21"/>
                      <w:lang w:bidi="ar"/>
                    </w:rPr>
                  </w:pPr>
                </w:p>
              </w:tc>
              <w:tc>
                <w:tcPr>
                  <w:tcW w:w="595" w:type="pct"/>
                  <w:vAlign w:val="center"/>
                </w:tcPr>
                <w:p w14:paraId="0186B8BE">
                  <w:pPr>
                    <w:widowControl/>
                    <w:jc w:val="center"/>
                    <w:textAlignment w:val="center"/>
                    <w:rPr>
                      <w:color w:val="auto"/>
                      <w:szCs w:val="21"/>
                    </w:rPr>
                  </w:pPr>
                  <w:r>
                    <w:rPr>
                      <w:color w:val="auto"/>
                      <w:kern w:val="0"/>
                      <w:szCs w:val="21"/>
                      <w:lang w:bidi="ar"/>
                    </w:rPr>
                    <w:t>总氮</w:t>
                  </w:r>
                </w:p>
              </w:tc>
              <w:tc>
                <w:tcPr>
                  <w:tcW w:w="661" w:type="pct"/>
                  <w:vAlign w:val="center"/>
                </w:tcPr>
                <w:p w14:paraId="286A0720">
                  <w:pPr>
                    <w:widowControl/>
                    <w:jc w:val="center"/>
                    <w:textAlignment w:val="center"/>
                    <w:rPr>
                      <w:color w:val="auto"/>
                      <w:kern w:val="0"/>
                      <w:szCs w:val="21"/>
                      <w:lang w:bidi="ar"/>
                    </w:rPr>
                  </w:pPr>
                  <w:r>
                    <w:rPr>
                      <w:color w:val="auto"/>
                      <w:kern w:val="0"/>
                      <w:szCs w:val="21"/>
                      <w:lang w:bidi="ar"/>
                    </w:rPr>
                    <w:t>0.0153</w:t>
                  </w:r>
                </w:p>
              </w:tc>
              <w:tc>
                <w:tcPr>
                  <w:tcW w:w="888" w:type="pct"/>
                  <w:vAlign w:val="center"/>
                </w:tcPr>
                <w:p w14:paraId="06A00FA7">
                  <w:pPr>
                    <w:widowControl/>
                    <w:jc w:val="center"/>
                    <w:textAlignment w:val="center"/>
                    <w:rPr>
                      <w:color w:val="auto"/>
                      <w:kern w:val="0"/>
                      <w:szCs w:val="21"/>
                      <w:lang w:bidi="ar"/>
                    </w:rPr>
                  </w:pPr>
                  <w:r>
                    <w:rPr>
                      <w:color w:val="auto"/>
                      <w:kern w:val="0"/>
                      <w:szCs w:val="21"/>
                      <w:lang w:bidi="ar"/>
                    </w:rPr>
                    <w:t xml:space="preserve">11 </w:t>
                  </w:r>
                </w:p>
              </w:tc>
              <w:tc>
                <w:tcPr>
                  <w:tcW w:w="1290" w:type="pct"/>
                  <w:vMerge w:val="continue"/>
                </w:tcPr>
                <w:p w14:paraId="45851B0C">
                  <w:pPr>
                    <w:widowControl/>
                    <w:jc w:val="center"/>
                    <w:textAlignment w:val="center"/>
                    <w:rPr>
                      <w:color w:val="auto"/>
                      <w:kern w:val="0"/>
                      <w:szCs w:val="21"/>
                      <w:lang w:bidi="ar"/>
                    </w:rPr>
                  </w:pPr>
                </w:p>
              </w:tc>
            </w:tr>
            <w:tr w14:paraId="73A7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tcPr>
                <w:p w14:paraId="1DE76B5F">
                  <w:pPr>
                    <w:widowControl/>
                    <w:jc w:val="center"/>
                    <w:textAlignment w:val="center"/>
                    <w:rPr>
                      <w:color w:val="auto"/>
                      <w:kern w:val="0"/>
                      <w:szCs w:val="21"/>
                      <w:lang w:bidi="ar"/>
                    </w:rPr>
                  </w:pPr>
                </w:p>
              </w:tc>
              <w:tc>
                <w:tcPr>
                  <w:tcW w:w="828" w:type="pct"/>
                  <w:vMerge w:val="continue"/>
                </w:tcPr>
                <w:p w14:paraId="520ECC4A">
                  <w:pPr>
                    <w:widowControl/>
                    <w:jc w:val="center"/>
                    <w:textAlignment w:val="center"/>
                    <w:rPr>
                      <w:color w:val="auto"/>
                      <w:kern w:val="0"/>
                      <w:szCs w:val="21"/>
                      <w:lang w:bidi="ar"/>
                    </w:rPr>
                  </w:pPr>
                </w:p>
              </w:tc>
              <w:tc>
                <w:tcPr>
                  <w:tcW w:w="595" w:type="pct"/>
                  <w:vAlign w:val="center"/>
                </w:tcPr>
                <w:p w14:paraId="1CC0163D">
                  <w:pPr>
                    <w:widowControl/>
                    <w:jc w:val="center"/>
                    <w:textAlignment w:val="center"/>
                    <w:rPr>
                      <w:color w:val="auto"/>
                      <w:szCs w:val="21"/>
                    </w:rPr>
                  </w:pPr>
                  <w:r>
                    <w:rPr>
                      <w:color w:val="auto"/>
                      <w:kern w:val="0"/>
                      <w:szCs w:val="21"/>
                      <w:lang w:bidi="ar"/>
                    </w:rPr>
                    <w:t>石油类</w:t>
                  </w:r>
                </w:p>
              </w:tc>
              <w:tc>
                <w:tcPr>
                  <w:tcW w:w="661" w:type="pct"/>
                  <w:vAlign w:val="center"/>
                </w:tcPr>
                <w:p w14:paraId="1021F675">
                  <w:pPr>
                    <w:widowControl/>
                    <w:jc w:val="center"/>
                    <w:textAlignment w:val="center"/>
                    <w:rPr>
                      <w:color w:val="auto"/>
                      <w:kern w:val="0"/>
                      <w:szCs w:val="21"/>
                      <w:lang w:bidi="ar"/>
                    </w:rPr>
                  </w:pPr>
                  <w:r>
                    <w:rPr>
                      <w:color w:val="auto"/>
                      <w:kern w:val="0"/>
                      <w:szCs w:val="21"/>
                      <w:lang w:bidi="ar"/>
                    </w:rPr>
                    <w:t>0.0683</w:t>
                  </w:r>
                </w:p>
              </w:tc>
              <w:tc>
                <w:tcPr>
                  <w:tcW w:w="888" w:type="pct"/>
                  <w:vAlign w:val="center"/>
                </w:tcPr>
                <w:p w14:paraId="01F8A73F">
                  <w:pPr>
                    <w:widowControl/>
                    <w:jc w:val="center"/>
                    <w:textAlignment w:val="center"/>
                    <w:rPr>
                      <w:color w:val="auto"/>
                      <w:kern w:val="0"/>
                      <w:szCs w:val="21"/>
                      <w:lang w:bidi="ar"/>
                    </w:rPr>
                  </w:pPr>
                  <w:r>
                    <w:rPr>
                      <w:color w:val="auto"/>
                      <w:kern w:val="0"/>
                      <w:szCs w:val="21"/>
                      <w:lang w:bidi="ar"/>
                    </w:rPr>
                    <w:t xml:space="preserve">51 </w:t>
                  </w:r>
                </w:p>
              </w:tc>
              <w:tc>
                <w:tcPr>
                  <w:tcW w:w="1290" w:type="pct"/>
                  <w:vMerge w:val="continue"/>
                </w:tcPr>
                <w:p w14:paraId="3B34CCF7">
                  <w:pPr>
                    <w:widowControl/>
                    <w:jc w:val="center"/>
                    <w:textAlignment w:val="center"/>
                    <w:rPr>
                      <w:color w:val="auto"/>
                      <w:kern w:val="0"/>
                      <w:szCs w:val="21"/>
                      <w:lang w:bidi="ar"/>
                    </w:rPr>
                  </w:pPr>
                </w:p>
              </w:tc>
            </w:tr>
            <w:tr w14:paraId="412B9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7" w:type="pct"/>
                  <w:vMerge w:val="continue"/>
                </w:tcPr>
                <w:p w14:paraId="3D6E6557">
                  <w:pPr>
                    <w:widowControl/>
                    <w:jc w:val="center"/>
                    <w:textAlignment w:val="center"/>
                    <w:rPr>
                      <w:color w:val="auto"/>
                      <w:kern w:val="0"/>
                      <w:szCs w:val="21"/>
                      <w:lang w:bidi="ar"/>
                    </w:rPr>
                  </w:pPr>
                </w:p>
              </w:tc>
              <w:tc>
                <w:tcPr>
                  <w:tcW w:w="828" w:type="pct"/>
                  <w:vMerge w:val="continue"/>
                </w:tcPr>
                <w:p w14:paraId="64CB17B1">
                  <w:pPr>
                    <w:widowControl/>
                    <w:jc w:val="center"/>
                    <w:textAlignment w:val="center"/>
                    <w:rPr>
                      <w:color w:val="auto"/>
                      <w:kern w:val="0"/>
                      <w:szCs w:val="21"/>
                      <w:lang w:bidi="ar"/>
                    </w:rPr>
                  </w:pPr>
                </w:p>
              </w:tc>
              <w:tc>
                <w:tcPr>
                  <w:tcW w:w="595" w:type="pct"/>
                  <w:shd w:val="clear" w:color="auto" w:fill="auto"/>
                  <w:vAlign w:val="center"/>
                </w:tcPr>
                <w:p w14:paraId="3D6AA1AD">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总铁</w:t>
                  </w:r>
                </w:p>
              </w:tc>
              <w:tc>
                <w:tcPr>
                  <w:tcW w:w="661" w:type="pct"/>
                  <w:shd w:val="clear" w:color="auto" w:fill="auto"/>
                  <w:vAlign w:val="center"/>
                </w:tcPr>
                <w:p w14:paraId="1C4FA280">
                  <w:pPr>
                    <w:widowControl/>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0.141</w:t>
                  </w:r>
                </w:p>
              </w:tc>
              <w:tc>
                <w:tcPr>
                  <w:tcW w:w="888" w:type="pct"/>
                  <w:shd w:val="clear" w:color="auto" w:fill="auto"/>
                  <w:vAlign w:val="center"/>
                </w:tcPr>
                <w:p w14:paraId="462BE7EB">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106</w:t>
                  </w:r>
                </w:p>
              </w:tc>
              <w:tc>
                <w:tcPr>
                  <w:tcW w:w="1290" w:type="pct"/>
                  <w:vMerge w:val="continue"/>
                </w:tcPr>
                <w:p w14:paraId="5E91F0B6">
                  <w:pPr>
                    <w:widowControl/>
                    <w:jc w:val="center"/>
                    <w:textAlignment w:val="center"/>
                    <w:rPr>
                      <w:color w:val="auto"/>
                      <w:kern w:val="0"/>
                      <w:szCs w:val="21"/>
                      <w:lang w:bidi="ar"/>
                    </w:rPr>
                  </w:pPr>
                </w:p>
              </w:tc>
            </w:tr>
          </w:tbl>
          <w:p w14:paraId="2BEBC318">
            <w:pPr>
              <w:rPr>
                <w:color w:val="auto"/>
              </w:rPr>
            </w:pPr>
          </w:p>
          <w:p w14:paraId="1FC5623A">
            <w:pPr>
              <w:pStyle w:val="43"/>
              <w:ind w:firstLine="482"/>
              <w:rPr>
                <w:b/>
                <w:bCs/>
                <w:color w:val="auto"/>
              </w:rPr>
            </w:pPr>
            <w:r>
              <w:rPr>
                <w:rFonts w:hint="eastAsia"/>
                <w:b/>
                <w:bCs/>
                <w:color w:val="auto"/>
              </w:rPr>
              <w:t>③本项目生产废水水质</w:t>
            </w:r>
          </w:p>
          <w:p w14:paraId="7256153F">
            <w:pPr>
              <w:pStyle w:val="43"/>
              <w:rPr>
                <w:color w:val="auto"/>
              </w:rPr>
            </w:pPr>
            <w:r>
              <w:rPr>
                <w:rFonts w:hint="eastAsia"/>
                <w:color w:val="auto"/>
              </w:rPr>
              <w:t>通过前处理线废水类比分析与系数法分析，项目前处理线废水水质COD、总磷、总氮、石油类、总铁选取系数法核算结果，其余指标取类比废水监测浓度的最大值；反冲洗废水水质参考</w:t>
            </w:r>
            <w:r>
              <w:rPr>
                <w:color w:val="auto"/>
                <w:kern w:val="0"/>
                <w:szCs w:val="21"/>
                <w:lang w:bidi="ar"/>
              </w:rPr>
              <w:t>《混凝-膜滤法处理反冲洗废水的研究》和《BAF反冲洗过程中悬浮物浓度的变化规律》</w:t>
            </w:r>
            <w:r>
              <w:rPr>
                <w:rFonts w:hint="eastAsia"/>
                <w:color w:val="auto"/>
                <w:kern w:val="0"/>
                <w:szCs w:val="21"/>
                <w:lang w:bidi="ar"/>
              </w:rPr>
              <w:t>：</w:t>
            </w:r>
            <w:r>
              <w:rPr>
                <w:color w:val="auto"/>
                <w:kern w:val="0"/>
                <w:szCs w:val="21"/>
                <w:lang w:bidi="ar"/>
              </w:rPr>
              <w:t>反冲洗水水质情况：COD 42.8~101mg/L，悬浮物165mg/L</w:t>
            </w:r>
            <w:r>
              <w:rPr>
                <w:rFonts w:hint="eastAsia"/>
                <w:color w:val="auto"/>
                <w:kern w:val="0"/>
                <w:szCs w:val="21"/>
                <w:lang w:bidi="ar"/>
              </w:rPr>
              <w:t>；喷淋柜废水、喷淋塔废水水质参考《汽车涂装废水处理技术及工程实例》（吕开雷，&lt;工业用水与废水&gt;）中喷漆废水水质数据：COD3000mg/L，SS500mg/L</w:t>
            </w:r>
            <w:r>
              <w:rPr>
                <w:rFonts w:hint="eastAsia"/>
                <w:color w:val="auto"/>
              </w:rPr>
              <w:t>。具体见下表：</w:t>
            </w:r>
          </w:p>
          <w:p w14:paraId="6B7A0B58">
            <w:pPr>
              <w:pStyle w:val="77"/>
              <w:numPr>
                <w:ilvl w:val="0"/>
                <w:numId w:val="18"/>
              </w:numPr>
              <w:adjustRightInd w:val="0"/>
              <w:snapToGrid w:val="0"/>
              <w:jc w:val="center"/>
              <w:rPr>
                <w:b/>
                <w:color w:val="auto"/>
                <w:spacing w:val="1"/>
                <w:szCs w:val="21"/>
              </w:rPr>
            </w:pPr>
            <w:r>
              <w:rPr>
                <w:b/>
                <w:color w:val="auto"/>
                <w:spacing w:val="1"/>
                <w:szCs w:val="21"/>
              </w:rPr>
              <w:t>项目生产废水水质表 单位：mg/L</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942"/>
              <w:gridCol w:w="1007"/>
              <w:gridCol w:w="855"/>
              <w:gridCol w:w="980"/>
              <w:gridCol w:w="833"/>
              <w:gridCol w:w="966"/>
              <w:gridCol w:w="832"/>
              <w:gridCol w:w="985"/>
              <w:gridCol w:w="825"/>
              <w:gridCol w:w="1126"/>
            </w:tblGrid>
            <w:tr w14:paraId="7100F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Merge w:val="restart"/>
                  <w:vAlign w:val="center"/>
                </w:tcPr>
                <w:p w14:paraId="441219BE">
                  <w:pPr>
                    <w:widowControl/>
                    <w:jc w:val="center"/>
                    <w:textAlignment w:val="center"/>
                    <w:rPr>
                      <w:b/>
                      <w:bCs/>
                      <w:color w:val="auto"/>
                      <w:szCs w:val="21"/>
                    </w:rPr>
                  </w:pPr>
                  <w:r>
                    <w:rPr>
                      <w:b/>
                      <w:bCs/>
                      <w:color w:val="auto"/>
                      <w:kern w:val="0"/>
                      <w:szCs w:val="21"/>
                      <w:lang w:bidi="ar"/>
                    </w:rPr>
                    <w:t>项目</w:t>
                  </w:r>
                </w:p>
              </w:tc>
              <w:tc>
                <w:tcPr>
                  <w:tcW w:w="939" w:type="pct"/>
                  <w:gridSpan w:val="2"/>
                  <w:noWrap/>
                  <w:vAlign w:val="center"/>
                </w:tcPr>
                <w:p w14:paraId="057261B9">
                  <w:pPr>
                    <w:widowControl/>
                    <w:jc w:val="center"/>
                    <w:textAlignment w:val="center"/>
                    <w:rPr>
                      <w:color w:val="auto"/>
                      <w:kern w:val="0"/>
                      <w:szCs w:val="21"/>
                      <w:lang w:bidi="ar"/>
                    </w:rPr>
                  </w:pPr>
                  <w:r>
                    <w:rPr>
                      <w:rFonts w:hint="eastAsia"/>
                      <w:b/>
                      <w:bCs/>
                      <w:color w:val="auto"/>
                      <w:kern w:val="0"/>
                      <w:szCs w:val="21"/>
                      <w:lang w:bidi="ar"/>
                    </w:rPr>
                    <w:t>前处理</w:t>
                  </w:r>
                  <w:r>
                    <w:rPr>
                      <w:b/>
                      <w:bCs/>
                      <w:color w:val="auto"/>
                      <w:kern w:val="0"/>
                      <w:szCs w:val="21"/>
                      <w:lang w:bidi="ar"/>
                    </w:rPr>
                    <w:t>废水</w:t>
                  </w:r>
                </w:p>
              </w:tc>
              <w:tc>
                <w:tcPr>
                  <w:tcW w:w="884" w:type="pct"/>
                  <w:gridSpan w:val="2"/>
                  <w:noWrap/>
                  <w:vAlign w:val="center"/>
                </w:tcPr>
                <w:p w14:paraId="101BA591">
                  <w:pPr>
                    <w:widowControl/>
                    <w:jc w:val="center"/>
                    <w:textAlignment w:val="center"/>
                    <w:rPr>
                      <w:b/>
                      <w:bCs/>
                      <w:color w:val="auto"/>
                      <w:kern w:val="0"/>
                      <w:szCs w:val="21"/>
                      <w:lang w:bidi="ar"/>
                    </w:rPr>
                  </w:pPr>
                  <w:r>
                    <w:rPr>
                      <w:rFonts w:hint="eastAsia"/>
                      <w:b/>
                      <w:bCs/>
                      <w:color w:val="auto"/>
                      <w:kern w:val="0"/>
                      <w:szCs w:val="21"/>
                      <w:lang w:bidi="ar"/>
                    </w:rPr>
                    <w:t>喷淋柜废水</w:t>
                  </w:r>
                </w:p>
              </w:tc>
              <w:tc>
                <w:tcPr>
                  <w:tcW w:w="867" w:type="pct"/>
                  <w:gridSpan w:val="2"/>
                  <w:noWrap/>
                  <w:vAlign w:val="center"/>
                </w:tcPr>
                <w:p w14:paraId="0FAB575D">
                  <w:pPr>
                    <w:widowControl/>
                    <w:jc w:val="center"/>
                    <w:textAlignment w:val="center"/>
                    <w:rPr>
                      <w:b/>
                      <w:bCs/>
                      <w:color w:val="auto"/>
                      <w:kern w:val="0"/>
                      <w:szCs w:val="21"/>
                      <w:lang w:bidi="ar"/>
                    </w:rPr>
                  </w:pPr>
                  <w:r>
                    <w:rPr>
                      <w:rFonts w:hint="eastAsia"/>
                      <w:b/>
                      <w:bCs/>
                      <w:color w:val="auto"/>
                      <w:kern w:val="0"/>
                      <w:szCs w:val="21"/>
                      <w:lang w:bidi="ar"/>
                    </w:rPr>
                    <w:t>喷淋塔废水</w:t>
                  </w:r>
                </w:p>
              </w:tc>
              <w:tc>
                <w:tcPr>
                  <w:tcW w:w="876" w:type="pct"/>
                  <w:gridSpan w:val="2"/>
                  <w:noWrap/>
                  <w:vAlign w:val="center"/>
                </w:tcPr>
                <w:p w14:paraId="3B433A4A">
                  <w:pPr>
                    <w:widowControl/>
                    <w:jc w:val="center"/>
                    <w:textAlignment w:val="center"/>
                    <w:rPr>
                      <w:b/>
                      <w:bCs/>
                      <w:color w:val="auto"/>
                      <w:kern w:val="0"/>
                      <w:szCs w:val="21"/>
                      <w:lang w:bidi="ar"/>
                    </w:rPr>
                  </w:pPr>
                  <w:r>
                    <w:rPr>
                      <w:rFonts w:hint="eastAsia"/>
                      <w:b/>
                      <w:bCs/>
                      <w:color w:val="auto"/>
                      <w:kern w:val="0"/>
                      <w:szCs w:val="21"/>
                      <w:lang w:bidi="ar"/>
                    </w:rPr>
                    <w:t>反冲洗废水</w:t>
                  </w:r>
                </w:p>
              </w:tc>
              <w:tc>
                <w:tcPr>
                  <w:tcW w:w="940" w:type="pct"/>
                  <w:gridSpan w:val="2"/>
                  <w:noWrap/>
                  <w:vAlign w:val="center"/>
                </w:tcPr>
                <w:p w14:paraId="1D2008DE">
                  <w:pPr>
                    <w:widowControl/>
                    <w:jc w:val="center"/>
                    <w:textAlignment w:val="center"/>
                    <w:rPr>
                      <w:b/>
                      <w:bCs/>
                      <w:color w:val="auto"/>
                      <w:kern w:val="0"/>
                      <w:szCs w:val="21"/>
                      <w:lang w:bidi="ar"/>
                    </w:rPr>
                  </w:pPr>
                  <w:r>
                    <w:rPr>
                      <w:rFonts w:hint="eastAsia"/>
                      <w:b/>
                      <w:bCs/>
                      <w:color w:val="auto"/>
                      <w:kern w:val="0"/>
                      <w:szCs w:val="21"/>
                      <w:lang w:bidi="ar"/>
                    </w:rPr>
                    <w:t>生产废水水质</w:t>
                  </w:r>
                </w:p>
              </w:tc>
            </w:tr>
            <w:tr w14:paraId="615FD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Merge w:val="continue"/>
                  <w:vAlign w:val="center"/>
                </w:tcPr>
                <w:p w14:paraId="4D8E3029">
                  <w:pPr>
                    <w:widowControl/>
                    <w:jc w:val="center"/>
                    <w:textAlignment w:val="center"/>
                    <w:rPr>
                      <w:b/>
                      <w:bCs/>
                      <w:color w:val="auto"/>
                      <w:kern w:val="0"/>
                      <w:szCs w:val="21"/>
                      <w:lang w:bidi="ar"/>
                    </w:rPr>
                  </w:pPr>
                </w:p>
              </w:tc>
              <w:tc>
                <w:tcPr>
                  <w:tcW w:w="454" w:type="pct"/>
                  <w:noWrap/>
                  <w:vAlign w:val="center"/>
                </w:tcPr>
                <w:p w14:paraId="62DA81EA">
                  <w:pPr>
                    <w:widowControl/>
                    <w:jc w:val="center"/>
                    <w:textAlignment w:val="center"/>
                    <w:rPr>
                      <w:b/>
                      <w:bCs/>
                      <w:color w:val="auto"/>
                      <w:kern w:val="0"/>
                      <w:szCs w:val="21"/>
                      <w:lang w:bidi="ar"/>
                    </w:rPr>
                  </w:pPr>
                  <w:r>
                    <w:rPr>
                      <w:rFonts w:hint="eastAsia"/>
                      <w:b/>
                      <w:bCs/>
                      <w:color w:val="auto"/>
                      <w:kern w:val="0"/>
                      <w:szCs w:val="21"/>
                      <w:lang w:bidi="ar"/>
                    </w:rPr>
                    <w:t>产生浓度mg/L</w:t>
                  </w:r>
                </w:p>
              </w:tc>
              <w:tc>
                <w:tcPr>
                  <w:tcW w:w="485" w:type="pct"/>
                  <w:noWrap/>
                  <w:vAlign w:val="center"/>
                </w:tcPr>
                <w:p w14:paraId="73B6D2DC">
                  <w:pPr>
                    <w:widowControl/>
                    <w:jc w:val="center"/>
                    <w:textAlignment w:val="center"/>
                    <w:rPr>
                      <w:b/>
                      <w:bCs/>
                      <w:color w:val="auto"/>
                      <w:kern w:val="0"/>
                      <w:szCs w:val="21"/>
                      <w:lang w:bidi="ar"/>
                    </w:rPr>
                  </w:pPr>
                  <w:r>
                    <w:rPr>
                      <w:rFonts w:hint="eastAsia"/>
                      <w:b/>
                      <w:bCs/>
                      <w:color w:val="auto"/>
                      <w:kern w:val="0"/>
                      <w:szCs w:val="21"/>
                      <w:lang w:bidi="ar"/>
                    </w:rPr>
                    <w:t>产生量t/a</w:t>
                  </w:r>
                </w:p>
              </w:tc>
              <w:tc>
                <w:tcPr>
                  <w:tcW w:w="412" w:type="pct"/>
                  <w:noWrap/>
                  <w:vAlign w:val="center"/>
                </w:tcPr>
                <w:p w14:paraId="47C42E7E">
                  <w:pPr>
                    <w:widowControl/>
                    <w:jc w:val="center"/>
                    <w:textAlignment w:val="center"/>
                    <w:rPr>
                      <w:b/>
                      <w:bCs/>
                      <w:color w:val="auto"/>
                      <w:kern w:val="0"/>
                      <w:szCs w:val="21"/>
                      <w:lang w:bidi="ar"/>
                    </w:rPr>
                  </w:pPr>
                  <w:r>
                    <w:rPr>
                      <w:rFonts w:hint="eastAsia"/>
                      <w:b/>
                      <w:bCs/>
                      <w:color w:val="auto"/>
                      <w:kern w:val="0"/>
                      <w:szCs w:val="21"/>
                      <w:lang w:bidi="ar"/>
                    </w:rPr>
                    <w:t>产生浓度mg/L</w:t>
                  </w:r>
                </w:p>
              </w:tc>
              <w:tc>
                <w:tcPr>
                  <w:tcW w:w="472" w:type="pct"/>
                  <w:noWrap/>
                  <w:vAlign w:val="center"/>
                </w:tcPr>
                <w:p w14:paraId="4C387941">
                  <w:pPr>
                    <w:widowControl/>
                    <w:jc w:val="center"/>
                    <w:textAlignment w:val="center"/>
                    <w:rPr>
                      <w:b/>
                      <w:bCs/>
                      <w:color w:val="auto"/>
                      <w:kern w:val="0"/>
                      <w:szCs w:val="21"/>
                      <w:lang w:bidi="ar"/>
                    </w:rPr>
                  </w:pPr>
                  <w:r>
                    <w:rPr>
                      <w:rFonts w:hint="eastAsia"/>
                      <w:b/>
                      <w:bCs/>
                      <w:color w:val="auto"/>
                      <w:kern w:val="0"/>
                      <w:szCs w:val="21"/>
                      <w:lang w:bidi="ar"/>
                    </w:rPr>
                    <w:t>产生量t/a</w:t>
                  </w:r>
                </w:p>
              </w:tc>
              <w:tc>
                <w:tcPr>
                  <w:tcW w:w="401" w:type="pct"/>
                  <w:noWrap/>
                  <w:vAlign w:val="center"/>
                </w:tcPr>
                <w:p w14:paraId="2D909884">
                  <w:pPr>
                    <w:widowControl/>
                    <w:jc w:val="center"/>
                    <w:textAlignment w:val="center"/>
                    <w:rPr>
                      <w:b/>
                      <w:bCs/>
                      <w:color w:val="auto"/>
                      <w:kern w:val="0"/>
                      <w:szCs w:val="21"/>
                      <w:lang w:bidi="ar"/>
                    </w:rPr>
                  </w:pPr>
                  <w:r>
                    <w:rPr>
                      <w:rFonts w:hint="eastAsia"/>
                      <w:b/>
                      <w:bCs/>
                      <w:color w:val="auto"/>
                      <w:kern w:val="0"/>
                      <w:szCs w:val="21"/>
                      <w:lang w:bidi="ar"/>
                    </w:rPr>
                    <w:t>产生浓度mg/L</w:t>
                  </w:r>
                </w:p>
              </w:tc>
              <w:tc>
                <w:tcPr>
                  <w:tcW w:w="465" w:type="pct"/>
                  <w:noWrap/>
                  <w:vAlign w:val="center"/>
                </w:tcPr>
                <w:p w14:paraId="1F37DAFE">
                  <w:pPr>
                    <w:widowControl/>
                    <w:jc w:val="center"/>
                    <w:textAlignment w:val="center"/>
                    <w:rPr>
                      <w:b/>
                      <w:bCs/>
                      <w:color w:val="auto"/>
                      <w:kern w:val="0"/>
                      <w:szCs w:val="21"/>
                      <w:lang w:bidi="ar"/>
                    </w:rPr>
                  </w:pPr>
                  <w:r>
                    <w:rPr>
                      <w:rFonts w:hint="eastAsia"/>
                      <w:b/>
                      <w:bCs/>
                      <w:color w:val="auto"/>
                      <w:kern w:val="0"/>
                      <w:szCs w:val="21"/>
                      <w:lang w:bidi="ar"/>
                    </w:rPr>
                    <w:t>产生量t/a</w:t>
                  </w:r>
                </w:p>
              </w:tc>
              <w:tc>
                <w:tcPr>
                  <w:tcW w:w="401" w:type="pct"/>
                  <w:noWrap/>
                  <w:vAlign w:val="center"/>
                </w:tcPr>
                <w:p w14:paraId="3CD91059">
                  <w:pPr>
                    <w:widowControl/>
                    <w:jc w:val="center"/>
                    <w:textAlignment w:val="center"/>
                    <w:rPr>
                      <w:b/>
                      <w:bCs/>
                      <w:color w:val="auto"/>
                      <w:kern w:val="0"/>
                      <w:szCs w:val="21"/>
                      <w:lang w:bidi="ar"/>
                    </w:rPr>
                  </w:pPr>
                  <w:r>
                    <w:rPr>
                      <w:rFonts w:hint="eastAsia"/>
                      <w:b/>
                      <w:bCs/>
                      <w:color w:val="auto"/>
                      <w:kern w:val="0"/>
                      <w:szCs w:val="21"/>
                      <w:lang w:bidi="ar"/>
                    </w:rPr>
                    <w:t>产生浓度mg/L</w:t>
                  </w:r>
                </w:p>
              </w:tc>
              <w:tc>
                <w:tcPr>
                  <w:tcW w:w="475" w:type="pct"/>
                  <w:noWrap/>
                  <w:vAlign w:val="center"/>
                </w:tcPr>
                <w:p w14:paraId="6E550A82">
                  <w:pPr>
                    <w:widowControl/>
                    <w:jc w:val="center"/>
                    <w:textAlignment w:val="center"/>
                    <w:rPr>
                      <w:b/>
                      <w:bCs/>
                      <w:color w:val="auto"/>
                      <w:kern w:val="0"/>
                      <w:szCs w:val="21"/>
                      <w:lang w:bidi="ar"/>
                    </w:rPr>
                  </w:pPr>
                  <w:r>
                    <w:rPr>
                      <w:rFonts w:hint="eastAsia"/>
                      <w:b/>
                      <w:bCs/>
                      <w:color w:val="auto"/>
                      <w:kern w:val="0"/>
                      <w:szCs w:val="21"/>
                      <w:lang w:bidi="ar"/>
                    </w:rPr>
                    <w:t>产生量t/a</w:t>
                  </w:r>
                </w:p>
              </w:tc>
              <w:tc>
                <w:tcPr>
                  <w:tcW w:w="397" w:type="pct"/>
                  <w:noWrap/>
                  <w:vAlign w:val="center"/>
                </w:tcPr>
                <w:p w14:paraId="4F8117CF">
                  <w:pPr>
                    <w:widowControl/>
                    <w:jc w:val="center"/>
                    <w:textAlignment w:val="center"/>
                    <w:rPr>
                      <w:b/>
                      <w:bCs/>
                      <w:color w:val="auto"/>
                      <w:kern w:val="0"/>
                      <w:szCs w:val="21"/>
                      <w:lang w:bidi="ar"/>
                    </w:rPr>
                  </w:pPr>
                  <w:r>
                    <w:rPr>
                      <w:rFonts w:hint="eastAsia"/>
                      <w:b/>
                      <w:bCs/>
                      <w:color w:val="auto"/>
                      <w:kern w:val="0"/>
                      <w:szCs w:val="21"/>
                      <w:lang w:bidi="ar"/>
                    </w:rPr>
                    <w:t>产生浓度mg/L</w:t>
                  </w:r>
                </w:p>
              </w:tc>
              <w:tc>
                <w:tcPr>
                  <w:tcW w:w="543" w:type="pct"/>
                  <w:noWrap/>
                  <w:vAlign w:val="center"/>
                </w:tcPr>
                <w:p w14:paraId="267B4056">
                  <w:pPr>
                    <w:widowControl/>
                    <w:jc w:val="center"/>
                    <w:textAlignment w:val="center"/>
                    <w:rPr>
                      <w:b/>
                      <w:bCs/>
                      <w:color w:val="auto"/>
                      <w:kern w:val="0"/>
                      <w:szCs w:val="21"/>
                      <w:lang w:bidi="ar"/>
                    </w:rPr>
                  </w:pPr>
                  <w:r>
                    <w:rPr>
                      <w:rFonts w:hint="eastAsia"/>
                      <w:b/>
                      <w:bCs/>
                      <w:color w:val="auto"/>
                      <w:kern w:val="0"/>
                      <w:szCs w:val="21"/>
                      <w:lang w:bidi="ar"/>
                    </w:rPr>
                    <w:t>产生量t/a</w:t>
                  </w:r>
                </w:p>
              </w:tc>
            </w:tr>
            <w:tr w14:paraId="32446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34FF3F8B">
                  <w:pPr>
                    <w:widowControl/>
                    <w:jc w:val="center"/>
                    <w:textAlignment w:val="center"/>
                    <w:rPr>
                      <w:color w:val="auto"/>
                      <w:szCs w:val="21"/>
                    </w:rPr>
                  </w:pPr>
                  <w:r>
                    <w:rPr>
                      <w:color w:val="auto"/>
                      <w:kern w:val="0"/>
                      <w:szCs w:val="21"/>
                      <w:lang w:bidi="ar"/>
                    </w:rPr>
                    <w:t>废水量</w:t>
                  </w:r>
                </w:p>
              </w:tc>
              <w:tc>
                <w:tcPr>
                  <w:tcW w:w="454" w:type="pct"/>
                  <w:noWrap/>
                  <w:vAlign w:val="center"/>
                </w:tcPr>
                <w:p w14:paraId="3F357ED4">
                  <w:pPr>
                    <w:widowControl/>
                    <w:jc w:val="center"/>
                    <w:textAlignment w:val="center"/>
                    <w:rPr>
                      <w:color w:val="auto"/>
                      <w:kern w:val="0"/>
                      <w:szCs w:val="21"/>
                      <w:lang w:bidi="ar"/>
                    </w:rPr>
                  </w:pPr>
                  <w:r>
                    <w:rPr>
                      <w:rFonts w:hint="eastAsia"/>
                      <w:color w:val="auto"/>
                      <w:kern w:val="0"/>
                      <w:szCs w:val="21"/>
                      <w:lang w:bidi="ar"/>
                    </w:rPr>
                    <w:t>/</w:t>
                  </w:r>
                </w:p>
              </w:tc>
              <w:tc>
                <w:tcPr>
                  <w:tcW w:w="485" w:type="pct"/>
                  <w:noWrap/>
                  <w:vAlign w:val="center"/>
                </w:tcPr>
                <w:p w14:paraId="024F61DD">
                  <w:pPr>
                    <w:widowControl/>
                    <w:jc w:val="center"/>
                    <w:textAlignment w:val="center"/>
                    <w:rPr>
                      <w:color w:val="auto"/>
                      <w:kern w:val="0"/>
                      <w:szCs w:val="21"/>
                      <w:lang w:bidi="ar"/>
                    </w:rPr>
                  </w:pPr>
                  <w:r>
                    <w:rPr>
                      <w:rFonts w:hint="eastAsia"/>
                      <w:color w:val="auto"/>
                      <w:kern w:val="0"/>
                      <w:szCs w:val="21"/>
                      <w:lang w:bidi="ar"/>
                    </w:rPr>
                    <w:t>1336.51</w:t>
                  </w:r>
                </w:p>
              </w:tc>
              <w:tc>
                <w:tcPr>
                  <w:tcW w:w="412" w:type="pct"/>
                  <w:noWrap/>
                  <w:vAlign w:val="center"/>
                </w:tcPr>
                <w:p w14:paraId="3A69FC67">
                  <w:pPr>
                    <w:widowControl/>
                    <w:jc w:val="center"/>
                    <w:textAlignment w:val="center"/>
                    <w:rPr>
                      <w:color w:val="auto"/>
                      <w:kern w:val="0"/>
                      <w:szCs w:val="21"/>
                      <w:lang w:bidi="ar"/>
                    </w:rPr>
                  </w:pPr>
                  <w:r>
                    <w:rPr>
                      <w:rFonts w:hint="eastAsia"/>
                      <w:color w:val="auto"/>
                      <w:kern w:val="0"/>
                      <w:szCs w:val="21"/>
                      <w:lang w:bidi="ar"/>
                    </w:rPr>
                    <w:t>/</w:t>
                  </w:r>
                </w:p>
              </w:tc>
              <w:tc>
                <w:tcPr>
                  <w:tcW w:w="472" w:type="pct"/>
                  <w:noWrap/>
                  <w:vAlign w:val="center"/>
                </w:tcPr>
                <w:p w14:paraId="0F04E034">
                  <w:pPr>
                    <w:widowControl/>
                    <w:jc w:val="center"/>
                    <w:textAlignment w:val="center"/>
                    <w:rPr>
                      <w:color w:val="auto"/>
                      <w:kern w:val="0"/>
                      <w:szCs w:val="21"/>
                      <w:lang w:bidi="ar"/>
                    </w:rPr>
                  </w:pPr>
                  <w:r>
                    <w:rPr>
                      <w:rFonts w:hint="eastAsia"/>
                      <w:color w:val="auto"/>
                      <w:kern w:val="0"/>
                      <w:szCs w:val="21"/>
                      <w:lang w:bidi="ar"/>
                    </w:rPr>
                    <w:t>0.576</w:t>
                  </w:r>
                </w:p>
              </w:tc>
              <w:tc>
                <w:tcPr>
                  <w:tcW w:w="401" w:type="pct"/>
                  <w:noWrap/>
                  <w:vAlign w:val="center"/>
                </w:tcPr>
                <w:p w14:paraId="4919DAC5">
                  <w:pPr>
                    <w:widowControl/>
                    <w:jc w:val="center"/>
                    <w:textAlignment w:val="center"/>
                    <w:rPr>
                      <w:color w:val="auto"/>
                      <w:kern w:val="0"/>
                      <w:szCs w:val="21"/>
                      <w:lang w:bidi="ar"/>
                    </w:rPr>
                  </w:pPr>
                  <w:r>
                    <w:rPr>
                      <w:rFonts w:hint="eastAsia"/>
                      <w:color w:val="auto"/>
                      <w:kern w:val="0"/>
                      <w:szCs w:val="21"/>
                      <w:lang w:bidi="ar"/>
                    </w:rPr>
                    <w:t>/</w:t>
                  </w:r>
                </w:p>
              </w:tc>
              <w:tc>
                <w:tcPr>
                  <w:tcW w:w="465" w:type="pct"/>
                  <w:noWrap/>
                  <w:vAlign w:val="center"/>
                </w:tcPr>
                <w:p w14:paraId="7FEA9406">
                  <w:pPr>
                    <w:widowControl/>
                    <w:jc w:val="center"/>
                    <w:textAlignment w:val="center"/>
                    <w:rPr>
                      <w:color w:val="auto"/>
                      <w:kern w:val="0"/>
                      <w:szCs w:val="21"/>
                      <w:lang w:bidi="ar"/>
                    </w:rPr>
                  </w:pPr>
                  <w:r>
                    <w:rPr>
                      <w:rFonts w:hint="eastAsia"/>
                      <w:color w:val="auto"/>
                      <w:kern w:val="0"/>
                      <w:szCs w:val="21"/>
                      <w:lang w:bidi="ar"/>
                    </w:rPr>
                    <w:t>73.8</w:t>
                  </w:r>
                </w:p>
              </w:tc>
              <w:tc>
                <w:tcPr>
                  <w:tcW w:w="401" w:type="pct"/>
                  <w:noWrap/>
                  <w:vAlign w:val="center"/>
                </w:tcPr>
                <w:p w14:paraId="653DAFED">
                  <w:pPr>
                    <w:widowControl/>
                    <w:jc w:val="center"/>
                    <w:textAlignment w:val="center"/>
                    <w:rPr>
                      <w:color w:val="auto"/>
                      <w:kern w:val="0"/>
                      <w:szCs w:val="21"/>
                      <w:lang w:bidi="ar"/>
                    </w:rPr>
                  </w:pPr>
                  <w:r>
                    <w:rPr>
                      <w:rFonts w:hint="eastAsia"/>
                      <w:color w:val="auto"/>
                      <w:kern w:val="0"/>
                      <w:szCs w:val="21"/>
                      <w:lang w:bidi="ar"/>
                    </w:rPr>
                    <w:t>/</w:t>
                  </w:r>
                </w:p>
              </w:tc>
              <w:tc>
                <w:tcPr>
                  <w:tcW w:w="475" w:type="pct"/>
                  <w:noWrap/>
                  <w:vAlign w:val="center"/>
                </w:tcPr>
                <w:p w14:paraId="0A92F9C8">
                  <w:pPr>
                    <w:widowControl/>
                    <w:jc w:val="center"/>
                    <w:textAlignment w:val="center"/>
                    <w:rPr>
                      <w:color w:val="auto"/>
                      <w:kern w:val="0"/>
                      <w:szCs w:val="21"/>
                      <w:lang w:bidi="ar"/>
                    </w:rPr>
                  </w:pPr>
                  <w:r>
                    <w:rPr>
                      <w:rFonts w:hint="eastAsia"/>
                      <w:color w:val="auto"/>
                      <w:kern w:val="0"/>
                      <w:szCs w:val="21"/>
                      <w:lang w:bidi="ar"/>
                    </w:rPr>
                    <w:t>27</w:t>
                  </w:r>
                </w:p>
              </w:tc>
              <w:tc>
                <w:tcPr>
                  <w:tcW w:w="397" w:type="pct"/>
                  <w:noWrap/>
                  <w:vAlign w:val="center"/>
                </w:tcPr>
                <w:p w14:paraId="43852999">
                  <w:pPr>
                    <w:widowControl/>
                    <w:jc w:val="center"/>
                    <w:textAlignment w:val="center"/>
                    <w:rPr>
                      <w:color w:val="auto"/>
                      <w:kern w:val="0"/>
                      <w:szCs w:val="21"/>
                      <w:lang w:bidi="ar"/>
                    </w:rPr>
                  </w:pPr>
                  <w:r>
                    <w:rPr>
                      <w:color w:val="auto"/>
                      <w:kern w:val="0"/>
                      <w:szCs w:val="21"/>
                      <w:lang w:bidi="ar"/>
                    </w:rPr>
                    <w:t>/</w:t>
                  </w:r>
                </w:p>
              </w:tc>
              <w:tc>
                <w:tcPr>
                  <w:tcW w:w="543" w:type="pct"/>
                  <w:noWrap/>
                  <w:vAlign w:val="center"/>
                </w:tcPr>
                <w:p w14:paraId="6699B868">
                  <w:pPr>
                    <w:widowControl/>
                    <w:jc w:val="center"/>
                    <w:textAlignment w:val="center"/>
                    <w:rPr>
                      <w:color w:val="auto"/>
                      <w:kern w:val="0"/>
                      <w:szCs w:val="21"/>
                      <w:lang w:bidi="ar"/>
                    </w:rPr>
                  </w:pPr>
                  <w:r>
                    <w:rPr>
                      <w:color w:val="auto"/>
                      <w:kern w:val="0"/>
                      <w:szCs w:val="21"/>
                      <w:lang w:bidi="ar"/>
                    </w:rPr>
                    <w:t>1437.886</w:t>
                  </w:r>
                </w:p>
              </w:tc>
            </w:tr>
            <w:tr w14:paraId="2E8C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055ED82E">
                  <w:pPr>
                    <w:widowControl/>
                    <w:jc w:val="center"/>
                    <w:textAlignment w:val="center"/>
                    <w:rPr>
                      <w:color w:val="auto"/>
                      <w:szCs w:val="21"/>
                      <w:vertAlign w:val="subscript"/>
                    </w:rPr>
                  </w:pPr>
                  <w:r>
                    <w:rPr>
                      <w:rFonts w:hint="eastAsia"/>
                      <w:color w:val="auto"/>
                      <w:kern w:val="0"/>
                      <w:szCs w:val="21"/>
                      <w:lang w:bidi="ar"/>
                    </w:rPr>
                    <w:t>COD</w:t>
                  </w:r>
                  <w:r>
                    <w:rPr>
                      <w:rFonts w:hint="eastAsia"/>
                      <w:color w:val="auto"/>
                      <w:kern w:val="0"/>
                      <w:szCs w:val="21"/>
                      <w:vertAlign w:val="subscript"/>
                      <w:lang w:bidi="ar"/>
                    </w:rPr>
                    <w:t>Cr</w:t>
                  </w:r>
                </w:p>
              </w:tc>
              <w:tc>
                <w:tcPr>
                  <w:tcW w:w="454" w:type="pct"/>
                  <w:vAlign w:val="center"/>
                </w:tcPr>
                <w:p w14:paraId="22981A27">
                  <w:pPr>
                    <w:widowControl/>
                    <w:jc w:val="center"/>
                    <w:textAlignment w:val="center"/>
                    <w:rPr>
                      <w:color w:val="auto"/>
                      <w:kern w:val="0"/>
                      <w:szCs w:val="21"/>
                      <w:lang w:bidi="ar"/>
                    </w:rPr>
                  </w:pPr>
                  <w:r>
                    <w:rPr>
                      <w:rFonts w:hint="eastAsia"/>
                      <w:color w:val="auto"/>
                      <w:kern w:val="0"/>
                      <w:szCs w:val="21"/>
                      <w:lang w:bidi="ar"/>
                    </w:rPr>
                    <w:t>604</w:t>
                  </w:r>
                </w:p>
              </w:tc>
              <w:tc>
                <w:tcPr>
                  <w:tcW w:w="485" w:type="pct"/>
                  <w:vAlign w:val="center"/>
                </w:tcPr>
                <w:p w14:paraId="403021E9">
                  <w:pPr>
                    <w:widowControl/>
                    <w:jc w:val="center"/>
                    <w:textAlignment w:val="center"/>
                    <w:rPr>
                      <w:color w:val="auto"/>
                      <w:kern w:val="0"/>
                      <w:szCs w:val="21"/>
                      <w:lang w:bidi="ar"/>
                    </w:rPr>
                  </w:pPr>
                  <w:r>
                    <w:rPr>
                      <w:rFonts w:hint="eastAsia"/>
                      <w:color w:val="auto"/>
                      <w:kern w:val="0"/>
                      <w:szCs w:val="21"/>
                      <w:lang w:bidi="ar"/>
                    </w:rPr>
                    <w:t>0.8066</w:t>
                  </w:r>
                  <w:r>
                    <w:rPr>
                      <w:color w:val="auto"/>
                      <w:kern w:val="0"/>
                      <w:szCs w:val="21"/>
                      <w:lang w:bidi="ar"/>
                    </w:rPr>
                    <w:t xml:space="preserve"> </w:t>
                  </w:r>
                </w:p>
              </w:tc>
              <w:tc>
                <w:tcPr>
                  <w:tcW w:w="412" w:type="pct"/>
                  <w:vAlign w:val="center"/>
                </w:tcPr>
                <w:p w14:paraId="1191B606">
                  <w:pPr>
                    <w:widowControl/>
                    <w:jc w:val="center"/>
                    <w:textAlignment w:val="center"/>
                    <w:rPr>
                      <w:color w:val="auto"/>
                      <w:kern w:val="0"/>
                      <w:szCs w:val="21"/>
                      <w:lang w:bidi="ar"/>
                    </w:rPr>
                  </w:pPr>
                  <w:r>
                    <w:rPr>
                      <w:color w:val="auto"/>
                      <w:kern w:val="0"/>
                      <w:szCs w:val="21"/>
                      <w:lang w:bidi="ar"/>
                    </w:rPr>
                    <w:t>3000</w:t>
                  </w:r>
                </w:p>
              </w:tc>
              <w:tc>
                <w:tcPr>
                  <w:tcW w:w="472" w:type="pct"/>
                  <w:vAlign w:val="center"/>
                </w:tcPr>
                <w:p w14:paraId="1E00B782">
                  <w:pPr>
                    <w:widowControl/>
                    <w:jc w:val="center"/>
                    <w:textAlignment w:val="center"/>
                    <w:rPr>
                      <w:color w:val="auto"/>
                      <w:kern w:val="0"/>
                      <w:szCs w:val="21"/>
                      <w:lang w:bidi="ar"/>
                    </w:rPr>
                  </w:pPr>
                  <w:r>
                    <w:rPr>
                      <w:color w:val="auto"/>
                      <w:kern w:val="0"/>
                      <w:szCs w:val="21"/>
                      <w:lang w:bidi="ar"/>
                    </w:rPr>
                    <w:t xml:space="preserve">0.0017 </w:t>
                  </w:r>
                </w:p>
              </w:tc>
              <w:tc>
                <w:tcPr>
                  <w:tcW w:w="401" w:type="pct"/>
                  <w:vAlign w:val="center"/>
                </w:tcPr>
                <w:p w14:paraId="1C8CB9F7">
                  <w:pPr>
                    <w:widowControl/>
                    <w:jc w:val="center"/>
                    <w:textAlignment w:val="center"/>
                    <w:rPr>
                      <w:color w:val="auto"/>
                      <w:kern w:val="0"/>
                      <w:szCs w:val="21"/>
                      <w:lang w:bidi="ar"/>
                    </w:rPr>
                  </w:pPr>
                  <w:r>
                    <w:rPr>
                      <w:color w:val="auto"/>
                      <w:kern w:val="0"/>
                      <w:szCs w:val="21"/>
                      <w:lang w:bidi="ar"/>
                    </w:rPr>
                    <w:t>3000</w:t>
                  </w:r>
                </w:p>
              </w:tc>
              <w:tc>
                <w:tcPr>
                  <w:tcW w:w="465" w:type="pct"/>
                  <w:vAlign w:val="center"/>
                </w:tcPr>
                <w:p w14:paraId="5DC6F3FF">
                  <w:pPr>
                    <w:widowControl/>
                    <w:jc w:val="center"/>
                    <w:textAlignment w:val="center"/>
                    <w:rPr>
                      <w:color w:val="auto"/>
                      <w:kern w:val="0"/>
                      <w:szCs w:val="21"/>
                      <w:lang w:bidi="ar"/>
                    </w:rPr>
                  </w:pPr>
                  <w:r>
                    <w:rPr>
                      <w:rFonts w:hint="eastAsia"/>
                      <w:color w:val="auto"/>
                      <w:kern w:val="0"/>
                      <w:szCs w:val="21"/>
                      <w:lang w:bidi="ar"/>
                    </w:rPr>
                    <w:t>0.221</w:t>
                  </w:r>
                  <w:r>
                    <w:rPr>
                      <w:color w:val="auto"/>
                      <w:kern w:val="0"/>
                      <w:szCs w:val="21"/>
                      <w:lang w:bidi="ar"/>
                    </w:rPr>
                    <w:t xml:space="preserve"> </w:t>
                  </w:r>
                </w:p>
              </w:tc>
              <w:tc>
                <w:tcPr>
                  <w:tcW w:w="401" w:type="pct"/>
                  <w:vAlign w:val="center"/>
                </w:tcPr>
                <w:p w14:paraId="348B717A">
                  <w:pPr>
                    <w:widowControl/>
                    <w:jc w:val="center"/>
                    <w:textAlignment w:val="center"/>
                    <w:rPr>
                      <w:color w:val="auto"/>
                      <w:kern w:val="0"/>
                      <w:szCs w:val="21"/>
                      <w:lang w:bidi="ar"/>
                    </w:rPr>
                  </w:pPr>
                  <w:r>
                    <w:rPr>
                      <w:color w:val="auto"/>
                      <w:kern w:val="0"/>
                      <w:szCs w:val="21"/>
                      <w:lang w:bidi="ar"/>
                    </w:rPr>
                    <w:t>42.8</w:t>
                  </w:r>
                </w:p>
              </w:tc>
              <w:tc>
                <w:tcPr>
                  <w:tcW w:w="475" w:type="pct"/>
                  <w:vAlign w:val="center"/>
                </w:tcPr>
                <w:p w14:paraId="648D281D">
                  <w:pPr>
                    <w:widowControl/>
                    <w:jc w:val="center"/>
                    <w:textAlignment w:val="center"/>
                    <w:rPr>
                      <w:color w:val="auto"/>
                      <w:kern w:val="0"/>
                      <w:szCs w:val="21"/>
                      <w:lang w:bidi="ar"/>
                    </w:rPr>
                  </w:pPr>
                  <w:r>
                    <w:rPr>
                      <w:color w:val="auto"/>
                      <w:kern w:val="0"/>
                      <w:szCs w:val="21"/>
                      <w:lang w:bidi="ar"/>
                    </w:rPr>
                    <w:t xml:space="preserve">0.0012 </w:t>
                  </w:r>
                </w:p>
              </w:tc>
              <w:tc>
                <w:tcPr>
                  <w:tcW w:w="397" w:type="pct"/>
                  <w:vAlign w:val="center"/>
                </w:tcPr>
                <w:p w14:paraId="1648D5BA">
                  <w:pPr>
                    <w:widowControl/>
                    <w:jc w:val="center"/>
                    <w:textAlignment w:val="center"/>
                    <w:rPr>
                      <w:color w:val="auto"/>
                      <w:kern w:val="0"/>
                      <w:szCs w:val="21"/>
                      <w:lang w:bidi="ar"/>
                    </w:rPr>
                  </w:pPr>
                  <w:r>
                    <w:rPr>
                      <w:color w:val="auto"/>
                      <w:kern w:val="0"/>
                      <w:szCs w:val="21"/>
                      <w:lang w:bidi="ar"/>
                    </w:rPr>
                    <w:t xml:space="preserve">717 </w:t>
                  </w:r>
                </w:p>
              </w:tc>
              <w:tc>
                <w:tcPr>
                  <w:tcW w:w="543" w:type="pct"/>
                  <w:vAlign w:val="center"/>
                </w:tcPr>
                <w:p w14:paraId="033BF759">
                  <w:pPr>
                    <w:widowControl/>
                    <w:jc w:val="center"/>
                    <w:textAlignment w:val="center"/>
                    <w:rPr>
                      <w:color w:val="auto"/>
                      <w:kern w:val="0"/>
                      <w:szCs w:val="21"/>
                      <w:lang w:bidi="ar"/>
                    </w:rPr>
                  </w:pPr>
                  <w:r>
                    <w:rPr>
                      <w:color w:val="auto"/>
                      <w:kern w:val="0"/>
                      <w:szCs w:val="21"/>
                      <w:lang w:bidi="ar"/>
                    </w:rPr>
                    <w:t>1.0305</w:t>
                  </w:r>
                </w:p>
              </w:tc>
            </w:tr>
            <w:tr w14:paraId="7ACBD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6822397C">
                  <w:pPr>
                    <w:widowControl/>
                    <w:jc w:val="center"/>
                    <w:textAlignment w:val="center"/>
                    <w:rPr>
                      <w:color w:val="auto"/>
                      <w:szCs w:val="21"/>
                      <w:vertAlign w:val="subscript"/>
                    </w:rPr>
                  </w:pPr>
                  <w:r>
                    <w:rPr>
                      <w:rFonts w:hint="eastAsia"/>
                      <w:color w:val="auto"/>
                      <w:kern w:val="0"/>
                      <w:szCs w:val="21"/>
                      <w:lang w:bidi="ar"/>
                    </w:rPr>
                    <w:t>BOD</w:t>
                  </w:r>
                  <w:r>
                    <w:rPr>
                      <w:rFonts w:hint="eastAsia"/>
                      <w:color w:val="auto"/>
                      <w:kern w:val="0"/>
                      <w:szCs w:val="21"/>
                      <w:vertAlign w:val="subscript"/>
                      <w:lang w:bidi="ar"/>
                    </w:rPr>
                    <w:t>5</w:t>
                  </w:r>
                </w:p>
              </w:tc>
              <w:tc>
                <w:tcPr>
                  <w:tcW w:w="454" w:type="pct"/>
                  <w:noWrap/>
                  <w:vAlign w:val="center"/>
                </w:tcPr>
                <w:p w14:paraId="04043FC3">
                  <w:pPr>
                    <w:widowControl/>
                    <w:jc w:val="center"/>
                    <w:textAlignment w:val="center"/>
                    <w:rPr>
                      <w:color w:val="auto"/>
                      <w:kern w:val="0"/>
                      <w:szCs w:val="21"/>
                      <w:lang w:bidi="ar"/>
                    </w:rPr>
                  </w:pPr>
                  <w:r>
                    <w:rPr>
                      <w:rFonts w:hint="eastAsia"/>
                      <w:color w:val="auto"/>
                      <w:kern w:val="0"/>
                      <w:szCs w:val="21"/>
                      <w:lang w:bidi="ar"/>
                    </w:rPr>
                    <w:t>444</w:t>
                  </w:r>
                </w:p>
              </w:tc>
              <w:tc>
                <w:tcPr>
                  <w:tcW w:w="485" w:type="pct"/>
                  <w:noWrap/>
                  <w:vAlign w:val="center"/>
                </w:tcPr>
                <w:p w14:paraId="320EDD07">
                  <w:pPr>
                    <w:widowControl/>
                    <w:jc w:val="center"/>
                    <w:textAlignment w:val="center"/>
                    <w:rPr>
                      <w:color w:val="auto"/>
                      <w:kern w:val="0"/>
                      <w:szCs w:val="21"/>
                      <w:lang w:bidi="ar"/>
                    </w:rPr>
                  </w:pPr>
                  <w:r>
                    <w:rPr>
                      <w:color w:val="auto"/>
                      <w:kern w:val="0"/>
                      <w:szCs w:val="21"/>
                      <w:lang w:bidi="ar"/>
                    </w:rPr>
                    <w:t xml:space="preserve">0.593 </w:t>
                  </w:r>
                </w:p>
              </w:tc>
              <w:tc>
                <w:tcPr>
                  <w:tcW w:w="412" w:type="pct"/>
                  <w:noWrap/>
                  <w:vAlign w:val="center"/>
                </w:tcPr>
                <w:p w14:paraId="7F42306D">
                  <w:pPr>
                    <w:jc w:val="center"/>
                    <w:rPr>
                      <w:color w:val="auto"/>
                      <w:kern w:val="0"/>
                      <w:szCs w:val="21"/>
                      <w:lang w:bidi="ar"/>
                    </w:rPr>
                  </w:pPr>
                  <w:r>
                    <w:rPr>
                      <w:rFonts w:hint="eastAsia"/>
                      <w:color w:val="auto"/>
                      <w:kern w:val="0"/>
                      <w:szCs w:val="21"/>
                      <w:lang w:bidi="ar"/>
                    </w:rPr>
                    <w:t>/</w:t>
                  </w:r>
                </w:p>
              </w:tc>
              <w:tc>
                <w:tcPr>
                  <w:tcW w:w="472" w:type="pct"/>
                  <w:noWrap/>
                  <w:vAlign w:val="center"/>
                </w:tcPr>
                <w:p w14:paraId="2948D277">
                  <w:pPr>
                    <w:jc w:val="center"/>
                    <w:rPr>
                      <w:color w:val="auto"/>
                      <w:kern w:val="0"/>
                      <w:szCs w:val="21"/>
                      <w:lang w:bidi="ar"/>
                    </w:rPr>
                  </w:pPr>
                  <w:r>
                    <w:rPr>
                      <w:rFonts w:hint="eastAsia"/>
                      <w:color w:val="auto"/>
                      <w:kern w:val="0"/>
                      <w:szCs w:val="21"/>
                      <w:lang w:bidi="ar"/>
                    </w:rPr>
                    <w:t>/</w:t>
                  </w:r>
                </w:p>
              </w:tc>
              <w:tc>
                <w:tcPr>
                  <w:tcW w:w="401" w:type="pct"/>
                  <w:noWrap/>
                  <w:vAlign w:val="center"/>
                </w:tcPr>
                <w:p w14:paraId="69BEE549">
                  <w:pPr>
                    <w:jc w:val="center"/>
                    <w:rPr>
                      <w:color w:val="auto"/>
                      <w:kern w:val="0"/>
                      <w:szCs w:val="21"/>
                      <w:lang w:bidi="ar"/>
                    </w:rPr>
                  </w:pPr>
                  <w:r>
                    <w:rPr>
                      <w:rFonts w:hint="eastAsia"/>
                      <w:color w:val="auto"/>
                      <w:kern w:val="0"/>
                      <w:szCs w:val="21"/>
                      <w:lang w:bidi="ar"/>
                    </w:rPr>
                    <w:t>/</w:t>
                  </w:r>
                </w:p>
              </w:tc>
              <w:tc>
                <w:tcPr>
                  <w:tcW w:w="465" w:type="pct"/>
                  <w:noWrap/>
                  <w:vAlign w:val="center"/>
                </w:tcPr>
                <w:p w14:paraId="5B6F1B5A">
                  <w:pPr>
                    <w:jc w:val="center"/>
                    <w:rPr>
                      <w:color w:val="auto"/>
                      <w:kern w:val="0"/>
                      <w:szCs w:val="21"/>
                      <w:lang w:bidi="ar"/>
                    </w:rPr>
                  </w:pPr>
                  <w:r>
                    <w:rPr>
                      <w:rFonts w:hint="eastAsia"/>
                      <w:color w:val="auto"/>
                      <w:kern w:val="0"/>
                      <w:szCs w:val="21"/>
                      <w:lang w:bidi="ar"/>
                    </w:rPr>
                    <w:t>/</w:t>
                  </w:r>
                </w:p>
              </w:tc>
              <w:tc>
                <w:tcPr>
                  <w:tcW w:w="401" w:type="pct"/>
                  <w:noWrap/>
                  <w:vAlign w:val="center"/>
                </w:tcPr>
                <w:p w14:paraId="507932DF">
                  <w:pPr>
                    <w:jc w:val="center"/>
                    <w:rPr>
                      <w:color w:val="auto"/>
                      <w:kern w:val="0"/>
                      <w:szCs w:val="21"/>
                      <w:lang w:bidi="ar"/>
                    </w:rPr>
                  </w:pPr>
                  <w:r>
                    <w:rPr>
                      <w:rFonts w:hint="eastAsia"/>
                      <w:color w:val="auto"/>
                      <w:kern w:val="0"/>
                      <w:szCs w:val="21"/>
                      <w:lang w:bidi="ar"/>
                    </w:rPr>
                    <w:t>/</w:t>
                  </w:r>
                </w:p>
              </w:tc>
              <w:tc>
                <w:tcPr>
                  <w:tcW w:w="475" w:type="pct"/>
                  <w:noWrap/>
                  <w:vAlign w:val="center"/>
                </w:tcPr>
                <w:p w14:paraId="54A1736C">
                  <w:pPr>
                    <w:jc w:val="center"/>
                    <w:rPr>
                      <w:color w:val="auto"/>
                      <w:kern w:val="0"/>
                      <w:szCs w:val="21"/>
                      <w:lang w:bidi="ar"/>
                    </w:rPr>
                  </w:pPr>
                  <w:r>
                    <w:rPr>
                      <w:rFonts w:hint="eastAsia"/>
                      <w:color w:val="auto"/>
                      <w:kern w:val="0"/>
                      <w:szCs w:val="21"/>
                      <w:lang w:bidi="ar"/>
                    </w:rPr>
                    <w:t>/</w:t>
                  </w:r>
                </w:p>
              </w:tc>
              <w:tc>
                <w:tcPr>
                  <w:tcW w:w="397" w:type="pct"/>
                  <w:noWrap/>
                  <w:vAlign w:val="center"/>
                </w:tcPr>
                <w:p w14:paraId="50D5CAFA">
                  <w:pPr>
                    <w:widowControl/>
                    <w:jc w:val="center"/>
                    <w:textAlignment w:val="center"/>
                    <w:rPr>
                      <w:color w:val="auto"/>
                      <w:kern w:val="0"/>
                      <w:szCs w:val="21"/>
                      <w:lang w:bidi="ar"/>
                    </w:rPr>
                  </w:pPr>
                  <w:r>
                    <w:rPr>
                      <w:color w:val="auto"/>
                      <w:kern w:val="0"/>
                      <w:szCs w:val="21"/>
                      <w:lang w:bidi="ar"/>
                    </w:rPr>
                    <w:t xml:space="preserve">412 </w:t>
                  </w:r>
                </w:p>
              </w:tc>
              <w:tc>
                <w:tcPr>
                  <w:tcW w:w="543" w:type="pct"/>
                  <w:noWrap/>
                  <w:vAlign w:val="center"/>
                </w:tcPr>
                <w:p w14:paraId="34D8C35F">
                  <w:pPr>
                    <w:widowControl/>
                    <w:jc w:val="center"/>
                    <w:textAlignment w:val="center"/>
                    <w:rPr>
                      <w:color w:val="auto"/>
                      <w:kern w:val="0"/>
                      <w:szCs w:val="21"/>
                      <w:lang w:bidi="ar"/>
                    </w:rPr>
                  </w:pPr>
                  <w:r>
                    <w:rPr>
                      <w:color w:val="auto"/>
                      <w:kern w:val="0"/>
                      <w:szCs w:val="21"/>
                      <w:lang w:bidi="ar"/>
                    </w:rPr>
                    <w:t>0.593</w:t>
                  </w:r>
                </w:p>
              </w:tc>
            </w:tr>
            <w:tr w14:paraId="65EF3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784CD62E">
                  <w:pPr>
                    <w:widowControl/>
                    <w:jc w:val="center"/>
                    <w:textAlignment w:val="center"/>
                    <w:rPr>
                      <w:color w:val="auto"/>
                      <w:szCs w:val="21"/>
                    </w:rPr>
                  </w:pPr>
                  <w:r>
                    <w:rPr>
                      <w:color w:val="auto"/>
                      <w:kern w:val="0"/>
                      <w:szCs w:val="21"/>
                      <w:lang w:bidi="ar"/>
                    </w:rPr>
                    <w:t>悬浮物</w:t>
                  </w:r>
                </w:p>
              </w:tc>
              <w:tc>
                <w:tcPr>
                  <w:tcW w:w="454" w:type="pct"/>
                  <w:noWrap/>
                  <w:vAlign w:val="center"/>
                </w:tcPr>
                <w:p w14:paraId="36C19E1E">
                  <w:pPr>
                    <w:widowControl/>
                    <w:jc w:val="center"/>
                    <w:textAlignment w:val="center"/>
                    <w:rPr>
                      <w:color w:val="auto"/>
                      <w:kern w:val="0"/>
                      <w:szCs w:val="21"/>
                      <w:lang w:bidi="ar"/>
                    </w:rPr>
                  </w:pPr>
                  <w:r>
                    <w:rPr>
                      <w:rFonts w:hint="eastAsia"/>
                      <w:color w:val="auto"/>
                      <w:kern w:val="0"/>
                      <w:szCs w:val="21"/>
                      <w:lang w:bidi="ar"/>
                    </w:rPr>
                    <w:t>313.5</w:t>
                  </w:r>
                </w:p>
              </w:tc>
              <w:tc>
                <w:tcPr>
                  <w:tcW w:w="485" w:type="pct"/>
                  <w:noWrap/>
                  <w:vAlign w:val="center"/>
                </w:tcPr>
                <w:p w14:paraId="3CDBC508">
                  <w:pPr>
                    <w:widowControl/>
                    <w:jc w:val="center"/>
                    <w:textAlignment w:val="center"/>
                    <w:rPr>
                      <w:color w:val="auto"/>
                      <w:kern w:val="0"/>
                      <w:szCs w:val="21"/>
                      <w:lang w:bidi="ar"/>
                    </w:rPr>
                  </w:pPr>
                  <w:r>
                    <w:rPr>
                      <w:color w:val="auto"/>
                      <w:kern w:val="0"/>
                      <w:szCs w:val="21"/>
                      <w:lang w:bidi="ar"/>
                    </w:rPr>
                    <w:t xml:space="preserve">0.419 </w:t>
                  </w:r>
                </w:p>
              </w:tc>
              <w:tc>
                <w:tcPr>
                  <w:tcW w:w="412" w:type="pct"/>
                  <w:noWrap/>
                  <w:vAlign w:val="center"/>
                </w:tcPr>
                <w:p w14:paraId="56229F78">
                  <w:pPr>
                    <w:widowControl/>
                    <w:jc w:val="center"/>
                    <w:textAlignment w:val="center"/>
                    <w:rPr>
                      <w:color w:val="auto"/>
                      <w:kern w:val="0"/>
                      <w:szCs w:val="21"/>
                      <w:lang w:bidi="ar"/>
                    </w:rPr>
                  </w:pPr>
                  <w:r>
                    <w:rPr>
                      <w:color w:val="auto"/>
                      <w:kern w:val="0"/>
                      <w:szCs w:val="21"/>
                      <w:lang w:bidi="ar"/>
                    </w:rPr>
                    <w:t>500</w:t>
                  </w:r>
                </w:p>
              </w:tc>
              <w:tc>
                <w:tcPr>
                  <w:tcW w:w="472" w:type="pct"/>
                  <w:noWrap/>
                  <w:vAlign w:val="center"/>
                </w:tcPr>
                <w:p w14:paraId="094C9716">
                  <w:pPr>
                    <w:widowControl/>
                    <w:jc w:val="center"/>
                    <w:textAlignment w:val="center"/>
                    <w:rPr>
                      <w:color w:val="auto"/>
                      <w:kern w:val="0"/>
                      <w:szCs w:val="21"/>
                      <w:lang w:bidi="ar"/>
                    </w:rPr>
                  </w:pPr>
                  <w:r>
                    <w:rPr>
                      <w:color w:val="auto"/>
                      <w:kern w:val="0"/>
                      <w:szCs w:val="21"/>
                      <w:lang w:bidi="ar"/>
                    </w:rPr>
                    <w:t xml:space="preserve">0.0003 </w:t>
                  </w:r>
                </w:p>
              </w:tc>
              <w:tc>
                <w:tcPr>
                  <w:tcW w:w="401" w:type="pct"/>
                  <w:noWrap/>
                  <w:vAlign w:val="center"/>
                </w:tcPr>
                <w:p w14:paraId="5A4CEE53">
                  <w:pPr>
                    <w:widowControl/>
                    <w:jc w:val="center"/>
                    <w:textAlignment w:val="center"/>
                    <w:rPr>
                      <w:color w:val="auto"/>
                      <w:kern w:val="0"/>
                      <w:szCs w:val="21"/>
                      <w:lang w:bidi="ar"/>
                    </w:rPr>
                  </w:pPr>
                  <w:r>
                    <w:rPr>
                      <w:color w:val="auto"/>
                      <w:kern w:val="0"/>
                      <w:szCs w:val="21"/>
                      <w:lang w:bidi="ar"/>
                    </w:rPr>
                    <w:t>500</w:t>
                  </w:r>
                </w:p>
              </w:tc>
              <w:tc>
                <w:tcPr>
                  <w:tcW w:w="465" w:type="pct"/>
                  <w:noWrap/>
                  <w:vAlign w:val="center"/>
                </w:tcPr>
                <w:p w14:paraId="545FBCFE">
                  <w:pPr>
                    <w:widowControl/>
                    <w:jc w:val="center"/>
                    <w:textAlignment w:val="center"/>
                    <w:rPr>
                      <w:color w:val="auto"/>
                      <w:kern w:val="0"/>
                      <w:szCs w:val="21"/>
                      <w:lang w:bidi="ar"/>
                    </w:rPr>
                  </w:pPr>
                  <w:r>
                    <w:rPr>
                      <w:rFonts w:hint="eastAsia"/>
                      <w:color w:val="auto"/>
                      <w:kern w:val="0"/>
                      <w:szCs w:val="21"/>
                      <w:lang w:bidi="ar"/>
                    </w:rPr>
                    <w:t>0.0369</w:t>
                  </w:r>
                </w:p>
              </w:tc>
              <w:tc>
                <w:tcPr>
                  <w:tcW w:w="401" w:type="pct"/>
                  <w:noWrap/>
                  <w:vAlign w:val="center"/>
                </w:tcPr>
                <w:p w14:paraId="77E24A1D">
                  <w:pPr>
                    <w:widowControl/>
                    <w:jc w:val="center"/>
                    <w:textAlignment w:val="center"/>
                    <w:rPr>
                      <w:color w:val="auto"/>
                      <w:kern w:val="0"/>
                      <w:szCs w:val="21"/>
                      <w:lang w:bidi="ar"/>
                    </w:rPr>
                  </w:pPr>
                  <w:r>
                    <w:rPr>
                      <w:color w:val="auto"/>
                      <w:kern w:val="0"/>
                      <w:szCs w:val="21"/>
                      <w:lang w:bidi="ar"/>
                    </w:rPr>
                    <w:t>165</w:t>
                  </w:r>
                </w:p>
              </w:tc>
              <w:tc>
                <w:tcPr>
                  <w:tcW w:w="475" w:type="pct"/>
                  <w:noWrap/>
                  <w:vAlign w:val="center"/>
                </w:tcPr>
                <w:p w14:paraId="3F4245AD">
                  <w:pPr>
                    <w:widowControl/>
                    <w:jc w:val="center"/>
                    <w:textAlignment w:val="center"/>
                    <w:rPr>
                      <w:color w:val="auto"/>
                      <w:kern w:val="0"/>
                      <w:szCs w:val="21"/>
                      <w:lang w:bidi="ar"/>
                    </w:rPr>
                  </w:pPr>
                  <w:r>
                    <w:rPr>
                      <w:color w:val="auto"/>
                      <w:kern w:val="0"/>
                      <w:szCs w:val="21"/>
                      <w:lang w:bidi="ar"/>
                    </w:rPr>
                    <w:t xml:space="preserve">0.0045 </w:t>
                  </w:r>
                </w:p>
              </w:tc>
              <w:tc>
                <w:tcPr>
                  <w:tcW w:w="397" w:type="pct"/>
                  <w:noWrap/>
                  <w:vAlign w:val="center"/>
                </w:tcPr>
                <w:p w14:paraId="6C77E386">
                  <w:pPr>
                    <w:widowControl/>
                    <w:jc w:val="center"/>
                    <w:textAlignment w:val="center"/>
                    <w:rPr>
                      <w:color w:val="auto"/>
                      <w:kern w:val="0"/>
                      <w:szCs w:val="21"/>
                      <w:lang w:bidi="ar"/>
                    </w:rPr>
                  </w:pPr>
                  <w:r>
                    <w:rPr>
                      <w:color w:val="auto"/>
                      <w:kern w:val="0"/>
                      <w:szCs w:val="21"/>
                      <w:lang w:bidi="ar"/>
                    </w:rPr>
                    <w:t xml:space="preserve">320 </w:t>
                  </w:r>
                </w:p>
              </w:tc>
              <w:tc>
                <w:tcPr>
                  <w:tcW w:w="543" w:type="pct"/>
                  <w:noWrap/>
                  <w:vAlign w:val="center"/>
                </w:tcPr>
                <w:p w14:paraId="4E60782D">
                  <w:pPr>
                    <w:widowControl/>
                    <w:jc w:val="center"/>
                    <w:textAlignment w:val="center"/>
                    <w:rPr>
                      <w:color w:val="auto"/>
                      <w:kern w:val="0"/>
                      <w:szCs w:val="21"/>
                      <w:lang w:bidi="ar"/>
                    </w:rPr>
                  </w:pPr>
                  <w:r>
                    <w:rPr>
                      <w:color w:val="auto"/>
                      <w:kern w:val="0"/>
                      <w:szCs w:val="21"/>
                      <w:lang w:bidi="ar"/>
                    </w:rPr>
                    <w:t>0.4607</w:t>
                  </w:r>
                </w:p>
              </w:tc>
            </w:tr>
            <w:tr w14:paraId="77FF4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242F7214">
                  <w:pPr>
                    <w:widowControl/>
                    <w:jc w:val="center"/>
                    <w:textAlignment w:val="center"/>
                    <w:rPr>
                      <w:color w:val="auto"/>
                      <w:szCs w:val="21"/>
                    </w:rPr>
                  </w:pPr>
                  <w:r>
                    <w:rPr>
                      <w:color w:val="auto"/>
                      <w:kern w:val="0"/>
                      <w:szCs w:val="21"/>
                      <w:lang w:bidi="ar"/>
                    </w:rPr>
                    <w:t>氨氮</w:t>
                  </w:r>
                </w:p>
              </w:tc>
              <w:tc>
                <w:tcPr>
                  <w:tcW w:w="454" w:type="pct"/>
                  <w:noWrap/>
                  <w:vAlign w:val="center"/>
                </w:tcPr>
                <w:p w14:paraId="4B3821B0">
                  <w:pPr>
                    <w:keepNext w:val="0"/>
                    <w:keepLines w:val="0"/>
                    <w:widowControl/>
                    <w:suppressLineNumbers w:val="0"/>
                    <w:jc w:val="center"/>
                    <w:textAlignment w:val="center"/>
                    <w:rPr>
                      <w:rFonts w:hint="default" w:eastAsia="宋体"/>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43.8</w:t>
                  </w:r>
                </w:p>
              </w:tc>
              <w:tc>
                <w:tcPr>
                  <w:tcW w:w="485" w:type="pct"/>
                  <w:noWrap/>
                  <w:vAlign w:val="center"/>
                </w:tcPr>
                <w:p w14:paraId="43712E2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0.0585 </w:t>
                  </w:r>
                </w:p>
              </w:tc>
              <w:tc>
                <w:tcPr>
                  <w:tcW w:w="412" w:type="pct"/>
                  <w:noWrap/>
                  <w:vAlign w:val="center"/>
                </w:tcPr>
                <w:p w14:paraId="6804B0D6">
                  <w:pPr>
                    <w:jc w:val="center"/>
                    <w:rPr>
                      <w:color w:val="auto"/>
                      <w:kern w:val="0"/>
                      <w:szCs w:val="21"/>
                      <w:lang w:bidi="ar"/>
                    </w:rPr>
                  </w:pPr>
                  <w:r>
                    <w:rPr>
                      <w:rFonts w:hint="eastAsia"/>
                      <w:color w:val="auto"/>
                      <w:kern w:val="0"/>
                      <w:szCs w:val="21"/>
                      <w:lang w:bidi="ar"/>
                    </w:rPr>
                    <w:t>/</w:t>
                  </w:r>
                </w:p>
              </w:tc>
              <w:tc>
                <w:tcPr>
                  <w:tcW w:w="472" w:type="pct"/>
                  <w:noWrap/>
                  <w:vAlign w:val="center"/>
                </w:tcPr>
                <w:p w14:paraId="1700E8B2">
                  <w:pPr>
                    <w:jc w:val="center"/>
                    <w:rPr>
                      <w:color w:val="auto"/>
                      <w:kern w:val="0"/>
                      <w:szCs w:val="21"/>
                      <w:lang w:bidi="ar"/>
                    </w:rPr>
                  </w:pPr>
                  <w:r>
                    <w:rPr>
                      <w:rFonts w:hint="eastAsia"/>
                      <w:color w:val="auto"/>
                      <w:kern w:val="0"/>
                      <w:szCs w:val="21"/>
                      <w:lang w:bidi="ar"/>
                    </w:rPr>
                    <w:t>/</w:t>
                  </w:r>
                </w:p>
              </w:tc>
              <w:tc>
                <w:tcPr>
                  <w:tcW w:w="401" w:type="pct"/>
                  <w:noWrap/>
                  <w:vAlign w:val="center"/>
                </w:tcPr>
                <w:p w14:paraId="18EBBE2C">
                  <w:pPr>
                    <w:jc w:val="center"/>
                    <w:rPr>
                      <w:color w:val="auto"/>
                      <w:kern w:val="0"/>
                      <w:szCs w:val="21"/>
                      <w:lang w:bidi="ar"/>
                    </w:rPr>
                  </w:pPr>
                  <w:r>
                    <w:rPr>
                      <w:rFonts w:hint="eastAsia"/>
                      <w:color w:val="auto"/>
                      <w:kern w:val="0"/>
                      <w:szCs w:val="21"/>
                      <w:lang w:bidi="ar"/>
                    </w:rPr>
                    <w:t>/</w:t>
                  </w:r>
                </w:p>
              </w:tc>
              <w:tc>
                <w:tcPr>
                  <w:tcW w:w="465" w:type="pct"/>
                  <w:noWrap/>
                  <w:vAlign w:val="center"/>
                </w:tcPr>
                <w:p w14:paraId="26EB58BB">
                  <w:pPr>
                    <w:jc w:val="center"/>
                    <w:rPr>
                      <w:color w:val="auto"/>
                      <w:kern w:val="0"/>
                      <w:szCs w:val="21"/>
                      <w:lang w:bidi="ar"/>
                    </w:rPr>
                  </w:pPr>
                  <w:r>
                    <w:rPr>
                      <w:rFonts w:hint="eastAsia"/>
                      <w:color w:val="auto"/>
                      <w:kern w:val="0"/>
                      <w:szCs w:val="21"/>
                      <w:lang w:bidi="ar"/>
                    </w:rPr>
                    <w:t>/</w:t>
                  </w:r>
                </w:p>
              </w:tc>
              <w:tc>
                <w:tcPr>
                  <w:tcW w:w="401" w:type="pct"/>
                  <w:noWrap/>
                  <w:vAlign w:val="center"/>
                </w:tcPr>
                <w:p w14:paraId="2DB7C0FF">
                  <w:pPr>
                    <w:jc w:val="center"/>
                    <w:rPr>
                      <w:color w:val="auto"/>
                      <w:kern w:val="0"/>
                      <w:szCs w:val="21"/>
                      <w:lang w:bidi="ar"/>
                    </w:rPr>
                  </w:pPr>
                  <w:r>
                    <w:rPr>
                      <w:rFonts w:hint="eastAsia"/>
                      <w:color w:val="auto"/>
                      <w:kern w:val="0"/>
                      <w:szCs w:val="21"/>
                      <w:lang w:bidi="ar"/>
                    </w:rPr>
                    <w:t>/</w:t>
                  </w:r>
                </w:p>
              </w:tc>
              <w:tc>
                <w:tcPr>
                  <w:tcW w:w="475" w:type="pct"/>
                  <w:noWrap/>
                  <w:vAlign w:val="center"/>
                </w:tcPr>
                <w:p w14:paraId="7D73BFEA">
                  <w:pPr>
                    <w:jc w:val="center"/>
                    <w:rPr>
                      <w:color w:val="auto"/>
                      <w:kern w:val="0"/>
                      <w:szCs w:val="21"/>
                      <w:lang w:bidi="ar"/>
                    </w:rPr>
                  </w:pPr>
                  <w:r>
                    <w:rPr>
                      <w:rFonts w:hint="eastAsia"/>
                      <w:color w:val="auto"/>
                      <w:kern w:val="0"/>
                      <w:szCs w:val="21"/>
                      <w:lang w:bidi="ar"/>
                    </w:rPr>
                    <w:t>/</w:t>
                  </w:r>
                </w:p>
              </w:tc>
              <w:tc>
                <w:tcPr>
                  <w:tcW w:w="825" w:type="dxa"/>
                  <w:noWrap/>
                  <w:vAlign w:val="center"/>
                </w:tcPr>
                <w:p w14:paraId="5C96669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40.7 </w:t>
                  </w:r>
                </w:p>
              </w:tc>
              <w:tc>
                <w:tcPr>
                  <w:tcW w:w="1126" w:type="dxa"/>
                  <w:noWrap/>
                  <w:vAlign w:val="center"/>
                </w:tcPr>
                <w:p w14:paraId="10E9E4E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0.0585</w:t>
                  </w:r>
                </w:p>
              </w:tc>
            </w:tr>
            <w:tr w14:paraId="31812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166F15A5">
                  <w:pPr>
                    <w:widowControl/>
                    <w:jc w:val="center"/>
                    <w:textAlignment w:val="center"/>
                    <w:rPr>
                      <w:color w:val="auto"/>
                      <w:szCs w:val="21"/>
                    </w:rPr>
                  </w:pPr>
                  <w:r>
                    <w:rPr>
                      <w:color w:val="auto"/>
                      <w:kern w:val="0"/>
                      <w:szCs w:val="21"/>
                      <w:lang w:bidi="ar"/>
                    </w:rPr>
                    <w:t>石油类</w:t>
                  </w:r>
                </w:p>
              </w:tc>
              <w:tc>
                <w:tcPr>
                  <w:tcW w:w="454" w:type="pct"/>
                  <w:noWrap/>
                  <w:vAlign w:val="center"/>
                </w:tcPr>
                <w:p w14:paraId="3E9E1BE8">
                  <w:pPr>
                    <w:widowControl/>
                    <w:jc w:val="center"/>
                    <w:textAlignment w:val="center"/>
                    <w:rPr>
                      <w:color w:val="auto"/>
                      <w:kern w:val="0"/>
                      <w:szCs w:val="21"/>
                      <w:lang w:bidi="ar"/>
                    </w:rPr>
                  </w:pPr>
                  <w:r>
                    <w:rPr>
                      <w:rFonts w:hint="eastAsia"/>
                      <w:color w:val="auto"/>
                      <w:kern w:val="0"/>
                      <w:szCs w:val="21"/>
                      <w:lang w:bidi="ar"/>
                    </w:rPr>
                    <w:t>51</w:t>
                  </w:r>
                  <w:r>
                    <w:rPr>
                      <w:color w:val="auto"/>
                      <w:kern w:val="0"/>
                      <w:szCs w:val="21"/>
                      <w:lang w:bidi="ar"/>
                    </w:rPr>
                    <w:t xml:space="preserve"> </w:t>
                  </w:r>
                </w:p>
              </w:tc>
              <w:tc>
                <w:tcPr>
                  <w:tcW w:w="485" w:type="pct"/>
                  <w:noWrap/>
                  <w:vAlign w:val="center"/>
                </w:tcPr>
                <w:p w14:paraId="52A15943">
                  <w:pPr>
                    <w:widowControl/>
                    <w:jc w:val="center"/>
                    <w:textAlignment w:val="center"/>
                    <w:rPr>
                      <w:color w:val="auto"/>
                      <w:kern w:val="0"/>
                      <w:szCs w:val="21"/>
                      <w:lang w:bidi="ar"/>
                    </w:rPr>
                  </w:pPr>
                  <w:r>
                    <w:rPr>
                      <w:color w:val="auto"/>
                      <w:kern w:val="0"/>
                      <w:szCs w:val="21"/>
                      <w:lang w:bidi="ar"/>
                    </w:rPr>
                    <w:t>0.0683</w:t>
                  </w:r>
                </w:p>
              </w:tc>
              <w:tc>
                <w:tcPr>
                  <w:tcW w:w="412" w:type="pct"/>
                  <w:noWrap/>
                  <w:vAlign w:val="center"/>
                </w:tcPr>
                <w:p w14:paraId="12EA5235">
                  <w:pPr>
                    <w:jc w:val="center"/>
                    <w:rPr>
                      <w:color w:val="auto"/>
                      <w:kern w:val="0"/>
                      <w:szCs w:val="21"/>
                      <w:lang w:bidi="ar"/>
                    </w:rPr>
                  </w:pPr>
                  <w:r>
                    <w:rPr>
                      <w:rFonts w:hint="eastAsia"/>
                      <w:color w:val="auto"/>
                      <w:kern w:val="0"/>
                      <w:szCs w:val="21"/>
                      <w:lang w:bidi="ar"/>
                    </w:rPr>
                    <w:t>/</w:t>
                  </w:r>
                </w:p>
              </w:tc>
              <w:tc>
                <w:tcPr>
                  <w:tcW w:w="472" w:type="pct"/>
                  <w:noWrap/>
                  <w:vAlign w:val="center"/>
                </w:tcPr>
                <w:p w14:paraId="42608030">
                  <w:pPr>
                    <w:jc w:val="center"/>
                    <w:rPr>
                      <w:color w:val="auto"/>
                      <w:kern w:val="0"/>
                      <w:szCs w:val="21"/>
                      <w:lang w:bidi="ar"/>
                    </w:rPr>
                  </w:pPr>
                  <w:r>
                    <w:rPr>
                      <w:rFonts w:hint="eastAsia"/>
                      <w:color w:val="auto"/>
                      <w:kern w:val="0"/>
                      <w:szCs w:val="21"/>
                      <w:lang w:bidi="ar"/>
                    </w:rPr>
                    <w:t>/</w:t>
                  </w:r>
                </w:p>
              </w:tc>
              <w:tc>
                <w:tcPr>
                  <w:tcW w:w="401" w:type="pct"/>
                  <w:noWrap/>
                  <w:vAlign w:val="center"/>
                </w:tcPr>
                <w:p w14:paraId="0B228F7A">
                  <w:pPr>
                    <w:jc w:val="center"/>
                    <w:rPr>
                      <w:color w:val="auto"/>
                      <w:kern w:val="0"/>
                      <w:szCs w:val="21"/>
                      <w:lang w:bidi="ar"/>
                    </w:rPr>
                  </w:pPr>
                  <w:r>
                    <w:rPr>
                      <w:rFonts w:hint="eastAsia"/>
                      <w:color w:val="auto"/>
                      <w:kern w:val="0"/>
                      <w:szCs w:val="21"/>
                      <w:lang w:bidi="ar"/>
                    </w:rPr>
                    <w:t>/</w:t>
                  </w:r>
                </w:p>
              </w:tc>
              <w:tc>
                <w:tcPr>
                  <w:tcW w:w="465" w:type="pct"/>
                  <w:noWrap/>
                  <w:vAlign w:val="center"/>
                </w:tcPr>
                <w:p w14:paraId="47E6ED39">
                  <w:pPr>
                    <w:jc w:val="center"/>
                    <w:rPr>
                      <w:color w:val="auto"/>
                      <w:kern w:val="0"/>
                      <w:szCs w:val="21"/>
                      <w:lang w:bidi="ar"/>
                    </w:rPr>
                  </w:pPr>
                  <w:r>
                    <w:rPr>
                      <w:rFonts w:hint="eastAsia"/>
                      <w:color w:val="auto"/>
                      <w:kern w:val="0"/>
                      <w:szCs w:val="21"/>
                      <w:lang w:bidi="ar"/>
                    </w:rPr>
                    <w:t>/</w:t>
                  </w:r>
                </w:p>
              </w:tc>
              <w:tc>
                <w:tcPr>
                  <w:tcW w:w="401" w:type="pct"/>
                  <w:noWrap/>
                  <w:vAlign w:val="center"/>
                </w:tcPr>
                <w:p w14:paraId="01277C80">
                  <w:pPr>
                    <w:jc w:val="center"/>
                    <w:rPr>
                      <w:color w:val="auto"/>
                      <w:kern w:val="0"/>
                      <w:szCs w:val="21"/>
                      <w:lang w:bidi="ar"/>
                    </w:rPr>
                  </w:pPr>
                  <w:r>
                    <w:rPr>
                      <w:rFonts w:hint="eastAsia"/>
                      <w:color w:val="auto"/>
                      <w:kern w:val="0"/>
                      <w:szCs w:val="21"/>
                      <w:lang w:bidi="ar"/>
                    </w:rPr>
                    <w:t>/</w:t>
                  </w:r>
                </w:p>
              </w:tc>
              <w:tc>
                <w:tcPr>
                  <w:tcW w:w="475" w:type="pct"/>
                  <w:noWrap/>
                  <w:vAlign w:val="center"/>
                </w:tcPr>
                <w:p w14:paraId="62DFF757">
                  <w:pPr>
                    <w:jc w:val="center"/>
                    <w:rPr>
                      <w:color w:val="auto"/>
                      <w:kern w:val="0"/>
                      <w:szCs w:val="21"/>
                      <w:lang w:bidi="ar"/>
                    </w:rPr>
                  </w:pPr>
                  <w:r>
                    <w:rPr>
                      <w:rFonts w:hint="eastAsia"/>
                      <w:color w:val="auto"/>
                      <w:kern w:val="0"/>
                      <w:szCs w:val="21"/>
                      <w:lang w:bidi="ar"/>
                    </w:rPr>
                    <w:t>/</w:t>
                  </w:r>
                </w:p>
              </w:tc>
              <w:tc>
                <w:tcPr>
                  <w:tcW w:w="397" w:type="pct"/>
                  <w:noWrap/>
                  <w:vAlign w:val="center"/>
                </w:tcPr>
                <w:p w14:paraId="4520B154">
                  <w:pPr>
                    <w:widowControl/>
                    <w:jc w:val="center"/>
                    <w:textAlignment w:val="center"/>
                    <w:rPr>
                      <w:color w:val="auto"/>
                      <w:kern w:val="0"/>
                      <w:szCs w:val="21"/>
                      <w:lang w:bidi="ar"/>
                    </w:rPr>
                  </w:pPr>
                  <w:r>
                    <w:rPr>
                      <w:color w:val="auto"/>
                      <w:kern w:val="0"/>
                      <w:szCs w:val="21"/>
                      <w:lang w:bidi="ar"/>
                    </w:rPr>
                    <w:t xml:space="preserve">47.5 </w:t>
                  </w:r>
                </w:p>
              </w:tc>
              <w:tc>
                <w:tcPr>
                  <w:tcW w:w="543" w:type="pct"/>
                  <w:noWrap/>
                  <w:vAlign w:val="center"/>
                </w:tcPr>
                <w:p w14:paraId="123FB7F7">
                  <w:pPr>
                    <w:widowControl/>
                    <w:jc w:val="center"/>
                    <w:textAlignment w:val="center"/>
                    <w:rPr>
                      <w:color w:val="auto"/>
                      <w:kern w:val="0"/>
                      <w:szCs w:val="21"/>
                      <w:lang w:bidi="ar"/>
                    </w:rPr>
                  </w:pPr>
                  <w:r>
                    <w:rPr>
                      <w:color w:val="auto"/>
                      <w:kern w:val="0"/>
                      <w:szCs w:val="21"/>
                      <w:lang w:bidi="ar"/>
                    </w:rPr>
                    <w:t>0.0683</w:t>
                  </w:r>
                </w:p>
              </w:tc>
            </w:tr>
            <w:tr w14:paraId="7AA86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42C3A032">
                  <w:pPr>
                    <w:widowControl/>
                    <w:jc w:val="center"/>
                    <w:textAlignment w:val="center"/>
                    <w:rPr>
                      <w:color w:val="auto"/>
                      <w:szCs w:val="21"/>
                    </w:rPr>
                  </w:pPr>
                  <w:r>
                    <w:rPr>
                      <w:color w:val="auto"/>
                      <w:kern w:val="0"/>
                      <w:szCs w:val="21"/>
                      <w:lang w:bidi="ar"/>
                    </w:rPr>
                    <w:t>总氮</w:t>
                  </w:r>
                </w:p>
              </w:tc>
              <w:tc>
                <w:tcPr>
                  <w:tcW w:w="454" w:type="pct"/>
                  <w:noWrap/>
                  <w:vAlign w:val="center"/>
                </w:tcPr>
                <w:p w14:paraId="65E577C7">
                  <w:pPr>
                    <w:widowControl/>
                    <w:jc w:val="center"/>
                    <w:textAlignment w:val="center"/>
                    <w:rPr>
                      <w:color w:val="auto"/>
                      <w:kern w:val="0"/>
                      <w:szCs w:val="21"/>
                      <w:lang w:bidi="ar"/>
                    </w:rPr>
                  </w:pPr>
                  <w:r>
                    <w:rPr>
                      <w:rFonts w:hint="eastAsia"/>
                      <w:color w:val="auto"/>
                      <w:kern w:val="0"/>
                      <w:szCs w:val="21"/>
                      <w:lang w:bidi="ar"/>
                    </w:rPr>
                    <w:t>11</w:t>
                  </w:r>
                </w:p>
              </w:tc>
              <w:tc>
                <w:tcPr>
                  <w:tcW w:w="485" w:type="pct"/>
                  <w:noWrap/>
                  <w:vAlign w:val="center"/>
                </w:tcPr>
                <w:p w14:paraId="2F30F06D">
                  <w:pPr>
                    <w:widowControl/>
                    <w:jc w:val="center"/>
                    <w:textAlignment w:val="center"/>
                    <w:rPr>
                      <w:color w:val="auto"/>
                      <w:kern w:val="0"/>
                      <w:szCs w:val="21"/>
                      <w:lang w:bidi="ar"/>
                    </w:rPr>
                  </w:pPr>
                  <w:r>
                    <w:rPr>
                      <w:color w:val="auto"/>
                      <w:kern w:val="0"/>
                      <w:szCs w:val="21"/>
                      <w:lang w:bidi="ar"/>
                    </w:rPr>
                    <w:t>0.0153</w:t>
                  </w:r>
                </w:p>
              </w:tc>
              <w:tc>
                <w:tcPr>
                  <w:tcW w:w="412" w:type="pct"/>
                  <w:noWrap/>
                  <w:vAlign w:val="center"/>
                </w:tcPr>
                <w:p w14:paraId="038444FE">
                  <w:pPr>
                    <w:jc w:val="center"/>
                    <w:rPr>
                      <w:color w:val="auto"/>
                      <w:kern w:val="0"/>
                      <w:szCs w:val="21"/>
                      <w:lang w:bidi="ar"/>
                    </w:rPr>
                  </w:pPr>
                  <w:r>
                    <w:rPr>
                      <w:rFonts w:hint="eastAsia"/>
                      <w:color w:val="auto"/>
                      <w:kern w:val="0"/>
                      <w:szCs w:val="21"/>
                      <w:lang w:bidi="ar"/>
                    </w:rPr>
                    <w:t>/</w:t>
                  </w:r>
                </w:p>
              </w:tc>
              <w:tc>
                <w:tcPr>
                  <w:tcW w:w="472" w:type="pct"/>
                  <w:noWrap/>
                  <w:vAlign w:val="center"/>
                </w:tcPr>
                <w:p w14:paraId="04576B04">
                  <w:pPr>
                    <w:jc w:val="center"/>
                    <w:rPr>
                      <w:color w:val="auto"/>
                      <w:kern w:val="0"/>
                      <w:szCs w:val="21"/>
                      <w:lang w:bidi="ar"/>
                    </w:rPr>
                  </w:pPr>
                  <w:r>
                    <w:rPr>
                      <w:rFonts w:hint="eastAsia"/>
                      <w:color w:val="auto"/>
                      <w:kern w:val="0"/>
                      <w:szCs w:val="21"/>
                      <w:lang w:bidi="ar"/>
                    </w:rPr>
                    <w:t>/</w:t>
                  </w:r>
                </w:p>
              </w:tc>
              <w:tc>
                <w:tcPr>
                  <w:tcW w:w="401" w:type="pct"/>
                  <w:noWrap/>
                  <w:vAlign w:val="center"/>
                </w:tcPr>
                <w:p w14:paraId="28B12869">
                  <w:pPr>
                    <w:jc w:val="center"/>
                    <w:rPr>
                      <w:color w:val="auto"/>
                      <w:kern w:val="0"/>
                      <w:szCs w:val="21"/>
                      <w:lang w:bidi="ar"/>
                    </w:rPr>
                  </w:pPr>
                  <w:r>
                    <w:rPr>
                      <w:rFonts w:hint="eastAsia"/>
                      <w:color w:val="auto"/>
                      <w:kern w:val="0"/>
                      <w:szCs w:val="21"/>
                      <w:lang w:bidi="ar"/>
                    </w:rPr>
                    <w:t>/</w:t>
                  </w:r>
                </w:p>
              </w:tc>
              <w:tc>
                <w:tcPr>
                  <w:tcW w:w="465" w:type="pct"/>
                  <w:noWrap/>
                  <w:vAlign w:val="center"/>
                </w:tcPr>
                <w:p w14:paraId="2F680136">
                  <w:pPr>
                    <w:jc w:val="center"/>
                    <w:rPr>
                      <w:color w:val="auto"/>
                      <w:kern w:val="0"/>
                      <w:szCs w:val="21"/>
                      <w:lang w:bidi="ar"/>
                    </w:rPr>
                  </w:pPr>
                  <w:r>
                    <w:rPr>
                      <w:rFonts w:hint="eastAsia"/>
                      <w:color w:val="auto"/>
                      <w:kern w:val="0"/>
                      <w:szCs w:val="21"/>
                      <w:lang w:bidi="ar"/>
                    </w:rPr>
                    <w:t>/</w:t>
                  </w:r>
                </w:p>
              </w:tc>
              <w:tc>
                <w:tcPr>
                  <w:tcW w:w="401" w:type="pct"/>
                  <w:noWrap/>
                  <w:vAlign w:val="center"/>
                </w:tcPr>
                <w:p w14:paraId="44034FE1">
                  <w:pPr>
                    <w:jc w:val="center"/>
                    <w:rPr>
                      <w:color w:val="auto"/>
                      <w:kern w:val="0"/>
                      <w:szCs w:val="21"/>
                      <w:lang w:bidi="ar"/>
                    </w:rPr>
                  </w:pPr>
                  <w:r>
                    <w:rPr>
                      <w:rFonts w:hint="eastAsia"/>
                      <w:color w:val="auto"/>
                      <w:kern w:val="0"/>
                      <w:szCs w:val="21"/>
                      <w:lang w:bidi="ar"/>
                    </w:rPr>
                    <w:t>/</w:t>
                  </w:r>
                </w:p>
              </w:tc>
              <w:tc>
                <w:tcPr>
                  <w:tcW w:w="475" w:type="pct"/>
                  <w:noWrap/>
                  <w:vAlign w:val="center"/>
                </w:tcPr>
                <w:p w14:paraId="4E1C4DB8">
                  <w:pPr>
                    <w:jc w:val="center"/>
                    <w:rPr>
                      <w:color w:val="auto"/>
                      <w:kern w:val="0"/>
                      <w:szCs w:val="21"/>
                      <w:lang w:bidi="ar"/>
                    </w:rPr>
                  </w:pPr>
                  <w:r>
                    <w:rPr>
                      <w:rFonts w:hint="eastAsia"/>
                      <w:color w:val="auto"/>
                      <w:kern w:val="0"/>
                      <w:szCs w:val="21"/>
                      <w:lang w:bidi="ar"/>
                    </w:rPr>
                    <w:t>/</w:t>
                  </w:r>
                </w:p>
              </w:tc>
              <w:tc>
                <w:tcPr>
                  <w:tcW w:w="397" w:type="pct"/>
                  <w:noWrap/>
                  <w:vAlign w:val="center"/>
                </w:tcPr>
                <w:p w14:paraId="2EDE63A9">
                  <w:pPr>
                    <w:widowControl/>
                    <w:jc w:val="center"/>
                    <w:textAlignment w:val="center"/>
                    <w:rPr>
                      <w:color w:val="auto"/>
                      <w:kern w:val="0"/>
                      <w:szCs w:val="21"/>
                      <w:lang w:bidi="ar"/>
                    </w:rPr>
                  </w:pPr>
                  <w:r>
                    <w:rPr>
                      <w:color w:val="auto"/>
                      <w:kern w:val="0"/>
                      <w:szCs w:val="21"/>
                      <w:lang w:bidi="ar"/>
                    </w:rPr>
                    <w:t xml:space="preserve">10.6 </w:t>
                  </w:r>
                </w:p>
              </w:tc>
              <w:tc>
                <w:tcPr>
                  <w:tcW w:w="543" w:type="pct"/>
                  <w:noWrap/>
                  <w:vAlign w:val="center"/>
                </w:tcPr>
                <w:p w14:paraId="24A21FBD">
                  <w:pPr>
                    <w:widowControl/>
                    <w:jc w:val="center"/>
                    <w:textAlignment w:val="center"/>
                    <w:rPr>
                      <w:color w:val="auto"/>
                      <w:kern w:val="0"/>
                      <w:szCs w:val="21"/>
                      <w:lang w:bidi="ar"/>
                    </w:rPr>
                  </w:pPr>
                  <w:r>
                    <w:rPr>
                      <w:color w:val="auto"/>
                      <w:kern w:val="0"/>
                      <w:szCs w:val="21"/>
                      <w:lang w:bidi="ar"/>
                    </w:rPr>
                    <w:t>0.0153</w:t>
                  </w:r>
                </w:p>
              </w:tc>
            </w:tr>
            <w:tr w14:paraId="7EAEE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2A267A8C">
                  <w:pPr>
                    <w:widowControl/>
                    <w:jc w:val="center"/>
                    <w:textAlignment w:val="center"/>
                    <w:rPr>
                      <w:color w:val="auto"/>
                      <w:kern w:val="0"/>
                      <w:szCs w:val="21"/>
                      <w:lang w:bidi="ar"/>
                    </w:rPr>
                  </w:pPr>
                  <w:r>
                    <w:rPr>
                      <w:color w:val="auto"/>
                      <w:kern w:val="0"/>
                      <w:szCs w:val="21"/>
                      <w:lang w:bidi="ar"/>
                    </w:rPr>
                    <w:t>总磷</w:t>
                  </w:r>
                </w:p>
              </w:tc>
              <w:tc>
                <w:tcPr>
                  <w:tcW w:w="454" w:type="pct"/>
                  <w:noWrap/>
                  <w:vAlign w:val="center"/>
                </w:tcPr>
                <w:p w14:paraId="213804AF">
                  <w:pPr>
                    <w:widowControl/>
                    <w:jc w:val="center"/>
                    <w:textAlignment w:val="center"/>
                    <w:rPr>
                      <w:color w:val="auto"/>
                      <w:kern w:val="0"/>
                      <w:szCs w:val="21"/>
                      <w:lang w:bidi="ar"/>
                    </w:rPr>
                  </w:pPr>
                  <w:r>
                    <w:rPr>
                      <w:rFonts w:hint="eastAsia"/>
                      <w:color w:val="auto"/>
                      <w:kern w:val="0"/>
                      <w:szCs w:val="21"/>
                      <w:lang w:bidi="ar"/>
                    </w:rPr>
                    <w:t>97</w:t>
                  </w:r>
                </w:p>
              </w:tc>
              <w:tc>
                <w:tcPr>
                  <w:tcW w:w="485" w:type="pct"/>
                  <w:noWrap/>
                  <w:vAlign w:val="center"/>
                </w:tcPr>
                <w:p w14:paraId="7D186D69">
                  <w:pPr>
                    <w:widowControl/>
                    <w:jc w:val="center"/>
                    <w:textAlignment w:val="center"/>
                    <w:rPr>
                      <w:color w:val="auto"/>
                      <w:kern w:val="0"/>
                      <w:szCs w:val="21"/>
                      <w:lang w:bidi="ar"/>
                    </w:rPr>
                  </w:pPr>
                  <w:r>
                    <w:rPr>
                      <w:color w:val="auto"/>
                      <w:kern w:val="0"/>
                      <w:szCs w:val="21"/>
                      <w:lang w:bidi="ar"/>
                    </w:rPr>
                    <w:t>0.1291</w:t>
                  </w:r>
                </w:p>
              </w:tc>
              <w:tc>
                <w:tcPr>
                  <w:tcW w:w="412" w:type="pct"/>
                  <w:noWrap/>
                  <w:vAlign w:val="center"/>
                </w:tcPr>
                <w:p w14:paraId="2D2A4C0F">
                  <w:pPr>
                    <w:jc w:val="center"/>
                    <w:rPr>
                      <w:color w:val="auto"/>
                      <w:kern w:val="0"/>
                      <w:szCs w:val="21"/>
                      <w:lang w:bidi="ar"/>
                    </w:rPr>
                  </w:pPr>
                  <w:r>
                    <w:rPr>
                      <w:rFonts w:hint="eastAsia"/>
                      <w:color w:val="auto"/>
                      <w:kern w:val="0"/>
                      <w:szCs w:val="21"/>
                      <w:lang w:bidi="ar"/>
                    </w:rPr>
                    <w:t>/</w:t>
                  </w:r>
                </w:p>
              </w:tc>
              <w:tc>
                <w:tcPr>
                  <w:tcW w:w="472" w:type="pct"/>
                  <w:noWrap/>
                  <w:vAlign w:val="center"/>
                </w:tcPr>
                <w:p w14:paraId="4AB4991D">
                  <w:pPr>
                    <w:jc w:val="center"/>
                    <w:rPr>
                      <w:color w:val="auto"/>
                      <w:kern w:val="0"/>
                      <w:szCs w:val="21"/>
                      <w:lang w:bidi="ar"/>
                    </w:rPr>
                  </w:pPr>
                  <w:r>
                    <w:rPr>
                      <w:rFonts w:hint="eastAsia"/>
                      <w:color w:val="auto"/>
                      <w:kern w:val="0"/>
                      <w:szCs w:val="21"/>
                      <w:lang w:bidi="ar"/>
                    </w:rPr>
                    <w:t>/</w:t>
                  </w:r>
                </w:p>
              </w:tc>
              <w:tc>
                <w:tcPr>
                  <w:tcW w:w="401" w:type="pct"/>
                  <w:noWrap/>
                  <w:vAlign w:val="center"/>
                </w:tcPr>
                <w:p w14:paraId="0D62DA2F">
                  <w:pPr>
                    <w:jc w:val="center"/>
                    <w:rPr>
                      <w:color w:val="auto"/>
                      <w:kern w:val="0"/>
                      <w:szCs w:val="21"/>
                      <w:lang w:bidi="ar"/>
                    </w:rPr>
                  </w:pPr>
                  <w:r>
                    <w:rPr>
                      <w:rFonts w:hint="eastAsia"/>
                      <w:color w:val="auto"/>
                      <w:kern w:val="0"/>
                      <w:szCs w:val="21"/>
                      <w:lang w:bidi="ar"/>
                    </w:rPr>
                    <w:t>/</w:t>
                  </w:r>
                </w:p>
              </w:tc>
              <w:tc>
                <w:tcPr>
                  <w:tcW w:w="465" w:type="pct"/>
                  <w:noWrap/>
                  <w:vAlign w:val="center"/>
                </w:tcPr>
                <w:p w14:paraId="2458FF17">
                  <w:pPr>
                    <w:jc w:val="center"/>
                    <w:rPr>
                      <w:color w:val="auto"/>
                      <w:kern w:val="0"/>
                      <w:szCs w:val="21"/>
                      <w:lang w:bidi="ar"/>
                    </w:rPr>
                  </w:pPr>
                  <w:r>
                    <w:rPr>
                      <w:rFonts w:hint="eastAsia"/>
                      <w:color w:val="auto"/>
                      <w:kern w:val="0"/>
                      <w:szCs w:val="21"/>
                      <w:lang w:bidi="ar"/>
                    </w:rPr>
                    <w:t>/</w:t>
                  </w:r>
                </w:p>
              </w:tc>
              <w:tc>
                <w:tcPr>
                  <w:tcW w:w="401" w:type="pct"/>
                  <w:noWrap/>
                  <w:vAlign w:val="center"/>
                </w:tcPr>
                <w:p w14:paraId="053EC9CF">
                  <w:pPr>
                    <w:jc w:val="center"/>
                    <w:rPr>
                      <w:color w:val="auto"/>
                      <w:kern w:val="0"/>
                      <w:szCs w:val="21"/>
                      <w:lang w:bidi="ar"/>
                    </w:rPr>
                  </w:pPr>
                  <w:r>
                    <w:rPr>
                      <w:rFonts w:hint="eastAsia"/>
                      <w:color w:val="auto"/>
                      <w:kern w:val="0"/>
                      <w:szCs w:val="21"/>
                      <w:lang w:bidi="ar"/>
                    </w:rPr>
                    <w:t>/</w:t>
                  </w:r>
                </w:p>
              </w:tc>
              <w:tc>
                <w:tcPr>
                  <w:tcW w:w="475" w:type="pct"/>
                  <w:noWrap/>
                  <w:vAlign w:val="center"/>
                </w:tcPr>
                <w:p w14:paraId="54D0C35E">
                  <w:pPr>
                    <w:jc w:val="center"/>
                    <w:rPr>
                      <w:color w:val="auto"/>
                      <w:kern w:val="0"/>
                      <w:szCs w:val="21"/>
                      <w:lang w:bidi="ar"/>
                    </w:rPr>
                  </w:pPr>
                  <w:r>
                    <w:rPr>
                      <w:rFonts w:hint="eastAsia"/>
                      <w:color w:val="auto"/>
                      <w:kern w:val="0"/>
                      <w:szCs w:val="21"/>
                      <w:lang w:bidi="ar"/>
                    </w:rPr>
                    <w:t>/</w:t>
                  </w:r>
                </w:p>
              </w:tc>
              <w:tc>
                <w:tcPr>
                  <w:tcW w:w="397" w:type="pct"/>
                  <w:noWrap/>
                  <w:vAlign w:val="center"/>
                </w:tcPr>
                <w:p w14:paraId="67E3DDB0">
                  <w:pPr>
                    <w:widowControl/>
                    <w:jc w:val="center"/>
                    <w:textAlignment w:val="center"/>
                    <w:rPr>
                      <w:color w:val="auto"/>
                      <w:kern w:val="0"/>
                      <w:szCs w:val="21"/>
                      <w:lang w:bidi="ar"/>
                    </w:rPr>
                  </w:pPr>
                  <w:r>
                    <w:rPr>
                      <w:color w:val="auto"/>
                      <w:kern w:val="0"/>
                      <w:szCs w:val="21"/>
                      <w:lang w:bidi="ar"/>
                    </w:rPr>
                    <w:t xml:space="preserve">89.8 </w:t>
                  </w:r>
                </w:p>
              </w:tc>
              <w:tc>
                <w:tcPr>
                  <w:tcW w:w="543" w:type="pct"/>
                  <w:noWrap/>
                  <w:vAlign w:val="center"/>
                </w:tcPr>
                <w:p w14:paraId="2BBCA266">
                  <w:pPr>
                    <w:widowControl/>
                    <w:jc w:val="center"/>
                    <w:textAlignment w:val="center"/>
                    <w:rPr>
                      <w:color w:val="auto"/>
                      <w:kern w:val="0"/>
                      <w:szCs w:val="21"/>
                      <w:lang w:bidi="ar"/>
                    </w:rPr>
                  </w:pPr>
                  <w:r>
                    <w:rPr>
                      <w:color w:val="auto"/>
                      <w:kern w:val="0"/>
                      <w:szCs w:val="21"/>
                      <w:lang w:bidi="ar"/>
                    </w:rPr>
                    <w:t>0.1291</w:t>
                  </w:r>
                </w:p>
              </w:tc>
            </w:tr>
            <w:tr w14:paraId="2D0DE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16EFB3FC">
                  <w:pPr>
                    <w:widowControl/>
                    <w:jc w:val="center"/>
                    <w:textAlignment w:val="center"/>
                    <w:rPr>
                      <w:color w:val="auto"/>
                      <w:szCs w:val="21"/>
                    </w:rPr>
                  </w:pPr>
                  <w:r>
                    <w:rPr>
                      <w:color w:val="auto"/>
                      <w:kern w:val="0"/>
                      <w:szCs w:val="21"/>
                      <w:lang w:bidi="ar"/>
                    </w:rPr>
                    <w:t>总铁</w:t>
                  </w:r>
                </w:p>
              </w:tc>
              <w:tc>
                <w:tcPr>
                  <w:tcW w:w="454" w:type="pct"/>
                  <w:noWrap/>
                  <w:vAlign w:val="center"/>
                </w:tcPr>
                <w:p w14:paraId="04D87722">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106</w:t>
                  </w:r>
                </w:p>
              </w:tc>
              <w:tc>
                <w:tcPr>
                  <w:tcW w:w="485" w:type="pct"/>
                  <w:noWrap/>
                  <w:vAlign w:val="center"/>
                </w:tcPr>
                <w:p w14:paraId="7F5F09BF">
                  <w:pPr>
                    <w:widowControl/>
                    <w:jc w:val="center"/>
                    <w:textAlignment w:val="center"/>
                    <w:rPr>
                      <w:color w:val="auto"/>
                      <w:kern w:val="0"/>
                      <w:szCs w:val="21"/>
                      <w:lang w:bidi="ar"/>
                    </w:rPr>
                  </w:pPr>
                  <w:r>
                    <w:rPr>
                      <w:rFonts w:hint="eastAsia"/>
                      <w:color w:val="auto"/>
                      <w:kern w:val="0"/>
                      <w:szCs w:val="21"/>
                      <w:lang w:val="en-US" w:eastAsia="zh-CN" w:bidi="ar"/>
                    </w:rPr>
                    <w:t>0.141</w:t>
                  </w:r>
                  <w:r>
                    <w:rPr>
                      <w:color w:val="auto"/>
                      <w:kern w:val="0"/>
                      <w:szCs w:val="21"/>
                      <w:lang w:bidi="ar"/>
                    </w:rPr>
                    <w:t xml:space="preserve"> </w:t>
                  </w:r>
                </w:p>
              </w:tc>
              <w:tc>
                <w:tcPr>
                  <w:tcW w:w="412" w:type="pct"/>
                  <w:noWrap/>
                  <w:vAlign w:val="center"/>
                </w:tcPr>
                <w:p w14:paraId="7C05DFA4">
                  <w:pPr>
                    <w:jc w:val="center"/>
                    <w:rPr>
                      <w:color w:val="auto"/>
                      <w:kern w:val="0"/>
                      <w:szCs w:val="21"/>
                      <w:lang w:bidi="ar"/>
                    </w:rPr>
                  </w:pPr>
                  <w:r>
                    <w:rPr>
                      <w:rFonts w:hint="eastAsia"/>
                      <w:color w:val="auto"/>
                      <w:kern w:val="0"/>
                      <w:szCs w:val="21"/>
                      <w:lang w:bidi="ar"/>
                    </w:rPr>
                    <w:t>/</w:t>
                  </w:r>
                </w:p>
              </w:tc>
              <w:tc>
                <w:tcPr>
                  <w:tcW w:w="472" w:type="pct"/>
                  <w:noWrap/>
                  <w:vAlign w:val="center"/>
                </w:tcPr>
                <w:p w14:paraId="08618F24">
                  <w:pPr>
                    <w:jc w:val="center"/>
                    <w:rPr>
                      <w:color w:val="auto"/>
                      <w:kern w:val="0"/>
                      <w:szCs w:val="21"/>
                      <w:lang w:bidi="ar"/>
                    </w:rPr>
                  </w:pPr>
                  <w:r>
                    <w:rPr>
                      <w:rFonts w:hint="eastAsia"/>
                      <w:color w:val="auto"/>
                      <w:kern w:val="0"/>
                      <w:szCs w:val="21"/>
                      <w:lang w:bidi="ar"/>
                    </w:rPr>
                    <w:t>/</w:t>
                  </w:r>
                </w:p>
              </w:tc>
              <w:tc>
                <w:tcPr>
                  <w:tcW w:w="401" w:type="pct"/>
                  <w:noWrap/>
                  <w:vAlign w:val="center"/>
                </w:tcPr>
                <w:p w14:paraId="21BD1599">
                  <w:pPr>
                    <w:jc w:val="center"/>
                    <w:rPr>
                      <w:color w:val="auto"/>
                      <w:kern w:val="0"/>
                      <w:szCs w:val="21"/>
                      <w:lang w:bidi="ar"/>
                    </w:rPr>
                  </w:pPr>
                  <w:r>
                    <w:rPr>
                      <w:rFonts w:hint="eastAsia"/>
                      <w:color w:val="auto"/>
                      <w:kern w:val="0"/>
                      <w:szCs w:val="21"/>
                      <w:lang w:bidi="ar"/>
                    </w:rPr>
                    <w:t>/</w:t>
                  </w:r>
                </w:p>
              </w:tc>
              <w:tc>
                <w:tcPr>
                  <w:tcW w:w="465" w:type="pct"/>
                  <w:noWrap/>
                  <w:vAlign w:val="center"/>
                </w:tcPr>
                <w:p w14:paraId="6DF246ED">
                  <w:pPr>
                    <w:jc w:val="center"/>
                    <w:rPr>
                      <w:color w:val="auto"/>
                      <w:kern w:val="0"/>
                      <w:szCs w:val="21"/>
                      <w:lang w:bidi="ar"/>
                    </w:rPr>
                  </w:pPr>
                  <w:r>
                    <w:rPr>
                      <w:rFonts w:hint="eastAsia"/>
                      <w:color w:val="auto"/>
                      <w:kern w:val="0"/>
                      <w:szCs w:val="21"/>
                      <w:lang w:bidi="ar"/>
                    </w:rPr>
                    <w:t>/</w:t>
                  </w:r>
                </w:p>
              </w:tc>
              <w:tc>
                <w:tcPr>
                  <w:tcW w:w="401" w:type="pct"/>
                  <w:noWrap/>
                  <w:vAlign w:val="center"/>
                </w:tcPr>
                <w:p w14:paraId="0297E2B8">
                  <w:pPr>
                    <w:jc w:val="center"/>
                    <w:rPr>
                      <w:color w:val="auto"/>
                      <w:kern w:val="0"/>
                      <w:szCs w:val="21"/>
                      <w:lang w:bidi="ar"/>
                    </w:rPr>
                  </w:pPr>
                  <w:r>
                    <w:rPr>
                      <w:rFonts w:hint="eastAsia"/>
                      <w:color w:val="auto"/>
                      <w:kern w:val="0"/>
                      <w:szCs w:val="21"/>
                      <w:lang w:bidi="ar"/>
                    </w:rPr>
                    <w:t>/</w:t>
                  </w:r>
                </w:p>
              </w:tc>
              <w:tc>
                <w:tcPr>
                  <w:tcW w:w="475" w:type="pct"/>
                  <w:noWrap/>
                  <w:vAlign w:val="center"/>
                </w:tcPr>
                <w:p w14:paraId="17E1609F">
                  <w:pPr>
                    <w:jc w:val="center"/>
                    <w:rPr>
                      <w:color w:val="auto"/>
                      <w:kern w:val="0"/>
                      <w:szCs w:val="21"/>
                      <w:lang w:bidi="ar"/>
                    </w:rPr>
                  </w:pPr>
                  <w:r>
                    <w:rPr>
                      <w:rFonts w:hint="eastAsia"/>
                      <w:color w:val="auto"/>
                      <w:kern w:val="0"/>
                      <w:szCs w:val="21"/>
                      <w:lang w:bidi="ar"/>
                    </w:rPr>
                    <w:t>/</w:t>
                  </w:r>
                </w:p>
              </w:tc>
              <w:tc>
                <w:tcPr>
                  <w:tcW w:w="397" w:type="pct"/>
                  <w:noWrap/>
                  <w:vAlign w:val="center"/>
                </w:tcPr>
                <w:p w14:paraId="3C447AF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98.1 </w:t>
                  </w:r>
                </w:p>
              </w:tc>
              <w:tc>
                <w:tcPr>
                  <w:tcW w:w="543" w:type="pct"/>
                  <w:noWrap/>
                  <w:vAlign w:val="center"/>
                </w:tcPr>
                <w:p w14:paraId="2A2D75D3">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0.141</w:t>
                  </w:r>
                </w:p>
              </w:tc>
            </w:tr>
            <w:tr w14:paraId="70DD3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0949498E">
                  <w:pPr>
                    <w:widowControl/>
                    <w:jc w:val="center"/>
                    <w:textAlignment w:val="center"/>
                    <w:rPr>
                      <w:color w:val="auto"/>
                      <w:kern w:val="0"/>
                      <w:szCs w:val="21"/>
                      <w:lang w:bidi="ar"/>
                    </w:rPr>
                  </w:pPr>
                  <w:r>
                    <w:rPr>
                      <w:color w:val="auto"/>
                      <w:kern w:val="0"/>
                      <w:szCs w:val="21"/>
                      <w:lang w:bidi="ar"/>
                    </w:rPr>
                    <w:t>总锌</w:t>
                  </w:r>
                </w:p>
              </w:tc>
              <w:tc>
                <w:tcPr>
                  <w:tcW w:w="454" w:type="pct"/>
                  <w:noWrap/>
                  <w:vAlign w:val="center"/>
                </w:tcPr>
                <w:p w14:paraId="5B9792CB">
                  <w:pPr>
                    <w:keepNext w:val="0"/>
                    <w:keepLines w:val="0"/>
                    <w:widowControl/>
                    <w:suppressLineNumbers w:val="0"/>
                    <w:jc w:val="center"/>
                    <w:textAlignment w:val="center"/>
                    <w:rPr>
                      <w:rFonts w:hint="default" w:eastAsia="宋体"/>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46.9</w:t>
                  </w:r>
                </w:p>
              </w:tc>
              <w:tc>
                <w:tcPr>
                  <w:tcW w:w="485" w:type="pct"/>
                  <w:noWrap/>
                  <w:vAlign w:val="center"/>
                </w:tcPr>
                <w:p w14:paraId="60E75727">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0.0627 </w:t>
                  </w:r>
                </w:p>
              </w:tc>
              <w:tc>
                <w:tcPr>
                  <w:tcW w:w="412" w:type="pct"/>
                  <w:noWrap/>
                  <w:vAlign w:val="center"/>
                </w:tcPr>
                <w:p w14:paraId="2607521B">
                  <w:pPr>
                    <w:jc w:val="center"/>
                    <w:rPr>
                      <w:color w:val="auto"/>
                      <w:kern w:val="0"/>
                      <w:szCs w:val="21"/>
                      <w:lang w:bidi="ar"/>
                    </w:rPr>
                  </w:pPr>
                  <w:r>
                    <w:rPr>
                      <w:rFonts w:hint="eastAsia"/>
                      <w:color w:val="auto"/>
                      <w:kern w:val="0"/>
                      <w:szCs w:val="21"/>
                      <w:lang w:bidi="ar"/>
                    </w:rPr>
                    <w:t>/</w:t>
                  </w:r>
                </w:p>
              </w:tc>
              <w:tc>
                <w:tcPr>
                  <w:tcW w:w="472" w:type="pct"/>
                  <w:noWrap/>
                  <w:vAlign w:val="center"/>
                </w:tcPr>
                <w:p w14:paraId="01E58E9C">
                  <w:pPr>
                    <w:jc w:val="center"/>
                    <w:rPr>
                      <w:color w:val="auto"/>
                      <w:kern w:val="0"/>
                      <w:szCs w:val="21"/>
                      <w:lang w:bidi="ar"/>
                    </w:rPr>
                  </w:pPr>
                  <w:r>
                    <w:rPr>
                      <w:rFonts w:hint="eastAsia"/>
                      <w:color w:val="auto"/>
                      <w:kern w:val="0"/>
                      <w:szCs w:val="21"/>
                      <w:lang w:bidi="ar"/>
                    </w:rPr>
                    <w:t>/</w:t>
                  </w:r>
                </w:p>
              </w:tc>
              <w:tc>
                <w:tcPr>
                  <w:tcW w:w="401" w:type="pct"/>
                  <w:noWrap/>
                  <w:vAlign w:val="center"/>
                </w:tcPr>
                <w:p w14:paraId="5E9C9E02">
                  <w:pPr>
                    <w:jc w:val="center"/>
                    <w:rPr>
                      <w:color w:val="auto"/>
                      <w:kern w:val="0"/>
                      <w:szCs w:val="21"/>
                      <w:lang w:bidi="ar"/>
                    </w:rPr>
                  </w:pPr>
                  <w:r>
                    <w:rPr>
                      <w:rFonts w:hint="eastAsia"/>
                      <w:color w:val="auto"/>
                      <w:kern w:val="0"/>
                      <w:szCs w:val="21"/>
                      <w:lang w:bidi="ar"/>
                    </w:rPr>
                    <w:t>/</w:t>
                  </w:r>
                </w:p>
              </w:tc>
              <w:tc>
                <w:tcPr>
                  <w:tcW w:w="465" w:type="pct"/>
                  <w:noWrap/>
                  <w:vAlign w:val="center"/>
                </w:tcPr>
                <w:p w14:paraId="39669A6E">
                  <w:pPr>
                    <w:jc w:val="center"/>
                    <w:rPr>
                      <w:color w:val="auto"/>
                      <w:kern w:val="0"/>
                      <w:szCs w:val="21"/>
                      <w:lang w:bidi="ar"/>
                    </w:rPr>
                  </w:pPr>
                  <w:r>
                    <w:rPr>
                      <w:rFonts w:hint="eastAsia"/>
                      <w:color w:val="auto"/>
                      <w:kern w:val="0"/>
                      <w:szCs w:val="21"/>
                      <w:lang w:bidi="ar"/>
                    </w:rPr>
                    <w:t>/</w:t>
                  </w:r>
                </w:p>
              </w:tc>
              <w:tc>
                <w:tcPr>
                  <w:tcW w:w="401" w:type="pct"/>
                  <w:noWrap/>
                  <w:vAlign w:val="center"/>
                </w:tcPr>
                <w:p w14:paraId="303F476D">
                  <w:pPr>
                    <w:jc w:val="center"/>
                    <w:rPr>
                      <w:color w:val="auto"/>
                      <w:kern w:val="0"/>
                      <w:szCs w:val="21"/>
                      <w:lang w:bidi="ar"/>
                    </w:rPr>
                  </w:pPr>
                  <w:r>
                    <w:rPr>
                      <w:rFonts w:hint="eastAsia"/>
                      <w:color w:val="auto"/>
                      <w:kern w:val="0"/>
                      <w:szCs w:val="21"/>
                      <w:lang w:bidi="ar"/>
                    </w:rPr>
                    <w:t>/</w:t>
                  </w:r>
                </w:p>
              </w:tc>
              <w:tc>
                <w:tcPr>
                  <w:tcW w:w="475" w:type="pct"/>
                  <w:noWrap/>
                  <w:vAlign w:val="center"/>
                </w:tcPr>
                <w:p w14:paraId="06A3F5CC">
                  <w:pPr>
                    <w:jc w:val="center"/>
                    <w:rPr>
                      <w:color w:val="auto"/>
                      <w:kern w:val="0"/>
                      <w:szCs w:val="21"/>
                      <w:lang w:bidi="ar"/>
                    </w:rPr>
                  </w:pPr>
                  <w:r>
                    <w:rPr>
                      <w:rFonts w:hint="eastAsia"/>
                      <w:color w:val="auto"/>
                      <w:kern w:val="0"/>
                      <w:szCs w:val="21"/>
                      <w:lang w:bidi="ar"/>
                    </w:rPr>
                    <w:t>/</w:t>
                  </w:r>
                </w:p>
              </w:tc>
              <w:tc>
                <w:tcPr>
                  <w:tcW w:w="397" w:type="pct"/>
                  <w:noWrap/>
                  <w:vAlign w:val="center"/>
                </w:tcPr>
                <w:p w14:paraId="5B193460">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 xml:space="preserve">43.6 </w:t>
                  </w:r>
                </w:p>
              </w:tc>
              <w:tc>
                <w:tcPr>
                  <w:tcW w:w="543" w:type="pct"/>
                  <w:noWrap/>
                  <w:vAlign w:val="center"/>
                </w:tcPr>
                <w:p w14:paraId="70FB3996">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0.0627</w:t>
                  </w:r>
                </w:p>
              </w:tc>
            </w:tr>
            <w:tr w14:paraId="4AE4A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0" w:type="pct"/>
                  <w:vAlign w:val="center"/>
                </w:tcPr>
                <w:p w14:paraId="6ACEE414">
                  <w:pPr>
                    <w:widowControl/>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总铝</w:t>
                  </w:r>
                </w:p>
              </w:tc>
              <w:tc>
                <w:tcPr>
                  <w:tcW w:w="454" w:type="pct"/>
                  <w:noWrap/>
                  <w:vAlign w:val="center"/>
                </w:tcPr>
                <w:p w14:paraId="4925D6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1.65</w:t>
                  </w:r>
                </w:p>
              </w:tc>
              <w:tc>
                <w:tcPr>
                  <w:tcW w:w="485" w:type="pct"/>
                  <w:noWrap/>
                  <w:vAlign w:val="center"/>
                </w:tcPr>
                <w:p w14:paraId="0A7A3D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0.0022 </w:t>
                  </w:r>
                </w:p>
              </w:tc>
              <w:tc>
                <w:tcPr>
                  <w:tcW w:w="412" w:type="pct"/>
                  <w:shd w:val="clear" w:color="auto" w:fill="auto"/>
                  <w:noWrap/>
                  <w:vAlign w:val="center"/>
                </w:tcPr>
                <w:p w14:paraId="431A702B">
                  <w:pPr>
                    <w:jc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bidi="ar"/>
                    </w:rPr>
                    <w:t>/</w:t>
                  </w:r>
                </w:p>
              </w:tc>
              <w:tc>
                <w:tcPr>
                  <w:tcW w:w="472" w:type="pct"/>
                  <w:shd w:val="clear" w:color="auto" w:fill="auto"/>
                  <w:noWrap/>
                  <w:vAlign w:val="center"/>
                </w:tcPr>
                <w:p w14:paraId="0F8AB47C">
                  <w:pPr>
                    <w:jc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bidi="ar"/>
                    </w:rPr>
                    <w:t>/</w:t>
                  </w:r>
                </w:p>
              </w:tc>
              <w:tc>
                <w:tcPr>
                  <w:tcW w:w="401" w:type="pct"/>
                  <w:shd w:val="clear" w:color="auto" w:fill="auto"/>
                  <w:noWrap/>
                  <w:vAlign w:val="center"/>
                </w:tcPr>
                <w:p w14:paraId="64C3D96A">
                  <w:pPr>
                    <w:jc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bidi="ar"/>
                    </w:rPr>
                    <w:t>/</w:t>
                  </w:r>
                </w:p>
              </w:tc>
              <w:tc>
                <w:tcPr>
                  <w:tcW w:w="465" w:type="pct"/>
                  <w:shd w:val="clear" w:color="auto" w:fill="auto"/>
                  <w:noWrap/>
                  <w:vAlign w:val="center"/>
                </w:tcPr>
                <w:p w14:paraId="65C1AE7F">
                  <w:pPr>
                    <w:jc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bidi="ar"/>
                    </w:rPr>
                    <w:t>/</w:t>
                  </w:r>
                </w:p>
              </w:tc>
              <w:tc>
                <w:tcPr>
                  <w:tcW w:w="401" w:type="pct"/>
                  <w:shd w:val="clear" w:color="auto" w:fill="auto"/>
                  <w:noWrap/>
                  <w:vAlign w:val="center"/>
                </w:tcPr>
                <w:p w14:paraId="77526AE2">
                  <w:pPr>
                    <w:jc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bidi="ar"/>
                    </w:rPr>
                    <w:t>/</w:t>
                  </w:r>
                </w:p>
              </w:tc>
              <w:tc>
                <w:tcPr>
                  <w:tcW w:w="475" w:type="pct"/>
                  <w:shd w:val="clear" w:color="auto" w:fill="auto"/>
                  <w:noWrap/>
                  <w:vAlign w:val="center"/>
                </w:tcPr>
                <w:p w14:paraId="65AFDB08">
                  <w:pPr>
                    <w:jc w:val="center"/>
                    <w:rPr>
                      <w:rFonts w:hint="eastAsia" w:ascii="Times New Roman" w:hAnsi="Times New Roman" w:eastAsia="宋体" w:cs="Times New Roman"/>
                      <w:color w:val="auto"/>
                      <w:kern w:val="0"/>
                      <w:sz w:val="21"/>
                      <w:szCs w:val="21"/>
                      <w:lang w:val="en-US" w:eastAsia="zh-CN" w:bidi="ar"/>
                    </w:rPr>
                  </w:pPr>
                  <w:r>
                    <w:rPr>
                      <w:rFonts w:hint="eastAsia"/>
                      <w:color w:val="auto"/>
                      <w:kern w:val="0"/>
                      <w:szCs w:val="21"/>
                      <w:lang w:bidi="ar"/>
                    </w:rPr>
                    <w:t>/</w:t>
                  </w:r>
                </w:p>
              </w:tc>
              <w:tc>
                <w:tcPr>
                  <w:tcW w:w="397" w:type="pct"/>
                  <w:noWrap/>
                  <w:vAlign w:val="center"/>
                </w:tcPr>
                <w:p w14:paraId="2E111E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1.53 </w:t>
                  </w:r>
                </w:p>
              </w:tc>
              <w:tc>
                <w:tcPr>
                  <w:tcW w:w="543" w:type="pct"/>
                  <w:noWrap/>
                  <w:vAlign w:val="center"/>
                </w:tcPr>
                <w:p w14:paraId="694252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0.0022</w:t>
                  </w:r>
                </w:p>
              </w:tc>
            </w:tr>
          </w:tbl>
          <w:p w14:paraId="2FBE8661">
            <w:pPr>
              <w:adjustRightInd w:val="0"/>
              <w:snapToGrid w:val="0"/>
              <w:spacing w:line="360" w:lineRule="auto"/>
              <w:ind w:firstLine="482" w:firstLineChars="200"/>
              <w:rPr>
                <w:b/>
                <w:bCs/>
                <w:color w:val="auto"/>
                <w:sz w:val="24"/>
              </w:rPr>
            </w:pPr>
            <w:r>
              <w:rPr>
                <w:rFonts w:hint="eastAsia"/>
                <w:b/>
                <w:bCs/>
                <w:color w:val="auto"/>
                <w:sz w:val="24"/>
              </w:rPr>
              <w:t>2、</w:t>
            </w:r>
            <w:r>
              <w:rPr>
                <w:b/>
                <w:bCs/>
                <w:color w:val="auto"/>
                <w:sz w:val="24"/>
              </w:rPr>
              <w:t>排放口</w:t>
            </w:r>
            <w:r>
              <w:rPr>
                <w:rFonts w:hint="eastAsia"/>
                <w:b/>
                <w:bCs/>
                <w:color w:val="auto"/>
                <w:sz w:val="24"/>
              </w:rPr>
              <w:t>设置</w:t>
            </w:r>
            <w:r>
              <w:rPr>
                <w:b/>
                <w:bCs/>
                <w:color w:val="auto"/>
                <w:sz w:val="24"/>
              </w:rPr>
              <w:t>情况</w:t>
            </w:r>
          </w:p>
          <w:p w14:paraId="3B360517">
            <w:pPr>
              <w:pStyle w:val="77"/>
              <w:numPr>
                <w:ilvl w:val="0"/>
                <w:numId w:val="18"/>
              </w:numPr>
              <w:adjustRightInd w:val="0"/>
              <w:snapToGrid w:val="0"/>
              <w:jc w:val="center"/>
              <w:rPr>
                <w:b/>
                <w:bCs/>
                <w:color w:val="auto"/>
              </w:rPr>
            </w:pPr>
            <w:r>
              <w:rPr>
                <w:b/>
                <w:bCs/>
                <w:color w:val="auto"/>
              </w:rPr>
              <w:t>废水排放口基本情况</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971"/>
              <w:gridCol w:w="1016"/>
              <w:gridCol w:w="977"/>
              <w:gridCol w:w="511"/>
              <w:gridCol w:w="1425"/>
              <w:gridCol w:w="890"/>
              <w:gridCol w:w="994"/>
              <w:gridCol w:w="1113"/>
              <w:gridCol w:w="1239"/>
            </w:tblGrid>
            <w:tr w14:paraId="4724B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Merge w:val="restart"/>
                  <w:vAlign w:val="center"/>
                </w:tcPr>
                <w:p w14:paraId="226E12A2">
                  <w:pPr>
                    <w:jc w:val="center"/>
                    <w:rPr>
                      <w:b/>
                      <w:bCs/>
                      <w:color w:val="auto"/>
                      <w:szCs w:val="21"/>
                    </w:rPr>
                  </w:pPr>
                  <w:r>
                    <w:rPr>
                      <w:b/>
                      <w:bCs/>
                      <w:color w:val="auto"/>
                      <w:szCs w:val="21"/>
                    </w:rPr>
                    <w:t>编号及</w:t>
                  </w:r>
                </w:p>
                <w:p w14:paraId="73CD8B11">
                  <w:pPr>
                    <w:jc w:val="center"/>
                    <w:rPr>
                      <w:b/>
                      <w:bCs/>
                      <w:color w:val="auto"/>
                      <w:szCs w:val="21"/>
                    </w:rPr>
                  </w:pPr>
                  <w:r>
                    <w:rPr>
                      <w:b/>
                      <w:bCs/>
                      <w:color w:val="auto"/>
                      <w:szCs w:val="21"/>
                    </w:rPr>
                    <w:t>名称</w:t>
                  </w:r>
                </w:p>
              </w:tc>
              <w:tc>
                <w:tcPr>
                  <w:tcW w:w="958" w:type="pct"/>
                  <w:gridSpan w:val="2"/>
                  <w:vAlign w:val="center"/>
                </w:tcPr>
                <w:p w14:paraId="2F5D108D">
                  <w:pPr>
                    <w:pStyle w:val="3"/>
                    <w:spacing w:before="0" w:after="0" w:line="240" w:lineRule="auto"/>
                    <w:ind w:left="0" w:firstLine="0"/>
                    <w:jc w:val="center"/>
                    <w:rPr>
                      <w:rFonts w:eastAsia="宋体"/>
                      <w:color w:val="auto"/>
                      <w:sz w:val="21"/>
                      <w:szCs w:val="21"/>
                    </w:rPr>
                  </w:pPr>
                  <w:r>
                    <w:rPr>
                      <w:rFonts w:eastAsia="宋体"/>
                      <w:color w:val="auto"/>
                      <w:sz w:val="21"/>
                      <w:szCs w:val="21"/>
                    </w:rPr>
                    <w:t>经纬度</w:t>
                  </w:r>
                </w:p>
              </w:tc>
              <w:tc>
                <w:tcPr>
                  <w:tcW w:w="471" w:type="pct"/>
                  <w:vMerge w:val="restart"/>
                  <w:vAlign w:val="center"/>
                </w:tcPr>
                <w:p w14:paraId="2050B0FD">
                  <w:pPr>
                    <w:pStyle w:val="3"/>
                    <w:spacing w:before="0" w:after="0" w:line="240" w:lineRule="auto"/>
                    <w:ind w:left="0" w:firstLine="0"/>
                    <w:jc w:val="center"/>
                    <w:rPr>
                      <w:rFonts w:eastAsia="宋体"/>
                      <w:color w:val="auto"/>
                      <w:sz w:val="21"/>
                      <w:szCs w:val="21"/>
                    </w:rPr>
                  </w:pPr>
                  <w:r>
                    <w:rPr>
                      <w:rFonts w:hint="eastAsia" w:eastAsia="宋体"/>
                      <w:color w:val="auto"/>
                      <w:sz w:val="21"/>
                      <w:szCs w:val="21"/>
                    </w:rPr>
                    <w:t>废水排放量（t/a）</w:t>
                  </w:r>
                </w:p>
              </w:tc>
              <w:tc>
                <w:tcPr>
                  <w:tcW w:w="247" w:type="pct"/>
                  <w:vMerge w:val="restart"/>
                  <w:vAlign w:val="center"/>
                </w:tcPr>
                <w:p w14:paraId="52A2A37D">
                  <w:pPr>
                    <w:pStyle w:val="3"/>
                    <w:spacing w:before="0" w:after="0" w:line="240" w:lineRule="auto"/>
                    <w:ind w:left="0" w:firstLine="0"/>
                    <w:jc w:val="center"/>
                    <w:rPr>
                      <w:rFonts w:eastAsia="宋体"/>
                      <w:color w:val="auto"/>
                      <w:sz w:val="21"/>
                      <w:szCs w:val="21"/>
                    </w:rPr>
                  </w:pPr>
                  <w:r>
                    <w:rPr>
                      <w:rFonts w:eastAsia="宋体"/>
                      <w:color w:val="auto"/>
                      <w:sz w:val="21"/>
                      <w:szCs w:val="21"/>
                    </w:rPr>
                    <w:t>排放去向</w:t>
                  </w:r>
                </w:p>
              </w:tc>
              <w:tc>
                <w:tcPr>
                  <w:tcW w:w="687" w:type="pct"/>
                  <w:vMerge w:val="restart"/>
                  <w:vAlign w:val="center"/>
                </w:tcPr>
                <w:p w14:paraId="4466DA7C">
                  <w:pPr>
                    <w:pStyle w:val="3"/>
                    <w:spacing w:before="0" w:after="0" w:line="240" w:lineRule="auto"/>
                    <w:ind w:left="0" w:firstLine="0"/>
                    <w:jc w:val="center"/>
                    <w:rPr>
                      <w:rFonts w:eastAsia="宋体"/>
                      <w:color w:val="auto"/>
                      <w:sz w:val="21"/>
                      <w:szCs w:val="21"/>
                    </w:rPr>
                  </w:pPr>
                  <w:r>
                    <w:rPr>
                      <w:rFonts w:eastAsia="宋体"/>
                      <w:color w:val="auto"/>
                      <w:sz w:val="21"/>
                      <w:szCs w:val="21"/>
                    </w:rPr>
                    <w:t>排放规律</w:t>
                  </w:r>
                </w:p>
              </w:tc>
              <w:tc>
                <w:tcPr>
                  <w:tcW w:w="429" w:type="pct"/>
                  <w:vMerge w:val="restart"/>
                  <w:vAlign w:val="center"/>
                </w:tcPr>
                <w:p w14:paraId="38D8AC5A">
                  <w:pPr>
                    <w:pStyle w:val="3"/>
                    <w:spacing w:before="0" w:after="0" w:line="240" w:lineRule="auto"/>
                    <w:ind w:left="0" w:firstLine="0"/>
                    <w:jc w:val="center"/>
                    <w:rPr>
                      <w:rFonts w:eastAsia="宋体"/>
                      <w:color w:val="auto"/>
                      <w:sz w:val="21"/>
                      <w:szCs w:val="21"/>
                    </w:rPr>
                  </w:pPr>
                  <w:r>
                    <w:rPr>
                      <w:rFonts w:hint="eastAsia" w:eastAsia="宋体"/>
                      <w:color w:val="auto"/>
                      <w:sz w:val="21"/>
                      <w:szCs w:val="21"/>
                    </w:rPr>
                    <w:t>间歇排放时间</w:t>
                  </w:r>
                </w:p>
              </w:tc>
              <w:tc>
                <w:tcPr>
                  <w:tcW w:w="1612" w:type="pct"/>
                  <w:gridSpan w:val="3"/>
                  <w:vAlign w:val="center"/>
                </w:tcPr>
                <w:p w14:paraId="6B58C259">
                  <w:pPr>
                    <w:pStyle w:val="3"/>
                    <w:spacing w:before="0" w:after="0" w:line="240" w:lineRule="auto"/>
                    <w:ind w:left="0" w:firstLine="0"/>
                    <w:jc w:val="center"/>
                    <w:rPr>
                      <w:rFonts w:eastAsia="宋体"/>
                      <w:color w:val="auto"/>
                      <w:sz w:val="21"/>
                      <w:szCs w:val="21"/>
                    </w:rPr>
                  </w:pPr>
                  <w:r>
                    <w:rPr>
                      <w:rFonts w:hint="eastAsia" w:eastAsia="宋体"/>
                      <w:color w:val="auto"/>
                      <w:sz w:val="21"/>
                      <w:szCs w:val="21"/>
                    </w:rPr>
                    <w:t>收纳污水厂信息</w:t>
                  </w:r>
                </w:p>
              </w:tc>
            </w:tr>
            <w:tr w14:paraId="595C9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Merge w:val="continue"/>
                  <w:vAlign w:val="center"/>
                </w:tcPr>
                <w:p w14:paraId="67CEA734">
                  <w:pPr>
                    <w:jc w:val="center"/>
                    <w:rPr>
                      <w:b/>
                      <w:bCs/>
                      <w:color w:val="auto"/>
                      <w:szCs w:val="21"/>
                    </w:rPr>
                  </w:pPr>
                </w:p>
              </w:tc>
              <w:tc>
                <w:tcPr>
                  <w:tcW w:w="468" w:type="pct"/>
                  <w:vAlign w:val="center"/>
                </w:tcPr>
                <w:p w14:paraId="7DF17437">
                  <w:pPr>
                    <w:pStyle w:val="3"/>
                    <w:spacing w:before="0" w:after="0" w:line="240" w:lineRule="auto"/>
                    <w:ind w:left="0" w:firstLine="0"/>
                    <w:jc w:val="center"/>
                    <w:rPr>
                      <w:rFonts w:eastAsia="宋体"/>
                      <w:color w:val="auto"/>
                      <w:sz w:val="21"/>
                      <w:szCs w:val="21"/>
                    </w:rPr>
                  </w:pPr>
                  <w:r>
                    <w:rPr>
                      <w:rFonts w:eastAsia="宋体"/>
                      <w:color w:val="auto"/>
                      <w:sz w:val="21"/>
                      <w:szCs w:val="21"/>
                    </w:rPr>
                    <w:t>经度</w:t>
                  </w:r>
                </w:p>
              </w:tc>
              <w:tc>
                <w:tcPr>
                  <w:tcW w:w="490" w:type="pct"/>
                  <w:vAlign w:val="center"/>
                </w:tcPr>
                <w:p w14:paraId="33046BA0">
                  <w:pPr>
                    <w:pStyle w:val="3"/>
                    <w:spacing w:before="0" w:after="0" w:line="240" w:lineRule="auto"/>
                    <w:ind w:left="0" w:firstLine="0"/>
                    <w:jc w:val="center"/>
                    <w:rPr>
                      <w:rFonts w:eastAsia="宋体"/>
                      <w:color w:val="auto"/>
                      <w:sz w:val="21"/>
                      <w:szCs w:val="21"/>
                    </w:rPr>
                  </w:pPr>
                  <w:r>
                    <w:rPr>
                      <w:rFonts w:eastAsia="宋体"/>
                      <w:color w:val="auto"/>
                      <w:sz w:val="21"/>
                      <w:szCs w:val="21"/>
                    </w:rPr>
                    <w:t>纬度</w:t>
                  </w:r>
                </w:p>
              </w:tc>
              <w:tc>
                <w:tcPr>
                  <w:tcW w:w="471" w:type="pct"/>
                  <w:vMerge w:val="continue"/>
                  <w:vAlign w:val="center"/>
                </w:tcPr>
                <w:p w14:paraId="4BA1A687">
                  <w:pPr>
                    <w:pStyle w:val="3"/>
                    <w:spacing w:before="0" w:after="0" w:line="240" w:lineRule="auto"/>
                    <w:ind w:left="0" w:firstLine="0"/>
                    <w:jc w:val="center"/>
                    <w:rPr>
                      <w:rFonts w:eastAsia="宋体"/>
                      <w:color w:val="auto"/>
                      <w:sz w:val="21"/>
                      <w:szCs w:val="21"/>
                    </w:rPr>
                  </w:pPr>
                </w:p>
              </w:tc>
              <w:tc>
                <w:tcPr>
                  <w:tcW w:w="247" w:type="pct"/>
                  <w:vMerge w:val="continue"/>
                  <w:vAlign w:val="center"/>
                </w:tcPr>
                <w:p w14:paraId="137E54E0">
                  <w:pPr>
                    <w:pStyle w:val="3"/>
                    <w:spacing w:before="0" w:after="0" w:line="240" w:lineRule="auto"/>
                    <w:ind w:left="0" w:firstLine="0"/>
                    <w:jc w:val="center"/>
                    <w:rPr>
                      <w:rFonts w:eastAsia="宋体"/>
                      <w:color w:val="auto"/>
                      <w:sz w:val="21"/>
                      <w:szCs w:val="21"/>
                    </w:rPr>
                  </w:pPr>
                </w:p>
              </w:tc>
              <w:tc>
                <w:tcPr>
                  <w:tcW w:w="687" w:type="pct"/>
                  <w:vMerge w:val="continue"/>
                  <w:vAlign w:val="center"/>
                </w:tcPr>
                <w:p w14:paraId="708AC1F4">
                  <w:pPr>
                    <w:pStyle w:val="3"/>
                    <w:spacing w:before="0" w:after="0" w:line="240" w:lineRule="auto"/>
                    <w:ind w:left="0" w:firstLine="0"/>
                    <w:jc w:val="center"/>
                    <w:rPr>
                      <w:rFonts w:eastAsia="宋体"/>
                      <w:color w:val="auto"/>
                      <w:sz w:val="21"/>
                      <w:szCs w:val="21"/>
                    </w:rPr>
                  </w:pPr>
                </w:p>
              </w:tc>
              <w:tc>
                <w:tcPr>
                  <w:tcW w:w="429" w:type="pct"/>
                  <w:vMerge w:val="continue"/>
                  <w:vAlign w:val="center"/>
                </w:tcPr>
                <w:p w14:paraId="163FB0C5">
                  <w:pPr>
                    <w:pStyle w:val="3"/>
                    <w:spacing w:before="0" w:after="0" w:line="240" w:lineRule="auto"/>
                    <w:ind w:left="0" w:firstLine="0"/>
                    <w:jc w:val="center"/>
                    <w:rPr>
                      <w:rFonts w:eastAsia="宋体"/>
                      <w:color w:val="auto"/>
                      <w:sz w:val="21"/>
                      <w:szCs w:val="21"/>
                    </w:rPr>
                  </w:pPr>
                </w:p>
              </w:tc>
              <w:tc>
                <w:tcPr>
                  <w:tcW w:w="479" w:type="pct"/>
                  <w:vAlign w:val="center"/>
                </w:tcPr>
                <w:p w14:paraId="246D2440">
                  <w:pPr>
                    <w:pStyle w:val="3"/>
                    <w:spacing w:before="0" w:after="0" w:line="240" w:lineRule="auto"/>
                    <w:ind w:left="0" w:firstLine="0"/>
                    <w:jc w:val="center"/>
                    <w:rPr>
                      <w:rFonts w:eastAsia="宋体"/>
                      <w:color w:val="auto"/>
                      <w:sz w:val="21"/>
                      <w:szCs w:val="21"/>
                    </w:rPr>
                  </w:pPr>
                  <w:r>
                    <w:rPr>
                      <w:rFonts w:hint="eastAsia" w:eastAsia="宋体"/>
                      <w:color w:val="auto"/>
                      <w:sz w:val="21"/>
                      <w:szCs w:val="21"/>
                    </w:rPr>
                    <w:t>名称</w:t>
                  </w:r>
                </w:p>
              </w:tc>
              <w:tc>
                <w:tcPr>
                  <w:tcW w:w="536" w:type="pct"/>
                  <w:vAlign w:val="center"/>
                </w:tcPr>
                <w:p w14:paraId="0A1464F3">
                  <w:pPr>
                    <w:pStyle w:val="3"/>
                    <w:spacing w:before="0" w:after="0" w:line="240" w:lineRule="auto"/>
                    <w:ind w:left="0" w:firstLine="0"/>
                    <w:jc w:val="center"/>
                    <w:rPr>
                      <w:rFonts w:eastAsia="宋体"/>
                      <w:color w:val="auto"/>
                      <w:sz w:val="21"/>
                      <w:szCs w:val="21"/>
                    </w:rPr>
                  </w:pPr>
                  <w:r>
                    <w:rPr>
                      <w:rFonts w:hint="eastAsia" w:eastAsia="宋体"/>
                      <w:color w:val="auto"/>
                      <w:sz w:val="21"/>
                      <w:szCs w:val="21"/>
                    </w:rPr>
                    <w:t>污染物种类</w:t>
                  </w:r>
                </w:p>
              </w:tc>
              <w:tc>
                <w:tcPr>
                  <w:tcW w:w="597" w:type="pct"/>
                  <w:vAlign w:val="center"/>
                </w:tcPr>
                <w:p w14:paraId="4B716C82">
                  <w:pPr>
                    <w:pStyle w:val="3"/>
                    <w:spacing w:before="0" w:after="0" w:line="240" w:lineRule="auto"/>
                    <w:ind w:left="0" w:firstLine="0"/>
                    <w:jc w:val="center"/>
                    <w:rPr>
                      <w:rFonts w:eastAsia="宋体"/>
                      <w:color w:val="auto"/>
                      <w:sz w:val="21"/>
                      <w:szCs w:val="21"/>
                    </w:rPr>
                  </w:pPr>
                  <w:r>
                    <w:rPr>
                      <w:rFonts w:hint="eastAsia" w:eastAsia="宋体"/>
                      <w:color w:val="auto"/>
                      <w:sz w:val="21"/>
                      <w:szCs w:val="21"/>
                    </w:rPr>
                    <w:t>排放标准</w:t>
                  </w:r>
                  <w:r>
                    <w:rPr>
                      <w:rFonts w:eastAsia="宋体"/>
                      <w:color w:val="auto"/>
                      <w:sz w:val="21"/>
                      <w:szCs w:val="21"/>
                    </w:rPr>
                    <w:t>浓度限值（mg/L）</w:t>
                  </w:r>
                </w:p>
              </w:tc>
            </w:tr>
            <w:tr w14:paraId="1CA8A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90" w:type="pct"/>
                  <w:vMerge w:val="restart"/>
                  <w:vAlign w:val="center"/>
                </w:tcPr>
                <w:p w14:paraId="4FA06610">
                  <w:pPr>
                    <w:jc w:val="center"/>
                    <w:rPr>
                      <w:color w:val="auto"/>
                      <w:szCs w:val="21"/>
                    </w:rPr>
                  </w:pPr>
                  <w:r>
                    <w:rPr>
                      <w:color w:val="auto"/>
                      <w:szCs w:val="21"/>
                    </w:rPr>
                    <w:t>WS00</w:t>
                  </w:r>
                  <w:r>
                    <w:rPr>
                      <w:rFonts w:hint="eastAsia"/>
                      <w:color w:val="auto"/>
                      <w:szCs w:val="21"/>
                    </w:rPr>
                    <w:t>1</w:t>
                  </w:r>
                  <w:r>
                    <w:rPr>
                      <w:color w:val="auto"/>
                      <w:szCs w:val="21"/>
                    </w:rPr>
                    <w:t>生活污水排放口</w:t>
                  </w:r>
                </w:p>
              </w:tc>
              <w:tc>
                <w:tcPr>
                  <w:tcW w:w="468" w:type="pct"/>
                  <w:vMerge w:val="restart"/>
                  <w:vAlign w:val="center"/>
                </w:tcPr>
                <w:p w14:paraId="57784E2D">
                  <w:pPr>
                    <w:adjustRightInd w:val="0"/>
                    <w:snapToGrid w:val="0"/>
                    <w:jc w:val="center"/>
                    <w:rPr>
                      <w:color w:val="auto"/>
                      <w:szCs w:val="21"/>
                    </w:rPr>
                  </w:pPr>
                  <w:r>
                    <w:rPr>
                      <w:color w:val="auto"/>
                      <w:szCs w:val="21"/>
                    </w:rPr>
                    <w:t>E</w:t>
                  </w:r>
                  <w:r>
                    <w:rPr>
                      <w:rFonts w:hint="eastAsia"/>
                      <w:color w:val="auto"/>
                      <w:szCs w:val="21"/>
                    </w:rPr>
                    <w:t>113.884424</w:t>
                  </w:r>
                  <w:r>
                    <w:rPr>
                      <w:color w:val="auto"/>
                      <w:szCs w:val="21"/>
                    </w:rPr>
                    <w:t>°</w:t>
                  </w:r>
                </w:p>
              </w:tc>
              <w:tc>
                <w:tcPr>
                  <w:tcW w:w="490" w:type="pct"/>
                  <w:vMerge w:val="restart"/>
                  <w:vAlign w:val="center"/>
                </w:tcPr>
                <w:p w14:paraId="3D5BF06F">
                  <w:pPr>
                    <w:adjustRightInd w:val="0"/>
                    <w:snapToGrid w:val="0"/>
                    <w:jc w:val="center"/>
                    <w:rPr>
                      <w:color w:val="auto"/>
                      <w:szCs w:val="21"/>
                    </w:rPr>
                  </w:pPr>
                  <w:r>
                    <w:rPr>
                      <w:color w:val="auto"/>
                      <w:szCs w:val="21"/>
                    </w:rPr>
                    <w:t>N</w:t>
                  </w:r>
                  <w:r>
                    <w:rPr>
                      <w:rFonts w:hint="eastAsia"/>
                      <w:color w:val="auto"/>
                      <w:szCs w:val="21"/>
                    </w:rPr>
                    <w:t>23.188722</w:t>
                  </w:r>
                  <w:r>
                    <w:rPr>
                      <w:color w:val="auto"/>
                      <w:szCs w:val="21"/>
                    </w:rPr>
                    <w:t>°</w:t>
                  </w:r>
                </w:p>
              </w:tc>
              <w:tc>
                <w:tcPr>
                  <w:tcW w:w="471" w:type="pct"/>
                  <w:vMerge w:val="restart"/>
                  <w:vAlign w:val="center"/>
                </w:tcPr>
                <w:p w14:paraId="0B23B53C">
                  <w:pPr>
                    <w:pStyle w:val="3"/>
                    <w:spacing w:before="0" w:after="0" w:line="240" w:lineRule="auto"/>
                    <w:ind w:left="0" w:firstLine="0"/>
                    <w:jc w:val="center"/>
                    <w:rPr>
                      <w:rFonts w:eastAsia="宋体"/>
                      <w:b w:val="0"/>
                      <w:bCs w:val="0"/>
                      <w:color w:val="auto"/>
                      <w:sz w:val="21"/>
                      <w:szCs w:val="21"/>
                    </w:rPr>
                  </w:pPr>
                  <w:r>
                    <w:rPr>
                      <w:rFonts w:hint="eastAsia" w:eastAsia="宋体"/>
                      <w:b w:val="0"/>
                      <w:bCs w:val="0"/>
                      <w:color w:val="auto"/>
                      <w:sz w:val="21"/>
                      <w:szCs w:val="21"/>
                    </w:rPr>
                    <w:t>450</w:t>
                  </w:r>
                </w:p>
              </w:tc>
              <w:tc>
                <w:tcPr>
                  <w:tcW w:w="247" w:type="pct"/>
                  <w:vMerge w:val="restart"/>
                  <w:vAlign w:val="center"/>
                </w:tcPr>
                <w:p w14:paraId="73EC6947">
                  <w:pPr>
                    <w:pStyle w:val="3"/>
                    <w:spacing w:before="0" w:after="0" w:line="240" w:lineRule="auto"/>
                    <w:ind w:left="0" w:firstLine="0"/>
                    <w:jc w:val="center"/>
                    <w:rPr>
                      <w:rFonts w:eastAsia="宋体"/>
                      <w:b w:val="0"/>
                      <w:bCs w:val="0"/>
                      <w:color w:val="auto"/>
                      <w:sz w:val="21"/>
                      <w:szCs w:val="21"/>
                    </w:rPr>
                  </w:pPr>
                  <w:r>
                    <w:rPr>
                      <w:rFonts w:hint="eastAsia" w:eastAsia="宋体"/>
                      <w:b w:val="0"/>
                      <w:bCs w:val="0"/>
                      <w:color w:val="auto"/>
                      <w:sz w:val="21"/>
                      <w:szCs w:val="21"/>
                    </w:rPr>
                    <w:t>市政管网</w:t>
                  </w:r>
                </w:p>
              </w:tc>
              <w:tc>
                <w:tcPr>
                  <w:tcW w:w="687" w:type="pct"/>
                  <w:vMerge w:val="restart"/>
                  <w:vAlign w:val="center"/>
                </w:tcPr>
                <w:p w14:paraId="4F8FC89F">
                  <w:pPr>
                    <w:pStyle w:val="3"/>
                    <w:spacing w:before="0" w:after="0" w:line="240" w:lineRule="auto"/>
                    <w:ind w:left="0" w:firstLine="0"/>
                    <w:jc w:val="center"/>
                    <w:rPr>
                      <w:rFonts w:eastAsia="宋体"/>
                      <w:b w:val="0"/>
                      <w:bCs w:val="0"/>
                      <w:color w:val="auto"/>
                      <w:sz w:val="21"/>
                      <w:szCs w:val="21"/>
                    </w:rPr>
                  </w:pPr>
                  <w:r>
                    <w:rPr>
                      <w:rFonts w:eastAsia="宋体"/>
                      <w:b w:val="0"/>
                      <w:bCs w:val="0"/>
                      <w:color w:val="auto"/>
                      <w:sz w:val="21"/>
                      <w:szCs w:val="21"/>
                    </w:rPr>
                    <w:t>排放期间流量不稳定且无规律，但不属于冲击型排放</w:t>
                  </w:r>
                </w:p>
              </w:tc>
              <w:tc>
                <w:tcPr>
                  <w:tcW w:w="429" w:type="pct"/>
                  <w:vMerge w:val="restart"/>
                  <w:vAlign w:val="center"/>
                </w:tcPr>
                <w:p w14:paraId="5A10511B">
                  <w:pPr>
                    <w:pStyle w:val="3"/>
                    <w:spacing w:before="0" w:after="0" w:line="240" w:lineRule="auto"/>
                    <w:ind w:left="0" w:firstLine="0"/>
                    <w:jc w:val="center"/>
                    <w:rPr>
                      <w:rFonts w:eastAsia="宋体"/>
                      <w:b w:val="0"/>
                      <w:bCs w:val="0"/>
                      <w:color w:val="auto"/>
                      <w:sz w:val="21"/>
                      <w:szCs w:val="21"/>
                    </w:rPr>
                  </w:pPr>
                  <w:r>
                    <w:rPr>
                      <w:rFonts w:hint="eastAsia" w:eastAsia="宋体"/>
                      <w:b w:val="0"/>
                      <w:bCs w:val="0"/>
                      <w:color w:val="auto"/>
                      <w:sz w:val="21"/>
                      <w:szCs w:val="21"/>
                    </w:rPr>
                    <w:t>/</w:t>
                  </w:r>
                </w:p>
              </w:tc>
              <w:tc>
                <w:tcPr>
                  <w:tcW w:w="479" w:type="pct"/>
                  <w:vMerge w:val="restart"/>
                  <w:vAlign w:val="center"/>
                </w:tcPr>
                <w:p w14:paraId="3F044E61">
                  <w:pPr>
                    <w:pStyle w:val="3"/>
                    <w:spacing w:before="0" w:after="0" w:line="240" w:lineRule="auto"/>
                    <w:ind w:left="0" w:firstLine="0"/>
                    <w:jc w:val="center"/>
                    <w:rPr>
                      <w:rFonts w:eastAsia="宋体"/>
                      <w:b w:val="0"/>
                      <w:bCs w:val="0"/>
                      <w:color w:val="auto"/>
                      <w:sz w:val="21"/>
                      <w:szCs w:val="21"/>
                    </w:rPr>
                  </w:pPr>
                  <w:r>
                    <w:rPr>
                      <w:rFonts w:hint="eastAsia" w:eastAsia="宋体"/>
                      <w:b w:val="0"/>
                      <w:bCs w:val="0"/>
                      <w:color w:val="auto"/>
                      <w:sz w:val="21"/>
                      <w:szCs w:val="21"/>
                    </w:rPr>
                    <w:t>石湾镇西基生活污水厂</w:t>
                  </w:r>
                </w:p>
              </w:tc>
              <w:tc>
                <w:tcPr>
                  <w:tcW w:w="995" w:type="dxa"/>
                  <w:vAlign w:val="center"/>
                </w:tcPr>
                <w:p w14:paraId="233FA35A">
                  <w:pPr>
                    <w:widowControl/>
                    <w:jc w:val="center"/>
                    <w:textAlignment w:val="center"/>
                    <w:rPr>
                      <w:color w:val="auto"/>
                      <w:szCs w:val="21"/>
                    </w:rPr>
                  </w:pPr>
                  <w:r>
                    <w:rPr>
                      <w:color w:val="auto"/>
                      <w:kern w:val="0"/>
                      <w:szCs w:val="21"/>
                      <w:lang w:bidi="ar"/>
                    </w:rPr>
                    <w:t>COD</w:t>
                  </w:r>
                  <w:r>
                    <w:rPr>
                      <w:color w:val="auto"/>
                      <w:kern w:val="0"/>
                      <w:szCs w:val="21"/>
                      <w:vertAlign w:val="subscript"/>
                      <w:lang w:bidi="ar"/>
                    </w:rPr>
                    <w:t>Cr</w:t>
                  </w:r>
                </w:p>
              </w:tc>
              <w:tc>
                <w:tcPr>
                  <w:tcW w:w="1109" w:type="dxa"/>
                  <w:vAlign w:val="center"/>
                </w:tcPr>
                <w:p w14:paraId="5B6A6B71">
                  <w:pPr>
                    <w:widowControl/>
                    <w:jc w:val="center"/>
                    <w:textAlignment w:val="center"/>
                    <w:rPr>
                      <w:color w:val="auto"/>
                      <w:szCs w:val="21"/>
                    </w:rPr>
                  </w:pPr>
                  <w:r>
                    <w:rPr>
                      <w:rFonts w:hint="eastAsia" w:cs="宋体"/>
                      <w:color w:val="auto"/>
                      <w:kern w:val="0"/>
                      <w:szCs w:val="21"/>
                      <w:lang w:bidi="ar"/>
                    </w:rPr>
                    <w:t>40</w:t>
                  </w:r>
                </w:p>
              </w:tc>
            </w:tr>
            <w:tr w14:paraId="50ABA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90" w:type="pct"/>
                  <w:vMerge w:val="continue"/>
                  <w:vAlign w:val="center"/>
                </w:tcPr>
                <w:p w14:paraId="0E0C9E31">
                  <w:pPr>
                    <w:rPr>
                      <w:color w:val="auto"/>
                    </w:rPr>
                  </w:pPr>
                </w:p>
              </w:tc>
              <w:tc>
                <w:tcPr>
                  <w:tcW w:w="468" w:type="pct"/>
                  <w:vMerge w:val="continue"/>
                  <w:vAlign w:val="center"/>
                </w:tcPr>
                <w:p w14:paraId="151D7B05">
                  <w:pPr>
                    <w:rPr>
                      <w:color w:val="auto"/>
                    </w:rPr>
                  </w:pPr>
                </w:p>
              </w:tc>
              <w:tc>
                <w:tcPr>
                  <w:tcW w:w="490" w:type="pct"/>
                  <w:vMerge w:val="continue"/>
                  <w:vAlign w:val="center"/>
                </w:tcPr>
                <w:p w14:paraId="270531A7">
                  <w:pPr>
                    <w:rPr>
                      <w:color w:val="auto"/>
                    </w:rPr>
                  </w:pPr>
                </w:p>
              </w:tc>
              <w:tc>
                <w:tcPr>
                  <w:tcW w:w="471" w:type="pct"/>
                  <w:vMerge w:val="continue"/>
                  <w:vAlign w:val="center"/>
                </w:tcPr>
                <w:p w14:paraId="0D4EAE69">
                  <w:pPr>
                    <w:rPr>
                      <w:color w:val="auto"/>
                    </w:rPr>
                  </w:pPr>
                </w:p>
              </w:tc>
              <w:tc>
                <w:tcPr>
                  <w:tcW w:w="247" w:type="pct"/>
                  <w:vMerge w:val="continue"/>
                  <w:vAlign w:val="center"/>
                </w:tcPr>
                <w:p w14:paraId="1E85A459">
                  <w:pPr>
                    <w:rPr>
                      <w:color w:val="auto"/>
                    </w:rPr>
                  </w:pPr>
                </w:p>
              </w:tc>
              <w:tc>
                <w:tcPr>
                  <w:tcW w:w="687" w:type="pct"/>
                  <w:vMerge w:val="continue"/>
                  <w:vAlign w:val="center"/>
                </w:tcPr>
                <w:p w14:paraId="07FEB8A3">
                  <w:pPr>
                    <w:rPr>
                      <w:color w:val="auto"/>
                    </w:rPr>
                  </w:pPr>
                </w:p>
              </w:tc>
              <w:tc>
                <w:tcPr>
                  <w:tcW w:w="429" w:type="pct"/>
                  <w:vMerge w:val="continue"/>
                  <w:vAlign w:val="center"/>
                </w:tcPr>
                <w:p w14:paraId="51FDF192">
                  <w:pPr>
                    <w:rPr>
                      <w:color w:val="auto"/>
                    </w:rPr>
                  </w:pPr>
                </w:p>
              </w:tc>
              <w:tc>
                <w:tcPr>
                  <w:tcW w:w="479" w:type="pct"/>
                  <w:vMerge w:val="continue"/>
                  <w:vAlign w:val="center"/>
                </w:tcPr>
                <w:p w14:paraId="16295C43">
                  <w:pPr>
                    <w:rPr>
                      <w:color w:val="auto"/>
                    </w:rPr>
                  </w:pPr>
                </w:p>
              </w:tc>
              <w:tc>
                <w:tcPr>
                  <w:tcW w:w="995" w:type="dxa"/>
                  <w:vAlign w:val="center"/>
                </w:tcPr>
                <w:p w14:paraId="4BC5313C">
                  <w:pPr>
                    <w:widowControl/>
                    <w:jc w:val="center"/>
                    <w:textAlignment w:val="center"/>
                    <w:rPr>
                      <w:color w:val="auto"/>
                      <w:szCs w:val="21"/>
                    </w:rPr>
                  </w:pPr>
                  <w:r>
                    <w:rPr>
                      <w:color w:val="auto"/>
                      <w:kern w:val="0"/>
                      <w:szCs w:val="21"/>
                      <w:lang w:bidi="ar"/>
                    </w:rPr>
                    <w:t>BOD</w:t>
                  </w:r>
                  <w:r>
                    <w:rPr>
                      <w:color w:val="auto"/>
                      <w:kern w:val="0"/>
                      <w:szCs w:val="21"/>
                      <w:vertAlign w:val="subscript"/>
                      <w:lang w:bidi="ar"/>
                    </w:rPr>
                    <w:t>5</w:t>
                  </w:r>
                </w:p>
              </w:tc>
              <w:tc>
                <w:tcPr>
                  <w:tcW w:w="1109" w:type="dxa"/>
                  <w:vAlign w:val="center"/>
                </w:tcPr>
                <w:p w14:paraId="66FE9BCB">
                  <w:pPr>
                    <w:widowControl/>
                    <w:jc w:val="center"/>
                    <w:textAlignment w:val="center"/>
                    <w:rPr>
                      <w:color w:val="auto"/>
                      <w:szCs w:val="21"/>
                    </w:rPr>
                  </w:pPr>
                  <w:r>
                    <w:rPr>
                      <w:color w:val="auto"/>
                      <w:kern w:val="0"/>
                      <w:szCs w:val="21"/>
                      <w:lang w:bidi="ar"/>
                    </w:rPr>
                    <w:t>10</w:t>
                  </w:r>
                </w:p>
              </w:tc>
            </w:tr>
            <w:tr w14:paraId="67FBA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90" w:type="pct"/>
                  <w:vMerge w:val="continue"/>
                  <w:vAlign w:val="center"/>
                </w:tcPr>
                <w:p w14:paraId="637858C1">
                  <w:pPr>
                    <w:rPr>
                      <w:color w:val="auto"/>
                      <w:szCs w:val="21"/>
                    </w:rPr>
                  </w:pPr>
                </w:p>
              </w:tc>
              <w:tc>
                <w:tcPr>
                  <w:tcW w:w="468" w:type="pct"/>
                  <w:vMerge w:val="continue"/>
                  <w:vAlign w:val="center"/>
                </w:tcPr>
                <w:p w14:paraId="1AF1D2DC">
                  <w:pPr>
                    <w:rPr>
                      <w:color w:val="auto"/>
                      <w:szCs w:val="21"/>
                    </w:rPr>
                  </w:pPr>
                </w:p>
              </w:tc>
              <w:tc>
                <w:tcPr>
                  <w:tcW w:w="490" w:type="pct"/>
                  <w:vMerge w:val="continue"/>
                  <w:vAlign w:val="center"/>
                </w:tcPr>
                <w:p w14:paraId="4A33073B">
                  <w:pPr>
                    <w:rPr>
                      <w:color w:val="auto"/>
                      <w:szCs w:val="21"/>
                    </w:rPr>
                  </w:pPr>
                </w:p>
              </w:tc>
              <w:tc>
                <w:tcPr>
                  <w:tcW w:w="471" w:type="pct"/>
                  <w:vMerge w:val="continue"/>
                  <w:vAlign w:val="center"/>
                </w:tcPr>
                <w:p w14:paraId="22A93CF3">
                  <w:pPr>
                    <w:rPr>
                      <w:color w:val="auto"/>
                      <w:szCs w:val="21"/>
                    </w:rPr>
                  </w:pPr>
                </w:p>
              </w:tc>
              <w:tc>
                <w:tcPr>
                  <w:tcW w:w="247" w:type="pct"/>
                  <w:vMerge w:val="continue"/>
                  <w:vAlign w:val="center"/>
                </w:tcPr>
                <w:p w14:paraId="5193F9F0">
                  <w:pPr>
                    <w:rPr>
                      <w:color w:val="auto"/>
                      <w:szCs w:val="21"/>
                    </w:rPr>
                  </w:pPr>
                </w:p>
              </w:tc>
              <w:tc>
                <w:tcPr>
                  <w:tcW w:w="687" w:type="pct"/>
                  <w:vMerge w:val="continue"/>
                  <w:vAlign w:val="center"/>
                </w:tcPr>
                <w:p w14:paraId="34E846DA">
                  <w:pPr>
                    <w:rPr>
                      <w:color w:val="auto"/>
                      <w:szCs w:val="21"/>
                    </w:rPr>
                  </w:pPr>
                </w:p>
              </w:tc>
              <w:tc>
                <w:tcPr>
                  <w:tcW w:w="429" w:type="pct"/>
                  <w:vMerge w:val="continue"/>
                  <w:vAlign w:val="center"/>
                </w:tcPr>
                <w:p w14:paraId="4DF2EACB">
                  <w:pPr>
                    <w:rPr>
                      <w:color w:val="auto"/>
                      <w:szCs w:val="21"/>
                    </w:rPr>
                  </w:pPr>
                </w:p>
              </w:tc>
              <w:tc>
                <w:tcPr>
                  <w:tcW w:w="479" w:type="pct"/>
                  <w:vMerge w:val="continue"/>
                  <w:vAlign w:val="center"/>
                </w:tcPr>
                <w:p w14:paraId="7B26402A">
                  <w:pPr>
                    <w:rPr>
                      <w:color w:val="auto"/>
                      <w:szCs w:val="21"/>
                    </w:rPr>
                  </w:pPr>
                </w:p>
              </w:tc>
              <w:tc>
                <w:tcPr>
                  <w:tcW w:w="995" w:type="dxa"/>
                  <w:vAlign w:val="center"/>
                </w:tcPr>
                <w:p w14:paraId="057883F9">
                  <w:pPr>
                    <w:widowControl/>
                    <w:jc w:val="center"/>
                    <w:textAlignment w:val="center"/>
                    <w:rPr>
                      <w:color w:val="auto"/>
                      <w:szCs w:val="21"/>
                    </w:rPr>
                  </w:pPr>
                  <w:r>
                    <w:rPr>
                      <w:color w:val="auto"/>
                      <w:kern w:val="0"/>
                      <w:szCs w:val="21"/>
                      <w:lang w:bidi="ar"/>
                    </w:rPr>
                    <w:t>NH</w:t>
                  </w:r>
                  <w:r>
                    <w:rPr>
                      <w:color w:val="auto"/>
                      <w:kern w:val="0"/>
                      <w:szCs w:val="21"/>
                      <w:vertAlign w:val="subscript"/>
                      <w:lang w:bidi="ar"/>
                    </w:rPr>
                    <w:t>3</w:t>
                  </w:r>
                  <w:r>
                    <w:rPr>
                      <w:color w:val="auto"/>
                      <w:kern w:val="0"/>
                      <w:szCs w:val="21"/>
                      <w:lang w:bidi="ar"/>
                    </w:rPr>
                    <w:t>-N</w:t>
                  </w:r>
                </w:p>
              </w:tc>
              <w:tc>
                <w:tcPr>
                  <w:tcW w:w="1109" w:type="dxa"/>
                  <w:vAlign w:val="center"/>
                </w:tcPr>
                <w:p w14:paraId="7B6B8C8B">
                  <w:pPr>
                    <w:widowControl/>
                    <w:jc w:val="center"/>
                    <w:textAlignment w:val="center"/>
                    <w:rPr>
                      <w:color w:val="auto"/>
                      <w:szCs w:val="21"/>
                    </w:rPr>
                  </w:pPr>
                  <w:r>
                    <w:rPr>
                      <w:rFonts w:hint="eastAsia" w:cs="宋体"/>
                      <w:color w:val="auto"/>
                      <w:kern w:val="0"/>
                      <w:szCs w:val="21"/>
                      <w:lang w:bidi="ar"/>
                    </w:rPr>
                    <w:t>2.0</w:t>
                  </w:r>
                </w:p>
              </w:tc>
            </w:tr>
            <w:tr w14:paraId="23D79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90" w:type="pct"/>
                  <w:vMerge w:val="continue"/>
                  <w:vAlign w:val="center"/>
                </w:tcPr>
                <w:p w14:paraId="3D353AAB">
                  <w:pPr>
                    <w:rPr>
                      <w:color w:val="auto"/>
                      <w:szCs w:val="21"/>
                    </w:rPr>
                  </w:pPr>
                </w:p>
              </w:tc>
              <w:tc>
                <w:tcPr>
                  <w:tcW w:w="468" w:type="pct"/>
                  <w:vMerge w:val="continue"/>
                  <w:vAlign w:val="center"/>
                </w:tcPr>
                <w:p w14:paraId="3E189314">
                  <w:pPr>
                    <w:rPr>
                      <w:color w:val="auto"/>
                      <w:szCs w:val="21"/>
                    </w:rPr>
                  </w:pPr>
                </w:p>
              </w:tc>
              <w:tc>
                <w:tcPr>
                  <w:tcW w:w="490" w:type="pct"/>
                  <w:vMerge w:val="continue"/>
                  <w:vAlign w:val="center"/>
                </w:tcPr>
                <w:p w14:paraId="4FCF41C1">
                  <w:pPr>
                    <w:rPr>
                      <w:color w:val="auto"/>
                      <w:szCs w:val="21"/>
                    </w:rPr>
                  </w:pPr>
                </w:p>
              </w:tc>
              <w:tc>
                <w:tcPr>
                  <w:tcW w:w="471" w:type="pct"/>
                  <w:vMerge w:val="continue"/>
                  <w:vAlign w:val="center"/>
                </w:tcPr>
                <w:p w14:paraId="5D1A5AA2">
                  <w:pPr>
                    <w:rPr>
                      <w:color w:val="auto"/>
                      <w:szCs w:val="21"/>
                    </w:rPr>
                  </w:pPr>
                </w:p>
              </w:tc>
              <w:tc>
                <w:tcPr>
                  <w:tcW w:w="247" w:type="pct"/>
                  <w:vMerge w:val="continue"/>
                  <w:vAlign w:val="center"/>
                </w:tcPr>
                <w:p w14:paraId="5713EAAB">
                  <w:pPr>
                    <w:rPr>
                      <w:color w:val="auto"/>
                      <w:szCs w:val="21"/>
                    </w:rPr>
                  </w:pPr>
                </w:p>
              </w:tc>
              <w:tc>
                <w:tcPr>
                  <w:tcW w:w="687" w:type="pct"/>
                  <w:vMerge w:val="continue"/>
                  <w:vAlign w:val="center"/>
                </w:tcPr>
                <w:p w14:paraId="321E7897">
                  <w:pPr>
                    <w:rPr>
                      <w:color w:val="auto"/>
                      <w:szCs w:val="21"/>
                    </w:rPr>
                  </w:pPr>
                </w:p>
              </w:tc>
              <w:tc>
                <w:tcPr>
                  <w:tcW w:w="429" w:type="pct"/>
                  <w:vMerge w:val="continue"/>
                  <w:vAlign w:val="center"/>
                </w:tcPr>
                <w:p w14:paraId="560503DC">
                  <w:pPr>
                    <w:rPr>
                      <w:color w:val="auto"/>
                      <w:szCs w:val="21"/>
                    </w:rPr>
                  </w:pPr>
                </w:p>
              </w:tc>
              <w:tc>
                <w:tcPr>
                  <w:tcW w:w="479" w:type="pct"/>
                  <w:vMerge w:val="continue"/>
                  <w:vAlign w:val="center"/>
                </w:tcPr>
                <w:p w14:paraId="1971E1F2">
                  <w:pPr>
                    <w:rPr>
                      <w:color w:val="auto"/>
                      <w:szCs w:val="21"/>
                    </w:rPr>
                  </w:pPr>
                </w:p>
              </w:tc>
              <w:tc>
                <w:tcPr>
                  <w:tcW w:w="995" w:type="dxa"/>
                  <w:vAlign w:val="center"/>
                </w:tcPr>
                <w:p w14:paraId="40F5BE48">
                  <w:pPr>
                    <w:widowControl/>
                    <w:jc w:val="center"/>
                    <w:textAlignment w:val="center"/>
                    <w:rPr>
                      <w:color w:val="auto"/>
                      <w:szCs w:val="21"/>
                    </w:rPr>
                  </w:pPr>
                  <w:r>
                    <w:rPr>
                      <w:color w:val="auto"/>
                      <w:kern w:val="0"/>
                      <w:szCs w:val="21"/>
                      <w:lang w:bidi="ar"/>
                    </w:rPr>
                    <w:t>SS</w:t>
                  </w:r>
                </w:p>
              </w:tc>
              <w:tc>
                <w:tcPr>
                  <w:tcW w:w="1109" w:type="dxa"/>
                  <w:vAlign w:val="center"/>
                </w:tcPr>
                <w:p w14:paraId="2E91A0EE">
                  <w:pPr>
                    <w:widowControl/>
                    <w:jc w:val="center"/>
                    <w:textAlignment w:val="center"/>
                    <w:rPr>
                      <w:color w:val="auto"/>
                      <w:szCs w:val="21"/>
                    </w:rPr>
                  </w:pPr>
                  <w:r>
                    <w:rPr>
                      <w:color w:val="auto"/>
                      <w:kern w:val="0"/>
                      <w:szCs w:val="21"/>
                      <w:lang w:bidi="ar"/>
                    </w:rPr>
                    <w:t>10</w:t>
                  </w:r>
                </w:p>
              </w:tc>
            </w:tr>
            <w:tr w14:paraId="1D37F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90" w:type="pct"/>
                  <w:vMerge w:val="continue"/>
                  <w:vAlign w:val="center"/>
                </w:tcPr>
                <w:p w14:paraId="21AD3C52">
                  <w:pPr>
                    <w:rPr>
                      <w:color w:val="auto"/>
                      <w:szCs w:val="21"/>
                    </w:rPr>
                  </w:pPr>
                </w:p>
              </w:tc>
              <w:tc>
                <w:tcPr>
                  <w:tcW w:w="468" w:type="pct"/>
                  <w:vMerge w:val="continue"/>
                  <w:vAlign w:val="center"/>
                </w:tcPr>
                <w:p w14:paraId="0DEFDD0D">
                  <w:pPr>
                    <w:rPr>
                      <w:color w:val="auto"/>
                      <w:szCs w:val="21"/>
                    </w:rPr>
                  </w:pPr>
                </w:p>
              </w:tc>
              <w:tc>
                <w:tcPr>
                  <w:tcW w:w="490" w:type="pct"/>
                  <w:vMerge w:val="continue"/>
                  <w:vAlign w:val="center"/>
                </w:tcPr>
                <w:p w14:paraId="45FFE53C">
                  <w:pPr>
                    <w:rPr>
                      <w:color w:val="auto"/>
                      <w:szCs w:val="21"/>
                    </w:rPr>
                  </w:pPr>
                </w:p>
              </w:tc>
              <w:tc>
                <w:tcPr>
                  <w:tcW w:w="471" w:type="pct"/>
                  <w:vMerge w:val="continue"/>
                  <w:vAlign w:val="center"/>
                </w:tcPr>
                <w:p w14:paraId="0509FA67">
                  <w:pPr>
                    <w:rPr>
                      <w:color w:val="auto"/>
                      <w:szCs w:val="21"/>
                    </w:rPr>
                  </w:pPr>
                </w:p>
              </w:tc>
              <w:tc>
                <w:tcPr>
                  <w:tcW w:w="247" w:type="pct"/>
                  <w:vMerge w:val="continue"/>
                  <w:vAlign w:val="center"/>
                </w:tcPr>
                <w:p w14:paraId="6AD7FF75">
                  <w:pPr>
                    <w:rPr>
                      <w:color w:val="auto"/>
                      <w:szCs w:val="21"/>
                    </w:rPr>
                  </w:pPr>
                </w:p>
              </w:tc>
              <w:tc>
                <w:tcPr>
                  <w:tcW w:w="687" w:type="pct"/>
                  <w:vMerge w:val="continue"/>
                  <w:vAlign w:val="center"/>
                </w:tcPr>
                <w:p w14:paraId="7B7014A0">
                  <w:pPr>
                    <w:rPr>
                      <w:color w:val="auto"/>
                      <w:szCs w:val="21"/>
                    </w:rPr>
                  </w:pPr>
                </w:p>
              </w:tc>
              <w:tc>
                <w:tcPr>
                  <w:tcW w:w="429" w:type="pct"/>
                  <w:vMerge w:val="continue"/>
                  <w:vAlign w:val="center"/>
                </w:tcPr>
                <w:p w14:paraId="15D43856">
                  <w:pPr>
                    <w:rPr>
                      <w:color w:val="auto"/>
                      <w:szCs w:val="21"/>
                    </w:rPr>
                  </w:pPr>
                </w:p>
              </w:tc>
              <w:tc>
                <w:tcPr>
                  <w:tcW w:w="479" w:type="pct"/>
                  <w:vMerge w:val="continue"/>
                  <w:vAlign w:val="center"/>
                </w:tcPr>
                <w:p w14:paraId="0981F89D">
                  <w:pPr>
                    <w:rPr>
                      <w:color w:val="auto"/>
                      <w:szCs w:val="21"/>
                    </w:rPr>
                  </w:pPr>
                </w:p>
              </w:tc>
              <w:tc>
                <w:tcPr>
                  <w:tcW w:w="995" w:type="dxa"/>
                  <w:vAlign w:val="center"/>
                </w:tcPr>
                <w:p w14:paraId="5A2B4971">
                  <w:pPr>
                    <w:widowControl/>
                    <w:jc w:val="center"/>
                    <w:textAlignment w:val="center"/>
                    <w:rPr>
                      <w:color w:val="auto"/>
                      <w:szCs w:val="21"/>
                    </w:rPr>
                  </w:pPr>
                  <w:r>
                    <w:rPr>
                      <w:color w:val="auto"/>
                      <w:kern w:val="0"/>
                      <w:szCs w:val="21"/>
                      <w:lang w:bidi="ar"/>
                    </w:rPr>
                    <w:t>TP</w:t>
                  </w:r>
                </w:p>
              </w:tc>
              <w:tc>
                <w:tcPr>
                  <w:tcW w:w="1109" w:type="dxa"/>
                  <w:vAlign w:val="center"/>
                </w:tcPr>
                <w:p w14:paraId="49AD6CE9">
                  <w:pPr>
                    <w:widowControl/>
                    <w:jc w:val="center"/>
                    <w:textAlignment w:val="center"/>
                    <w:rPr>
                      <w:color w:val="auto"/>
                      <w:szCs w:val="21"/>
                    </w:rPr>
                  </w:pPr>
                  <w:r>
                    <w:rPr>
                      <w:color w:val="auto"/>
                      <w:kern w:val="0"/>
                      <w:szCs w:val="21"/>
                      <w:lang w:bidi="ar"/>
                    </w:rPr>
                    <w:t>0.</w:t>
                  </w:r>
                  <w:r>
                    <w:rPr>
                      <w:rFonts w:hint="eastAsia"/>
                      <w:color w:val="auto"/>
                      <w:kern w:val="0"/>
                      <w:szCs w:val="21"/>
                      <w:lang w:bidi="ar"/>
                    </w:rPr>
                    <w:t>4</w:t>
                  </w:r>
                </w:p>
              </w:tc>
            </w:tr>
            <w:tr w14:paraId="14BD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90" w:type="pct"/>
                  <w:vMerge w:val="continue"/>
                  <w:vAlign w:val="center"/>
                </w:tcPr>
                <w:p w14:paraId="086347A1">
                  <w:pPr>
                    <w:rPr>
                      <w:color w:val="auto"/>
                      <w:szCs w:val="21"/>
                    </w:rPr>
                  </w:pPr>
                </w:p>
              </w:tc>
              <w:tc>
                <w:tcPr>
                  <w:tcW w:w="468" w:type="pct"/>
                  <w:vMerge w:val="continue"/>
                  <w:vAlign w:val="center"/>
                </w:tcPr>
                <w:p w14:paraId="63BF94FF">
                  <w:pPr>
                    <w:rPr>
                      <w:color w:val="auto"/>
                      <w:szCs w:val="21"/>
                    </w:rPr>
                  </w:pPr>
                </w:p>
              </w:tc>
              <w:tc>
                <w:tcPr>
                  <w:tcW w:w="490" w:type="pct"/>
                  <w:vMerge w:val="continue"/>
                  <w:vAlign w:val="center"/>
                </w:tcPr>
                <w:p w14:paraId="47C3EC9A">
                  <w:pPr>
                    <w:rPr>
                      <w:color w:val="auto"/>
                      <w:szCs w:val="21"/>
                    </w:rPr>
                  </w:pPr>
                </w:p>
              </w:tc>
              <w:tc>
                <w:tcPr>
                  <w:tcW w:w="471" w:type="pct"/>
                  <w:vMerge w:val="continue"/>
                  <w:vAlign w:val="center"/>
                </w:tcPr>
                <w:p w14:paraId="4258B459">
                  <w:pPr>
                    <w:rPr>
                      <w:color w:val="auto"/>
                      <w:szCs w:val="21"/>
                    </w:rPr>
                  </w:pPr>
                </w:p>
              </w:tc>
              <w:tc>
                <w:tcPr>
                  <w:tcW w:w="247" w:type="pct"/>
                  <w:vMerge w:val="continue"/>
                  <w:vAlign w:val="center"/>
                </w:tcPr>
                <w:p w14:paraId="600BA374">
                  <w:pPr>
                    <w:rPr>
                      <w:color w:val="auto"/>
                      <w:szCs w:val="21"/>
                    </w:rPr>
                  </w:pPr>
                </w:p>
              </w:tc>
              <w:tc>
                <w:tcPr>
                  <w:tcW w:w="687" w:type="pct"/>
                  <w:vMerge w:val="continue"/>
                  <w:vAlign w:val="center"/>
                </w:tcPr>
                <w:p w14:paraId="398A9346">
                  <w:pPr>
                    <w:rPr>
                      <w:color w:val="auto"/>
                      <w:szCs w:val="21"/>
                    </w:rPr>
                  </w:pPr>
                </w:p>
              </w:tc>
              <w:tc>
                <w:tcPr>
                  <w:tcW w:w="429" w:type="pct"/>
                  <w:vMerge w:val="continue"/>
                  <w:vAlign w:val="center"/>
                </w:tcPr>
                <w:p w14:paraId="1440C11E">
                  <w:pPr>
                    <w:rPr>
                      <w:color w:val="auto"/>
                      <w:szCs w:val="21"/>
                    </w:rPr>
                  </w:pPr>
                </w:p>
              </w:tc>
              <w:tc>
                <w:tcPr>
                  <w:tcW w:w="479" w:type="pct"/>
                  <w:vMerge w:val="continue"/>
                  <w:vAlign w:val="center"/>
                </w:tcPr>
                <w:p w14:paraId="133D69D4">
                  <w:pPr>
                    <w:rPr>
                      <w:color w:val="auto"/>
                      <w:szCs w:val="21"/>
                    </w:rPr>
                  </w:pPr>
                </w:p>
              </w:tc>
              <w:tc>
                <w:tcPr>
                  <w:tcW w:w="995" w:type="dxa"/>
                  <w:vAlign w:val="center"/>
                </w:tcPr>
                <w:p w14:paraId="361199E5">
                  <w:pPr>
                    <w:widowControl/>
                    <w:jc w:val="center"/>
                    <w:textAlignment w:val="center"/>
                    <w:rPr>
                      <w:color w:val="auto"/>
                      <w:szCs w:val="21"/>
                    </w:rPr>
                  </w:pPr>
                  <w:r>
                    <w:rPr>
                      <w:rFonts w:hint="eastAsia"/>
                      <w:color w:val="auto"/>
                      <w:kern w:val="0"/>
                      <w:szCs w:val="21"/>
                      <w:lang w:bidi="ar"/>
                    </w:rPr>
                    <w:t>TN</w:t>
                  </w:r>
                </w:p>
              </w:tc>
              <w:tc>
                <w:tcPr>
                  <w:tcW w:w="1109" w:type="dxa"/>
                  <w:vAlign w:val="center"/>
                </w:tcPr>
                <w:p w14:paraId="5C49C2A7">
                  <w:pPr>
                    <w:widowControl/>
                    <w:jc w:val="center"/>
                    <w:textAlignment w:val="center"/>
                    <w:rPr>
                      <w:color w:val="auto"/>
                      <w:szCs w:val="21"/>
                    </w:rPr>
                  </w:pPr>
                  <w:r>
                    <w:rPr>
                      <w:rFonts w:hint="eastAsia" w:cs="宋体"/>
                      <w:color w:val="auto"/>
                      <w:kern w:val="0"/>
                      <w:szCs w:val="21"/>
                      <w:lang w:bidi="ar"/>
                    </w:rPr>
                    <w:t>15</w:t>
                  </w:r>
                </w:p>
              </w:tc>
            </w:tr>
          </w:tbl>
          <w:p w14:paraId="401AB554">
            <w:pPr>
              <w:adjustRightInd w:val="0"/>
              <w:snapToGrid w:val="0"/>
              <w:spacing w:line="360" w:lineRule="auto"/>
              <w:ind w:firstLine="482" w:firstLineChars="200"/>
              <w:rPr>
                <w:b/>
                <w:bCs/>
                <w:color w:val="auto"/>
                <w:sz w:val="24"/>
              </w:rPr>
            </w:pPr>
            <w:r>
              <w:rPr>
                <w:b/>
                <w:bCs/>
                <w:color w:val="auto"/>
                <w:sz w:val="24"/>
              </w:rPr>
              <w:t>3、监测要求</w:t>
            </w:r>
          </w:p>
          <w:p w14:paraId="5BAB32DA">
            <w:pPr>
              <w:adjustRightInd w:val="0"/>
              <w:snapToGrid w:val="0"/>
              <w:spacing w:line="360" w:lineRule="auto"/>
              <w:ind w:firstLine="480" w:firstLineChars="200"/>
              <w:rPr>
                <w:color w:val="auto"/>
                <w:kern w:val="0"/>
                <w:sz w:val="24"/>
                <w:lang w:bidi="ar"/>
              </w:rPr>
            </w:pPr>
            <w:r>
              <w:rPr>
                <w:color w:val="auto"/>
                <w:kern w:val="0"/>
                <w:sz w:val="24"/>
                <w:lang w:bidi="ar"/>
              </w:rPr>
              <w:t>参照《排污单位自行监测技术指南 总则》（HJ 819-2017），项目排放口为员工生活污水单独排放口，且经市政管网排入集中式污水处理厂，属于间接排放，无需开展自行监测。</w:t>
            </w:r>
          </w:p>
          <w:p w14:paraId="51CABF25">
            <w:pPr>
              <w:adjustRightInd w:val="0"/>
              <w:snapToGrid w:val="0"/>
              <w:spacing w:line="360" w:lineRule="auto"/>
              <w:ind w:firstLine="482" w:firstLineChars="200"/>
              <w:rPr>
                <w:b/>
                <w:bCs/>
                <w:color w:val="auto"/>
                <w:sz w:val="24"/>
              </w:rPr>
            </w:pPr>
            <w:r>
              <w:rPr>
                <w:b/>
                <w:bCs/>
                <w:color w:val="auto"/>
                <w:sz w:val="24"/>
              </w:rPr>
              <w:t>4、废水污染防治技术可行性分析</w:t>
            </w:r>
          </w:p>
          <w:p w14:paraId="6A13C222">
            <w:pPr>
              <w:spacing w:line="360" w:lineRule="auto"/>
              <w:ind w:firstLine="482" w:firstLineChars="200"/>
              <w:rPr>
                <w:b/>
                <w:bCs/>
                <w:color w:val="auto"/>
                <w:kern w:val="0"/>
                <w:sz w:val="24"/>
                <w:lang w:bidi="ar"/>
              </w:rPr>
            </w:pPr>
            <w:r>
              <w:rPr>
                <w:rFonts w:hint="eastAsia"/>
                <w:b/>
                <w:bCs/>
                <w:color w:val="auto"/>
                <w:kern w:val="0"/>
                <w:sz w:val="24"/>
                <w:lang w:bidi="ar"/>
              </w:rPr>
              <w:t>4.1生产废水污染防治可行性分析</w:t>
            </w:r>
          </w:p>
          <w:p w14:paraId="130B8E70">
            <w:pPr>
              <w:adjustRightInd w:val="0"/>
              <w:snapToGrid w:val="0"/>
              <w:spacing w:line="360" w:lineRule="auto"/>
              <w:ind w:firstLine="482" w:firstLineChars="200"/>
              <w:rPr>
                <w:b/>
                <w:bCs/>
                <w:color w:val="auto"/>
                <w:kern w:val="0"/>
                <w:sz w:val="24"/>
                <w:lang w:bidi="ar"/>
              </w:rPr>
            </w:pPr>
            <w:r>
              <w:rPr>
                <w:b/>
                <w:bCs/>
                <w:color w:val="auto"/>
                <w:kern w:val="0"/>
                <w:sz w:val="24"/>
                <w:lang w:bidi="ar"/>
              </w:rPr>
              <w:t>（1）拟采取的废水处理措施</w:t>
            </w:r>
            <w:r>
              <w:rPr>
                <w:rFonts w:hint="eastAsia"/>
                <w:b/>
                <w:bCs/>
                <w:color w:val="auto"/>
                <w:kern w:val="0"/>
                <w:sz w:val="24"/>
                <w:lang w:bidi="ar"/>
              </w:rPr>
              <w:t>工艺流程</w:t>
            </w:r>
          </w:p>
          <w:p w14:paraId="3D640A5F">
            <w:pPr>
              <w:adjustRightInd w:val="0"/>
              <w:snapToGrid w:val="0"/>
              <w:spacing w:line="360" w:lineRule="auto"/>
              <w:ind w:firstLine="480" w:firstLineChars="200"/>
              <w:rPr>
                <w:color w:val="auto"/>
                <w:kern w:val="0"/>
                <w:sz w:val="24"/>
                <w:lang w:bidi="ar"/>
              </w:rPr>
            </w:pPr>
            <w:r>
              <w:rPr>
                <w:color w:val="auto"/>
                <w:kern w:val="0"/>
                <w:sz w:val="24"/>
                <w:lang w:bidi="ar"/>
              </w:rPr>
              <w:t>项目生产废水中主要污染物有pH、COD</w:t>
            </w:r>
            <w:r>
              <w:rPr>
                <w:rFonts w:hint="eastAsia"/>
                <w:color w:val="auto"/>
                <w:kern w:val="0"/>
                <w:sz w:val="24"/>
                <w:vertAlign w:val="subscript"/>
                <w:lang w:bidi="ar"/>
              </w:rPr>
              <w:t>C</w:t>
            </w:r>
            <w:r>
              <w:rPr>
                <w:color w:val="auto"/>
                <w:kern w:val="0"/>
                <w:sz w:val="24"/>
                <w:vertAlign w:val="subscript"/>
                <w:lang w:bidi="ar"/>
              </w:rPr>
              <w:t>r</w:t>
            </w:r>
            <w:r>
              <w:rPr>
                <w:color w:val="auto"/>
                <w:kern w:val="0"/>
                <w:sz w:val="24"/>
                <w:lang w:bidi="ar"/>
              </w:rPr>
              <w:t>、BOD</w:t>
            </w:r>
            <w:r>
              <w:rPr>
                <w:color w:val="auto"/>
                <w:kern w:val="0"/>
                <w:sz w:val="24"/>
                <w:vertAlign w:val="subscript"/>
                <w:lang w:bidi="ar"/>
              </w:rPr>
              <w:t>5</w:t>
            </w:r>
            <w:r>
              <w:rPr>
                <w:color w:val="auto"/>
                <w:kern w:val="0"/>
                <w:sz w:val="24"/>
                <w:lang w:bidi="ar"/>
              </w:rPr>
              <w:t>、SS、NH</w:t>
            </w:r>
            <w:r>
              <w:rPr>
                <w:color w:val="auto"/>
                <w:kern w:val="0"/>
                <w:sz w:val="24"/>
                <w:vertAlign w:val="subscript"/>
                <w:lang w:bidi="ar"/>
              </w:rPr>
              <w:t>3</w:t>
            </w:r>
            <w:r>
              <w:rPr>
                <w:color w:val="auto"/>
                <w:kern w:val="0"/>
                <w:sz w:val="24"/>
                <w:lang w:bidi="ar"/>
              </w:rPr>
              <w:t>-N、总氮、总磷、石油类等，为非持久性污染物。建设单位拟自建</w:t>
            </w:r>
            <w:r>
              <w:rPr>
                <w:rFonts w:hint="eastAsia"/>
                <w:color w:val="auto"/>
                <w:kern w:val="0"/>
                <w:sz w:val="24"/>
                <w:lang w:bidi="ar"/>
              </w:rPr>
              <w:t>废水处理设施</w:t>
            </w:r>
            <w:r>
              <w:rPr>
                <w:color w:val="auto"/>
                <w:kern w:val="0"/>
                <w:sz w:val="24"/>
                <w:lang w:bidi="ar"/>
              </w:rPr>
              <w:t>，</w:t>
            </w:r>
            <w:r>
              <w:rPr>
                <w:rFonts w:hint="eastAsia"/>
                <w:color w:val="auto"/>
                <w:kern w:val="0"/>
                <w:sz w:val="24"/>
                <w:lang w:bidi="ar"/>
              </w:rPr>
              <w:t>处理工艺</w:t>
            </w:r>
            <w:r>
              <w:rPr>
                <w:color w:val="auto"/>
                <w:kern w:val="0"/>
                <w:sz w:val="24"/>
                <w:lang w:bidi="ar"/>
              </w:rPr>
              <w:t>包括</w:t>
            </w:r>
            <w:r>
              <w:rPr>
                <w:rFonts w:hint="eastAsia"/>
                <w:color w:val="auto"/>
                <w:kern w:val="0"/>
                <w:sz w:val="24"/>
                <w:lang w:bidi="ar"/>
              </w:rPr>
              <w:t>：</w:t>
            </w:r>
            <w:r>
              <w:rPr>
                <w:color w:val="auto"/>
                <w:kern w:val="0"/>
                <w:sz w:val="24"/>
                <w:lang w:bidi="ar"/>
              </w:rPr>
              <w:t>调节+</w:t>
            </w:r>
            <w:r>
              <w:rPr>
                <w:rFonts w:hint="eastAsia"/>
                <w:color w:val="auto"/>
                <w:kern w:val="0"/>
                <w:sz w:val="24"/>
                <w:lang w:bidi="ar"/>
              </w:rPr>
              <w:t>隔油池+</w:t>
            </w:r>
            <w:r>
              <w:rPr>
                <w:color w:val="auto"/>
                <w:kern w:val="0"/>
                <w:sz w:val="24"/>
                <w:lang w:bidi="ar"/>
              </w:rPr>
              <w:t>混凝沉淀+水解酸化+缺氧+接触氧化+MBR+砂滤+碳滤+精密过滤+</w:t>
            </w:r>
            <w:r>
              <w:rPr>
                <w:rFonts w:hint="eastAsia"/>
                <w:color w:val="auto"/>
                <w:kern w:val="0"/>
                <w:sz w:val="24"/>
                <w:lang w:bidi="ar"/>
              </w:rPr>
              <w:t>二段RO系统</w:t>
            </w:r>
            <w:r>
              <w:rPr>
                <w:rFonts w:hint="eastAsia"/>
                <w:color w:val="auto"/>
                <w:sz w:val="24"/>
              </w:rPr>
              <w:t>，达到《城市污水再生利用工业用水水质》（GB/T19923-2024）中用水标准后87.5%（1258.151t/a）回用于清洗用水、喷淋塔用水，12.5%（179.735t/a）经蒸发器加热后水蒸气冷凝回用于喷淋塔用水（项目废水经处理后污染浓度比较低，回用率可达95%以上，本项目按95%计，则回用水量170.748t/a），剩余5%浓液（8.987t/a）全部交由危险废物处理单位处理，不外排。项目蒸发器采用电加热。</w:t>
            </w:r>
          </w:p>
          <w:p w14:paraId="41EEB461">
            <w:pPr>
              <w:adjustRightInd w:val="0"/>
              <w:snapToGrid w:val="0"/>
              <w:spacing w:line="360" w:lineRule="auto"/>
              <w:ind w:firstLine="480" w:firstLineChars="200"/>
              <w:rPr>
                <w:rFonts w:hint="eastAsia"/>
                <w:color w:val="auto"/>
                <w:sz w:val="24"/>
              </w:rPr>
            </w:pPr>
            <w:r>
              <w:rPr>
                <w:rFonts w:hint="eastAsia"/>
                <w:color w:val="auto"/>
                <w:sz w:val="24"/>
              </w:rPr>
              <w:t>项目生产废水的产生量为4.793t/d，即1437.886t/a，建设单位拟设有 1 套8t/d的废水处理设施，废水处理工艺见下图所示：</w:t>
            </w:r>
          </w:p>
          <w:p w14:paraId="30073B0D">
            <w:pPr>
              <w:adjustRightInd w:val="0"/>
              <w:snapToGrid w:val="0"/>
              <w:spacing w:line="360" w:lineRule="auto"/>
              <w:ind w:firstLine="480" w:firstLineChars="200"/>
              <w:rPr>
                <w:rFonts w:hint="eastAsia"/>
                <w:color w:val="auto"/>
                <w:sz w:val="24"/>
              </w:rPr>
            </w:pPr>
          </w:p>
          <w:p w14:paraId="5DAE5E25">
            <w:pPr>
              <w:adjustRightInd w:val="0"/>
              <w:snapToGrid w:val="0"/>
              <w:spacing w:line="360" w:lineRule="auto"/>
              <w:ind w:firstLine="480" w:firstLineChars="200"/>
              <w:rPr>
                <w:rFonts w:hint="eastAsia"/>
                <w:color w:val="auto"/>
                <w:sz w:val="24"/>
              </w:rPr>
            </w:pPr>
          </w:p>
          <w:p w14:paraId="0DF16631">
            <w:pPr>
              <w:adjustRightInd w:val="0"/>
              <w:snapToGrid w:val="0"/>
              <w:spacing w:line="360" w:lineRule="auto"/>
              <w:ind w:firstLine="480" w:firstLineChars="200"/>
              <w:rPr>
                <w:rFonts w:hint="eastAsia"/>
                <w:color w:val="auto"/>
                <w:sz w:val="24"/>
              </w:rPr>
            </w:pPr>
          </w:p>
          <w:p w14:paraId="056D5814">
            <w:pPr>
              <w:adjustRightInd w:val="0"/>
              <w:snapToGrid w:val="0"/>
              <w:spacing w:line="360" w:lineRule="auto"/>
              <w:ind w:firstLine="480" w:firstLineChars="200"/>
              <w:rPr>
                <w:rFonts w:hint="eastAsia"/>
                <w:color w:val="auto"/>
                <w:sz w:val="24"/>
              </w:rPr>
            </w:pPr>
          </w:p>
          <w:p w14:paraId="7A93576D">
            <w:pPr>
              <w:adjustRightInd w:val="0"/>
              <w:snapToGrid w:val="0"/>
              <w:spacing w:line="360" w:lineRule="auto"/>
              <w:ind w:firstLine="480" w:firstLineChars="200"/>
              <w:rPr>
                <w:rFonts w:hint="eastAsia"/>
                <w:color w:val="auto"/>
                <w:sz w:val="24"/>
              </w:rPr>
            </w:pPr>
          </w:p>
          <w:p w14:paraId="57257860">
            <w:pPr>
              <w:adjustRightInd w:val="0"/>
              <w:snapToGrid w:val="0"/>
              <w:spacing w:line="360" w:lineRule="auto"/>
              <w:ind w:firstLine="480" w:firstLineChars="200"/>
              <w:rPr>
                <w:rFonts w:hint="eastAsia"/>
                <w:color w:val="auto"/>
                <w:sz w:val="24"/>
              </w:rPr>
            </w:pPr>
          </w:p>
          <w:p w14:paraId="411DD646">
            <w:pPr>
              <w:adjustRightInd w:val="0"/>
              <w:snapToGrid w:val="0"/>
              <w:spacing w:line="360" w:lineRule="auto"/>
              <w:ind w:firstLine="480" w:firstLineChars="200"/>
              <w:rPr>
                <w:rFonts w:hint="eastAsia"/>
                <w:color w:val="auto"/>
                <w:sz w:val="24"/>
              </w:rPr>
            </w:pPr>
          </w:p>
          <w:p w14:paraId="4AF788D9">
            <w:pPr>
              <w:adjustRightInd w:val="0"/>
              <w:snapToGrid w:val="0"/>
              <w:spacing w:line="360" w:lineRule="auto"/>
              <w:ind w:firstLine="480" w:firstLineChars="200"/>
              <w:rPr>
                <w:rFonts w:hint="eastAsia"/>
                <w:color w:val="auto"/>
                <w:sz w:val="24"/>
              </w:rPr>
            </w:pPr>
          </w:p>
          <w:p w14:paraId="79F1E486">
            <w:pPr>
              <w:adjustRightInd w:val="0"/>
              <w:snapToGrid w:val="0"/>
              <w:spacing w:line="360" w:lineRule="auto"/>
              <w:ind w:firstLine="480" w:firstLineChars="200"/>
              <w:rPr>
                <w:rFonts w:hint="eastAsia"/>
                <w:color w:val="auto"/>
                <w:sz w:val="24"/>
              </w:rPr>
            </w:pPr>
          </w:p>
          <w:p w14:paraId="7D8ACD38">
            <w:pPr>
              <w:adjustRightInd w:val="0"/>
              <w:snapToGrid w:val="0"/>
              <w:jc w:val="center"/>
              <w:textAlignment w:val="baseline"/>
              <w:rPr>
                <w:color w:val="auto"/>
                <w:kern w:val="0"/>
                <w:sz w:val="24"/>
                <w:lang w:bidi="ar"/>
              </w:rPr>
            </w:pPr>
            <w:r>
              <w:rPr>
                <w:color w:val="auto"/>
                <w:kern w:val="0"/>
                <w:sz w:val="24"/>
                <w:lang w:bidi="ar"/>
              </w:rPr>
              <w:object>
                <v:shape id="_x0000_i1032" o:spt="75" type="#_x0000_t75" style="height:544pt;width:390pt;" o:ole="t" filled="f" o:preferrelative="t" stroked="f" coordsize="21600,21600">
                  <v:path/>
                  <v:fill on="f" focussize="0,0"/>
                  <v:stroke on="f" joinstyle="miter"/>
                  <v:imagedata r:id="rId35" o:title=""/>
                  <o:lock v:ext="edit" aspectratio="f"/>
                  <w10:wrap type="none"/>
                  <w10:anchorlock/>
                </v:shape>
                <o:OLEObject Type="Embed" ProgID="Visio.Drawing.15" ShapeID="_x0000_i1032" DrawAspect="Content" ObjectID="_1468075732" r:id="rId34">
                  <o:LockedField>false</o:LockedField>
                </o:OLEObject>
              </w:object>
            </w:r>
          </w:p>
          <w:p w14:paraId="50EFD155">
            <w:pPr>
              <w:pStyle w:val="47"/>
              <w:numPr>
                <w:ilvl w:val="0"/>
                <w:numId w:val="19"/>
              </w:numPr>
              <w:jc w:val="center"/>
              <w:rPr>
                <w:rFonts w:ascii="Times New Roman" w:hAnsi="Times New Roman" w:cs="Times New Roman"/>
                <w:b/>
                <w:color w:val="auto"/>
                <w:sz w:val="21"/>
                <w:szCs w:val="21"/>
                <w:lang w:bidi="ar"/>
              </w:rPr>
            </w:pPr>
            <w:r>
              <w:rPr>
                <w:rFonts w:ascii="Times New Roman" w:hAnsi="Times New Roman" w:cs="Times New Roman"/>
                <w:b/>
                <w:color w:val="auto"/>
                <w:sz w:val="21"/>
                <w:szCs w:val="21"/>
                <w:lang w:bidi="ar"/>
              </w:rPr>
              <w:t>项目</w:t>
            </w:r>
            <w:r>
              <w:rPr>
                <w:rFonts w:hint="eastAsia" w:ascii="Times New Roman" w:hAnsi="Times New Roman" w:cs="Times New Roman"/>
                <w:b/>
                <w:color w:val="auto"/>
                <w:sz w:val="21"/>
                <w:szCs w:val="21"/>
                <w:lang w:bidi="ar"/>
              </w:rPr>
              <w:t>自建废水处理设施</w:t>
            </w:r>
            <w:r>
              <w:rPr>
                <w:rFonts w:ascii="Times New Roman" w:hAnsi="Times New Roman" w:cs="Times New Roman"/>
                <w:b/>
                <w:color w:val="auto"/>
                <w:sz w:val="21"/>
                <w:szCs w:val="21"/>
                <w:lang w:bidi="ar"/>
              </w:rPr>
              <w:t>处理工艺流程图</w:t>
            </w:r>
          </w:p>
          <w:p w14:paraId="1B3E8A9D">
            <w:pPr>
              <w:autoSpaceDE w:val="0"/>
              <w:autoSpaceDN w:val="0"/>
              <w:adjustRightInd w:val="0"/>
              <w:snapToGrid w:val="0"/>
              <w:spacing w:line="360" w:lineRule="auto"/>
              <w:rPr>
                <w:color w:val="auto"/>
                <w:sz w:val="24"/>
              </w:rPr>
            </w:pPr>
            <w:r>
              <w:rPr>
                <w:b/>
                <w:bCs/>
                <w:color w:val="auto"/>
                <w:sz w:val="24"/>
              </w:rPr>
              <w:t>处理工艺说明：</w:t>
            </w:r>
          </w:p>
          <w:p w14:paraId="49586F9E">
            <w:pPr>
              <w:autoSpaceDE w:val="0"/>
              <w:autoSpaceDN w:val="0"/>
              <w:adjustRightInd w:val="0"/>
              <w:snapToGrid w:val="0"/>
              <w:spacing w:line="360" w:lineRule="auto"/>
              <w:ind w:firstLine="482" w:firstLineChars="200"/>
              <w:rPr>
                <w:b/>
                <w:bCs/>
                <w:color w:val="auto"/>
                <w:sz w:val="24"/>
              </w:rPr>
            </w:pPr>
            <w:r>
              <w:rPr>
                <w:b/>
                <w:bCs/>
                <w:color w:val="auto"/>
                <w:sz w:val="24"/>
              </w:rPr>
              <w:t>隔油池：</w:t>
            </w:r>
            <w:r>
              <w:rPr>
                <w:rFonts w:hint="eastAsia"/>
                <w:color w:val="auto"/>
                <w:sz w:val="24"/>
              </w:rPr>
              <w:t>根据表4-8，废槽液为高浓度废水，为降低废槽液对废水处理设施的冲击，项目将废槽液单独收集，并通过定时定量泵加入调节池中混合处理。</w:t>
            </w:r>
            <w:r>
              <w:rPr>
                <w:color w:val="auto"/>
                <w:sz w:val="24"/>
              </w:rPr>
              <w:t>废槽液、清洗废水经隔油池进行隔油处理，产生的废油脂收集后委托有资质单位处理。</w:t>
            </w:r>
          </w:p>
          <w:p w14:paraId="60BEDE48">
            <w:pPr>
              <w:autoSpaceDE w:val="0"/>
              <w:autoSpaceDN w:val="0"/>
              <w:adjustRightInd w:val="0"/>
              <w:snapToGrid w:val="0"/>
              <w:spacing w:line="360" w:lineRule="auto"/>
              <w:ind w:firstLine="482" w:firstLineChars="200"/>
              <w:rPr>
                <w:color w:val="auto"/>
                <w:sz w:val="24"/>
              </w:rPr>
            </w:pPr>
            <w:r>
              <w:rPr>
                <w:b/>
                <w:bCs/>
                <w:color w:val="auto"/>
                <w:sz w:val="24"/>
              </w:rPr>
              <w:t>调节池A、pH回调池A：</w:t>
            </w:r>
            <w:r>
              <w:rPr>
                <w:color w:val="auto"/>
                <w:sz w:val="24"/>
              </w:rPr>
              <w:t>废水流入调节池A中，进行水量、水质的调节。再流入pH回调池A中，往废水中投加石灰，将pH调至10左右，使水中的磷酸盐与钙离子产生化学反应形成磷酸钙沉淀。</w:t>
            </w:r>
          </w:p>
          <w:p w14:paraId="156260DA">
            <w:pPr>
              <w:autoSpaceDE w:val="0"/>
              <w:autoSpaceDN w:val="0"/>
              <w:adjustRightInd w:val="0"/>
              <w:snapToGrid w:val="0"/>
              <w:spacing w:line="360" w:lineRule="auto"/>
              <w:ind w:firstLine="482" w:firstLineChars="200"/>
              <w:rPr>
                <w:b/>
                <w:bCs/>
                <w:color w:val="auto"/>
                <w:sz w:val="24"/>
              </w:rPr>
            </w:pPr>
            <w:r>
              <w:rPr>
                <w:b/>
                <w:bCs/>
                <w:color w:val="auto"/>
                <w:sz w:val="24"/>
              </w:rPr>
              <w:t>混凝池A、絮凝池A：</w:t>
            </w:r>
            <w:r>
              <w:rPr>
                <w:color w:val="auto"/>
                <w:sz w:val="24"/>
              </w:rPr>
              <w:t>往废水中投加混凝剂（本项目使用聚合氯化铝），使水中细小悬浮物或胶体微粒互相吸附结合而成较大颗粒，再通过投加絮凝剂（本项目使用聚丙烯酰胺），使得微小的絮体结合为一个更大的絮体。</w:t>
            </w:r>
          </w:p>
          <w:p w14:paraId="7A2A45DC">
            <w:pPr>
              <w:autoSpaceDE w:val="0"/>
              <w:autoSpaceDN w:val="0"/>
              <w:adjustRightInd w:val="0"/>
              <w:snapToGrid w:val="0"/>
              <w:spacing w:line="360" w:lineRule="auto"/>
              <w:ind w:firstLine="482" w:firstLineChars="200"/>
              <w:rPr>
                <w:b/>
                <w:bCs/>
                <w:color w:val="auto"/>
                <w:sz w:val="24"/>
              </w:rPr>
            </w:pPr>
            <w:r>
              <w:rPr>
                <w:b/>
                <w:bCs/>
                <w:color w:val="auto"/>
                <w:sz w:val="24"/>
              </w:rPr>
              <w:t>沉淀池A：</w:t>
            </w:r>
            <w:r>
              <w:rPr>
                <w:color w:val="auto"/>
                <w:sz w:val="24"/>
              </w:rPr>
              <w:t>将加药反应完毕后的废水进行固液分离，从而使絮凝体从废水中去除。</w:t>
            </w:r>
          </w:p>
          <w:p w14:paraId="42C711BE">
            <w:pPr>
              <w:autoSpaceDE w:val="0"/>
              <w:autoSpaceDN w:val="0"/>
              <w:adjustRightInd w:val="0"/>
              <w:snapToGrid w:val="0"/>
              <w:spacing w:line="360" w:lineRule="auto"/>
              <w:ind w:firstLine="482" w:firstLineChars="200"/>
              <w:rPr>
                <w:color w:val="auto"/>
                <w:sz w:val="24"/>
              </w:rPr>
            </w:pPr>
            <w:r>
              <w:rPr>
                <w:b/>
                <w:bCs/>
                <w:color w:val="auto"/>
                <w:sz w:val="24"/>
              </w:rPr>
              <w:t>调节池B、pH回调池B：</w:t>
            </w:r>
            <w:r>
              <w:rPr>
                <w:color w:val="auto"/>
                <w:sz w:val="24"/>
              </w:rPr>
              <w:t>其他生产废水和经预处理后的废槽液、清洗废水流入调节池B中，进行水量、水质的调节。再流入pH回调池B中，往废水中投加氢氧化钠，将pH调至8.5-9之间。</w:t>
            </w:r>
          </w:p>
          <w:p w14:paraId="6A007392">
            <w:pPr>
              <w:autoSpaceDE w:val="0"/>
              <w:autoSpaceDN w:val="0"/>
              <w:adjustRightInd w:val="0"/>
              <w:snapToGrid w:val="0"/>
              <w:spacing w:line="360" w:lineRule="auto"/>
              <w:ind w:firstLine="482" w:firstLineChars="200"/>
              <w:rPr>
                <w:b/>
                <w:bCs/>
                <w:color w:val="auto"/>
                <w:sz w:val="24"/>
              </w:rPr>
            </w:pPr>
            <w:r>
              <w:rPr>
                <w:b/>
                <w:bCs/>
                <w:color w:val="auto"/>
                <w:sz w:val="24"/>
              </w:rPr>
              <w:t>混凝池B、絮凝池B：</w:t>
            </w:r>
            <w:r>
              <w:rPr>
                <w:color w:val="auto"/>
                <w:sz w:val="24"/>
              </w:rPr>
              <w:t>往废水中投加混凝剂（本项目使用聚合氯化铝），使水中细小悬浮物或胶体微粒互相吸附结合而成较大颗粒，再通过投加絮凝剂（本项目使用聚丙烯酰胺），使得微小的絮体结合为一个更大的絮体。</w:t>
            </w:r>
          </w:p>
          <w:p w14:paraId="2E5EA82B">
            <w:pPr>
              <w:autoSpaceDE w:val="0"/>
              <w:autoSpaceDN w:val="0"/>
              <w:adjustRightInd w:val="0"/>
              <w:snapToGrid w:val="0"/>
              <w:spacing w:line="360" w:lineRule="auto"/>
              <w:ind w:firstLine="482" w:firstLineChars="200"/>
              <w:rPr>
                <w:color w:val="auto"/>
                <w:sz w:val="24"/>
              </w:rPr>
            </w:pPr>
            <w:r>
              <w:rPr>
                <w:b/>
                <w:bCs/>
                <w:color w:val="auto"/>
                <w:sz w:val="24"/>
              </w:rPr>
              <w:t>沉淀池B：</w:t>
            </w:r>
            <w:r>
              <w:rPr>
                <w:color w:val="auto"/>
                <w:sz w:val="24"/>
              </w:rPr>
              <w:t>将加药反应完毕后的废水进行固液分离，从而使絮凝体从废水中去除。</w:t>
            </w:r>
          </w:p>
          <w:p w14:paraId="00664454">
            <w:pPr>
              <w:autoSpaceDE w:val="0"/>
              <w:autoSpaceDN w:val="0"/>
              <w:adjustRightInd w:val="0"/>
              <w:snapToGrid w:val="0"/>
              <w:spacing w:line="360" w:lineRule="auto"/>
              <w:ind w:firstLine="482" w:firstLineChars="200"/>
              <w:rPr>
                <w:color w:val="auto"/>
                <w:sz w:val="24"/>
              </w:rPr>
            </w:pPr>
            <w:r>
              <w:rPr>
                <w:b/>
                <w:bCs/>
                <w:color w:val="auto"/>
                <w:sz w:val="24"/>
              </w:rPr>
              <w:t>水解酸化池：</w:t>
            </w:r>
            <w:r>
              <w:rPr>
                <w:color w:val="auto"/>
                <w:sz w:val="24"/>
              </w:rPr>
              <w:t>在厌氧产酸菌的作用下，将废水中难溶及难生物降解的大分子有机物质转化成易溶易生物降解的小分子有机物，去除有机物的同时，也提高了废水的可生化性。水解阶段是大分子有机物降解的必经过程，大分子有机物想要被微生物所利用，必须先水解为小分子有机物，这样才能进入细菌细胞内进一步降解。酸化阶段是有机物降解的提速过程，因为它将水解后的小分子有机物进一步转化为简单的化合物并分泌到细胞外。水解酸化池内装有水力搅拌系统，通过搅拌使池内微生物与废水中的有机污染物充分接触，以增强其处理效果。</w:t>
            </w:r>
          </w:p>
          <w:p w14:paraId="6E5801A9">
            <w:pPr>
              <w:autoSpaceDE w:val="0"/>
              <w:autoSpaceDN w:val="0"/>
              <w:adjustRightInd w:val="0"/>
              <w:snapToGrid w:val="0"/>
              <w:spacing w:line="360" w:lineRule="auto"/>
              <w:ind w:firstLine="482" w:firstLineChars="200"/>
              <w:rPr>
                <w:b/>
                <w:bCs/>
                <w:color w:val="auto"/>
                <w:sz w:val="24"/>
              </w:rPr>
            </w:pPr>
            <w:r>
              <w:rPr>
                <w:b/>
                <w:bCs/>
                <w:color w:val="auto"/>
                <w:sz w:val="24"/>
              </w:rPr>
              <w:t>缺氧池：</w:t>
            </w:r>
            <w:r>
              <w:rPr>
                <w:color w:val="auto"/>
                <w:sz w:val="24"/>
              </w:rPr>
              <w:t>在缺氧的条件下将水中的硝酸盐氮和亚硝酸盐氮转化为氮气溢出，从而达到降低污水中总氮的目的。</w:t>
            </w:r>
          </w:p>
          <w:p w14:paraId="4144A49C">
            <w:pPr>
              <w:autoSpaceDE w:val="0"/>
              <w:autoSpaceDN w:val="0"/>
              <w:adjustRightInd w:val="0"/>
              <w:snapToGrid w:val="0"/>
              <w:spacing w:line="360" w:lineRule="auto"/>
              <w:ind w:firstLine="482" w:firstLineChars="200"/>
              <w:rPr>
                <w:b/>
                <w:bCs/>
                <w:color w:val="auto"/>
                <w:sz w:val="24"/>
              </w:rPr>
            </w:pPr>
            <w:r>
              <w:rPr>
                <w:b/>
                <w:bCs/>
                <w:color w:val="auto"/>
                <w:sz w:val="24"/>
              </w:rPr>
              <w:t>接触氧化池：</w:t>
            </w:r>
            <w:r>
              <w:rPr>
                <w:color w:val="auto"/>
                <w:sz w:val="24"/>
              </w:rPr>
              <w:t>在曝气池中设置生物填料，废水流经填料层，在填料颗粒表面长满生物膜，废水和生物膜相接触，由于有微生物作用，废水得到净化。</w:t>
            </w:r>
          </w:p>
          <w:p w14:paraId="016BD269">
            <w:pPr>
              <w:autoSpaceDE w:val="0"/>
              <w:autoSpaceDN w:val="0"/>
              <w:adjustRightInd w:val="0"/>
              <w:snapToGrid w:val="0"/>
              <w:spacing w:line="360" w:lineRule="auto"/>
              <w:ind w:firstLine="482" w:firstLineChars="200"/>
              <w:rPr>
                <w:color w:val="auto"/>
                <w:sz w:val="24"/>
              </w:rPr>
            </w:pPr>
            <w:r>
              <w:rPr>
                <w:b/>
                <w:bCs/>
                <w:color w:val="auto"/>
                <w:sz w:val="24"/>
              </w:rPr>
              <w:t>MBR池：</w:t>
            </w:r>
            <w:r>
              <w:rPr>
                <w:color w:val="auto"/>
                <w:sz w:val="24"/>
              </w:rPr>
              <w:t>MBR膜的分离效果远好于传统沉淀池，出水及其清澈，悬浮物及浊度接近于零，大部分细菌被去除，同时，膜分离也使微生物被完全被截流在生物反应器内，使得系统内能够维持较高的微生物浓度，不但提高了反应装置对污染物的整体去除效率，保证了良好的出水水质，同时反应器对进水负荷（水质及水量）的各种变化具有很好的适应性，耐冲击负荷，能够稳定获得优质的出水水质。也实现了水力停留时间与污泥停留时间的完全分离，运行控制更加灵活稳定，是污水处理中容易实现装备化的新技术，可实现微机自动控制，从而使操作管理更为方便。同时通过污泥回流泵，污泥回流至水解酸化池中，使生化系统内微生物可得到有效的繁殖，补充老化的微生物，保持系统内微生物的浓度要求。</w:t>
            </w:r>
          </w:p>
          <w:p w14:paraId="2073C28A">
            <w:pPr>
              <w:autoSpaceDE w:val="0"/>
              <w:autoSpaceDN w:val="0"/>
              <w:adjustRightInd w:val="0"/>
              <w:snapToGrid w:val="0"/>
              <w:spacing w:line="360" w:lineRule="auto"/>
              <w:ind w:firstLine="482" w:firstLineChars="200"/>
              <w:rPr>
                <w:b/>
                <w:bCs/>
                <w:color w:val="auto"/>
                <w:sz w:val="24"/>
              </w:rPr>
            </w:pPr>
            <w:r>
              <w:rPr>
                <w:b/>
                <w:bCs/>
                <w:color w:val="auto"/>
                <w:sz w:val="24"/>
              </w:rPr>
              <w:t>砂滤：</w:t>
            </w:r>
            <w:r>
              <w:rPr>
                <w:color w:val="auto"/>
                <w:sz w:val="24"/>
              </w:rPr>
              <w:t>利用石英砂作为过滤介质，在一定的压力下，把浊度较高的水通过一定厚度的粒状或非粒的石英砂过滤，有效的截留除去水中的悬浮物、有机物、胶质颗粒、微生物、氯、臭味及部分重金属物质等，最终达到降低水浊度、净化水质效果的一种高效过滤技术，主要是对泥沙，胶体等悬浮物进行截留，高效地去除水中的杂质。</w:t>
            </w:r>
          </w:p>
          <w:p w14:paraId="13FAEB0C">
            <w:pPr>
              <w:autoSpaceDE w:val="0"/>
              <w:autoSpaceDN w:val="0"/>
              <w:adjustRightInd w:val="0"/>
              <w:snapToGrid w:val="0"/>
              <w:spacing w:line="360" w:lineRule="auto"/>
              <w:ind w:firstLine="482" w:firstLineChars="200"/>
              <w:rPr>
                <w:b/>
                <w:bCs/>
                <w:color w:val="auto"/>
                <w:sz w:val="24"/>
              </w:rPr>
            </w:pPr>
            <w:r>
              <w:rPr>
                <w:b/>
                <w:bCs/>
                <w:color w:val="auto"/>
                <w:sz w:val="24"/>
              </w:rPr>
              <w:t>碳滤：</w:t>
            </w:r>
            <w:r>
              <w:rPr>
                <w:color w:val="auto"/>
                <w:sz w:val="24"/>
              </w:rPr>
              <w:t>利用含碳量高、分子量大、比表面积大的活性炭床对水中杂质进行物理吸附，达到水质要求，当水流通过活性炭的孔隙时，各种悬浮颗粒、有机物等在范德华力的作用下被吸附在活性炭孔隙中；同时，对水中有机物、胶体硅、臭味，色度，重金属离子具有很强的吸附能力。随时间推移活性炭的孔隙内和颗粒之间的截留物逐渐增加，使滤器的前后压差随之升高，直至失效。在通常情况下，根据过滤器的前后压差，利用逆向水流反洗滤料，使大部分吸附于活性炭孔隙中的截留物剥离并被水流带走，恢复吸附功能。当活性炭达到饱和吸附容量彻底失效时，应对活性炭再生或更换活性炭，以满足废水处理需求。</w:t>
            </w:r>
          </w:p>
          <w:p w14:paraId="1C17F235">
            <w:pPr>
              <w:adjustRightInd w:val="0"/>
              <w:snapToGrid w:val="0"/>
              <w:spacing w:line="360" w:lineRule="auto"/>
              <w:ind w:firstLine="480"/>
              <w:textAlignment w:val="baseline"/>
              <w:rPr>
                <w:b/>
                <w:bCs/>
                <w:color w:val="auto"/>
                <w:sz w:val="24"/>
              </w:rPr>
            </w:pPr>
            <w:r>
              <w:rPr>
                <w:b/>
                <w:bCs/>
                <w:color w:val="auto"/>
                <w:sz w:val="24"/>
              </w:rPr>
              <w:t>精密过滤：</w:t>
            </w:r>
            <w:r>
              <w:rPr>
                <w:color w:val="auto"/>
                <w:sz w:val="24"/>
              </w:rPr>
              <w:t>经过处理后的废水，大颗粒悬浮物已经基本被除去，而一些小颗粒悬浮物则没有被除去，保安过滤器再进行一次微滤，去除5μm以上悬浮物，以保护膜不被堵塞。同时，一些细沫也被截留在反渗透系统之外。精密过滤器进出口设压力指示表，当压差增大到设定值时更换滤芯。</w:t>
            </w:r>
          </w:p>
          <w:p w14:paraId="5DB397FB">
            <w:pPr>
              <w:adjustRightInd w:val="0"/>
              <w:snapToGrid w:val="0"/>
              <w:spacing w:line="360" w:lineRule="auto"/>
              <w:ind w:firstLine="480"/>
              <w:textAlignment w:val="baseline"/>
              <w:rPr>
                <w:color w:val="auto"/>
                <w:sz w:val="24"/>
              </w:rPr>
            </w:pPr>
            <w:r>
              <w:rPr>
                <w:rFonts w:hint="eastAsia"/>
                <w:b/>
                <w:bCs/>
                <w:color w:val="auto"/>
                <w:sz w:val="24"/>
              </w:rPr>
              <w:t>二段RO</w:t>
            </w:r>
            <w:r>
              <w:rPr>
                <w:b/>
                <w:bCs/>
                <w:color w:val="auto"/>
                <w:sz w:val="24"/>
              </w:rPr>
              <w:t>系统</w:t>
            </w:r>
            <w:r>
              <w:rPr>
                <w:b/>
                <w:bCs/>
                <w:color w:val="auto"/>
                <w:kern w:val="24"/>
                <w:sz w:val="24"/>
              </w:rPr>
              <w:t>：</w:t>
            </w:r>
            <w:r>
              <w:rPr>
                <w:color w:val="auto"/>
                <w:sz w:val="24"/>
              </w:rPr>
              <w:t>反渗透是一种以压力梯度为动力的膜分离过程，其如同分子过滤器一样可有效地去除水中的溶解盐类胶体细菌和有机物。反渗透过程是自然渗透的逆过程，在使用过程中为产生反渗透过程需用水泵将含盐水溶液施加压力以克服其自然渗透压，从而使水透过反渗透膜，而将水中溶解盐类等杂质阻止在反渗透膜的另一侧，同时为防止原水中溶解盐类杂质在膜表面聚焦，运行时浓水应不断地冲洗膜表面并将浓水中及膜面上的杂质带出。本项目设置二段反渗透，一段反渗透系统产水进入产水箱回用于</w:t>
            </w:r>
            <w:r>
              <w:rPr>
                <w:rFonts w:hint="eastAsia"/>
                <w:color w:val="auto"/>
                <w:sz w:val="24"/>
                <w:lang w:val="en-US" w:eastAsia="zh-CN"/>
              </w:rPr>
              <w:t>生产</w:t>
            </w:r>
            <w:r>
              <w:rPr>
                <w:color w:val="auto"/>
                <w:sz w:val="24"/>
              </w:rPr>
              <w:t>，浓水通过高压泵送至二段反渗透系统，二段反渗透系统产生的淡水</w:t>
            </w:r>
            <w:r>
              <w:rPr>
                <w:rFonts w:hint="eastAsia"/>
                <w:color w:val="auto"/>
                <w:sz w:val="24"/>
              </w:rPr>
              <w:t>回用于</w:t>
            </w:r>
            <w:r>
              <w:rPr>
                <w:rFonts w:hint="eastAsia"/>
                <w:color w:val="auto"/>
                <w:sz w:val="24"/>
                <w:lang w:val="en-US" w:eastAsia="zh-CN"/>
              </w:rPr>
              <w:t>生产</w:t>
            </w:r>
            <w:r>
              <w:rPr>
                <w:color w:val="auto"/>
                <w:sz w:val="24"/>
              </w:rPr>
              <w:t>，浓水进入低温蒸发器进行处理，</w:t>
            </w:r>
            <w:r>
              <w:rPr>
                <w:rFonts w:hint="eastAsia"/>
                <w:color w:val="auto"/>
                <w:kern w:val="0"/>
                <w:sz w:val="24"/>
                <w:lang w:bidi="ar"/>
              </w:rPr>
              <w:t>一段</w:t>
            </w:r>
            <w:r>
              <w:rPr>
                <w:color w:val="auto"/>
                <w:kern w:val="0"/>
                <w:sz w:val="24"/>
                <w:lang w:bidi="ar"/>
              </w:rPr>
              <w:t>RO产水率约为</w:t>
            </w:r>
            <w:r>
              <w:rPr>
                <w:rFonts w:hint="eastAsia"/>
                <w:color w:val="auto"/>
                <w:kern w:val="0"/>
                <w:sz w:val="24"/>
                <w:lang w:bidi="ar"/>
              </w:rPr>
              <w:t>75</w:t>
            </w:r>
            <w:r>
              <w:rPr>
                <w:color w:val="auto"/>
                <w:kern w:val="0"/>
                <w:sz w:val="24"/>
                <w:lang w:bidi="ar"/>
              </w:rPr>
              <w:t>%</w:t>
            </w:r>
            <w:r>
              <w:rPr>
                <w:rFonts w:hint="eastAsia"/>
                <w:color w:val="auto"/>
                <w:kern w:val="0"/>
                <w:sz w:val="24"/>
                <w:lang w:bidi="ar"/>
              </w:rPr>
              <w:t>，二段</w:t>
            </w:r>
            <w:r>
              <w:rPr>
                <w:color w:val="auto"/>
                <w:kern w:val="0"/>
                <w:sz w:val="24"/>
                <w:lang w:bidi="ar"/>
              </w:rPr>
              <w:t>RO产水率约为</w:t>
            </w:r>
            <w:r>
              <w:rPr>
                <w:rFonts w:hint="eastAsia"/>
                <w:color w:val="auto"/>
                <w:kern w:val="0"/>
                <w:sz w:val="24"/>
                <w:lang w:bidi="ar"/>
              </w:rPr>
              <w:t>50</w:t>
            </w:r>
            <w:r>
              <w:rPr>
                <w:color w:val="auto"/>
                <w:kern w:val="0"/>
                <w:sz w:val="24"/>
                <w:lang w:bidi="ar"/>
              </w:rPr>
              <w:t>%</w:t>
            </w:r>
            <w:r>
              <w:rPr>
                <w:color w:val="auto"/>
                <w:sz w:val="24"/>
              </w:rPr>
              <w:t>。RO系统设置反冲洗系统，并定期对反渗透膜进行反冲洗</w:t>
            </w:r>
            <w:r>
              <w:rPr>
                <w:color w:val="auto"/>
                <w:kern w:val="24"/>
                <w:sz w:val="24"/>
              </w:rPr>
              <w:t>。</w:t>
            </w:r>
          </w:p>
          <w:p w14:paraId="4DDA6DA2">
            <w:pPr>
              <w:adjustRightInd w:val="0"/>
              <w:snapToGrid w:val="0"/>
              <w:spacing w:line="360" w:lineRule="auto"/>
              <w:ind w:firstLine="480"/>
              <w:textAlignment w:val="baseline"/>
              <w:rPr>
                <w:color w:val="auto"/>
                <w:sz w:val="24"/>
              </w:rPr>
            </w:pPr>
            <w:r>
              <w:rPr>
                <w:b/>
                <w:bCs/>
                <w:color w:val="auto"/>
                <w:sz w:val="24"/>
              </w:rPr>
              <w:t>MVR蒸发器</w:t>
            </w:r>
            <w:r>
              <w:rPr>
                <w:color w:val="auto"/>
                <w:sz w:val="24"/>
              </w:rPr>
              <w:t>：</w:t>
            </w:r>
          </w:p>
          <w:p w14:paraId="4FACC228">
            <w:pPr>
              <w:pStyle w:val="3"/>
              <w:spacing w:before="0" w:after="0" w:line="240" w:lineRule="auto"/>
              <w:ind w:left="431" w:hanging="431"/>
              <w:jc w:val="center"/>
              <w:rPr>
                <w:color w:val="auto"/>
              </w:rPr>
            </w:pPr>
            <w:r>
              <w:rPr>
                <w:color w:val="auto"/>
              </w:rPr>
              <w:drawing>
                <wp:inline distT="0" distB="0" distL="114300" distR="114300">
                  <wp:extent cx="1673225" cy="1525270"/>
                  <wp:effectExtent l="0" t="0" r="3175" b="11430"/>
                  <wp:docPr id="14"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8"/>
                          <pic:cNvPicPr>
                            <a:picLocks noChangeAspect="1"/>
                          </pic:cNvPicPr>
                        </pic:nvPicPr>
                        <pic:blipFill>
                          <a:blip r:embed="rId36"/>
                          <a:stretch>
                            <a:fillRect/>
                          </a:stretch>
                        </pic:blipFill>
                        <pic:spPr>
                          <a:xfrm>
                            <a:off x="0" y="0"/>
                            <a:ext cx="1673225" cy="1525270"/>
                          </a:xfrm>
                          <a:prstGeom prst="rect">
                            <a:avLst/>
                          </a:prstGeom>
                          <a:noFill/>
                          <a:ln>
                            <a:noFill/>
                          </a:ln>
                        </pic:spPr>
                      </pic:pic>
                    </a:graphicData>
                  </a:graphic>
                </wp:inline>
              </w:drawing>
            </w:r>
          </w:p>
          <w:p w14:paraId="31A15E5C">
            <w:pPr>
              <w:pStyle w:val="47"/>
              <w:numPr>
                <w:ilvl w:val="0"/>
                <w:numId w:val="19"/>
              </w:numPr>
              <w:spacing w:before="0" w:beforeAutospacing="0" w:after="0" w:afterAutospacing="0"/>
              <w:jc w:val="center"/>
              <w:rPr>
                <w:rFonts w:ascii="Times New Roman" w:hAnsi="Times New Roman" w:cs="Times New Roman"/>
                <w:b/>
                <w:color w:val="auto"/>
                <w:sz w:val="21"/>
                <w:szCs w:val="21"/>
              </w:rPr>
            </w:pPr>
            <w:r>
              <w:rPr>
                <w:rFonts w:ascii="Times New Roman" w:hAnsi="Times New Roman" w:cs="Times New Roman"/>
                <w:b/>
                <w:color w:val="auto"/>
                <w:sz w:val="21"/>
                <w:szCs w:val="21"/>
              </w:rPr>
              <w:t>项目MVR蒸发器示意图</w:t>
            </w:r>
          </w:p>
          <w:p w14:paraId="16ADC37F">
            <w:pPr>
              <w:adjustRightInd w:val="0"/>
              <w:snapToGrid w:val="0"/>
              <w:spacing w:line="360" w:lineRule="auto"/>
              <w:ind w:firstLine="420"/>
              <w:textAlignment w:val="baseline"/>
              <w:rPr>
                <w:color w:val="auto"/>
                <w:sz w:val="24"/>
              </w:rPr>
            </w:pPr>
            <w:r>
              <w:rPr>
                <w:color w:val="auto"/>
                <w:sz w:val="24"/>
              </w:rPr>
              <w:t xml:space="preserve">项目 MVR 蒸发器由预热器、强制循环蒸发器、强制循环分离器、压缩机、循环泵等组成，设备运行原理是原液经预热器预热后进入循环泵，自下而上打入加热室，沿加热室向上流动。当循环液体流过热交换器时被加热，然后在分离器的压力降低时部分蒸发，蒸汽和料液在蒸发室分开，蒸汽由上部排出，料液落下，经圆锥形底部被循环泵吸入，再进入加热室，继续循环。分离后的蒸汽经高能效蒸汽压缩机压缩蒸发形成二次蒸汽，二次蒸汽热能被提高，打入加热器对原液再进行加热，受热的原液继续蒸发产生二次蒸汽，从而实现持续的蒸发状态。蒸汽冷凝产生的冷凝水经预热器换热后排出，进入废水处理站进行再处理。原液循环过程中会有少量浓缩废液，达到预定浓度后经分离器排出，收集后交有资质单位处理。 </w:t>
            </w:r>
          </w:p>
          <w:p w14:paraId="23318AF9">
            <w:pPr>
              <w:adjustRightInd w:val="0"/>
              <w:snapToGrid w:val="0"/>
              <w:spacing w:line="360" w:lineRule="auto"/>
              <w:ind w:firstLine="420"/>
              <w:textAlignment w:val="baseline"/>
              <w:rPr>
                <w:color w:val="auto"/>
                <w:sz w:val="24"/>
              </w:rPr>
            </w:pPr>
            <w:r>
              <w:rPr>
                <w:color w:val="auto"/>
                <w:sz w:val="24"/>
              </w:rPr>
              <w:t>由于 MVR 蒸发器循环利用二次蒸汽已有的热能，因此稳定运行时不需要外部鲜蒸汽，仅设备启动时需加入一部分鲜蒸汽（新鲜水制备）进行预热，大大节省了蒸发系统的能耗。通过 PLC、工业计算机、组态等形式来控制温度、压力、马达转速，保持系统蒸发平衡。从理论上来看，使用MVR蒸发器比传统蒸发器节省60%-80%以上的能源，节省95%以上的冷却水，减少50%以上的占地面积。</w:t>
            </w:r>
          </w:p>
          <w:p w14:paraId="3EAD2FE6">
            <w:pPr>
              <w:adjustRightInd w:val="0"/>
              <w:snapToGrid w:val="0"/>
              <w:spacing w:line="360" w:lineRule="auto"/>
              <w:ind w:firstLine="420"/>
              <w:textAlignment w:val="baseline"/>
              <w:rPr>
                <w:color w:val="auto"/>
                <w:sz w:val="24"/>
              </w:rPr>
            </w:pPr>
            <w:r>
              <w:rPr>
                <w:color w:val="auto"/>
                <w:sz w:val="24"/>
              </w:rPr>
              <w:t>优点：蒸发设备紧凑，占地面积小、所需空间也小。又可省去冷却系统。特别是低温蒸发需要冷冻水冷凝的场合，可以收到既节省投资又取得较好的节能效果。在MVR蒸发器的整个运行过程中，采用PLC、单片机和组态软件对系统的温度、压力和电机转速进行控制。自动控制系统可以控制阀门、流速计、温度和压力，实现自动蒸发、清洗、停机等操作，自动报警，自动保护系统不受损坏，保持系统的动态平衡，节省人工成本。</w:t>
            </w:r>
          </w:p>
          <w:p w14:paraId="1513624C">
            <w:pPr>
              <w:adjustRightInd w:val="0"/>
              <w:snapToGrid w:val="0"/>
              <w:spacing w:line="360" w:lineRule="auto"/>
              <w:ind w:firstLine="482" w:firstLineChars="200"/>
              <w:rPr>
                <w:b/>
                <w:bCs/>
                <w:color w:val="auto"/>
                <w:kern w:val="0"/>
                <w:sz w:val="24"/>
                <w:lang w:bidi="ar"/>
              </w:rPr>
            </w:pPr>
            <w:r>
              <w:rPr>
                <w:b/>
                <w:bCs/>
                <w:color w:val="auto"/>
                <w:kern w:val="0"/>
                <w:sz w:val="24"/>
                <w:lang w:bidi="ar"/>
              </w:rPr>
              <w:t>（2）拟采取的废水处理措施技术可行性分析</w:t>
            </w:r>
          </w:p>
          <w:p w14:paraId="23AECBFD">
            <w:pPr>
              <w:pStyle w:val="84"/>
              <w:spacing w:before="28" w:line="360" w:lineRule="auto"/>
              <w:ind w:firstLine="422" w:firstLineChars="175"/>
              <w:jc w:val="left"/>
              <w:rPr>
                <w:b/>
                <w:bCs/>
                <w:color w:val="auto"/>
                <w:sz w:val="24"/>
                <w:szCs w:val="24"/>
              </w:rPr>
            </w:pPr>
            <w:r>
              <w:rPr>
                <w:b/>
                <w:bCs/>
                <w:color w:val="auto"/>
                <w:sz w:val="24"/>
                <w:szCs w:val="24"/>
              </w:rPr>
              <w:t>1）处理效果分析</w:t>
            </w:r>
          </w:p>
          <w:p w14:paraId="03D45C3D">
            <w:pPr>
              <w:widowControl/>
              <w:tabs>
                <w:tab w:val="left" w:pos="0"/>
              </w:tabs>
              <w:autoSpaceDE w:val="0"/>
              <w:autoSpaceDN w:val="0"/>
              <w:adjustRightInd w:val="0"/>
              <w:snapToGrid w:val="0"/>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相关技术规范</w:t>
            </w:r>
          </w:p>
          <w:p w14:paraId="04E353E6">
            <w:pPr>
              <w:widowControl/>
              <w:tabs>
                <w:tab w:val="left" w:pos="0"/>
              </w:tabs>
              <w:autoSpaceDE w:val="0"/>
              <w:autoSpaceDN w:val="0"/>
              <w:adjustRightInd w:val="0"/>
              <w:snapToGrid w:val="0"/>
              <w:spacing w:line="360" w:lineRule="auto"/>
              <w:ind w:firstLine="482" w:firstLineChars="200"/>
              <w:rPr>
                <w:color w:val="auto"/>
                <w:sz w:val="24"/>
              </w:rPr>
            </w:pPr>
            <w:r>
              <w:rPr>
                <w:b/>
                <w:bCs/>
                <w:color w:val="auto"/>
                <w:sz w:val="24"/>
              </w:rPr>
              <w:t>调节-混凝沉淀：</w:t>
            </w:r>
            <w:r>
              <w:rPr>
                <w:color w:val="auto"/>
                <w:sz w:val="24"/>
              </w:rPr>
              <w:t>根据《电镀废水处理及回用技术手册》（段光复编著），金属离子去除的最佳 pH 值及残留浓度详见表4-</w:t>
            </w:r>
            <w:r>
              <w:rPr>
                <w:rFonts w:hint="eastAsia"/>
                <w:color w:val="auto"/>
                <w:sz w:val="24"/>
              </w:rPr>
              <w:t>11</w:t>
            </w:r>
            <w:r>
              <w:rPr>
                <w:color w:val="auto"/>
                <w:sz w:val="24"/>
              </w:rPr>
              <w:t>。</w:t>
            </w:r>
          </w:p>
          <w:p w14:paraId="1480C122">
            <w:pPr>
              <w:pStyle w:val="77"/>
              <w:numPr>
                <w:ilvl w:val="0"/>
                <w:numId w:val="18"/>
              </w:numPr>
              <w:adjustRightInd w:val="0"/>
              <w:snapToGrid w:val="0"/>
              <w:jc w:val="center"/>
              <w:rPr>
                <w:b/>
                <w:bCs/>
                <w:color w:val="auto"/>
              </w:rPr>
            </w:pPr>
            <w:r>
              <w:rPr>
                <w:b/>
                <w:bCs/>
                <w:color w:val="auto"/>
              </w:rPr>
              <w:t>金属离子去除的最佳pH值及残留浓度</w:t>
            </w:r>
          </w:p>
          <w:tbl>
            <w:tblPr>
              <w:tblStyle w:val="35"/>
              <w:tblW w:w="4999" w:type="pct"/>
              <w:tblInd w:w="0" w:type="dxa"/>
              <w:tblLayout w:type="fixed"/>
              <w:tblCellMar>
                <w:top w:w="0" w:type="dxa"/>
                <w:left w:w="108" w:type="dxa"/>
                <w:bottom w:w="0" w:type="dxa"/>
                <w:right w:w="108" w:type="dxa"/>
              </w:tblCellMar>
            </w:tblPr>
            <w:tblGrid>
              <w:gridCol w:w="1758"/>
              <w:gridCol w:w="2011"/>
              <w:gridCol w:w="2754"/>
              <w:gridCol w:w="3854"/>
            </w:tblGrid>
            <w:tr w14:paraId="6F3D9B16">
              <w:trPr>
                <w:trHeight w:val="265" w:hRule="atLeast"/>
              </w:trPr>
              <w:tc>
                <w:tcPr>
                  <w:tcW w:w="847" w:type="pct"/>
                  <w:tcBorders>
                    <w:top w:val="single" w:color="000000" w:sz="4" w:space="0"/>
                    <w:left w:val="single" w:color="000000" w:sz="4" w:space="0"/>
                    <w:bottom w:val="single" w:color="000000" w:sz="4" w:space="0"/>
                    <w:right w:val="single" w:color="000000" w:sz="4" w:space="0"/>
                  </w:tcBorders>
                  <w:vAlign w:val="center"/>
                </w:tcPr>
                <w:p w14:paraId="2A7DE1C9">
                  <w:pPr>
                    <w:autoSpaceDE w:val="0"/>
                    <w:autoSpaceDN w:val="0"/>
                    <w:adjustRightInd w:val="0"/>
                    <w:snapToGrid w:val="0"/>
                    <w:jc w:val="center"/>
                    <w:rPr>
                      <w:bCs/>
                      <w:color w:val="auto"/>
                      <w:szCs w:val="21"/>
                    </w:rPr>
                  </w:pPr>
                  <w:r>
                    <w:rPr>
                      <w:bCs/>
                      <w:color w:val="auto"/>
                      <w:szCs w:val="21"/>
                    </w:rPr>
                    <w:t>金属离子</w:t>
                  </w:r>
                </w:p>
              </w:tc>
              <w:tc>
                <w:tcPr>
                  <w:tcW w:w="969" w:type="pct"/>
                  <w:tcBorders>
                    <w:top w:val="single" w:color="000000" w:sz="4" w:space="0"/>
                    <w:left w:val="single" w:color="000000" w:sz="4" w:space="0"/>
                    <w:bottom w:val="single" w:color="000000" w:sz="4" w:space="0"/>
                    <w:right w:val="single" w:color="000000" w:sz="4" w:space="0"/>
                  </w:tcBorders>
                  <w:vAlign w:val="center"/>
                </w:tcPr>
                <w:p w14:paraId="3A4BAAD8">
                  <w:pPr>
                    <w:autoSpaceDE w:val="0"/>
                    <w:autoSpaceDN w:val="0"/>
                    <w:adjustRightInd w:val="0"/>
                    <w:snapToGrid w:val="0"/>
                    <w:jc w:val="center"/>
                    <w:rPr>
                      <w:bCs/>
                      <w:color w:val="auto"/>
                      <w:szCs w:val="21"/>
                    </w:rPr>
                  </w:pPr>
                  <w:r>
                    <w:rPr>
                      <w:bCs/>
                      <w:color w:val="auto"/>
                      <w:szCs w:val="21"/>
                    </w:rPr>
                    <w:t>pH值范围</w:t>
                  </w:r>
                </w:p>
              </w:tc>
              <w:tc>
                <w:tcPr>
                  <w:tcW w:w="1326" w:type="pct"/>
                  <w:tcBorders>
                    <w:top w:val="single" w:color="000000" w:sz="4" w:space="0"/>
                    <w:left w:val="single" w:color="000000" w:sz="4" w:space="0"/>
                    <w:bottom w:val="single" w:color="000000" w:sz="4" w:space="0"/>
                    <w:right w:val="single" w:color="000000" w:sz="4" w:space="0"/>
                  </w:tcBorders>
                  <w:vAlign w:val="center"/>
                </w:tcPr>
                <w:p w14:paraId="03E5FD9C">
                  <w:pPr>
                    <w:autoSpaceDE w:val="0"/>
                    <w:autoSpaceDN w:val="0"/>
                    <w:adjustRightInd w:val="0"/>
                    <w:snapToGrid w:val="0"/>
                    <w:jc w:val="center"/>
                    <w:rPr>
                      <w:bCs/>
                      <w:color w:val="auto"/>
                      <w:szCs w:val="21"/>
                    </w:rPr>
                  </w:pPr>
                  <w:r>
                    <w:rPr>
                      <w:bCs/>
                      <w:color w:val="auto"/>
                      <w:szCs w:val="21"/>
                    </w:rPr>
                    <w:t>残留浓度(mg/L)</w:t>
                  </w:r>
                </w:p>
              </w:tc>
              <w:tc>
                <w:tcPr>
                  <w:tcW w:w="1856" w:type="pct"/>
                  <w:tcBorders>
                    <w:top w:val="single" w:color="000000" w:sz="4" w:space="0"/>
                    <w:left w:val="single" w:color="000000" w:sz="4" w:space="0"/>
                    <w:bottom w:val="single" w:color="000000" w:sz="4" w:space="0"/>
                    <w:right w:val="single" w:color="000000" w:sz="4" w:space="0"/>
                  </w:tcBorders>
                  <w:vAlign w:val="center"/>
                </w:tcPr>
                <w:p w14:paraId="293EF4AF">
                  <w:pPr>
                    <w:autoSpaceDE w:val="0"/>
                    <w:autoSpaceDN w:val="0"/>
                    <w:adjustRightInd w:val="0"/>
                    <w:snapToGrid w:val="0"/>
                    <w:jc w:val="center"/>
                    <w:rPr>
                      <w:bCs/>
                      <w:color w:val="auto"/>
                      <w:szCs w:val="21"/>
                    </w:rPr>
                  </w:pPr>
                  <w:r>
                    <w:rPr>
                      <w:bCs/>
                      <w:color w:val="auto"/>
                      <w:szCs w:val="21"/>
                    </w:rPr>
                    <w:t>备注</w:t>
                  </w:r>
                </w:p>
              </w:tc>
            </w:tr>
            <w:tr w14:paraId="593DCF94">
              <w:tblPrEx>
                <w:tblCellMar>
                  <w:top w:w="0" w:type="dxa"/>
                  <w:left w:w="108" w:type="dxa"/>
                  <w:bottom w:w="0" w:type="dxa"/>
                  <w:right w:w="108" w:type="dxa"/>
                </w:tblCellMar>
              </w:tblPrEx>
              <w:trPr>
                <w:trHeight w:val="260" w:hRule="atLeast"/>
              </w:trPr>
              <w:tc>
                <w:tcPr>
                  <w:tcW w:w="847" w:type="pct"/>
                  <w:tcBorders>
                    <w:top w:val="single" w:color="000000" w:sz="4" w:space="0"/>
                    <w:left w:val="single" w:color="000000" w:sz="4" w:space="0"/>
                    <w:bottom w:val="single" w:color="000000" w:sz="4" w:space="0"/>
                    <w:right w:val="single" w:color="000000" w:sz="4" w:space="0"/>
                  </w:tcBorders>
                  <w:vAlign w:val="center"/>
                </w:tcPr>
                <w:p w14:paraId="2973A011">
                  <w:pPr>
                    <w:autoSpaceDE w:val="0"/>
                    <w:autoSpaceDN w:val="0"/>
                    <w:adjustRightInd w:val="0"/>
                    <w:snapToGrid w:val="0"/>
                    <w:jc w:val="center"/>
                    <w:rPr>
                      <w:bCs/>
                      <w:color w:val="auto"/>
                      <w:szCs w:val="21"/>
                    </w:rPr>
                  </w:pPr>
                  <w:r>
                    <w:rPr>
                      <w:bCs/>
                      <w:color w:val="auto"/>
                      <w:szCs w:val="21"/>
                    </w:rPr>
                    <w:t>Zn</w:t>
                  </w:r>
                  <w:r>
                    <w:rPr>
                      <w:bCs/>
                      <w:color w:val="auto"/>
                      <w:szCs w:val="21"/>
                      <w:vertAlign w:val="superscript"/>
                    </w:rPr>
                    <w:t>2+</w:t>
                  </w:r>
                </w:p>
              </w:tc>
              <w:tc>
                <w:tcPr>
                  <w:tcW w:w="969" w:type="pct"/>
                  <w:tcBorders>
                    <w:top w:val="single" w:color="000000" w:sz="4" w:space="0"/>
                    <w:left w:val="single" w:color="000000" w:sz="4" w:space="0"/>
                    <w:bottom w:val="single" w:color="000000" w:sz="4" w:space="0"/>
                    <w:right w:val="single" w:color="000000" w:sz="4" w:space="0"/>
                  </w:tcBorders>
                  <w:vAlign w:val="center"/>
                </w:tcPr>
                <w:p w14:paraId="53D0766E">
                  <w:pPr>
                    <w:autoSpaceDE w:val="0"/>
                    <w:autoSpaceDN w:val="0"/>
                    <w:adjustRightInd w:val="0"/>
                    <w:snapToGrid w:val="0"/>
                    <w:jc w:val="center"/>
                    <w:rPr>
                      <w:bCs/>
                      <w:color w:val="auto"/>
                      <w:szCs w:val="21"/>
                    </w:rPr>
                  </w:pPr>
                  <w:r>
                    <w:rPr>
                      <w:bCs/>
                      <w:color w:val="auto"/>
                      <w:szCs w:val="21"/>
                    </w:rPr>
                    <w:t>9~10.5</w:t>
                  </w:r>
                </w:p>
              </w:tc>
              <w:tc>
                <w:tcPr>
                  <w:tcW w:w="1326" w:type="pct"/>
                  <w:tcBorders>
                    <w:top w:val="single" w:color="000000" w:sz="4" w:space="0"/>
                    <w:left w:val="single" w:color="000000" w:sz="4" w:space="0"/>
                    <w:bottom w:val="single" w:color="000000" w:sz="4" w:space="0"/>
                    <w:right w:val="single" w:color="000000" w:sz="4" w:space="0"/>
                  </w:tcBorders>
                  <w:vAlign w:val="center"/>
                </w:tcPr>
                <w:p w14:paraId="7F5C3405">
                  <w:pPr>
                    <w:autoSpaceDE w:val="0"/>
                    <w:autoSpaceDN w:val="0"/>
                    <w:adjustRightInd w:val="0"/>
                    <w:snapToGrid w:val="0"/>
                    <w:jc w:val="center"/>
                    <w:rPr>
                      <w:bCs/>
                      <w:color w:val="auto"/>
                      <w:szCs w:val="21"/>
                    </w:rPr>
                  </w:pPr>
                  <w:r>
                    <w:rPr>
                      <w:bCs/>
                      <w:color w:val="auto"/>
                      <w:szCs w:val="21"/>
                    </w:rPr>
                    <w:t>≤1</w:t>
                  </w:r>
                </w:p>
              </w:tc>
              <w:tc>
                <w:tcPr>
                  <w:tcW w:w="1856" w:type="pct"/>
                  <w:tcBorders>
                    <w:top w:val="single" w:color="000000" w:sz="4" w:space="0"/>
                    <w:left w:val="single" w:color="000000" w:sz="4" w:space="0"/>
                    <w:bottom w:val="single" w:color="000000" w:sz="4" w:space="0"/>
                    <w:right w:val="single" w:color="000000" w:sz="4" w:space="0"/>
                  </w:tcBorders>
                  <w:vAlign w:val="center"/>
                </w:tcPr>
                <w:p w14:paraId="0F44B0C3">
                  <w:pPr>
                    <w:autoSpaceDE w:val="0"/>
                    <w:autoSpaceDN w:val="0"/>
                    <w:adjustRightInd w:val="0"/>
                    <w:snapToGrid w:val="0"/>
                    <w:jc w:val="center"/>
                    <w:rPr>
                      <w:bCs/>
                      <w:color w:val="auto"/>
                      <w:szCs w:val="21"/>
                    </w:rPr>
                  </w:pPr>
                  <w:r>
                    <w:rPr>
                      <w:bCs/>
                      <w:color w:val="auto"/>
                      <w:szCs w:val="21"/>
                    </w:rPr>
                    <w:t>pH值≈10.5以上再溶解</w:t>
                  </w:r>
                </w:p>
              </w:tc>
            </w:tr>
            <w:tr w14:paraId="2591F9E6">
              <w:tblPrEx>
                <w:tblCellMar>
                  <w:top w:w="0" w:type="dxa"/>
                  <w:left w:w="108" w:type="dxa"/>
                  <w:bottom w:w="0" w:type="dxa"/>
                  <w:right w:w="108" w:type="dxa"/>
                </w:tblCellMar>
              </w:tblPrEx>
              <w:trPr>
                <w:trHeight w:val="260" w:hRule="atLeast"/>
              </w:trPr>
              <w:tc>
                <w:tcPr>
                  <w:tcW w:w="847" w:type="pct"/>
                  <w:tcBorders>
                    <w:top w:val="single" w:color="000000" w:sz="4" w:space="0"/>
                    <w:left w:val="single" w:color="000000" w:sz="4" w:space="0"/>
                    <w:bottom w:val="single" w:color="000000" w:sz="4" w:space="0"/>
                    <w:right w:val="single" w:color="000000" w:sz="4" w:space="0"/>
                  </w:tcBorders>
                  <w:vAlign w:val="center"/>
                </w:tcPr>
                <w:p w14:paraId="33513716">
                  <w:pPr>
                    <w:autoSpaceDE w:val="0"/>
                    <w:autoSpaceDN w:val="0"/>
                    <w:adjustRightInd w:val="0"/>
                    <w:snapToGrid w:val="0"/>
                    <w:jc w:val="center"/>
                    <w:rPr>
                      <w:bCs/>
                      <w:color w:val="auto"/>
                      <w:szCs w:val="21"/>
                    </w:rPr>
                  </w:pPr>
                  <w:r>
                    <w:rPr>
                      <w:bCs/>
                      <w:color w:val="auto"/>
                      <w:szCs w:val="21"/>
                    </w:rPr>
                    <w:t>Fe</w:t>
                  </w:r>
                  <w:r>
                    <w:rPr>
                      <w:bCs/>
                      <w:color w:val="auto"/>
                      <w:szCs w:val="21"/>
                      <w:vertAlign w:val="superscript"/>
                    </w:rPr>
                    <w:t>3+</w:t>
                  </w:r>
                </w:p>
              </w:tc>
              <w:tc>
                <w:tcPr>
                  <w:tcW w:w="969" w:type="pct"/>
                  <w:tcBorders>
                    <w:top w:val="single" w:color="000000" w:sz="4" w:space="0"/>
                    <w:left w:val="single" w:color="000000" w:sz="4" w:space="0"/>
                    <w:bottom w:val="single" w:color="000000" w:sz="4" w:space="0"/>
                    <w:right w:val="single" w:color="000000" w:sz="4" w:space="0"/>
                  </w:tcBorders>
                  <w:vAlign w:val="center"/>
                </w:tcPr>
                <w:p w14:paraId="4DBB040F">
                  <w:pPr>
                    <w:autoSpaceDE w:val="0"/>
                    <w:autoSpaceDN w:val="0"/>
                    <w:adjustRightInd w:val="0"/>
                    <w:snapToGrid w:val="0"/>
                    <w:jc w:val="center"/>
                    <w:rPr>
                      <w:bCs/>
                      <w:color w:val="auto"/>
                      <w:szCs w:val="21"/>
                    </w:rPr>
                  </w:pPr>
                  <w:r>
                    <w:rPr>
                      <w:bCs/>
                      <w:color w:val="auto"/>
                      <w:szCs w:val="21"/>
                    </w:rPr>
                    <w:t>5~12</w:t>
                  </w:r>
                </w:p>
              </w:tc>
              <w:tc>
                <w:tcPr>
                  <w:tcW w:w="1326" w:type="pct"/>
                  <w:tcBorders>
                    <w:top w:val="single" w:color="000000" w:sz="4" w:space="0"/>
                    <w:left w:val="single" w:color="000000" w:sz="4" w:space="0"/>
                    <w:bottom w:val="single" w:color="000000" w:sz="4" w:space="0"/>
                    <w:right w:val="single" w:color="000000" w:sz="4" w:space="0"/>
                  </w:tcBorders>
                  <w:vAlign w:val="center"/>
                </w:tcPr>
                <w:p w14:paraId="1A978EB7">
                  <w:pPr>
                    <w:autoSpaceDE w:val="0"/>
                    <w:autoSpaceDN w:val="0"/>
                    <w:adjustRightInd w:val="0"/>
                    <w:snapToGrid w:val="0"/>
                    <w:jc w:val="center"/>
                    <w:rPr>
                      <w:bCs/>
                      <w:color w:val="auto"/>
                      <w:szCs w:val="21"/>
                    </w:rPr>
                  </w:pPr>
                  <w:r>
                    <w:rPr>
                      <w:bCs/>
                      <w:color w:val="auto"/>
                      <w:szCs w:val="21"/>
                    </w:rPr>
                    <w:t>≤1</w:t>
                  </w:r>
                </w:p>
              </w:tc>
              <w:tc>
                <w:tcPr>
                  <w:tcW w:w="1856" w:type="pct"/>
                  <w:tcBorders>
                    <w:top w:val="single" w:color="000000" w:sz="4" w:space="0"/>
                    <w:left w:val="single" w:color="000000" w:sz="4" w:space="0"/>
                    <w:bottom w:val="single" w:color="000000" w:sz="4" w:space="0"/>
                    <w:right w:val="single" w:color="000000" w:sz="4" w:space="0"/>
                  </w:tcBorders>
                  <w:vAlign w:val="center"/>
                </w:tcPr>
                <w:p w14:paraId="434ABF19">
                  <w:pPr>
                    <w:autoSpaceDE w:val="0"/>
                    <w:autoSpaceDN w:val="0"/>
                    <w:adjustRightInd w:val="0"/>
                    <w:snapToGrid w:val="0"/>
                    <w:jc w:val="center"/>
                    <w:rPr>
                      <w:bCs/>
                      <w:color w:val="auto"/>
                      <w:szCs w:val="21"/>
                    </w:rPr>
                  </w:pPr>
                  <w:r>
                    <w:rPr>
                      <w:bCs/>
                      <w:color w:val="auto"/>
                      <w:szCs w:val="21"/>
                    </w:rPr>
                    <w:t>pH值≈12.5以上再溶解</w:t>
                  </w:r>
                </w:p>
              </w:tc>
            </w:tr>
          </w:tbl>
          <w:p w14:paraId="6C2CC1E5">
            <w:pPr>
              <w:widowControl/>
              <w:tabs>
                <w:tab w:val="left" w:pos="0"/>
              </w:tabs>
              <w:autoSpaceDE w:val="0"/>
              <w:autoSpaceDN w:val="0"/>
              <w:adjustRightInd w:val="0"/>
              <w:snapToGrid w:val="0"/>
              <w:spacing w:line="360" w:lineRule="auto"/>
              <w:ind w:firstLine="482" w:firstLineChars="200"/>
              <w:rPr>
                <w:color w:val="auto"/>
                <w:sz w:val="24"/>
              </w:rPr>
            </w:pPr>
            <w:r>
              <w:rPr>
                <w:b/>
                <w:bCs/>
                <w:color w:val="auto"/>
                <w:sz w:val="24"/>
              </w:rPr>
              <w:t>物化处理（深度处理）：</w:t>
            </w:r>
            <w:r>
              <w:rPr>
                <w:color w:val="auto"/>
                <w:sz w:val="24"/>
              </w:rPr>
              <w:t>根据《给水排水设计手册第5册城镇排水（第三版）》第425页，各物化处理工艺对污染物的去除效率详见表4-</w:t>
            </w:r>
            <w:r>
              <w:rPr>
                <w:rFonts w:hint="eastAsia"/>
                <w:color w:val="auto"/>
                <w:sz w:val="24"/>
              </w:rPr>
              <w:t>12</w:t>
            </w:r>
            <w:r>
              <w:rPr>
                <w:rFonts w:hint="eastAsia"/>
                <w:color w:val="auto"/>
                <w:sz w:val="24"/>
                <w:lang w:eastAsia="zh-CN"/>
              </w:rPr>
              <w:t>：</w:t>
            </w:r>
          </w:p>
          <w:p w14:paraId="0C176A20">
            <w:pPr>
              <w:pStyle w:val="77"/>
              <w:numPr>
                <w:ilvl w:val="0"/>
                <w:numId w:val="18"/>
              </w:numPr>
              <w:adjustRightInd w:val="0"/>
              <w:snapToGrid w:val="0"/>
              <w:jc w:val="center"/>
              <w:rPr>
                <w:color w:val="auto"/>
                <w:szCs w:val="21"/>
              </w:rPr>
            </w:pPr>
            <w:r>
              <w:rPr>
                <w:b/>
                <w:bCs/>
                <w:color w:val="auto"/>
                <w:szCs w:val="21"/>
              </w:rPr>
              <w:t>物化处理工艺（深度处理）对污染物的去</w:t>
            </w:r>
            <w:r>
              <w:rPr>
                <w:rFonts w:hint="eastAsia"/>
                <w:b/>
                <w:bCs/>
                <w:color w:val="auto"/>
                <w:szCs w:val="21"/>
              </w:rPr>
              <w:t>除</w:t>
            </w:r>
            <w:r>
              <w:rPr>
                <w:b/>
                <w:bCs/>
                <w:color w:val="auto"/>
                <w:szCs w:val="21"/>
              </w:rPr>
              <w:t>效率一览表</w:t>
            </w:r>
            <w:r>
              <w:rPr>
                <w:rFonts w:hint="eastAsia"/>
                <w:b/>
                <w:bCs/>
                <w:color w:val="auto"/>
                <w:szCs w:val="21"/>
              </w:rPr>
              <w:t>（单位：%）</w:t>
            </w:r>
          </w:p>
          <w:tbl>
            <w:tblPr>
              <w:tblStyle w:val="35"/>
              <w:tblW w:w="4999" w:type="pct"/>
              <w:tblInd w:w="0" w:type="dxa"/>
              <w:tblLayout w:type="fixed"/>
              <w:tblCellMar>
                <w:top w:w="0" w:type="dxa"/>
                <w:left w:w="108" w:type="dxa"/>
                <w:bottom w:w="0" w:type="dxa"/>
                <w:right w:w="108" w:type="dxa"/>
              </w:tblCellMar>
            </w:tblPr>
            <w:tblGrid>
              <w:gridCol w:w="1410"/>
              <w:gridCol w:w="1753"/>
              <w:gridCol w:w="1736"/>
              <w:gridCol w:w="2008"/>
              <w:gridCol w:w="1737"/>
              <w:gridCol w:w="1733"/>
            </w:tblGrid>
            <w:tr w14:paraId="3F5DF4FE">
              <w:tblPrEx>
                <w:tblCellMar>
                  <w:top w:w="0" w:type="dxa"/>
                  <w:left w:w="108" w:type="dxa"/>
                  <w:bottom w:w="0" w:type="dxa"/>
                  <w:right w:w="108" w:type="dxa"/>
                </w:tblCellMar>
              </w:tblPrEx>
              <w:trPr>
                <w:trHeight w:val="255"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794F11E2">
                  <w:pPr>
                    <w:autoSpaceDE w:val="0"/>
                    <w:autoSpaceDN w:val="0"/>
                    <w:adjustRightInd w:val="0"/>
                    <w:snapToGrid w:val="0"/>
                    <w:jc w:val="center"/>
                    <w:rPr>
                      <w:b/>
                      <w:color w:val="auto"/>
                      <w:szCs w:val="21"/>
                    </w:rPr>
                  </w:pPr>
                  <w:r>
                    <w:rPr>
                      <w:b/>
                      <w:color w:val="auto"/>
                      <w:szCs w:val="21"/>
                    </w:rPr>
                    <w:t>项 目</w:t>
                  </w:r>
                </w:p>
              </w:tc>
              <w:tc>
                <w:tcPr>
                  <w:tcW w:w="844" w:type="pct"/>
                  <w:tcBorders>
                    <w:top w:val="single" w:color="000000" w:sz="4" w:space="0"/>
                    <w:left w:val="single" w:color="000000" w:sz="4" w:space="0"/>
                    <w:bottom w:val="single" w:color="000000" w:sz="4" w:space="0"/>
                    <w:right w:val="single" w:color="000000" w:sz="4" w:space="0"/>
                  </w:tcBorders>
                  <w:vAlign w:val="center"/>
                </w:tcPr>
                <w:p w14:paraId="696DF725">
                  <w:pPr>
                    <w:autoSpaceDE w:val="0"/>
                    <w:autoSpaceDN w:val="0"/>
                    <w:adjustRightInd w:val="0"/>
                    <w:snapToGrid w:val="0"/>
                    <w:jc w:val="center"/>
                    <w:rPr>
                      <w:b/>
                      <w:color w:val="auto"/>
                      <w:szCs w:val="21"/>
                    </w:rPr>
                  </w:pPr>
                  <w:r>
                    <w:rPr>
                      <w:b/>
                      <w:color w:val="auto"/>
                      <w:szCs w:val="21"/>
                    </w:rPr>
                    <w:t>混凝沉淀</w:t>
                  </w:r>
                </w:p>
              </w:tc>
              <w:tc>
                <w:tcPr>
                  <w:tcW w:w="836" w:type="pct"/>
                  <w:tcBorders>
                    <w:top w:val="single" w:color="000000" w:sz="4" w:space="0"/>
                    <w:left w:val="single" w:color="000000" w:sz="4" w:space="0"/>
                    <w:bottom w:val="single" w:color="000000" w:sz="4" w:space="0"/>
                    <w:right w:val="single" w:color="000000" w:sz="4" w:space="0"/>
                  </w:tcBorders>
                  <w:vAlign w:val="center"/>
                </w:tcPr>
                <w:p w14:paraId="3AAF43F2">
                  <w:pPr>
                    <w:autoSpaceDE w:val="0"/>
                    <w:autoSpaceDN w:val="0"/>
                    <w:adjustRightInd w:val="0"/>
                    <w:snapToGrid w:val="0"/>
                    <w:jc w:val="center"/>
                    <w:rPr>
                      <w:b/>
                      <w:color w:val="auto"/>
                      <w:szCs w:val="21"/>
                    </w:rPr>
                  </w:pPr>
                  <w:r>
                    <w:rPr>
                      <w:b/>
                      <w:color w:val="auto"/>
                      <w:szCs w:val="21"/>
                    </w:rPr>
                    <w:t>过滤</w:t>
                  </w:r>
                </w:p>
              </w:tc>
              <w:tc>
                <w:tcPr>
                  <w:tcW w:w="967" w:type="pct"/>
                  <w:tcBorders>
                    <w:top w:val="single" w:color="000000" w:sz="4" w:space="0"/>
                    <w:left w:val="single" w:color="000000" w:sz="4" w:space="0"/>
                    <w:bottom w:val="single" w:color="000000" w:sz="4" w:space="0"/>
                    <w:right w:val="single" w:color="000000" w:sz="4" w:space="0"/>
                  </w:tcBorders>
                  <w:vAlign w:val="center"/>
                </w:tcPr>
                <w:p w14:paraId="70CE7E44">
                  <w:pPr>
                    <w:autoSpaceDE w:val="0"/>
                    <w:autoSpaceDN w:val="0"/>
                    <w:adjustRightInd w:val="0"/>
                    <w:snapToGrid w:val="0"/>
                    <w:jc w:val="center"/>
                    <w:rPr>
                      <w:b/>
                      <w:color w:val="auto"/>
                      <w:szCs w:val="21"/>
                    </w:rPr>
                  </w:pPr>
                  <w:r>
                    <w:rPr>
                      <w:b/>
                      <w:color w:val="auto"/>
                      <w:szCs w:val="21"/>
                    </w:rPr>
                    <w:t>活性炭吸附</w:t>
                  </w:r>
                </w:p>
              </w:tc>
              <w:tc>
                <w:tcPr>
                  <w:tcW w:w="836" w:type="pct"/>
                  <w:tcBorders>
                    <w:top w:val="single" w:color="000000" w:sz="4" w:space="0"/>
                    <w:left w:val="single" w:color="000000" w:sz="4" w:space="0"/>
                    <w:bottom w:val="single" w:color="000000" w:sz="4" w:space="0"/>
                    <w:right w:val="single" w:color="000000" w:sz="4" w:space="0"/>
                  </w:tcBorders>
                  <w:vAlign w:val="center"/>
                </w:tcPr>
                <w:p w14:paraId="3CCEF15C">
                  <w:pPr>
                    <w:autoSpaceDE w:val="0"/>
                    <w:autoSpaceDN w:val="0"/>
                    <w:adjustRightInd w:val="0"/>
                    <w:snapToGrid w:val="0"/>
                    <w:jc w:val="center"/>
                    <w:rPr>
                      <w:b/>
                      <w:color w:val="auto"/>
                      <w:szCs w:val="21"/>
                    </w:rPr>
                  </w:pPr>
                  <w:r>
                    <w:rPr>
                      <w:b/>
                      <w:color w:val="auto"/>
                      <w:szCs w:val="21"/>
                    </w:rPr>
                    <w:t>离子交换</w:t>
                  </w:r>
                </w:p>
              </w:tc>
              <w:tc>
                <w:tcPr>
                  <w:tcW w:w="834" w:type="pct"/>
                  <w:tcBorders>
                    <w:top w:val="single" w:color="000000" w:sz="4" w:space="0"/>
                    <w:left w:val="single" w:color="000000" w:sz="4" w:space="0"/>
                    <w:bottom w:val="single" w:color="000000" w:sz="4" w:space="0"/>
                    <w:right w:val="single" w:color="000000" w:sz="4" w:space="0"/>
                  </w:tcBorders>
                  <w:vAlign w:val="center"/>
                </w:tcPr>
                <w:p w14:paraId="6A0E3D99">
                  <w:pPr>
                    <w:autoSpaceDE w:val="0"/>
                    <w:autoSpaceDN w:val="0"/>
                    <w:adjustRightInd w:val="0"/>
                    <w:snapToGrid w:val="0"/>
                    <w:jc w:val="center"/>
                    <w:rPr>
                      <w:b/>
                      <w:color w:val="auto"/>
                      <w:szCs w:val="21"/>
                    </w:rPr>
                  </w:pPr>
                  <w:r>
                    <w:rPr>
                      <w:b/>
                      <w:color w:val="auto"/>
                      <w:szCs w:val="21"/>
                    </w:rPr>
                    <w:t>反渗透</w:t>
                  </w:r>
                </w:p>
              </w:tc>
            </w:tr>
            <w:tr w14:paraId="6E926E92">
              <w:tblPrEx>
                <w:tblCellMar>
                  <w:top w:w="0" w:type="dxa"/>
                  <w:left w:w="108" w:type="dxa"/>
                  <w:bottom w:w="0" w:type="dxa"/>
                  <w:right w:w="108" w:type="dxa"/>
                </w:tblCellMar>
              </w:tblPrEx>
              <w:trPr>
                <w:trHeight w:val="260"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128C8905">
                  <w:pPr>
                    <w:autoSpaceDE w:val="0"/>
                    <w:autoSpaceDN w:val="0"/>
                    <w:adjustRightInd w:val="0"/>
                    <w:snapToGrid w:val="0"/>
                    <w:jc w:val="center"/>
                    <w:rPr>
                      <w:bCs/>
                      <w:color w:val="auto"/>
                      <w:szCs w:val="21"/>
                    </w:rPr>
                  </w:pPr>
                  <w:r>
                    <w:rPr>
                      <w:bCs/>
                      <w:color w:val="auto"/>
                      <w:szCs w:val="21"/>
                    </w:rPr>
                    <w:t>BOD</w:t>
                  </w:r>
                  <w:r>
                    <w:rPr>
                      <w:bCs/>
                      <w:color w:val="auto"/>
                      <w:szCs w:val="21"/>
                      <w:vertAlign w:val="subscript"/>
                    </w:rPr>
                    <w:t>5</w:t>
                  </w:r>
                </w:p>
              </w:tc>
              <w:tc>
                <w:tcPr>
                  <w:tcW w:w="844" w:type="pct"/>
                  <w:tcBorders>
                    <w:top w:val="single" w:color="000000" w:sz="4" w:space="0"/>
                    <w:left w:val="single" w:color="000000" w:sz="4" w:space="0"/>
                    <w:bottom w:val="single" w:color="000000" w:sz="4" w:space="0"/>
                    <w:right w:val="single" w:color="000000" w:sz="4" w:space="0"/>
                  </w:tcBorders>
                </w:tcPr>
                <w:p w14:paraId="34714901">
                  <w:pPr>
                    <w:autoSpaceDE w:val="0"/>
                    <w:autoSpaceDN w:val="0"/>
                    <w:adjustRightInd w:val="0"/>
                    <w:snapToGrid w:val="0"/>
                    <w:jc w:val="center"/>
                    <w:rPr>
                      <w:bCs/>
                      <w:color w:val="auto"/>
                      <w:szCs w:val="21"/>
                    </w:rPr>
                  </w:pPr>
                  <w:r>
                    <w:rPr>
                      <w:bCs/>
                      <w:color w:val="auto"/>
                      <w:szCs w:val="21"/>
                    </w:rPr>
                    <w:t>30~50</w:t>
                  </w:r>
                </w:p>
              </w:tc>
              <w:tc>
                <w:tcPr>
                  <w:tcW w:w="836" w:type="pct"/>
                  <w:tcBorders>
                    <w:top w:val="single" w:color="000000" w:sz="4" w:space="0"/>
                    <w:left w:val="single" w:color="000000" w:sz="4" w:space="0"/>
                    <w:bottom w:val="single" w:color="000000" w:sz="4" w:space="0"/>
                    <w:right w:val="single" w:color="000000" w:sz="4" w:space="0"/>
                  </w:tcBorders>
                </w:tcPr>
                <w:p w14:paraId="790A6A13">
                  <w:pPr>
                    <w:autoSpaceDE w:val="0"/>
                    <w:autoSpaceDN w:val="0"/>
                    <w:adjustRightInd w:val="0"/>
                    <w:snapToGrid w:val="0"/>
                    <w:jc w:val="center"/>
                    <w:rPr>
                      <w:bCs/>
                      <w:color w:val="auto"/>
                      <w:szCs w:val="21"/>
                    </w:rPr>
                  </w:pPr>
                  <w:r>
                    <w:rPr>
                      <w:bCs/>
                      <w:color w:val="auto"/>
                      <w:szCs w:val="21"/>
                    </w:rPr>
                    <w:t>25~50</w:t>
                  </w:r>
                </w:p>
              </w:tc>
              <w:tc>
                <w:tcPr>
                  <w:tcW w:w="967" w:type="pct"/>
                  <w:tcBorders>
                    <w:top w:val="single" w:color="000000" w:sz="4" w:space="0"/>
                    <w:left w:val="single" w:color="000000" w:sz="4" w:space="0"/>
                    <w:bottom w:val="single" w:color="000000" w:sz="4" w:space="0"/>
                    <w:right w:val="single" w:color="000000" w:sz="4" w:space="0"/>
                  </w:tcBorders>
                </w:tcPr>
                <w:p w14:paraId="1F945C61">
                  <w:pPr>
                    <w:autoSpaceDE w:val="0"/>
                    <w:autoSpaceDN w:val="0"/>
                    <w:adjustRightInd w:val="0"/>
                    <w:snapToGrid w:val="0"/>
                    <w:jc w:val="center"/>
                    <w:rPr>
                      <w:bCs/>
                      <w:color w:val="auto"/>
                      <w:szCs w:val="21"/>
                    </w:rPr>
                  </w:pPr>
                  <w:r>
                    <w:rPr>
                      <w:bCs/>
                      <w:color w:val="auto"/>
                      <w:szCs w:val="21"/>
                    </w:rPr>
                    <w:t>40~60</w:t>
                  </w:r>
                </w:p>
              </w:tc>
              <w:tc>
                <w:tcPr>
                  <w:tcW w:w="836" w:type="pct"/>
                  <w:tcBorders>
                    <w:top w:val="single" w:color="000000" w:sz="4" w:space="0"/>
                    <w:left w:val="single" w:color="000000" w:sz="4" w:space="0"/>
                    <w:bottom w:val="single" w:color="000000" w:sz="4" w:space="0"/>
                    <w:right w:val="single" w:color="000000" w:sz="4" w:space="0"/>
                  </w:tcBorders>
                </w:tcPr>
                <w:p w14:paraId="19A8CA49">
                  <w:pPr>
                    <w:autoSpaceDE w:val="0"/>
                    <w:autoSpaceDN w:val="0"/>
                    <w:adjustRightInd w:val="0"/>
                    <w:snapToGrid w:val="0"/>
                    <w:jc w:val="center"/>
                    <w:rPr>
                      <w:bCs/>
                      <w:color w:val="auto"/>
                      <w:szCs w:val="21"/>
                    </w:rPr>
                  </w:pPr>
                  <w:r>
                    <w:rPr>
                      <w:bCs/>
                      <w:color w:val="auto"/>
                      <w:szCs w:val="21"/>
                    </w:rPr>
                    <w:t>25~50</w:t>
                  </w:r>
                </w:p>
              </w:tc>
              <w:tc>
                <w:tcPr>
                  <w:tcW w:w="834" w:type="pct"/>
                  <w:tcBorders>
                    <w:top w:val="single" w:color="000000" w:sz="4" w:space="0"/>
                    <w:left w:val="single" w:color="000000" w:sz="4" w:space="0"/>
                    <w:bottom w:val="single" w:color="000000" w:sz="4" w:space="0"/>
                    <w:right w:val="single" w:color="000000" w:sz="4" w:space="0"/>
                  </w:tcBorders>
                </w:tcPr>
                <w:p w14:paraId="7B650C36">
                  <w:pPr>
                    <w:autoSpaceDE w:val="0"/>
                    <w:autoSpaceDN w:val="0"/>
                    <w:adjustRightInd w:val="0"/>
                    <w:snapToGrid w:val="0"/>
                    <w:jc w:val="center"/>
                    <w:rPr>
                      <w:bCs/>
                      <w:color w:val="auto"/>
                      <w:szCs w:val="21"/>
                    </w:rPr>
                  </w:pPr>
                  <w:r>
                    <w:rPr>
                      <w:bCs/>
                      <w:color w:val="auto"/>
                      <w:szCs w:val="21"/>
                    </w:rPr>
                    <w:t>≥50</w:t>
                  </w:r>
                </w:p>
              </w:tc>
            </w:tr>
            <w:tr w14:paraId="5A676453">
              <w:tblPrEx>
                <w:tblCellMar>
                  <w:top w:w="0" w:type="dxa"/>
                  <w:left w:w="108" w:type="dxa"/>
                  <w:bottom w:w="0" w:type="dxa"/>
                  <w:right w:w="108" w:type="dxa"/>
                </w:tblCellMar>
              </w:tblPrEx>
              <w:trPr>
                <w:trHeight w:val="250"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02A8DA18">
                  <w:pPr>
                    <w:autoSpaceDE w:val="0"/>
                    <w:autoSpaceDN w:val="0"/>
                    <w:adjustRightInd w:val="0"/>
                    <w:snapToGrid w:val="0"/>
                    <w:jc w:val="center"/>
                    <w:rPr>
                      <w:bCs/>
                      <w:color w:val="auto"/>
                      <w:szCs w:val="21"/>
                    </w:rPr>
                  </w:pPr>
                  <w:r>
                    <w:rPr>
                      <w:bCs/>
                      <w:color w:val="auto"/>
                      <w:szCs w:val="21"/>
                    </w:rPr>
                    <w:t>COD</w:t>
                  </w:r>
                  <w:r>
                    <w:rPr>
                      <w:rFonts w:hint="eastAsia"/>
                      <w:bCs/>
                      <w:color w:val="auto"/>
                      <w:szCs w:val="21"/>
                      <w:vertAlign w:val="subscript"/>
                    </w:rPr>
                    <w:t>C</w:t>
                  </w:r>
                  <w:r>
                    <w:rPr>
                      <w:bCs/>
                      <w:color w:val="auto"/>
                      <w:szCs w:val="21"/>
                      <w:vertAlign w:val="subscript"/>
                    </w:rPr>
                    <w:t>r</w:t>
                  </w:r>
                </w:p>
              </w:tc>
              <w:tc>
                <w:tcPr>
                  <w:tcW w:w="844" w:type="pct"/>
                  <w:tcBorders>
                    <w:top w:val="single" w:color="000000" w:sz="4" w:space="0"/>
                    <w:left w:val="single" w:color="000000" w:sz="4" w:space="0"/>
                    <w:bottom w:val="single" w:color="000000" w:sz="4" w:space="0"/>
                    <w:right w:val="single" w:color="000000" w:sz="4" w:space="0"/>
                  </w:tcBorders>
                </w:tcPr>
                <w:p w14:paraId="22C3725C">
                  <w:pPr>
                    <w:autoSpaceDE w:val="0"/>
                    <w:autoSpaceDN w:val="0"/>
                    <w:adjustRightInd w:val="0"/>
                    <w:snapToGrid w:val="0"/>
                    <w:jc w:val="center"/>
                    <w:rPr>
                      <w:bCs/>
                      <w:color w:val="auto"/>
                      <w:szCs w:val="21"/>
                    </w:rPr>
                  </w:pPr>
                  <w:r>
                    <w:rPr>
                      <w:bCs/>
                      <w:color w:val="auto"/>
                      <w:szCs w:val="21"/>
                    </w:rPr>
                    <w:t>25~35</w:t>
                  </w:r>
                </w:p>
              </w:tc>
              <w:tc>
                <w:tcPr>
                  <w:tcW w:w="836" w:type="pct"/>
                  <w:tcBorders>
                    <w:top w:val="single" w:color="000000" w:sz="4" w:space="0"/>
                    <w:left w:val="single" w:color="000000" w:sz="4" w:space="0"/>
                    <w:bottom w:val="single" w:color="000000" w:sz="4" w:space="0"/>
                    <w:right w:val="single" w:color="000000" w:sz="4" w:space="0"/>
                  </w:tcBorders>
                </w:tcPr>
                <w:p w14:paraId="3F06EA46">
                  <w:pPr>
                    <w:autoSpaceDE w:val="0"/>
                    <w:autoSpaceDN w:val="0"/>
                    <w:adjustRightInd w:val="0"/>
                    <w:snapToGrid w:val="0"/>
                    <w:jc w:val="center"/>
                    <w:rPr>
                      <w:bCs/>
                      <w:color w:val="auto"/>
                      <w:szCs w:val="21"/>
                    </w:rPr>
                  </w:pPr>
                  <w:r>
                    <w:rPr>
                      <w:bCs/>
                      <w:color w:val="auto"/>
                      <w:szCs w:val="21"/>
                    </w:rPr>
                    <w:t>15~25</w:t>
                  </w:r>
                </w:p>
              </w:tc>
              <w:tc>
                <w:tcPr>
                  <w:tcW w:w="967" w:type="pct"/>
                  <w:tcBorders>
                    <w:top w:val="single" w:color="000000" w:sz="4" w:space="0"/>
                    <w:left w:val="single" w:color="000000" w:sz="4" w:space="0"/>
                    <w:bottom w:val="single" w:color="000000" w:sz="4" w:space="0"/>
                    <w:right w:val="single" w:color="000000" w:sz="4" w:space="0"/>
                  </w:tcBorders>
                  <w:vAlign w:val="center"/>
                </w:tcPr>
                <w:p w14:paraId="0756486A">
                  <w:pPr>
                    <w:autoSpaceDE w:val="0"/>
                    <w:autoSpaceDN w:val="0"/>
                    <w:adjustRightInd w:val="0"/>
                    <w:snapToGrid w:val="0"/>
                    <w:jc w:val="center"/>
                    <w:rPr>
                      <w:bCs/>
                      <w:color w:val="auto"/>
                      <w:szCs w:val="21"/>
                    </w:rPr>
                  </w:pPr>
                  <w:r>
                    <w:rPr>
                      <w:bCs/>
                      <w:color w:val="auto"/>
                      <w:szCs w:val="21"/>
                    </w:rPr>
                    <w:t>40-60</w:t>
                  </w:r>
                </w:p>
              </w:tc>
              <w:tc>
                <w:tcPr>
                  <w:tcW w:w="836" w:type="pct"/>
                  <w:tcBorders>
                    <w:top w:val="single" w:color="000000" w:sz="4" w:space="0"/>
                    <w:left w:val="single" w:color="000000" w:sz="4" w:space="0"/>
                    <w:bottom w:val="single" w:color="000000" w:sz="4" w:space="0"/>
                    <w:right w:val="single" w:color="000000" w:sz="4" w:space="0"/>
                  </w:tcBorders>
                </w:tcPr>
                <w:p w14:paraId="1424BAD7">
                  <w:pPr>
                    <w:autoSpaceDE w:val="0"/>
                    <w:autoSpaceDN w:val="0"/>
                    <w:adjustRightInd w:val="0"/>
                    <w:snapToGrid w:val="0"/>
                    <w:jc w:val="center"/>
                    <w:rPr>
                      <w:bCs/>
                      <w:color w:val="auto"/>
                      <w:szCs w:val="21"/>
                    </w:rPr>
                  </w:pPr>
                  <w:r>
                    <w:rPr>
                      <w:bCs/>
                      <w:color w:val="auto"/>
                      <w:szCs w:val="21"/>
                    </w:rPr>
                    <w:t>25~50</w:t>
                  </w:r>
                </w:p>
              </w:tc>
              <w:tc>
                <w:tcPr>
                  <w:tcW w:w="834" w:type="pct"/>
                  <w:tcBorders>
                    <w:top w:val="single" w:color="000000" w:sz="4" w:space="0"/>
                    <w:left w:val="single" w:color="000000" w:sz="4" w:space="0"/>
                    <w:bottom w:val="single" w:color="000000" w:sz="4" w:space="0"/>
                    <w:right w:val="single" w:color="000000" w:sz="4" w:space="0"/>
                  </w:tcBorders>
                </w:tcPr>
                <w:p w14:paraId="602083A6">
                  <w:pPr>
                    <w:autoSpaceDE w:val="0"/>
                    <w:autoSpaceDN w:val="0"/>
                    <w:adjustRightInd w:val="0"/>
                    <w:snapToGrid w:val="0"/>
                    <w:jc w:val="center"/>
                    <w:rPr>
                      <w:bCs/>
                      <w:color w:val="auto"/>
                      <w:szCs w:val="21"/>
                    </w:rPr>
                  </w:pPr>
                  <w:r>
                    <w:rPr>
                      <w:bCs/>
                      <w:color w:val="auto"/>
                      <w:szCs w:val="21"/>
                    </w:rPr>
                    <w:t>≥50</w:t>
                  </w:r>
                </w:p>
              </w:tc>
            </w:tr>
            <w:tr w14:paraId="35A12CC2">
              <w:tblPrEx>
                <w:tblCellMar>
                  <w:top w:w="0" w:type="dxa"/>
                  <w:left w:w="108" w:type="dxa"/>
                  <w:bottom w:w="0" w:type="dxa"/>
                  <w:right w:w="108" w:type="dxa"/>
                </w:tblCellMar>
              </w:tblPrEx>
              <w:trPr>
                <w:trHeight w:val="260"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4B80A901">
                  <w:pPr>
                    <w:autoSpaceDE w:val="0"/>
                    <w:autoSpaceDN w:val="0"/>
                    <w:adjustRightInd w:val="0"/>
                    <w:snapToGrid w:val="0"/>
                    <w:jc w:val="center"/>
                    <w:rPr>
                      <w:bCs/>
                      <w:color w:val="auto"/>
                      <w:szCs w:val="21"/>
                    </w:rPr>
                  </w:pPr>
                  <w:r>
                    <w:rPr>
                      <w:bCs/>
                      <w:color w:val="auto"/>
                      <w:szCs w:val="21"/>
                    </w:rPr>
                    <w:t>SS</w:t>
                  </w:r>
                </w:p>
              </w:tc>
              <w:tc>
                <w:tcPr>
                  <w:tcW w:w="844" w:type="pct"/>
                  <w:tcBorders>
                    <w:top w:val="single" w:color="000000" w:sz="4" w:space="0"/>
                    <w:left w:val="single" w:color="000000" w:sz="4" w:space="0"/>
                    <w:bottom w:val="single" w:color="000000" w:sz="4" w:space="0"/>
                    <w:right w:val="single" w:color="000000" w:sz="4" w:space="0"/>
                  </w:tcBorders>
                </w:tcPr>
                <w:p w14:paraId="21E077F0">
                  <w:pPr>
                    <w:autoSpaceDE w:val="0"/>
                    <w:autoSpaceDN w:val="0"/>
                    <w:adjustRightInd w:val="0"/>
                    <w:snapToGrid w:val="0"/>
                    <w:jc w:val="center"/>
                    <w:rPr>
                      <w:bCs/>
                      <w:color w:val="auto"/>
                      <w:szCs w:val="21"/>
                    </w:rPr>
                  </w:pPr>
                  <w:r>
                    <w:rPr>
                      <w:bCs/>
                      <w:color w:val="auto"/>
                      <w:szCs w:val="21"/>
                    </w:rPr>
                    <w:t>40~60</w:t>
                  </w:r>
                </w:p>
              </w:tc>
              <w:tc>
                <w:tcPr>
                  <w:tcW w:w="836" w:type="pct"/>
                  <w:tcBorders>
                    <w:top w:val="single" w:color="000000" w:sz="4" w:space="0"/>
                    <w:left w:val="single" w:color="000000" w:sz="4" w:space="0"/>
                    <w:bottom w:val="single" w:color="000000" w:sz="4" w:space="0"/>
                    <w:right w:val="single" w:color="000000" w:sz="4" w:space="0"/>
                  </w:tcBorders>
                </w:tcPr>
                <w:p w14:paraId="3B65ED3B">
                  <w:pPr>
                    <w:autoSpaceDE w:val="0"/>
                    <w:autoSpaceDN w:val="0"/>
                    <w:adjustRightInd w:val="0"/>
                    <w:snapToGrid w:val="0"/>
                    <w:jc w:val="center"/>
                    <w:rPr>
                      <w:bCs/>
                      <w:color w:val="auto"/>
                      <w:szCs w:val="21"/>
                    </w:rPr>
                  </w:pPr>
                  <w:r>
                    <w:rPr>
                      <w:bCs/>
                      <w:color w:val="auto"/>
                      <w:szCs w:val="21"/>
                    </w:rPr>
                    <w:t>40~60</w:t>
                  </w:r>
                </w:p>
              </w:tc>
              <w:tc>
                <w:tcPr>
                  <w:tcW w:w="967" w:type="pct"/>
                  <w:tcBorders>
                    <w:top w:val="single" w:color="000000" w:sz="4" w:space="0"/>
                    <w:left w:val="single" w:color="000000" w:sz="4" w:space="0"/>
                    <w:bottom w:val="single" w:color="000000" w:sz="4" w:space="0"/>
                    <w:right w:val="single" w:color="000000" w:sz="4" w:space="0"/>
                  </w:tcBorders>
                </w:tcPr>
                <w:p w14:paraId="504ACF5E">
                  <w:pPr>
                    <w:autoSpaceDE w:val="0"/>
                    <w:autoSpaceDN w:val="0"/>
                    <w:adjustRightInd w:val="0"/>
                    <w:snapToGrid w:val="0"/>
                    <w:jc w:val="center"/>
                    <w:rPr>
                      <w:bCs/>
                      <w:color w:val="auto"/>
                      <w:szCs w:val="21"/>
                    </w:rPr>
                  </w:pPr>
                  <w:r>
                    <w:rPr>
                      <w:bCs/>
                      <w:color w:val="auto"/>
                      <w:szCs w:val="21"/>
                    </w:rPr>
                    <w:t>60~70</w:t>
                  </w:r>
                </w:p>
              </w:tc>
              <w:tc>
                <w:tcPr>
                  <w:tcW w:w="836" w:type="pct"/>
                  <w:tcBorders>
                    <w:top w:val="single" w:color="000000" w:sz="4" w:space="0"/>
                    <w:left w:val="single" w:color="000000" w:sz="4" w:space="0"/>
                    <w:bottom w:val="single" w:color="000000" w:sz="4" w:space="0"/>
                    <w:right w:val="single" w:color="000000" w:sz="4" w:space="0"/>
                  </w:tcBorders>
                </w:tcPr>
                <w:p w14:paraId="6102284E">
                  <w:pPr>
                    <w:autoSpaceDE w:val="0"/>
                    <w:autoSpaceDN w:val="0"/>
                    <w:adjustRightInd w:val="0"/>
                    <w:snapToGrid w:val="0"/>
                    <w:jc w:val="center"/>
                    <w:rPr>
                      <w:bCs/>
                      <w:color w:val="auto"/>
                      <w:szCs w:val="21"/>
                    </w:rPr>
                  </w:pPr>
                  <w:r>
                    <w:rPr>
                      <w:bCs/>
                      <w:color w:val="auto"/>
                      <w:szCs w:val="21"/>
                    </w:rPr>
                    <w:t>≥50</w:t>
                  </w:r>
                </w:p>
              </w:tc>
              <w:tc>
                <w:tcPr>
                  <w:tcW w:w="834" w:type="pct"/>
                  <w:tcBorders>
                    <w:top w:val="single" w:color="000000" w:sz="4" w:space="0"/>
                    <w:left w:val="single" w:color="000000" w:sz="4" w:space="0"/>
                    <w:bottom w:val="single" w:color="000000" w:sz="4" w:space="0"/>
                    <w:right w:val="single" w:color="000000" w:sz="4" w:space="0"/>
                  </w:tcBorders>
                </w:tcPr>
                <w:p w14:paraId="2AD12C67">
                  <w:pPr>
                    <w:autoSpaceDE w:val="0"/>
                    <w:autoSpaceDN w:val="0"/>
                    <w:adjustRightInd w:val="0"/>
                    <w:snapToGrid w:val="0"/>
                    <w:jc w:val="center"/>
                    <w:rPr>
                      <w:bCs/>
                      <w:color w:val="auto"/>
                      <w:szCs w:val="21"/>
                    </w:rPr>
                  </w:pPr>
                  <w:r>
                    <w:rPr>
                      <w:bCs/>
                      <w:color w:val="auto"/>
                      <w:szCs w:val="21"/>
                    </w:rPr>
                    <w:t>≥50</w:t>
                  </w:r>
                </w:p>
              </w:tc>
            </w:tr>
            <w:tr w14:paraId="4B088637">
              <w:tblPrEx>
                <w:tblCellMar>
                  <w:top w:w="0" w:type="dxa"/>
                  <w:left w:w="108" w:type="dxa"/>
                  <w:bottom w:w="0" w:type="dxa"/>
                  <w:right w:w="108" w:type="dxa"/>
                </w:tblCellMar>
              </w:tblPrEx>
              <w:trPr>
                <w:trHeight w:val="270"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033ED0F1">
                  <w:pPr>
                    <w:autoSpaceDE w:val="0"/>
                    <w:autoSpaceDN w:val="0"/>
                    <w:adjustRightInd w:val="0"/>
                    <w:snapToGrid w:val="0"/>
                    <w:jc w:val="center"/>
                    <w:rPr>
                      <w:bCs/>
                      <w:color w:val="auto"/>
                      <w:szCs w:val="21"/>
                    </w:rPr>
                  </w:pPr>
                  <w:r>
                    <w:rPr>
                      <w:bCs/>
                      <w:color w:val="auto"/>
                      <w:szCs w:val="21"/>
                    </w:rPr>
                    <w:t>氨氮</w:t>
                  </w:r>
                </w:p>
              </w:tc>
              <w:tc>
                <w:tcPr>
                  <w:tcW w:w="844" w:type="pct"/>
                  <w:tcBorders>
                    <w:top w:val="single" w:color="000000" w:sz="4" w:space="0"/>
                    <w:left w:val="single" w:color="000000" w:sz="4" w:space="0"/>
                    <w:bottom w:val="single" w:color="000000" w:sz="4" w:space="0"/>
                    <w:right w:val="single" w:color="000000" w:sz="4" w:space="0"/>
                  </w:tcBorders>
                </w:tcPr>
                <w:p w14:paraId="1BE26573">
                  <w:pPr>
                    <w:autoSpaceDE w:val="0"/>
                    <w:autoSpaceDN w:val="0"/>
                    <w:adjustRightInd w:val="0"/>
                    <w:snapToGrid w:val="0"/>
                    <w:jc w:val="center"/>
                    <w:rPr>
                      <w:bCs/>
                      <w:color w:val="auto"/>
                      <w:szCs w:val="21"/>
                    </w:rPr>
                  </w:pPr>
                  <w:r>
                    <w:rPr>
                      <w:bCs/>
                      <w:color w:val="auto"/>
                      <w:szCs w:val="21"/>
                    </w:rPr>
                    <w:t>/</w:t>
                  </w:r>
                </w:p>
              </w:tc>
              <w:tc>
                <w:tcPr>
                  <w:tcW w:w="836" w:type="pct"/>
                  <w:tcBorders>
                    <w:top w:val="single" w:color="000000" w:sz="4" w:space="0"/>
                    <w:left w:val="single" w:color="000000" w:sz="4" w:space="0"/>
                    <w:bottom w:val="single" w:color="000000" w:sz="4" w:space="0"/>
                    <w:right w:val="single" w:color="000000" w:sz="4" w:space="0"/>
                  </w:tcBorders>
                </w:tcPr>
                <w:p w14:paraId="575AB396">
                  <w:pPr>
                    <w:autoSpaceDE w:val="0"/>
                    <w:autoSpaceDN w:val="0"/>
                    <w:adjustRightInd w:val="0"/>
                    <w:snapToGrid w:val="0"/>
                    <w:jc w:val="center"/>
                    <w:rPr>
                      <w:bCs/>
                      <w:color w:val="auto"/>
                      <w:szCs w:val="21"/>
                    </w:rPr>
                  </w:pPr>
                  <w:r>
                    <w:rPr>
                      <w:bCs/>
                      <w:color w:val="auto"/>
                      <w:szCs w:val="21"/>
                    </w:rPr>
                    <w:t>/</w:t>
                  </w:r>
                </w:p>
              </w:tc>
              <w:tc>
                <w:tcPr>
                  <w:tcW w:w="967" w:type="pct"/>
                  <w:tcBorders>
                    <w:top w:val="single" w:color="000000" w:sz="4" w:space="0"/>
                    <w:left w:val="single" w:color="000000" w:sz="4" w:space="0"/>
                    <w:bottom w:val="single" w:color="000000" w:sz="4" w:space="0"/>
                    <w:right w:val="single" w:color="000000" w:sz="4" w:space="0"/>
                  </w:tcBorders>
                  <w:vAlign w:val="center"/>
                </w:tcPr>
                <w:p w14:paraId="4DA864EC">
                  <w:pPr>
                    <w:autoSpaceDE w:val="0"/>
                    <w:autoSpaceDN w:val="0"/>
                    <w:adjustRightInd w:val="0"/>
                    <w:snapToGrid w:val="0"/>
                    <w:jc w:val="center"/>
                    <w:rPr>
                      <w:bCs/>
                      <w:color w:val="auto"/>
                      <w:szCs w:val="21"/>
                    </w:rPr>
                  </w:pPr>
                  <w:r>
                    <w:rPr>
                      <w:bCs/>
                      <w:color w:val="auto"/>
                      <w:szCs w:val="21"/>
                    </w:rPr>
                    <w:t>30~40</w:t>
                  </w:r>
                </w:p>
              </w:tc>
              <w:tc>
                <w:tcPr>
                  <w:tcW w:w="836" w:type="pct"/>
                  <w:tcBorders>
                    <w:top w:val="single" w:color="000000" w:sz="4" w:space="0"/>
                    <w:left w:val="single" w:color="000000" w:sz="4" w:space="0"/>
                    <w:bottom w:val="single" w:color="000000" w:sz="4" w:space="0"/>
                    <w:right w:val="single" w:color="000000" w:sz="4" w:space="0"/>
                  </w:tcBorders>
                  <w:vAlign w:val="center"/>
                </w:tcPr>
                <w:p w14:paraId="50348CFF">
                  <w:pPr>
                    <w:autoSpaceDE w:val="0"/>
                    <w:autoSpaceDN w:val="0"/>
                    <w:adjustRightInd w:val="0"/>
                    <w:snapToGrid w:val="0"/>
                    <w:jc w:val="center"/>
                    <w:rPr>
                      <w:bCs/>
                      <w:color w:val="auto"/>
                      <w:szCs w:val="21"/>
                    </w:rPr>
                  </w:pPr>
                  <w:r>
                    <w:rPr>
                      <w:bCs/>
                      <w:color w:val="auto"/>
                      <w:szCs w:val="21"/>
                    </w:rPr>
                    <w:t>≥50</w:t>
                  </w:r>
                </w:p>
              </w:tc>
              <w:tc>
                <w:tcPr>
                  <w:tcW w:w="834" w:type="pct"/>
                  <w:tcBorders>
                    <w:top w:val="single" w:color="000000" w:sz="4" w:space="0"/>
                    <w:left w:val="single" w:color="000000" w:sz="4" w:space="0"/>
                    <w:bottom w:val="single" w:color="000000" w:sz="4" w:space="0"/>
                    <w:right w:val="single" w:color="000000" w:sz="4" w:space="0"/>
                  </w:tcBorders>
                  <w:vAlign w:val="center"/>
                </w:tcPr>
                <w:p w14:paraId="0B11F59F">
                  <w:pPr>
                    <w:autoSpaceDE w:val="0"/>
                    <w:autoSpaceDN w:val="0"/>
                    <w:adjustRightInd w:val="0"/>
                    <w:snapToGrid w:val="0"/>
                    <w:jc w:val="center"/>
                    <w:rPr>
                      <w:bCs/>
                      <w:color w:val="auto"/>
                      <w:szCs w:val="21"/>
                    </w:rPr>
                  </w:pPr>
                  <w:r>
                    <w:rPr>
                      <w:bCs/>
                      <w:color w:val="auto"/>
                      <w:szCs w:val="21"/>
                    </w:rPr>
                    <w:t>≥50</w:t>
                  </w:r>
                </w:p>
              </w:tc>
            </w:tr>
            <w:tr w14:paraId="1C89D05C">
              <w:tblPrEx>
                <w:tblCellMar>
                  <w:top w:w="0" w:type="dxa"/>
                  <w:left w:w="108" w:type="dxa"/>
                  <w:bottom w:w="0" w:type="dxa"/>
                  <w:right w:w="108" w:type="dxa"/>
                </w:tblCellMar>
              </w:tblPrEx>
              <w:trPr>
                <w:trHeight w:val="250"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2111C153">
                  <w:pPr>
                    <w:autoSpaceDE w:val="0"/>
                    <w:autoSpaceDN w:val="0"/>
                    <w:adjustRightInd w:val="0"/>
                    <w:snapToGrid w:val="0"/>
                    <w:jc w:val="center"/>
                    <w:rPr>
                      <w:bCs/>
                      <w:color w:val="auto"/>
                      <w:szCs w:val="21"/>
                    </w:rPr>
                  </w:pPr>
                  <w:r>
                    <w:rPr>
                      <w:bCs/>
                      <w:color w:val="auto"/>
                      <w:szCs w:val="21"/>
                    </w:rPr>
                    <w:t>总氮</w:t>
                  </w:r>
                </w:p>
              </w:tc>
              <w:tc>
                <w:tcPr>
                  <w:tcW w:w="844" w:type="pct"/>
                  <w:tcBorders>
                    <w:top w:val="single" w:color="000000" w:sz="4" w:space="0"/>
                    <w:left w:val="single" w:color="000000" w:sz="4" w:space="0"/>
                    <w:bottom w:val="single" w:color="000000" w:sz="4" w:space="0"/>
                    <w:right w:val="single" w:color="000000" w:sz="4" w:space="0"/>
                  </w:tcBorders>
                </w:tcPr>
                <w:p w14:paraId="413262B9">
                  <w:pPr>
                    <w:autoSpaceDE w:val="0"/>
                    <w:autoSpaceDN w:val="0"/>
                    <w:adjustRightInd w:val="0"/>
                    <w:snapToGrid w:val="0"/>
                    <w:jc w:val="center"/>
                    <w:rPr>
                      <w:bCs/>
                      <w:color w:val="auto"/>
                      <w:szCs w:val="21"/>
                    </w:rPr>
                  </w:pPr>
                  <w:r>
                    <w:rPr>
                      <w:bCs/>
                      <w:color w:val="auto"/>
                      <w:szCs w:val="21"/>
                    </w:rPr>
                    <w:t>5~15</w:t>
                  </w:r>
                </w:p>
              </w:tc>
              <w:tc>
                <w:tcPr>
                  <w:tcW w:w="836" w:type="pct"/>
                  <w:tcBorders>
                    <w:top w:val="single" w:color="000000" w:sz="4" w:space="0"/>
                    <w:left w:val="single" w:color="000000" w:sz="4" w:space="0"/>
                    <w:bottom w:val="single" w:color="000000" w:sz="4" w:space="0"/>
                    <w:right w:val="single" w:color="000000" w:sz="4" w:space="0"/>
                  </w:tcBorders>
                </w:tcPr>
                <w:p w14:paraId="45021751">
                  <w:pPr>
                    <w:autoSpaceDE w:val="0"/>
                    <w:autoSpaceDN w:val="0"/>
                    <w:adjustRightInd w:val="0"/>
                    <w:snapToGrid w:val="0"/>
                    <w:jc w:val="center"/>
                    <w:rPr>
                      <w:bCs/>
                      <w:color w:val="auto"/>
                      <w:szCs w:val="21"/>
                    </w:rPr>
                  </w:pPr>
                  <w:r>
                    <w:rPr>
                      <w:bCs/>
                      <w:color w:val="auto"/>
                      <w:szCs w:val="21"/>
                    </w:rPr>
                    <w:t>5~15</w:t>
                  </w:r>
                </w:p>
              </w:tc>
              <w:tc>
                <w:tcPr>
                  <w:tcW w:w="967" w:type="pct"/>
                  <w:tcBorders>
                    <w:top w:val="single" w:color="000000" w:sz="4" w:space="0"/>
                    <w:left w:val="single" w:color="000000" w:sz="4" w:space="0"/>
                    <w:bottom w:val="single" w:color="000000" w:sz="4" w:space="0"/>
                    <w:right w:val="single" w:color="000000" w:sz="4" w:space="0"/>
                  </w:tcBorders>
                </w:tcPr>
                <w:p w14:paraId="7C455C88">
                  <w:pPr>
                    <w:autoSpaceDE w:val="0"/>
                    <w:autoSpaceDN w:val="0"/>
                    <w:adjustRightInd w:val="0"/>
                    <w:snapToGrid w:val="0"/>
                    <w:jc w:val="center"/>
                    <w:rPr>
                      <w:bCs/>
                      <w:color w:val="auto"/>
                      <w:szCs w:val="21"/>
                    </w:rPr>
                  </w:pPr>
                  <w:r>
                    <w:rPr>
                      <w:bCs/>
                      <w:color w:val="auto"/>
                      <w:szCs w:val="21"/>
                    </w:rPr>
                    <w:t>/</w:t>
                  </w:r>
                </w:p>
              </w:tc>
              <w:tc>
                <w:tcPr>
                  <w:tcW w:w="836" w:type="pct"/>
                  <w:tcBorders>
                    <w:top w:val="single" w:color="000000" w:sz="4" w:space="0"/>
                    <w:left w:val="single" w:color="000000" w:sz="4" w:space="0"/>
                    <w:bottom w:val="single" w:color="000000" w:sz="4" w:space="0"/>
                    <w:right w:val="single" w:color="000000" w:sz="4" w:space="0"/>
                  </w:tcBorders>
                </w:tcPr>
                <w:p w14:paraId="0BFBD302">
                  <w:pPr>
                    <w:autoSpaceDE w:val="0"/>
                    <w:autoSpaceDN w:val="0"/>
                    <w:adjustRightInd w:val="0"/>
                    <w:snapToGrid w:val="0"/>
                    <w:jc w:val="center"/>
                    <w:rPr>
                      <w:bCs/>
                      <w:color w:val="auto"/>
                      <w:szCs w:val="21"/>
                    </w:rPr>
                  </w:pPr>
                  <w:r>
                    <w:rPr>
                      <w:bCs/>
                      <w:color w:val="auto"/>
                      <w:szCs w:val="21"/>
                    </w:rPr>
                    <w:t>/</w:t>
                  </w:r>
                </w:p>
              </w:tc>
              <w:tc>
                <w:tcPr>
                  <w:tcW w:w="834" w:type="pct"/>
                  <w:tcBorders>
                    <w:top w:val="single" w:color="000000" w:sz="4" w:space="0"/>
                    <w:left w:val="single" w:color="000000" w:sz="4" w:space="0"/>
                    <w:bottom w:val="single" w:color="000000" w:sz="4" w:space="0"/>
                    <w:right w:val="single" w:color="000000" w:sz="4" w:space="0"/>
                  </w:tcBorders>
                </w:tcPr>
                <w:p w14:paraId="56DAA21B">
                  <w:pPr>
                    <w:autoSpaceDE w:val="0"/>
                    <w:autoSpaceDN w:val="0"/>
                    <w:adjustRightInd w:val="0"/>
                    <w:snapToGrid w:val="0"/>
                    <w:jc w:val="center"/>
                    <w:rPr>
                      <w:bCs/>
                      <w:color w:val="auto"/>
                      <w:szCs w:val="21"/>
                    </w:rPr>
                  </w:pPr>
                  <w:r>
                    <w:rPr>
                      <w:bCs/>
                      <w:color w:val="auto"/>
                      <w:szCs w:val="21"/>
                    </w:rPr>
                    <w:t>≥50</w:t>
                  </w:r>
                </w:p>
              </w:tc>
            </w:tr>
            <w:tr w14:paraId="7F0BA1D1">
              <w:tblPrEx>
                <w:tblCellMar>
                  <w:top w:w="0" w:type="dxa"/>
                  <w:left w:w="108" w:type="dxa"/>
                  <w:bottom w:w="0" w:type="dxa"/>
                  <w:right w:w="108" w:type="dxa"/>
                </w:tblCellMar>
              </w:tblPrEx>
              <w:trPr>
                <w:trHeight w:val="260"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6E0B1822">
                  <w:pPr>
                    <w:autoSpaceDE w:val="0"/>
                    <w:autoSpaceDN w:val="0"/>
                    <w:adjustRightInd w:val="0"/>
                    <w:snapToGrid w:val="0"/>
                    <w:jc w:val="center"/>
                    <w:rPr>
                      <w:bCs/>
                      <w:color w:val="auto"/>
                      <w:szCs w:val="21"/>
                    </w:rPr>
                  </w:pPr>
                  <w:r>
                    <w:rPr>
                      <w:bCs/>
                      <w:color w:val="auto"/>
                      <w:szCs w:val="21"/>
                    </w:rPr>
                    <w:t>总磷</w:t>
                  </w:r>
                </w:p>
              </w:tc>
              <w:tc>
                <w:tcPr>
                  <w:tcW w:w="844" w:type="pct"/>
                  <w:tcBorders>
                    <w:top w:val="single" w:color="000000" w:sz="4" w:space="0"/>
                    <w:left w:val="single" w:color="000000" w:sz="4" w:space="0"/>
                    <w:bottom w:val="single" w:color="000000" w:sz="4" w:space="0"/>
                    <w:right w:val="single" w:color="000000" w:sz="4" w:space="0"/>
                  </w:tcBorders>
                </w:tcPr>
                <w:p w14:paraId="3AA9D1D4">
                  <w:pPr>
                    <w:autoSpaceDE w:val="0"/>
                    <w:autoSpaceDN w:val="0"/>
                    <w:adjustRightInd w:val="0"/>
                    <w:snapToGrid w:val="0"/>
                    <w:jc w:val="center"/>
                    <w:rPr>
                      <w:bCs/>
                      <w:color w:val="auto"/>
                      <w:szCs w:val="21"/>
                    </w:rPr>
                  </w:pPr>
                  <w:r>
                    <w:rPr>
                      <w:bCs/>
                      <w:color w:val="auto"/>
                      <w:szCs w:val="21"/>
                    </w:rPr>
                    <w:t>40~60</w:t>
                  </w:r>
                </w:p>
              </w:tc>
              <w:tc>
                <w:tcPr>
                  <w:tcW w:w="836" w:type="pct"/>
                  <w:tcBorders>
                    <w:top w:val="single" w:color="000000" w:sz="4" w:space="0"/>
                    <w:left w:val="single" w:color="000000" w:sz="4" w:space="0"/>
                    <w:bottom w:val="single" w:color="000000" w:sz="4" w:space="0"/>
                    <w:right w:val="single" w:color="000000" w:sz="4" w:space="0"/>
                  </w:tcBorders>
                </w:tcPr>
                <w:p w14:paraId="1FE38710">
                  <w:pPr>
                    <w:autoSpaceDE w:val="0"/>
                    <w:autoSpaceDN w:val="0"/>
                    <w:adjustRightInd w:val="0"/>
                    <w:snapToGrid w:val="0"/>
                    <w:jc w:val="center"/>
                    <w:rPr>
                      <w:bCs/>
                      <w:color w:val="auto"/>
                      <w:szCs w:val="21"/>
                    </w:rPr>
                  </w:pPr>
                  <w:r>
                    <w:rPr>
                      <w:bCs/>
                      <w:color w:val="auto"/>
                      <w:szCs w:val="21"/>
                    </w:rPr>
                    <w:t>30~40</w:t>
                  </w:r>
                </w:p>
              </w:tc>
              <w:tc>
                <w:tcPr>
                  <w:tcW w:w="967" w:type="pct"/>
                  <w:tcBorders>
                    <w:top w:val="single" w:color="000000" w:sz="4" w:space="0"/>
                    <w:left w:val="single" w:color="000000" w:sz="4" w:space="0"/>
                    <w:bottom w:val="single" w:color="000000" w:sz="4" w:space="0"/>
                    <w:right w:val="single" w:color="000000" w:sz="4" w:space="0"/>
                  </w:tcBorders>
                </w:tcPr>
                <w:p w14:paraId="76C12A81">
                  <w:pPr>
                    <w:autoSpaceDE w:val="0"/>
                    <w:autoSpaceDN w:val="0"/>
                    <w:adjustRightInd w:val="0"/>
                    <w:snapToGrid w:val="0"/>
                    <w:jc w:val="center"/>
                    <w:rPr>
                      <w:bCs/>
                      <w:color w:val="auto"/>
                      <w:szCs w:val="21"/>
                    </w:rPr>
                  </w:pPr>
                  <w:r>
                    <w:rPr>
                      <w:bCs/>
                      <w:color w:val="auto"/>
                      <w:szCs w:val="21"/>
                    </w:rPr>
                    <w:t>80~90</w:t>
                  </w:r>
                </w:p>
              </w:tc>
              <w:tc>
                <w:tcPr>
                  <w:tcW w:w="836" w:type="pct"/>
                  <w:tcBorders>
                    <w:top w:val="single" w:color="000000" w:sz="4" w:space="0"/>
                    <w:left w:val="single" w:color="000000" w:sz="4" w:space="0"/>
                    <w:bottom w:val="single" w:color="000000" w:sz="4" w:space="0"/>
                    <w:right w:val="single" w:color="000000" w:sz="4" w:space="0"/>
                  </w:tcBorders>
                </w:tcPr>
                <w:p w14:paraId="6B8891D1">
                  <w:pPr>
                    <w:autoSpaceDE w:val="0"/>
                    <w:autoSpaceDN w:val="0"/>
                    <w:adjustRightInd w:val="0"/>
                    <w:snapToGrid w:val="0"/>
                    <w:jc w:val="center"/>
                    <w:rPr>
                      <w:bCs/>
                      <w:color w:val="auto"/>
                      <w:szCs w:val="21"/>
                    </w:rPr>
                  </w:pPr>
                  <w:r>
                    <w:rPr>
                      <w:bCs/>
                      <w:color w:val="auto"/>
                      <w:szCs w:val="21"/>
                    </w:rPr>
                    <w:t>/</w:t>
                  </w:r>
                </w:p>
              </w:tc>
              <w:tc>
                <w:tcPr>
                  <w:tcW w:w="834" w:type="pct"/>
                  <w:tcBorders>
                    <w:top w:val="single" w:color="000000" w:sz="4" w:space="0"/>
                    <w:left w:val="single" w:color="000000" w:sz="4" w:space="0"/>
                    <w:bottom w:val="single" w:color="000000" w:sz="4" w:space="0"/>
                    <w:right w:val="single" w:color="000000" w:sz="4" w:space="0"/>
                  </w:tcBorders>
                </w:tcPr>
                <w:p w14:paraId="714F01F9">
                  <w:pPr>
                    <w:autoSpaceDE w:val="0"/>
                    <w:autoSpaceDN w:val="0"/>
                    <w:adjustRightInd w:val="0"/>
                    <w:snapToGrid w:val="0"/>
                    <w:jc w:val="center"/>
                    <w:rPr>
                      <w:bCs/>
                      <w:color w:val="auto"/>
                      <w:szCs w:val="21"/>
                    </w:rPr>
                  </w:pPr>
                  <w:r>
                    <w:rPr>
                      <w:bCs/>
                      <w:color w:val="auto"/>
                      <w:szCs w:val="21"/>
                    </w:rPr>
                    <w:t>≥50</w:t>
                  </w:r>
                </w:p>
              </w:tc>
            </w:tr>
            <w:tr w14:paraId="3C6BB3D9">
              <w:tblPrEx>
                <w:tblCellMar>
                  <w:top w:w="0" w:type="dxa"/>
                  <w:left w:w="108" w:type="dxa"/>
                  <w:bottom w:w="0" w:type="dxa"/>
                  <w:right w:w="108" w:type="dxa"/>
                </w:tblCellMar>
              </w:tblPrEx>
              <w:trPr>
                <w:trHeight w:val="260"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7C4BD292">
                  <w:pPr>
                    <w:autoSpaceDE w:val="0"/>
                    <w:autoSpaceDN w:val="0"/>
                    <w:adjustRightInd w:val="0"/>
                    <w:snapToGrid w:val="0"/>
                    <w:jc w:val="center"/>
                    <w:rPr>
                      <w:bCs/>
                      <w:color w:val="auto"/>
                      <w:szCs w:val="21"/>
                    </w:rPr>
                  </w:pPr>
                  <w:r>
                    <w:rPr>
                      <w:bCs/>
                      <w:color w:val="auto"/>
                      <w:szCs w:val="21"/>
                    </w:rPr>
                    <w:t>浊度</w:t>
                  </w:r>
                </w:p>
              </w:tc>
              <w:tc>
                <w:tcPr>
                  <w:tcW w:w="844" w:type="pct"/>
                  <w:tcBorders>
                    <w:top w:val="single" w:color="000000" w:sz="4" w:space="0"/>
                    <w:left w:val="single" w:color="000000" w:sz="4" w:space="0"/>
                    <w:bottom w:val="single" w:color="000000" w:sz="4" w:space="0"/>
                    <w:right w:val="single" w:color="000000" w:sz="4" w:space="0"/>
                  </w:tcBorders>
                </w:tcPr>
                <w:p w14:paraId="03DA30CA">
                  <w:pPr>
                    <w:autoSpaceDE w:val="0"/>
                    <w:autoSpaceDN w:val="0"/>
                    <w:adjustRightInd w:val="0"/>
                    <w:snapToGrid w:val="0"/>
                    <w:jc w:val="center"/>
                    <w:rPr>
                      <w:bCs/>
                      <w:color w:val="auto"/>
                      <w:szCs w:val="21"/>
                    </w:rPr>
                  </w:pPr>
                  <w:r>
                    <w:rPr>
                      <w:bCs/>
                      <w:color w:val="auto"/>
                      <w:szCs w:val="21"/>
                    </w:rPr>
                    <w:t>50~60</w:t>
                  </w:r>
                </w:p>
              </w:tc>
              <w:tc>
                <w:tcPr>
                  <w:tcW w:w="836" w:type="pct"/>
                  <w:tcBorders>
                    <w:top w:val="single" w:color="000000" w:sz="4" w:space="0"/>
                    <w:left w:val="single" w:color="000000" w:sz="4" w:space="0"/>
                    <w:bottom w:val="single" w:color="000000" w:sz="4" w:space="0"/>
                    <w:right w:val="single" w:color="000000" w:sz="4" w:space="0"/>
                  </w:tcBorders>
                </w:tcPr>
                <w:p w14:paraId="648E71B3">
                  <w:pPr>
                    <w:autoSpaceDE w:val="0"/>
                    <w:autoSpaceDN w:val="0"/>
                    <w:adjustRightInd w:val="0"/>
                    <w:snapToGrid w:val="0"/>
                    <w:jc w:val="center"/>
                    <w:rPr>
                      <w:bCs/>
                      <w:color w:val="auto"/>
                      <w:szCs w:val="21"/>
                    </w:rPr>
                  </w:pPr>
                  <w:r>
                    <w:rPr>
                      <w:bCs/>
                      <w:color w:val="auto"/>
                      <w:szCs w:val="21"/>
                    </w:rPr>
                    <w:t>30~50</w:t>
                  </w:r>
                </w:p>
              </w:tc>
              <w:tc>
                <w:tcPr>
                  <w:tcW w:w="967" w:type="pct"/>
                  <w:tcBorders>
                    <w:top w:val="single" w:color="000000" w:sz="4" w:space="0"/>
                    <w:left w:val="single" w:color="000000" w:sz="4" w:space="0"/>
                    <w:bottom w:val="single" w:color="000000" w:sz="4" w:space="0"/>
                    <w:right w:val="single" w:color="000000" w:sz="4" w:space="0"/>
                  </w:tcBorders>
                </w:tcPr>
                <w:p w14:paraId="47ACC255">
                  <w:pPr>
                    <w:autoSpaceDE w:val="0"/>
                    <w:autoSpaceDN w:val="0"/>
                    <w:adjustRightInd w:val="0"/>
                    <w:snapToGrid w:val="0"/>
                    <w:jc w:val="center"/>
                    <w:rPr>
                      <w:bCs/>
                      <w:color w:val="auto"/>
                      <w:szCs w:val="21"/>
                    </w:rPr>
                  </w:pPr>
                  <w:r>
                    <w:rPr>
                      <w:bCs/>
                      <w:color w:val="auto"/>
                      <w:szCs w:val="21"/>
                    </w:rPr>
                    <w:t>70~80</w:t>
                  </w:r>
                </w:p>
              </w:tc>
              <w:tc>
                <w:tcPr>
                  <w:tcW w:w="836" w:type="pct"/>
                  <w:tcBorders>
                    <w:top w:val="single" w:color="000000" w:sz="4" w:space="0"/>
                    <w:left w:val="single" w:color="000000" w:sz="4" w:space="0"/>
                    <w:bottom w:val="single" w:color="000000" w:sz="4" w:space="0"/>
                    <w:right w:val="single" w:color="000000" w:sz="4" w:space="0"/>
                  </w:tcBorders>
                </w:tcPr>
                <w:p w14:paraId="49A81CB5">
                  <w:pPr>
                    <w:autoSpaceDE w:val="0"/>
                    <w:autoSpaceDN w:val="0"/>
                    <w:adjustRightInd w:val="0"/>
                    <w:snapToGrid w:val="0"/>
                    <w:jc w:val="center"/>
                    <w:rPr>
                      <w:bCs/>
                      <w:color w:val="auto"/>
                      <w:szCs w:val="21"/>
                    </w:rPr>
                  </w:pPr>
                  <w:r>
                    <w:rPr>
                      <w:bCs/>
                      <w:color w:val="auto"/>
                      <w:szCs w:val="21"/>
                    </w:rPr>
                    <w:t>/</w:t>
                  </w:r>
                </w:p>
              </w:tc>
              <w:tc>
                <w:tcPr>
                  <w:tcW w:w="834" w:type="pct"/>
                  <w:tcBorders>
                    <w:top w:val="single" w:color="000000" w:sz="4" w:space="0"/>
                    <w:left w:val="single" w:color="000000" w:sz="4" w:space="0"/>
                    <w:bottom w:val="single" w:color="000000" w:sz="4" w:space="0"/>
                    <w:right w:val="single" w:color="000000" w:sz="4" w:space="0"/>
                  </w:tcBorders>
                </w:tcPr>
                <w:p w14:paraId="51621FD3">
                  <w:pPr>
                    <w:autoSpaceDE w:val="0"/>
                    <w:autoSpaceDN w:val="0"/>
                    <w:adjustRightInd w:val="0"/>
                    <w:snapToGrid w:val="0"/>
                    <w:jc w:val="center"/>
                    <w:rPr>
                      <w:bCs/>
                      <w:color w:val="auto"/>
                      <w:szCs w:val="21"/>
                    </w:rPr>
                  </w:pPr>
                  <w:r>
                    <w:rPr>
                      <w:bCs/>
                      <w:color w:val="auto"/>
                      <w:szCs w:val="21"/>
                    </w:rPr>
                    <w:t>≥50</w:t>
                  </w:r>
                </w:p>
              </w:tc>
            </w:tr>
            <w:tr w14:paraId="12638AAA">
              <w:tblPrEx>
                <w:tblCellMar>
                  <w:top w:w="0" w:type="dxa"/>
                  <w:left w:w="108" w:type="dxa"/>
                  <w:bottom w:w="0" w:type="dxa"/>
                  <w:right w:w="108" w:type="dxa"/>
                </w:tblCellMar>
              </w:tblPrEx>
              <w:trPr>
                <w:trHeight w:val="255" w:hRule="atLeast"/>
              </w:trPr>
              <w:tc>
                <w:tcPr>
                  <w:tcW w:w="680" w:type="pct"/>
                  <w:tcBorders>
                    <w:top w:val="single" w:color="000000" w:sz="4" w:space="0"/>
                    <w:left w:val="single" w:color="000000" w:sz="4" w:space="0"/>
                    <w:bottom w:val="single" w:color="000000" w:sz="4" w:space="0"/>
                    <w:right w:val="single" w:color="000000" w:sz="4" w:space="0"/>
                  </w:tcBorders>
                  <w:vAlign w:val="center"/>
                </w:tcPr>
                <w:p w14:paraId="0ADF6FA4">
                  <w:pPr>
                    <w:autoSpaceDE w:val="0"/>
                    <w:autoSpaceDN w:val="0"/>
                    <w:adjustRightInd w:val="0"/>
                    <w:snapToGrid w:val="0"/>
                    <w:jc w:val="center"/>
                    <w:rPr>
                      <w:bCs/>
                      <w:color w:val="auto"/>
                      <w:szCs w:val="21"/>
                    </w:rPr>
                  </w:pPr>
                  <w:r>
                    <w:rPr>
                      <w:bCs/>
                      <w:color w:val="auto"/>
                      <w:szCs w:val="21"/>
                    </w:rPr>
                    <w:t>色度</w:t>
                  </w:r>
                </w:p>
              </w:tc>
              <w:tc>
                <w:tcPr>
                  <w:tcW w:w="844" w:type="pct"/>
                  <w:tcBorders>
                    <w:top w:val="single" w:color="000000" w:sz="4" w:space="0"/>
                    <w:left w:val="single" w:color="000000" w:sz="4" w:space="0"/>
                    <w:bottom w:val="single" w:color="000000" w:sz="4" w:space="0"/>
                    <w:right w:val="single" w:color="000000" w:sz="4" w:space="0"/>
                  </w:tcBorders>
                </w:tcPr>
                <w:p w14:paraId="38CA97F5">
                  <w:pPr>
                    <w:autoSpaceDE w:val="0"/>
                    <w:autoSpaceDN w:val="0"/>
                    <w:adjustRightInd w:val="0"/>
                    <w:snapToGrid w:val="0"/>
                    <w:jc w:val="center"/>
                    <w:rPr>
                      <w:bCs/>
                      <w:color w:val="auto"/>
                      <w:szCs w:val="21"/>
                    </w:rPr>
                  </w:pPr>
                  <w:r>
                    <w:rPr>
                      <w:bCs/>
                      <w:color w:val="auto"/>
                      <w:szCs w:val="21"/>
                    </w:rPr>
                    <w:t>/</w:t>
                  </w:r>
                </w:p>
              </w:tc>
              <w:tc>
                <w:tcPr>
                  <w:tcW w:w="836" w:type="pct"/>
                  <w:tcBorders>
                    <w:top w:val="single" w:color="000000" w:sz="4" w:space="0"/>
                    <w:left w:val="single" w:color="000000" w:sz="4" w:space="0"/>
                    <w:bottom w:val="single" w:color="000000" w:sz="4" w:space="0"/>
                    <w:right w:val="single" w:color="000000" w:sz="4" w:space="0"/>
                  </w:tcBorders>
                </w:tcPr>
                <w:p w14:paraId="4F346061">
                  <w:pPr>
                    <w:autoSpaceDE w:val="0"/>
                    <w:autoSpaceDN w:val="0"/>
                    <w:adjustRightInd w:val="0"/>
                    <w:snapToGrid w:val="0"/>
                    <w:jc w:val="center"/>
                    <w:rPr>
                      <w:bCs/>
                      <w:color w:val="auto"/>
                      <w:szCs w:val="21"/>
                    </w:rPr>
                  </w:pPr>
                  <w:r>
                    <w:rPr>
                      <w:bCs/>
                      <w:color w:val="auto"/>
                      <w:szCs w:val="21"/>
                    </w:rPr>
                    <w:t>/</w:t>
                  </w:r>
                </w:p>
              </w:tc>
              <w:tc>
                <w:tcPr>
                  <w:tcW w:w="967" w:type="pct"/>
                  <w:tcBorders>
                    <w:top w:val="single" w:color="000000" w:sz="4" w:space="0"/>
                    <w:left w:val="single" w:color="000000" w:sz="4" w:space="0"/>
                    <w:bottom w:val="single" w:color="000000" w:sz="4" w:space="0"/>
                    <w:right w:val="single" w:color="000000" w:sz="4" w:space="0"/>
                  </w:tcBorders>
                  <w:vAlign w:val="center"/>
                </w:tcPr>
                <w:p w14:paraId="276242EE">
                  <w:pPr>
                    <w:autoSpaceDE w:val="0"/>
                    <w:autoSpaceDN w:val="0"/>
                    <w:adjustRightInd w:val="0"/>
                    <w:snapToGrid w:val="0"/>
                    <w:jc w:val="center"/>
                    <w:rPr>
                      <w:bCs/>
                      <w:color w:val="auto"/>
                      <w:szCs w:val="21"/>
                    </w:rPr>
                  </w:pPr>
                  <w:r>
                    <w:rPr>
                      <w:bCs/>
                      <w:color w:val="auto"/>
                      <w:szCs w:val="21"/>
                    </w:rPr>
                    <w:t>70~80</w:t>
                  </w:r>
                </w:p>
              </w:tc>
              <w:tc>
                <w:tcPr>
                  <w:tcW w:w="836" w:type="pct"/>
                  <w:tcBorders>
                    <w:top w:val="single" w:color="000000" w:sz="4" w:space="0"/>
                    <w:left w:val="single" w:color="000000" w:sz="4" w:space="0"/>
                    <w:bottom w:val="single" w:color="000000" w:sz="4" w:space="0"/>
                    <w:right w:val="single" w:color="000000" w:sz="4" w:space="0"/>
                  </w:tcBorders>
                </w:tcPr>
                <w:p w14:paraId="7FAE6831">
                  <w:pPr>
                    <w:autoSpaceDE w:val="0"/>
                    <w:autoSpaceDN w:val="0"/>
                    <w:adjustRightInd w:val="0"/>
                    <w:snapToGrid w:val="0"/>
                    <w:jc w:val="center"/>
                    <w:rPr>
                      <w:bCs/>
                      <w:color w:val="auto"/>
                      <w:szCs w:val="21"/>
                    </w:rPr>
                  </w:pPr>
                  <w:r>
                    <w:rPr>
                      <w:bCs/>
                      <w:color w:val="auto"/>
                      <w:szCs w:val="21"/>
                    </w:rPr>
                    <w:t>/</w:t>
                  </w:r>
                </w:p>
              </w:tc>
              <w:tc>
                <w:tcPr>
                  <w:tcW w:w="834" w:type="pct"/>
                  <w:tcBorders>
                    <w:top w:val="single" w:color="000000" w:sz="4" w:space="0"/>
                    <w:left w:val="single" w:color="000000" w:sz="4" w:space="0"/>
                    <w:bottom w:val="single" w:color="000000" w:sz="4" w:space="0"/>
                    <w:right w:val="single" w:color="000000" w:sz="4" w:space="0"/>
                  </w:tcBorders>
                  <w:vAlign w:val="center"/>
                </w:tcPr>
                <w:p w14:paraId="60E027CB">
                  <w:pPr>
                    <w:autoSpaceDE w:val="0"/>
                    <w:autoSpaceDN w:val="0"/>
                    <w:adjustRightInd w:val="0"/>
                    <w:snapToGrid w:val="0"/>
                    <w:jc w:val="center"/>
                    <w:rPr>
                      <w:bCs/>
                      <w:color w:val="auto"/>
                      <w:szCs w:val="21"/>
                    </w:rPr>
                  </w:pPr>
                  <w:r>
                    <w:rPr>
                      <w:bCs/>
                      <w:color w:val="auto"/>
                      <w:szCs w:val="21"/>
                    </w:rPr>
                    <w:t>≥50</w:t>
                  </w:r>
                </w:p>
              </w:tc>
            </w:tr>
          </w:tbl>
          <w:p w14:paraId="0FCB4F29">
            <w:pPr>
              <w:pStyle w:val="84"/>
              <w:spacing w:before="0" w:beforeLines="0" w:line="360" w:lineRule="auto"/>
              <w:ind w:firstLine="422" w:firstLineChars="175"/>
              <w:jc w:val="left"/>
              <w:rPr>
                <w:color w:val="auto"/>
                <w:sz w:val="24"/>
                <w:szCs w:val="24"/>
              </w:rPr>
            </w:pPr>
            <w:r>
              <w:rPr>
                <w:b/>
                <w:bCs/>
                <w:color w:val="auto"/>
                <w:sz w:val="24"/>
                <w:szCs w:val="24"/>
              </w:rPr>
              <w:t>A/O：</w:t>
            </w:r>
            <w:r>
              <w:rPr>
                <w:color w:val="auto"/>
                <w:sz w:val="24"/>
                <w:szCs w:val="24"/>
              </w:rPr>
              <w:t>根据《厌氧-缺氧-好氧活性污泥法污水处理工程技术规范》(HJ576-2010)“A2/O</w:t>
            </w:r>
            <w:r>
              <w:rPr>
                <w:rFonts w:hint="eastAsia"/>
                <w:color w:val="auto"/>
                <w:sz w:val="24"/>
                <w:szCs w:val="24"/>
              </w:rPr>
              <w:t>（</w:t>
            </w:r>
            <w:r>
              <w:rPr>
                <w:color w:val="auto"/>
                <w:sz w:val="24"/>
                <w:szCs w:val="24"/>
              </w:rPr>
              <w:t>厌氧-缺氧-好氧</w:t>
            </w:r>
            <w:r>
              <w:rPr>
                <w:rFonts w:hint="eastAsia"/>
                <w:color w:val="auto"/>
                <w:sz w:val="24"/>
                <w:szCs w:val="24"/>
              </w:rPr>
              <w:t>）</w:t>
            </w:r>
            <w:r>
              <w:rPr>
                <w:color w:val="auto"/>
                <w:sz w:val="24"/>
                <w:szCs w:val="24"/>
              </w:rPr>
              <w:t>+二沉池”工艺处理工业废水时对污染物的去除率为：COD:70~90%、BOD:70~90%、SS 70-90%、氨氮 80~90%。</w:t>
            </w:r>
          </w:p>
          <w:p w14:paraId="05A8A29A">
            <w:pPr>
              <w:pStyle w:val="84"/>
              <w:spacing w:before="0" w:beforeLines="0" w:line="360" w:lineRule="auto"/>
              <w:ind w:firstLine="422" w:firstLineChars="175"/>
              <w:jc w:val="left"/>
              <w:rPr>
                <w:rFonts w:hint="eastAsia" w:eastAsia="宋体"/>
                <w:color w:val="auto"/>
                <w:sz w:val="24"/>
                <w:lang w:eastAsia="zh-CN"/>
              </w:rPr>
            </w:pPr>
            <w:r>
              <w:rPr>
                <w:rFonts w:hint="eastAsia"/>
                <w:b/>
                <w:bCs/>
                <w:color w:val="auto"/>
                <w:sz w:val="24"/>
              </w:rPr>
              <w:t>好氧膜生物处理技术（MBR）：</w:t>
            </w:r>
            <w:r>
              <w:rPr>
                <w:rFonts w:hint="eastAsia"/>
                <w:color w:val="auto"/>
                <w:sz w:val="24"/>
              </w:rPr>
              <w:t>根据《污染源源强核算技术指南 电镀》，</w:t>
            </w:r>
            <w:r>
              <w:rPr>
                <w:rFonts w:hint="eastAsia"/>
                <w:color w:val="auto"/>
                <w:sz w:val="24"/>
                <w:lang w:val="en-US" w:eastAsia="zh-CN"/>
              </w:rPr>
              <w:t>化学沉淀法处理技术去除效率参考值：总锌、总铁、总铝去除效率≥98%；</w:t>
            </w:r>
            <w:r>
              <w:rPr>
                <w:rFonts w:hint="eastAsia"/>
                <w:color w:val="auto"/>
                <w:sz w:val="24"/>
              </w:rPr>
              <w:t>好氧膜生物处理技术去除效率参考值：当进水COD</w:t>
            </w:r>
            <w:r>
              <w:rPr>
                <w:rFonts w:hint="eastAsia"/>
                <w:color w:val="auto"/>
                <w:sz w:val="24"/>
                <w:vertAlign w:val="subscript"/>
              </w:rPr>
              <w:t>Cr</w:t>
            </w:r>
            <w:r>
              <w:rPr>
                <w:rFonts w:hint="eastAsia"/>
                <w:color w:val="auto"/>
                <w:sz w:val="24"/>
              </w:rPr>
              <w:t>≤500mg/L、BOD</w:t>
            </w:r>
            <w:r>
              <w:rPr>
                <w:rFonts w:hint="eastAsia"/>
                <w:color w:val="auto"/>
                <w:sz w:val="24"/>
                <w:vertAlign w:val="subscript"/>
              </w:rPr>
              <w:t>5</w:t>
            </w:r>
            <w:r>
              <w:rPr>
                <w:rFonts w:hint="eastAsia"/>
                <w:color w:val="auto"/>
                <w:sz w:val="24"/>
              </w:rPr>
              <w:t>≤200mg/L、氨氮≤50mg/L、总磷≤5mg/L、总氮&lt;60mg/L时，COD</w:t>
            </w:r>
            <w:r>
              <w:rPr>
                <w:rFonts w:hint="eastAsia"/>
                <w:color w:val="auto"/>
                <w:sz w:val="24"/>
                <w:vertAlign w:val="subscript"/>
              </w:rPr>
              <w:t>Cr</w:t>
            </w:r>
            <w:r>
              <w:rPr>
                <w:rFonts w:hint="eastAsia"/>
                <w:color w:val="auto"/>
                <w:sz w:val="24"/>
              </w:rPr>
              <w:t>去除率80%~90%，BOD去除率≥90%，氨氨去除率80%~90%，总磷去除率70%~80%，总氮去除率≥70%</w:t>
            </w:r>
            <w:r>
              <w:rPr>
                <w:rFonts w:hint="eastAsia"/>
                <w:color w:val="auto"/>
                <w:sz w:val="24"/>
                <w:lang w:eastAsia="zh-CN"/>
              </w:rPr>
              <w:t>。</w:t>
            </w:r>
          </w:p>
          <w:p w14:paraId="3172A518">
            <w:pPr>
              <w:pStyle w:val="84"/>
              <w:spacing w:before="0" w:beforeLines="0" w:line="360" w:lineRule="auto"/>
              <w:ind w:firstLine="420" w:firstLineChars="175"/>
              <w:jc w:val="left"/>
              <w:rPr>
                <w:color w:val="auto"/>
                <w:sz w:val="24"/>
              </w:rPr>
            </w:pPr>
            <w:r>
              <w:rPr>
                <w:rFonts w:hint="eastAsia"/>
                <w:color w:val="auto"/>
                <w:sz w:val="24"/>
              </w:rPr>
              <w:t>参考《排放源统计调查产排污核算方法和系数手册》中33-37,431-434 机械行业系数手册对COD</w:t>
            </w:r>
            <w:r>
              <w:rPr>
                <w:rFonts w:hint="eastAsia"/>
                <w:color w:val="auto"/>
                <w:sz w:val="24"/>
                <w:vertAlign w:val="subscript"/>
              </w:rPr>
              <w:t>Cr</w:t>
            </w:r>
            <w:r>
              <w:rPr>
                <w:rFonts w:hint="eastAsia"/>
                <w:color w:val="auto"/>
                <w:sz w:val="24"/>
              </w:rPr>
              <w:t>、石油类、总磷、总氮采取不同处理设施的去除效果如</w:t>
            </w:r>
            <w:r>
              <w:rPr>
                <w:rFonts w:hint="eastAsia"/>
                <w:color w:val="auto"/>
                <w:sz w:val="24"/>
                <w:lang w:val="en-US" w:eastAsia="zh-CN"/>
              </w:rPr>
              <w:t>表4-13</w:t>
            </w:r>
            <w:r>
              <w:rPr>
                <w:rFonts w:hint="eastAsia"/>
                <w:color w:val="auto"/>
                <w:sz w:val="24"/>
              </w:rPr>
              <w:t>：</w:t>
            </w:r>
          </w:p>
          <w:p w14:paraId="16345792">
            <w:pPr>
              <w:pStyle w:val="77"/>
              <w:numPr>
                <w:ilvl w:val="0"/>
                <w:numId w:val="18"/>
              </w:numPr>
              <w:adjustRightInd w:val="0"/>
              <w:snapToGrid w:val="0"/>
              <w:jc w:val="center"/>
              <w:rPr>
                <w:color w:val="auto"/>
                <w:szCs w:val="21"/>
              </w:rPr>
            </w:pPr>
            <w:r>
              <w:rPr>
                <w:rFonts w:hint="eastAsia"/>
                <w:b/>
                <w:bCs/>
                <w:color w:val="auto"/>
                <w:szCs w:val="21"/>
              </w:rPr>
              <w:t>项目采用末端治理工艺</w:t>
            </w:r>
            <w:r>
              <w:rPr>
                <w:b/>
                <w:bCs/>
                <w:color w:val="auto"/>
                <w:szCs w:val="21"/>
              </w:rPr>
              <w:t>对污染物的去</w:t>
            </w:r>
            <w:r>
              <w:rPr>
                <w:rFonts w:hint="eastAsia"/>
                <w:b/>
                <w:bCs/>
                <w:color w:val="auto"/>
                <w:szCs w:val="21"/>
              </w:rPr>
              <w:t>除</w:t>
            </w:r>
            <w:r>
              <w:rPr>
                <w:b/>
                <w:bCs/>
                <w:color w:val="auto"/>
                <w:szCs w:val="21"/>
              </w:rPr>
              <w:t>效率一览表</w:t>
            </w:r>
            <w:r>
              <w:rPr>
                <w:rFonts w:hint="eastAsia"/>
                <w:b/>
                <w:bCs/>
                <w:color w:val="auto"/>
                <w:szCs w:val="21"/>
              </w:rPr>
              <w:t>（单位：%）</w:t>
            </w:r>
          </w:p>
          <w:tbl>
            <w:tblPr>
              <w:tblStyle w:val="35"/>
              <w:tblW w:w="4997" w:type="pct"/>
              <w:tblInd w:w="0" w:type="dxa"/>
              <w:tblLayout w:type="fixed"/>
              <w:tblCellMar>
                <w:top w:w="0" w:type="dxa"/>
                <w:left w:w="108" w:type="dxa"/>
                <w:bottom w:w="0" w:type="dxa"/>
                <w:right w:w="108" w:type="dxa"/>
              </w:tblCellMar>
            </w:tblPr>
            <w:tblGrid>
              <w:gridCol w:w="1208"/>
              <w:gridCol w:w="1322"/>
              <w:gridCol w:w="1426"/>
              <w:gridCol w:w="1438"/>
              <w:gridCol w:w="2014"/>
              <w:gridCol w:w="1483"/>
              <w:gridCol w:w="1479"/>
            </w:tblGrid>
            <w:tr w14:paraId="150BAC9D">
              <w:tblPrEx>
                <w:tblCellMar>
                  <w:top w:w="0" w:type="dxa"/>
                  <w:left w:w="108" w:type="dxa"/>
                  <w:bottom w:w="0" w:type="dxa"/>
                  <w:right w:w="108" w:type="dxa"/>
                </w:tblCellMar>
              </w:tblPrEx>
              <w:trPr>
                <w:trHeight w:val="255" w:hRule="atLeast"/>
              </w:trPr>
              <w:tc>
                <w:tcPr>
                  <w:tcW w:w="582" w:type="pct"/>
                  <w:tcBorders>
                    <w:top w:val="single" w:color="000000" w:sz="4" w:space="0"/>
                    <w:left w:val="single" w:color="000000" w:sz="4" w:space="0"/>
                    <w:bottom w:val="single" w:color="000000" w:sz="4" w:space="0"/>
                    <w:right w:val="single" w:color="000000" w:sz="4" w:space="0"/>
                  </w:tcBorders>
                  <w:vAlign w:val="center"/>
                </w:tcPr>
                <w:p w14:paraId="71104B4F">
                  <w:pPr>
                    <w:autoSpaceDE w:val="0"/>
                    <w:autoSpaceDN w:val="0"/>
                    <w:adjustRightInd w:val="0"/>
                    <w:snapToGrid w:val="0"/>
                    <w:jc w:val="center"/>
                    <w:rPr>
                      <w:b/>
                      <w:color w:val="auto"/>
                      <w:szCs w:val="21"/>
                    </w:rPr>
                  </w:pPr>
                  <w:r>
                    <w:rPr>
                      <w:b/>
                      <w:color w:val="auto"/>
                      <w:szCs w:val="21"/>
                    </w:rPr>
                    <w:t>项 目</w:t>
                  </w:r>
                </w:p>
              </w:tc>
              <w:tc>
                <w:tcPr>
                  <w:tcW w:w="637" w:type="pct"/>
                  <w:tcBorders>
                    <w:top w:val="single" w:color="000000" w:sz="4" w:space="0"/>
                    <w:left w:val="single" w:color="000000" w:sz="4" w:space="0"/>
                    <w:bottom w:val="single" w:color="000000" w:sz="4" w:space="0"/>
                    <w:right w:val="single" w:color="000000" w:sz="4" w:space="0"/>
                  </w:tcBorders>
                  <w:vAlign w:val="center"/>
                </w:tcPr>
                <w:p w14:paraId="19261CA6">
                  <w:pPr>
                    <w:autoSpaceDE w:val="0"/>
                    <w:autoSpaceDN w:val="0"/>
                    <w:adjustRightInd w:val="0"/>
                    <w:snapToGrid w:val="0"/>
                    <w:jc w:val="center"/>
                    <w:rPr>
                      <w:b/>
                      <w:color w:val="auto"/>
                      <w:szCs w:val="21"/>
                    </w:rPr>
                  </w:pPr>
                  <w:r>
                    <w:rPr>
                      <w:rFonts w:hint="eastAsia"/>
                      <w:b/>
                      <w:color w:val="auto"/>
                      <w:szCs w:val="21"/>
                    </w:rPr>
                    <w:t>上浮处理</w:t>
                  </w:r>
                </w:p>
              </w:tc>
              <w:tc>
                <w:tcPr>
                  <w:tcW w:w="687" w:type="pct"/>
                  <w:tcBorders>
                    <w:top w:val="single" w:color="000000" w:sz="4" w:space="0"/>
                    <w:left w:val="single" w:color="000000" w:sz="4" w:space="0"/>
                    <w:bottom w:val="single" w:color="000000" w:sz="4" w:space="0"/>
                    <w:right w:val="single" w:color="000000" w:sz="4" w:space="0"/>
                  </w:tcBorders>
                  <w:vAlign w:val="center"/>
                </w:tcPr>
                <w:p w14:paraId="6625C506">
                  <w:pPr>
                    <w:autoSpaceDE w:val="0"/>
                    <w:autoSpaceDN w:val="0"/>
                    <w:adjustRightInd w:val="0"/>
                    <w:snapToGrid w:val="0"/>
                    <w:jc w:val="center"/>
                    <w:rPr>
                      <w:b/>
                      <w:color w:val="auto"/>
                      <w:szCs w:val="21"/>
                    </w:rPr>
                  </w:pPr>
                  <w:r>
                    <w:rPr>
                      <w:rFonts w:hint="eastAsia"/>
                      <w:b/>
                      <w:color w:val="auto"/>
                      <w:szCs w:val="21"/>
                    </w:rPr>
                    <w:t>化学混凝法</w:t>
                  </w:r>
                </w:p>
              </w:tc>
              <w:tc>
                <w:tcPr>
                  <w:tcW w:w="693" w:type="pct"/>
                  <w:tcBorders>
                    <w:top w:val="single" w:color="000000" w:sz="4" w:space="0"/>
                    <w:left w:val="single" w:color="000000" w:sz="4" w:space="0"/>
                    <w:bottom w:val="single" w:color="000000" w:sz="4" w:space="0"/>
                    <w:right w:val="single" w:color="000000" w:sz="4" w:space="0"/>
                  </w:tcBorders>
                  <w:vAlign w:val="center"/>
                </w:tcPr>
                <w:p w14:paraId="52046446">
                  <w:pPr>
                    <w:autoSpaceDE w:val="0"/>
                    <w:autoSpaceDN w:val="0"/>
                    <w:adjustRightInd w:val="0"/>
                    <w:snapToGrid w:val="0"/>
                    <w:jc w:val="center"/>
                    <w:rPr>
                      <w:b/>
                      <w:color w:val="auto"/>
                      <w:szCs w:val="21"/>
                    </w:rPr>
                  </w:pPr>
                  <w:r>
                    <w:rPr>
                      <w:rFonts w:hint="eastAsia"/>
                      <w:b/>
                      <w:color w:val="auto"/>
                      <w:szCs w:val="21"/>
                    </w:rPr>
                    <w:t>厌氧水解类</w:t>
                  </w:r>
                </w:p>
              </w:tc>
              <w:tc>
                <w:tcPr>
                  <w:tcW w:w="970" w:type="pct"/>
                  <w:tcBorders>
                    <w:top w:val="single" w:color="000000" w:sz="4" w:space="0"/>
                    <w:left w:val="single" w:color="000000" w:sz="4" w:space="0"/>
                    <w:bottom w:val="single" w:color="000000" w:sz="4" w:space="0"/>
                    <w:right w:val="single" w:color="000000" w:sz="4" w:space="0"/>
                  </w:tcBorders>
                  <w:vAlign w:val="center"/>
                </w:tcPr>
                <w:p w14:paraId="0D87BD41">
                  <w:pPr>
                    <w:autoSpaceDE w:val="0"/>
                    <w:autoSpaceDN w:val="0"/>
                    <w:adjustRightInd w:val="0"/>
                    <w:snapToGrid w:val="0"/>
                    <w:jc w:val="center"/>
                    <w:rPr>
                      <w:b/>
                      <w:color w:val="auto"/>
                      <w:szCs w:val="21"/>
                    </w:rPr>
                  </w:pPr>
                  <w:r>
                    <w:rPr>
                      <w:rFonts w:hint="eastAsia"/>
                      <w:b/>
                      <w:color w:val="auto"/>
                      <w:szCs w:val="21"/>
                    </w:rPr>
                    <w:t>生物接触氧化法</w:t>
                  </w:r>
                </w:p>
              </w:tc>
              <w:tc>
                <w:tcPr>
                  <w:tcW w:w="715" w:type="pct"/>
                  <w:tcBorders>
                    <w:top w:val="single" w:color="000000" w:sz="4" w:space="0"/>
                    <w:left w:val="single" w:color="000000" w:sz="4" w:space="0"/>
                    <w:bottom w:val="single" w:color="000000" w:sz="4" w:space="0"/>
                    <w:right w:val="single" w:color="000000" w:sz="4" w:space="0"/>
                  </w:tcBorders>
                  <w:vAlign w:val="center"/>
                </w:tcPr>
                <w:p w14:paraId="2B7428B4">
                  <w:pPr>
                    <w:autoSpaceDE w:val="0"/>
                    <w:autoSpaceDN w:val="0"/>
                    <w:adjustRightInd w:val="0"/>
                    <w:snapToGrid w:val="0"/>
                    <w:jc w:val="center"/>
                    <w:rPr>
                      <w:b/>
                      <w:color w:val="auto"/>
                      <w:szCs w:val="21"/>
                    </w:rPr>
                  </w:pPr>
                  <w:r>
                    <w:rPr>
                      <w:rFonts w:hint="eastAsia"/>
                      <w:b/>
                      <w:color w:val="auto"/>
                      <w:szCs w:val="21"/>
                    </w:rPr>
                    <w:t>MBR类</w:t>
                  </w:r>
                </w:p>
              </w:tc>
              <w:tc>
                <w:tcPr>
                  <w:tcW w:w="713" w:type="pct"/>
                  <w:tcBorders>
                    <w:top w:val="single" w:color="000000" w:sz="4" w:space="0"/>
                    <w:left w:val="single" w:color="000000" w:sz="4" w:space="0"/>
                    <w:bottom w:val="single" w:color="000000" w:sz="4" w:space="0"/>
                    <w:right w:val="single" w:color="000000" w:sz="4" w:space="0"/>
                  </w:tcBorders>
                  <w:vAlign w:val="center"/>
                </w:tcPr>
                <w:p w14:paraId="224A3CD0">
                  <w:pPr>
                    <w:autoSpaceDE w:val="0"/>
                    <w:autoSpaceDN w:val="0"/>
                    <w:adjustRightInd w:val="0"/>
                    <w:snapToGrid w:val="0"/>
                    <w:jc w:val="center"/>
                    <w:rPr>
                      <w:b/>
                      <w:color w:val="auto"/>
                      <w:szCs w:val="21"/>
                    </w:rPr>
                  </w:pPr>
                  <w:r>
                    <w:rPr>
                      <w:rFonts w:hint="eastAsia"/>
                      <w:b/>
                      <w:color w:val="auto"/>
                      <w:szCs w:val="21"/>
                    </w:rPr>
                    <w:t>膜分离</w:t>
                  </w:r>
                </w:p>
              </w:tc>
            </w:tr>
            <w:tr w14:paraId="3F973C49">
              <w:tblPrEx>
                <w:tblCellMar>
                  <w:top w:w="0" w:type="dxa"/>
                  <w:left w:w="108" w:type="dxa"/>
                  <w:bottom w:w="0" w:type="dxa"/>
                  <w:right w:w="108" w:type="dxa"/>
                </w:tblCellMar>
              </w:tblPrEx>
              <w:trPr>
                <w:trHeight w:val="260" w:hRule="atLeast"/>
              </w:trPr>
              <w:tc>
                <w:tcPr>
                  <w:tcW w:w="582" w:type="pct"/>
                  <w:tcBorders>
                    <w:top w:val="single" w:color="000000" w:sz="4" w:space="0"/>
                    <w:left w:val="single" w:color="000000" w:sz="4" w:space="0"/>
                    <w:bottom w:val="single" w:color="000000" w:sz="4" w:space="0"/>
                    <w:right w:val="single" w:color="000000" w:sz="4" w:space="0"/>
                  </w:tcBorders>
                  <w:vAlign w:val="center"/>
                </w:tcPr>
                <w:p w14:paraId="7BE9CD96">
                  <w:pPr>
                    <w:autoSpaceDE w:val="0"/>
                    <w:autoSpaceDN w:val="0"/>
                    <w:adjustRightInd w:val="0"/>
                    <w:snapToGrid w:val="0"/>
                    <w:jc w:val="center"/>
                    <w:rPr>
                      <w:bCs/>
                      <w:color w:val="auto"/>
                      <w:szCs w:val="21"/>
                    </w:rPr>
                  </w:pPr>
                  <w:r>
                    <w:rPr>
                      <w:bCs/>
                      <w:color w:val="auto"/>
                      <w:szCs w:val="21"/>
                    </w:rPr>
                    <w:t>COD</w:t>
                  </w:r>
                  <w:r>
                    <w:rPr>
                      <w:rFonts w:hint="eastAsia"/>
                      <w:bCs/>
                      <w:color w:val="auto"/>
                      <w:szCs w:val="21"/>
                      <w:vertAlign w:val="subscript"/>
                    </w:rPr>
                    <w:t>C</w:t>
                  </w:r>
                  <w:r>
                    <w:rPr>
                      <w:bCs/>
                      <w:color w:val="auto"/>
                      <w:szCs w:val="21"/>
                      <w:vertAlign w:val="subscript"/>
                    </w:rPr>
                    <w:t>r</w:t>
                  </w:r>
                </w:p>
              </w:tc>
              <w:tc>
                <w:tcPr>
                  <w:tcW w:w="637" w:type="pct"/>
                  <w:tcBorders>
                    <w:top w:val="single" w:color="000000" w:sz="4" w:space="0"/>
                    <w:left w:val="single" w:color="000000" w:sz="4" w:space="0"/>
                    <w:bottom w:val="single" w:color="000000" w:sz="4" w:space="0"/>
                    <w:right w:val="single" w:color="000000" w:sz="4" w:space="0"/>
                  </w:tcBorders>
                </w:tcPr>
                <w:p w14:paraId="5380E96E">
                  <w:pPr>
                    <w:autoSpaceDE w:val="0"/>
                    <w:autoSpaceDN w:val="0"/>
                    <w:adjustRightInd w:val="0"/>
                    <w:snapToGrid w:val="0"/>
                    <w:jc w:val="center"/>
                    <w:rPr>
                      <w:bCs/>
                      <w:color w:val="auto"/>
                      <w:szCs w:val="21"/>
                    </w:rPr>
                  </w:pPr>
                  <w:r>
                    <w:rPr>
                      <w:rFonts w:hint="eastAsia"/>
                      <w:bCs/>
                      <w:color w:val="auto"/>
                      <w:szCs w:val="21"/>
                    </w:rPr>
                    <w:t>/</w:t>
                  </w:r>
                </w:p>
              </w:tc>
              <w:tc>
                <w:tcPr>
                  <w:tcW w:w="687" w:type="pct"/>
                  <w:tcBorders>
                    <w:top w:val="single" w:color="000000" w:sz="4" w:space="0"/>
                    <w:left w:val="single" w:color="000000" w:sz="4" w:space="0"/>
                    <w:bottom w:val="single" w:color="000000" w:sz="4" w:space="0"/>
                    <w:right w:val="single" w:color="000000" w:sz="4" w:space="0"/>
                  </w:tcBorders>
                </w:tcPr>
                <w:p w14:paraId="1387F735">
                  <w:pPr>
                    <w:autoSpaceDE w:val="0"/>
                    <w:autoSpaceDN w:val="0"/>
                    <w:adjustRightInd w:val="0"/>
                    <w:snapToGrid w:val="0"/>
                    <w:jc w:val="center"/>
                    <w:rPr>
                      <w:bCs/>
                      <w:color w:val="auto"/>
                      <w:szCs w:val="21"/>
                    </w:rPr>
                  </w:pPr>
                  <w:r>
                    <w:rPr>
                      <w:rFonts w:hint="eastAsia"/>
                      <w:bCs/>
                      <w:color w:val="auto"/>
                      <w:szCs w:val="21"/>
                    </w:rPr>
                    <w:t>40</w:t>
                  </w:r>
                </w:p>
              </w:tc>
              <w:tc>
                <w:tcPr>
                  <w:tcW w:w="693" w:type="pct"/>
                  <w:tcBorders>
                    <w:top w:val="single" w:color="000000" w:sz="4" w:space="0"/>
                    <w:left w:val="single" w:color="000000" w:sz="4" w:space="0"/>
                    <w:bottom w:val="single" w:color="000000" w:sz="4" w:space="0"/>
                    <w:right w:val="single" w:color="000000" w:sz="4" w:space="0"/>
                  </w:tcBorders>
                </w:tcPr>
                <w:p w14:paraId="6223625A">
                  <w:pPr>
                    <w:autoSpaceDE w:val="0"/>
                    <w:autoSpaceDN w:val="0"/>
                    <w:adjustRightInd w:val="0"/>
                    <w:snapToGrid w:val="0"/>
                    <w:jc w:val="center"/>
                    <w:rPr>
                      <w:bCs/>
                      <w:color w:val="auto"/>
                      <w:szCs w:val="21"/>
                    </w:rPr>
                  </w:pPr>
                  <w:r>
                    <w:rPr>
                      <w:rFonts w:hint="eastAsia"/>
                      <w:bCs/>
                      <w:color w:val="auto"/>
                      <w:szCs w:val="21"/>
                    </w:rPr>
                    <w:t>35</w:t>
                  </w:r>
                </w:p>
              </w:tc>
              <w:tc>
                <w:tcPr>
                  <w:tcW w:w="970" w:type="pct"/>
                  <w:tcBorders>
                    <w:top w:val="single" w:color="000000" w:sz="4" w:space="0"/>
                    <w:left w:val="single" w:color="000000" w:sz="4" w:space="0"/>
                    <w:bottom w:val="single" w:color="000000" w:sz="4" w:space="0"/>
                    <w:right w:val="single" w:color="000000" w:sz="4" w:space="0"/>
                  </w:tcBorders>
                </w:tcPr>
                <w:p w14:paraId="0280F615">
                  <w:pPr>
                    <w:autoSpaceDE w:val="0"/>
                    <w:autoSpaceDN w:val="0"/>
                    <w:adjustRightInd w:val="0"/>
                    <w:snapToGrid w:val="0"/>
                    <w:jc w:val="center"/>
                    <w:rPr>
                      <w:bCs/>
                      <w:color w:val="auto"/>
                      <w:szCs w:val="21"/>
                    </w:rPr>
                  </w:pPr>
                  <w:r>
                    <w:rPr>
                      <w:rFonts w:hint="eastAsia"/>
                      <w:bCs/>
                      <w:color w:val="auto"/>
                      <w:szCs w:val="21"/>
                    </w:rPr>
                    <w:t>70</w:t>
                  </w:r>
                </w:p>
              </w:tc>
              <w:tc>
                <w:tcPr>
                  <w:tcW w:w="715" w:type="pct"/>
                  <w:tcBorders>
                    <w:top w:val="single" w:color="000000" w:sz="4" w:space="0"/>
                    <w:left w:val="single" w:color="000000" w:sz="4" w:space="0"/>
                    <w:bottom w:val="single" w:color="000000" w:sz="4" w:space="0"/>
                    <w:right w:val="single" w:color="000000" w:sz="4" w:space="0"/>
                  </w:tcBorders>
                </w:tcPr>
                <w:p w14:paraId="286D3FDF">
                  <w:pPr>
                    <w:autoSpaceDE w:val="0"/>
                    <w:autoSpaceDN w:val="0"/>
                    <w:adjustRightInd w:val="0"/>
                    <w:snapToGrid w:val="0"/>
                    <w:jc w:val="center"/>
                    <w:rPr>
                      <w:bCs/>
                      <w:color w:val="auto"/>
                      <w:szCs w:val="21"/>
                    </w:rPr>
                  </w:pPr>
                  <w:r>
                    <w:rPr>
                      <w:rFonts w:hint="eastAsia"/>
                      <w:bCs/>
                      <w:color w:val="auto"/>
                      <w:szCs w:val="21"/>
                    </w:rPr>
                    <w:t>70</w:t>
                  </w:r>
                </w:p>
              </w:tc>
              <w:tc>
                <w:tcPr>
                  <w:tcW w:w="713" w:type="pct"/>
                  <w:tcBorders>
                    <w:top w:val="single" w:color="000000" w:sz="4" w:space="0"/>
                    <w:left w:val="single" w:color="000000" w:sz="4" w:space="0"/>
                    <w:bottom w:val="single" w:color="000000" w:sz="4" w:space="0"/>
                    <w:right w:val="single" w:color="000000" w:sz="4" w:space="0"/>
                  </w:tcBorders>
                </w:tcPr>
                <w:p w14:paraId="0238295B">
                  <w:pPr>
                    <w:autoSpaceDE w:val="0"/>
                    <w:autoSpaceDN w:val="0"/>
                    <w:adjustRightInd w:val="0"/>
                    <w:snapToGrid w:val="0"/>
                    <w:jc w:val="center"/>
                    <w:rPr>
                      <w:bCs/>
                      <w:color w:val="auto"/>
                      <w:szCs w:val="21"/>
                    </w:rPr>
                  </w:pPr>
                  <w:r>
                    <w:rPr>
                      <w:rFonts w:hint="eastAsia"/>
                      <w:bCs/>
                      <w:color w:val="auto"/>
                      <w:szCs w:val="21"/>
                    </w:rPr>
                    <w:t>40</w:t>
                  </w:r>
                </w:p>
              </w:tc>
            </w:tr>
            <w:tr w14:paraId="4BCDA0DF">
              <w:tblPrEx>
                <w:tblCellMar>
                  <w:top w:w="0" w:type="dxa"/>
                  <w:left w:w="108" w:type="dxa"/>
                  <w:bottom w:w="0" w:type="dxa"/>
                  <w:right w:w="108" w:type="dxa"/>
                </w:tblCellMar>
              </w:tblPrEx>
              <w:trPr>
                <w:trHeight w:val="250" w:hRule="atLeast"/>
              </w:trPr>
              <w:tc>
                <w:tcPr>
                  <w:tcW w:w="582" w:type="pct"/>
                  <w:tcBorders>
                    <w:top w:val="single" w:color="000000" w:sz="4" w:space="0"/>
                    <w:left w:val="single" w:color="000000" w:sz="4" w:space="0"/>
                    <w:bottom w:val="single" w:color="000000" w:sz="4" w:space="0"/>
                    <w:right w:val="single" w:color="000000" w:sz="4" w:space="0"/>
                  </w:tcBorders>
                  <w:vAlign w:val="center"/>
                </w:tcPr>
                <w:p w14:paraId="27F08727">
                  <w:pPr>
                    <w:autoSpaceDE w:val="0"/>
                    <w:autoSpaceDN w:val="0"/>
                    <w:adjustRightInd w:val="0"/>
                    <w:snapToGrid w:val="0"/>
                    <w:jc w:val="center"/>
                    <w:rPr>
                      <w:bCs/>
                      <w:color w:val="auto"/>
                      <w:szCs w:val="21"/>
                    </w:rPr>
                  </w:pPr>
                  <w:r>
                    <w:rPr>
                      <w:rFonts w:hint="eastAsia"/>
                      <w:bCs/>
                      <w:color w:val="auto"/>
                      <w:szCs w:val="21"/>
                    </w:rPr>
                    <w:t>石油类</w:t>
                  </w:r>
                </w:p>
              </w:tc>
              <w:tc>
                <w:tcPr>
                  <w:tcW w:w="637" w:type="pct"/>
                  <w:tcBorders>
                    <w:top w:val="single" w:color="000000" w:sz="4" w:space="0"/>
                    <w:left w:val="single" w:color="000000" w:sz="4" w:space="0"/>
                    <w:bottom w:val="single" w:color="000000" w:sz="4" w:space="0"/>
                    <w:right w:val="single" w:color="000000" w:sz="4" w:space="0"/>
                  </w:tcBorders>
                </w:tcPr>
                <w:p w14:paraId="517DAA59">
                  <w:pPr>
                    <w:autoSpaceDE w:val="0"/>
                    <w:autoSpaceDN w:val="0"/>
                    <w:adjustRightInd w:val="0"/>
                    <w:snapToGrid w:val="0"/>
                    <w:jc w:val="center"/>
                    <w:rPr>
                      <w:bCs/>
                      <w:color w:val="auto"/>
                      <w:szCs w:val="21"/>
                    </w:rPr>
                  </w:pPr>
                  <w:r>
                    <w:rPr>
                      <w:rFonts w:hint="eastAsia"/>
                      <w:bCs/>
                      <w:color w:val="auto"/>
                      <w:szCs w:val="21"/>
                    </w:rPr>
                    <w:t>40</w:t>
                  </w:r>
                </w:p>
              </w:tc>
              <w:tc>
                <w:tcPr>
                  <w:tcW w:w="687" w:type="pct"/>
                  <w:tcBorders>
                    <w:top w:val="single" w:color="000000" w:sz="4" w:space="0"/>
                    <w:left w:val="single" w:color="000000" w:sz="4" w:space="0"/>
                    <w:bottom w:val="single" w:color="000000" w:sz="4" w:space="0"/>
                    <w:right w:val="single" w:color="000000" w:sz="4" w:space="0"/>
                  </w:tcBorders>
                </w:tcPr>
                <w:p w14:paraId="5CFD0799">
                  <w:pPr>
                    <w:autoSpaceDE w:val="0"/>
                    <w:autoSpaceDN w:val="0"/>
                    <w:adjustRightInd w:val="0"/>
                    <w:snapToGrid w:val="0"/>
                    <w:jc w:val="center"/>
                    <w:rPr>
                      <w:bCs/>
                      <w:color w:val="auto"/>
                      <w:szCs w:val="21"/>
                    </w:rPr>
                  </w:pPr>
                  <w:r>
                    <w:rPr>
                      <w:rFonts w:hint="eastAsia"/>
                      <w:bCs/>
                      <w:color w:val="auto"/>
                      <w:szCs w:val="21"/>
                    </w:rPr>
                    <w:t>50</w:t>
                  </w:r>
                </w:p>
              </w:tc>
              <w:tc>
                <w:tcPr>
                  <w:tcW w:w="693" w:type="pct"/>
                  <w:tcBorders>
                    <w:top w:val="single" w:color="000000" w:sz="4" w:space="0"/>
                    <w:left w:val="single" w:color="000000" w:sz="4" w:space="0"/>
                    <w:bottom w:val="single" w:color="000000" w:sz="4" w:space="0"/>
                    <w:right w:val="single" w:color="000000" w:sz="4" w:space="0"/>
                  </w:tcBorders>
                </w:tcPr>
                <w:p w14:paraId="72196EAB">
                  <w:pPr>
                    <w:autoSpaceDE w:val="0"/>
                    <w:autoSpaceDN w:val="0"/>
                    <w:adjustRightInd w:val="0"/>
                    <w:snapToGrid w:val="0"/>
                    <w:jc w:val="center"/>
                    <w:rPr>
                      <w:bCs/>
                      <w:color w:val="auto"/>
                      <w:szCs w:val="21"/>
                    </w:rPr>
                  </w:pPr>
                  <w:r>
                    <w:rPr>
                      <w:rFonts w:hint="eastAsia"/>
                      <w:bCs/>
                      <w:color w:val="auto"/>
                      <w:szCs w:val="21"/>
                    </w:rPr>
                    <w:t>35</w:t>
                  </w:r>
                </w:p>
              </w:tc>
              <w:tc>
                <w:tcPr>
                  <w:tcW w:w="970" w:type="pct"/>
                  <w:tcBorders>
                    <w:top w:val="single" w:color="000000" w:sz="4" w:space="0"/>
                    <w:left w:val="single" w:color="000000" w:sz="4" w:space="0"/>
                    <w:bottom w:val="single" w:color="000000" w:sz="4" w:space="0"/>
                    <w:right w:val="single" w:color="000000" w:sz="4" w:space="0"/>
                  </w:tcBorders>
                  <w:vAlign w:val="center"/>
                </w:tcPr>
                <w:p w14:paraId="54B77A26">
                  <w:pPr>
                    <w:autoSpaceDE w:val="0"/>
                    <w:autoSpaceDN w:val="0"/>
                    <w:adjustRightInd w:val="0"/>
                    <w:snapToGrid w:val="0"/>
                    <w:jc w:val="center"/>
                    <w:rPr>
                      <w:bCs/>
                      <w:color w:val="auto"/>
                      <w:szCs w:val="21"/>
                    </w:rPr>
                  </w:pPr>
                  <w:r>
                    <w:rPr>
                      <w:rFonts w:hint="eastAsia"/>
                      <w:bCs/>
                      <w:color w:val="auto"/>
                      <w:szCs w:val="21"/>
                    </w:rPr>
                    <w:t>70</w:t>
                  </w:r>
                </w:p>
              </w:tc>
              <w:tc>
                <w:tcPr>
                  <w:tcW w:w="715" w:type="pct"/>
                  <w:tcBorders>
                    <w:top w:val="single" w:color="000000" w:sz="4" w:space="0"/>
                    <w:left w:val="single" w:color="000000" w:sz="4" w:space="0"/>
                    <w:bottom w:val="single" w:color="000000" w:sz="4" w:space="0"/>
                    <w:right w:val="single" w:color="000000" w:sz="4" w:space="0"/>
                  </w:tcBorders>
                </w:tcPr>
                <w:p w14:paraId="1DD5F087">
                  <w:pPr>
                    <w:autoSpaceDE w:val="0"/>
                    <w:autoSpaceDN w:val="0"/>
                    <w:adjustRightInd w:val="0"/>
                    <w:snapToGrid w:val="0"/>
                    <w:jc w:val="center"/>
                    <w:rPr>
                      <w:bCs/>
                      <w:color w:val="auto"/>
                      <w:szCs w:val="21"/>
                    </w:rPr>
                  </w:pPr>
                  <w:r>
                    <w:rPr>
                      <w:rFonts w:hint="eastAsia"/>
                      <w:bCs/>
                      <w:color w:val="auto"/>
                      <w:szCs w:val="21"/>
                    </w:rPr>
                    <w:t>70</w:t>
                  </w:r>
                </w:p>
              </w:tc>
              <w:tc>
                <w:tcPr>
                  <w:tcW w:w="713" w:type="pct"/>
                  <w:tcBorders>
                    <w:top w:val="single" w:color="000000" w:sz="4" w:space="0"/>
                    <w:left w:val="single" w:color="000000" w:sz="4" w:space="0"/>
                    <w:bottom w:val="single" w:color="000000" w:sz="4" w:space="0"/>
                    <w:right w:val="single" w:color="000000" w:sz="4" w:space="0"/>
                  </w:tcBorders>
                </w:tcPr>
                <w:p w14:paraId="33793406">
                  <w:pPr>
                    <w:autoSpaceDE w:val="0"/>
                    <w:autoSpaceDN w:val="0"/>
                    <w:adjustRightInd w:val="0"/>
                    <w:snapToGrid w:val="0"/>
                    <w:jc w:val="center"/>
                    <w:rPr>
                      <w:bCs/>
                      <w:color w:val="auto"/>
                      <w:szCs w:val="21"/>
                    </w:rPr>
                  </w:pPr>
                  <w:r>
                    <w:rPr>
                      <w:rFonts w:hint="eastAsia"/>
                      <w:bCs/>
                      <w:color w:val="auto"/>
                      <w:szCs w:val="21"/>
                    </w:rPr>
                    <w:t>90</w:t>
                  </w:r>
                </w:p>
              </w:tc>
            </w:tr>
            <w:tr w14:paraId="3E454FEE">
              <w:tblPrEx>
                <w:tblCellMar>
                  <w:top w:w="0" w:type="dxa"/>
                  <w:left w:w="108" w:type="dxa"/>
                  <w:bottom w:w="0" w:type="dxa"/>
                  <w:right w:w="108" w:type="dxa"/>
                </w:tblCellMar>
              </w:tblPrEx>
              <w:trPr>
                <w:trHeight w:val="260" w:hRule="atLeast"/>
              </w:trPr>
              <w:tc>
                <w:tcPr>
                  <w:tcW w:w="582" w:type="pct"/>
                  <w:tcBorders>
                    <w:top w:val="single" w:color="000000" w:sz="4" w:space="0"/>
                    <w:left w:val="single" w:color="000000" w:sz="4" w:space="0"/>
                    <w:bottom w:val="single" w:color="000000" w:sz="4" w:space="0"/>
                    <w:right w:val="single" w:color="000000" w:sz="4" w:space="0"/>
                  </w:tcBorders>
                  <w:vAlign w:val="center"/>
                </w:tcPr>
                <w:p w14:paraId="2AA16AEC">
                  <w:pPr>
                    <w:autoSpaceDE w:val="0"/>
                    <w:autoSpaceDN w:val="0"/>
                    <w:adjustRightInd w:val="0"/>
                    <w:snapToGrid w:val="0"/>
                    <w:jc w:val="center"/>
                    <w:rPr>
                      <w:bCs/>
                      <w:color w:val="auto"/>
                      <w:szCs w:val="21"/>
                    </w:rPr>
                  </w:pPr>
                  <w:r>
                    <w:rPr>
                      <w:rFonts w:hint="eastAsia"/>
                      <w:bCs/>
                      <w:color w:val="auto"/>
                      <w:szCs w:val="21"/>
                    </w:rPr>
                    <w:t>TP</w:t>
                  </w:r>
                </w:p>
              </w:tc>
              <w:tc>
                <w:tcPr>
                  <w:tcW w:w="637" w:type="pct"/>
                  <w:tcBorders>
                    <w:top w:val="single" w:color="000000" w:sz="4" w:space="0"/>
                    <w:left w:val="single" w:color="000000" w:sz="4" w:space="0"/>
                    <w:bottom w:val="single" w:color="000000" w:sz="4" w:space="0"/>
                    <w:right w:val="single" w:color="000000" w:sz="4" w:space="0"/>
                  </w:tcBorders>
                </w:tcPr>
                <w:p w14:paraId="0D8FA665">
                  <w:pPr>
                    <w:autoSpaceDE w:val="0"/>
                    <w:autoSpaceDN w:val="0"/>
                    <w:adjustRightInd w:val="0"/>
                    <w:snapToGrid w:val="0"/>
                    <w:jc w:val="center"/>
                    <w:rPr>
                      <w:bCs/>
                      <w:color w:val="auto"/>
                      <w:szCs w:val="21"/>
                    </w:rPr>
                  </w:pPr>
                  <w:r>
                    <w:rPr>
                      <w:rFonts w:hint="eastAsia"/>
                      <w:bCs/>
                      <w:color w:val="auto"/>
                      <w:szCs w:val="21"/>
                    </w:rPr>
                    <w:t>/</w:t>
                  </w:r>
                </w:p>
              </w:tc>
              <w:tc>
                <w:tcPr>
                  <w:tcW w:w="687" w:type="pct"/>
                  <w:tcBorders>
                    <w:top w:val="single" w:color="000000" w:sz="4" w:space="0"/>
                    <w:left w:val="single" w:color="000000" w:sz="4" w:space="0"/>
                    <w:bottom w:val="single" w:color="000000" w:sz="4" w:space="0"/>
                    <w:right w:val="single" w:color="000000" w:sz="4" w:space="0"/>
                  </w:tcBorders>
                </w:tcPr>
                <w:p w14:paraId="5AEF2F2E">
                  <w:pPr>
                    <w:autoSpaceDE w:val="0"/>
                    <w:autoSpaceDN w:val="0"/>
                    <w:adjustRightInd w:val="0"/>
                    <w:snapToGrid w:val="0"/>
                    <w:jc w:val="center"/>
                    <w:rPr>
                      <w:bCs/>
                      <w:color w:val="auto"/>
                      <w:szCs w:val="21"/>
                    </w:rPr>
                  </w:pPr>
                  <w:r>
                    <w:rPr>
                      <w:rFonts w:hint="eastAsia"/>
                      <w:bCs/>
                      <w:color w:val="auto"/>
                      <w:szCs w:val="21"/>
                    </w:rPr>
                    <w:t>85</w:t>
                  </w:r>
                </w:p>
              </w:tc>
              <w:tc>
                <w:tcPr>
                  <w:tcW w:w="693" w:type="pct"/>
                  <w:tcBorders>
                    <w:top w:val="single" w:color="000000" w:sz="4" w:space="0"/>
                    <w:left w:val="single" w:color="000000" w:sz="4" w:space="0"/>
                    <w:bottom w:val="single" w:color="000000" w:sz="4" w:space="0"/>
                    <w:right w:val="single" w:color="000000" w:sz="4" w:space="0"/>
                  </w:tcBorders>
                </w:tcPr>
                <w:p w14:paraId="24F1E449">
                  <w:pPr>
                    <w:autoSpaceDE w:val="0"/>
                    <w:autoSpaceDN w:val="0"/>
                    <w:adjustRightInd w:val="0"/>
                    <w:snapToGrid w:val="0"/>
                    <w:jc w:val="center"/>
                    <w:rPr>
                      <w:bCs/>
                      <w:color w:val="auto"/>
                      <w:szCs w:val="21"/>
                    </w:rPr>
                  </w:pPr>
                  <w:r>
                    <w:rPr>
                      <w:rFonts w:hint="eastAsia"/>
                      <w:bCs/>
                      <w:color w:val="auto"/>
                      <w:szCs w:val="21"/>
                    </w:rPr>
                    <w:t>/</w:t>
                  </w:r>
                </w:p>
              </w:tc>
              <w:tc>
                <w:tcPr>
                  <w:tcW w:w="970" w:type="pct"/>
                  <w:tcBorders>
                    <w:top w:val="single" w:color="000000" w:sz="4" w:space="0"/>
                    <w:left w:val="single" w:color="000000" w:sz="4" w:space="0"/>
                    <w:bottom w:val="single" w:color="000000" w:sz="4" w:space="0"/>
                    <w:right w:val="single" w:color="000000" w:sz="4" w:space="0"/>
                  </w:tcBorders>
                </w:tcPr>
                <w:p w14:paraId="6ECF7F8F">
                  <w:pPr>
                    <w:autoSpaceDE w:val="0"/>
                    <w:autoSpaceDN w:val="0"/>
                    <w:adjustRightInd w:val="0"/>
                    <w:snapToGrid w:val="0"/>
                    <w:jc w:val="center"/>
                    <w:rPr>
                      <w:bCs/>
                      <w:color w:val="auto"/>
                      <w:szCs w:val="21"/>
                    </w:rPr>
                  </w:pPr>
                  <w:r>
                    <w:rPr>
                      <w:rFonts w:hint="eastAsia"/>
                      <w:bCs/>
                      <w:color w:val="auto"/>
                      <w:szCs w:val="21"/>
                    </w:rPr>
                    <w:t>40</w:t>
                  </w:r>
                </w:p>
              </w:tc>
              <w:tc>
                <w:tcPr>
                  <w:tcW w:w="715" w:type="pct"/>
                  <w:tcBorders>
                    <w:top w:val="single" w:color="000000" w:sz="4" w:space="0"/>
                    <w:left w:val="single" w:color="000000" w:sz="4" w:space="0"/>
                    <w:bottom w:val="single" w:color="000000" w:sz="4" w:space="0"/>
                    <w:right w:val="single" w:color="000000" w:sz="4" w:space="0"/>
                  </w:tcBorders>
                </w:tcPr>
                <w:p w14:paraId="295D9640">
                  <w:pPr>
                    <w:autoSpaceDE w:val="0"/>
                    <w:autoSpaceDN w:val="0"/>
                    <w:adjustRightInd w:val="0"/>
                    <w:snapToGrid w:val="0"/>
                    <w:jc w:val="center"/>
                    <w:rPr>
                      <w:bCs/>
                      <w:color w:val="auto"/>
                      <w:szCs w:val="21"/>
                    </w:rPr>
                  </w:pPr>
                  <w:r>
                    <w:rPr>
                      <w:rFonts w:hint="eastAsia"/>
                      <w:bCs/>
                      <w:color w:val="auto"/>
                      <w:szCs w:val="21"/>
                    </w:rPr>
                    <w:t>40</w:t>
                  </w:r>
                </w:p>
              </w:tc>
              <w:tc>
                <w:tcPr>
                  <w:tcW w:w="713" w:type="pct"/>
                  <w:tcBorders>
                    <w:top w:val="single" w:color="000000" w:sz="4" w:space="0"/>
                    <w:left w:val="single" w:color="000000" w:sz="4" w:space="0"/>
                    <w:bottom w:val="single" w:color="000000" w:sz="4" w:space="0"/>
                    <w:right w:val="single" w:color="000000" w:sz="4" w:space="0"/>
                  </w:tcBorders>
                </w:tcPr>
                <w:p w14:paraId="0659CE20">
                  <w:pPr>
                    <w:autoSpaceDE w:val="0"/>
                    <w:autoSpaceDN w:val="0"/>
                    <w:adjustRightInd w:val="0"/>
                    <w:snapToGrid w:val="0"/>
                    <w:jc w:val="center"/>
                    <w:rPr>
                      <w:bCs/>
                      <w:color w:val="auto"/>
                      <w:szCs w:val="21"/>
                    </w:rPr>
                  </w:pPr>
                  <w:r>
                    <w:rPr>
                      <w:rFonts w:hint="eastAsia"/>
                      <w:bCs/>
                      <w:color w:val="auto"/>
                      <w:szCs w:val="21"/>
                    </w:rPr>
                    <w:t>90</w:t>
                  </w:r>
                </w:p>
              </w:tc>
            </w:tr>
            <w:tr w14:paraId="427349BA">
              <w:tblPrEx>
                <w:tblCellMar>
                  <w:top w:w="0" w:type="dxa"/>
                  <w:left w:w="108" w:type="dxa"/>
                  <w:bottom w:w="0" w:type="dxa"/>
                  <w:right w:w="108" w:type="dxa"/>
                </w:tblCellMar>
              </w:tblPrEx>
              <w:trPr>
                <w:trHeight w:val="270" w:hRule="atLeast"/>
              </w:trPr>
              <w:tc>
                <w:tcPr>
                  <w:tcW w:w="582" w:type="pct"/>
                  <w:tcBorders>
                    <w:top w:val="single" w:color="000000" w:sz="4" w:space="0"/>
                    <w:left w:val="single" w:color="000000" w:sz="4" w:space="0"/>
                    <w:bottom w:val="single" w:color="000000" w:sz="4" w:space="0"/>
                    <w:right w:val="single" w:color="000000" w:sz="4" w:space="0"/>
                  </w:tcBorders>
                  <w:vAlign w:val="center"/>
                </w:tcPr>
                <w:p w14:paraId="0418410B">
                  <w:pPr>
                    <w:autoSpaceDE w:val="0"/>
                    <w:autoSpaceDN w:val="0"/>
                    <w:adjustRightInd w:val="0"/>
                    <w:snapToGrid w:val="0"/>
                    <w:jc w:val="center"/>
                    <w:rPr>
                      <w:bCs/>
                      <w:color w:val="auto"/>
                      <w:szCs w:val="21"/>
                    </w:rPr>
                  </w:pPr>
                  <w:r>
                    <w:rPr>
                      <w:rFonts w:hint="eastAsia"/>
                      <w:bCs/>
                      <w:color w:val="auto"/>
                      <w:szCs w:val="21"/>
                    </w:rPr>
                    <w:t>TN</w:t>
                  </w:r>
                </w:p>
              </w:tc>
              <w:tc>
                <w:tcPr>
                  <w:tcW w:w="637" w:type="pct"/>
                  <w:tcBorders>
                    <w:top w:val="single" w:color="000000" w:sz="4" w:space="0"/>
                    <w:left w:val="single" w:color="000000" w:sz="4" w:space="0"/>
                    <w:bottom w:val="single" w:color="000000" w:sz="4" w:space="0"/>
                    <w:right w:val="single" w:color="000000" w:sz="4" w:space="0"/>
                  </w:tcBorders>
                </w:tcPr>
                <w:p w14:paraId="318405D5">
                  <w:pPr>
                    <w:autoSpaceDE w:val="0"/>
                    <w:autoSpaceDN w:val="0"/>
                    <w:adjustRightInd w:val="0"/>
                    <w:snapToGrid w:val="0"/>
                    <w:jc w:val="center"/>
                    <w:rPr>
                      <w:bCs/>
                      <w:color w:val="auto"/>
                      <w:szCs w:val="21"/>
                    </w:rPr>
                  </w:pPr>
                </w:p>
              </w:tc>
              <w:tc>
                <w:tcPr>
                  <w:tcW w:w="687" w:type="pct"/>
                  <w:tcBorders>
                    <w:top w:val="single" w:color="000000" w:sz="4" w:space="0"/>
                    <w:left w:val="single" w:color="000000" w:sz="4" w:space="0"/>
                    <w:bottom w:val="single" w:color="000000" w:sz="4" w:space="0"/>
                    <w:right w:val="single" w:color="000000" w:sz="4" w:space="0"/>
                  </w:tcBorders>
                </w:tcPr>
                <w:p w14:paraId="30E0971E">
                  <w:pPr>
                    <w:autoSpaceDE w:val="0"/>
                    <w:autoSpaceDN w:val="0"/>
                    <w:adjustRightInd w:val="0"/>
                    <w:snapToGrid w:val="0"/>
                    <w:jc w:val="center"/>
                    <w:rPr>
                      <w:bCs/>
                      <w:color w:val="auto"/>
                      <w:szCs w:val="21"/>
                    </w:rPr>
                  </w:pPr>
                  <w:r>
                    <w:rPr>
                      <w:bCs/>
                      <w:color w:val="auto"/>
                      <w:szCs w:val="21"/>
                    </w:rPr>
                    <w:t>/</w:t>
                  </w:r>
                </w:p>
              </w:tc>
              <w:tc>
                <w:tcPr>
                  <w:tcW w:w="693" w:type="pct"/>
                  <w:tcBorders>
                    <w:top w:val="single" w:color="000000" w:sz="4" w:space="0"/>
                    <w:left w:val="single" w:color="000000" w:sz="4" w:space="0"/>
                    <w:bottom w:val="single" w:color="000000" w:sz="4" w:space="0"/>
                    <w:right w:val="single" w:color="000000" w:sz="4" w:space="0"/>
                  </w:tcBorders>
                </w:tcPr>
                <w:p w14:paraId="33123277">
                  <w:pPr>
                    <w:autoSpaceDE w:val="0"/>
                    <w:autoSpaceDN w:val="0"/>
                    <w:adjustRightInd w:val="0"/>
                    <w:snapToGrid w:val="0"/>
                    <w:jc w:val="center"/>
                    <w:rPr>
                      <w:bCs/>
                      <w:color w:val="auto"/>
                      <w:szCs w:val="21"/>
                    </w:rPr>
                  </w:pPr>
                  <w:r>
                    <w:rPr>
                      <w:bCs/>
                      <w:color w:val="auto"/>
                      <w:szCs w:val="21"/>
                    </w:rPr>
                    <w:t>/</w:t>
                  </w:r>
                </w:p>
              </w:tc>
              <w:tc>
                <w:tcPr>
                  <w:tcW w:w="970" w:type="pct"/>
                  <w:tcBorders>
                    <w:top w:val="single" w:color="000000" w:sz="4" w:space="0"/>
                    <w:left w:val="single" w:color="000000" w:sz="4" w:space="0"/>
                    <w:bottom w:val="single" w:color="000000" w:sz="4" w:space="0"/>
                    <w:right w:val="single" w:color="000000" w:sz="4" w:space="0"/>
                  </w:tcBorders>
                  <w:vAlign w:val="center"/>
                </w:tcPr>
                <w:p w14:paraId="5C26CD87">
                  <w:pPr>
                    <w:autoSpaceDE w:val="0"/>
                    <w:autoSpaceDN w:val="0"/>
                    <w:adjustRightInd w:val="0"/>
                    <w:snapToGrid w:val="0"/>
                    <w:jc w:val="center"/>
                    <w:rPr>
                      <w:bCs/>
                      <w:color w:val="auto"/>
                      <w:szCs w:val="21"/>
                    </w:rPr>
                  </w:pPr>
                  <w:r>
                    <w:rPr>
                      <w:rFonts w:hint="eastAsia"/>
                      <w:bCs/>
                      <w:color w:val="auto"/>
                      <w:szCs w:val="21"/>
                    </w:rPr>
                    <w:t>70</w:t>
                  </w:r>
                </w:p>
              </w:tc>
              <w:tc>
                <w:tcPr>
                  <w:tcW w:w="715" w:type="pct"/>
                  <w:tcBorders>
                    <w:top w:val="single" w:color="000000" w:sz="4" w:space="0"/>
                    <w:left w:val="single" w:color="000000" w:sz="4" w:space="0"/>
                    <w:bottom w:val="single" w:color="000000" w:sz="4" w:space="0"/>
                    <w:right w:val="single" w:color="000000" w:sz="4" w:space="0"/>
                  </w:tcBorders>
                  <w:vAlign w:val="center"/>
                </w:tcPr>
                <w:p w14:paraId="57A7AD20">
                  <w:pPr>
                    <w:autoSpaceDE w:val="0"/>
                    <w:autoSpaceDN w:val="0"/>
                    <w:adjustRightInd w:val="0"/>
                    <w:snapToGrid w:val="0"/>
                    <w:jc w:val="center"/>
                    <w:rPr>
                      <w:bCs/>
                      <w:color w:val="auto"/>
                      <w:szCs w:val="21"/>
                    </w:rPr>
                  </w:pPr>
                  <w:r>
                    <w:rPr>
                      <w:rFonts w:hint="eastAsia"/>
                      <w:bCs/>
                      <w:color w:val="auto"/>
                      <w:szCs w:val="21"/>
                    </w:rPr>
                    <w:t>70</w:t>
                  </w:r>
                </w:p>
              </w:tc>
              <w:tc>
                <w:tcPr>
                  <w:tcW w:w="713" w:type="pct"/>
                  <w:tcBorders>
                    <w:top w:val="single" w:color="000000" w:sz="4" w:space="0"/>
                    <w:left w:val="single" w:color="000000" w:sz="4" w:space="0"/>
                    <w:bottom w:val="single" w:color="000000" w:sz="4" w:space="0"/>
                    <w:right w:val="single" w:color="000000" w:sz="4" w:space="0"/>
                  </w:tcBorders>
                  <w:vAlign w:val="center"/>
                </w:tcPr>
                <w:p w14:paraId="56A992D8">
                  <w:pPr>
                    <w:autoSpaceDE w:val="0"/>
                    <w:autoSpaceDN w:val="0"/>
                    <w:adjustRightInd w:val="0"/>
                    <w:snapToGrid w:val="0"/>
                    <w:jc w:val="center"/>
                    <w:rPr>
                      <w:bCs/>
                      <w:color w:val="auto"/>
                      <w:szCs w:val="21"/>
                    </w:rPr>
                  </w:pPr>
                  <w:r>
                    <w:rPr>
                      <w:rFonts w:hint="eastAsia"/>
                      <w:bCs/>
                      <w:color w:val="auto"/>
                      <w:szCs w:val="21"/>
                    </w:rPr>
                    <w:t>40</w:t>
                  </w:r>
                </w:p>
              </w:tc>
            </w:tr>
          </w:tbl>
          <w:p w14:paraId="5BE03591">
            <w:pPr>
              <w:pStyle w:val="84"/>
              <w:spacing w:before="0" w:beforeLines="0" w:line="360" w:lineRule="auto"/>
              <w:ind w:firstLine="422" w:firstLineChars="175"/>
              <w:jc w:val="left"/>
              <w:rPr>
                <w:b/>
                <w:bCs/>
                <w:color w:val="auto"/>
                <w:sz w:val="24"/>
                <w:szCs w:val="24"/>
              </w:rPr>
            </w:pPr>
            <w:r>
              <w:rPr>
                <w:rFonts w:hint="eastAsia"/>
                <w:b/>
                <w:bCs/>
                <w:color w:val="auto"/>
                <w:sz w:val="24"/>
                <w:szCs w:val="24"/>
              </w:rPr>
              <w:t>②实际</w:t>
            </w:r>
            <w:r>
              <w:rPr>
                <w:b/>
                <w:bCs/>
                <w:color w:val="auto"/>
                <w:sz w:val="24"/>
                <w:szCs w:val="24"/>
              </w:rPr>
              <w:t>工程案例</w:t>
            </w:r>
          </w:p>
          <w:p w14:paraId="4373E314">
            <w:pPr>
              <w:pStyle w:val="84"/>
              <w:spacing w:before="0" w:beforeLines="0" w:line="360" w:lineRule="auto"/>
              <w:ind w:firstLine="420" w:firstLineChars="175"/>
              <w:jc w:val="left"/>
              <w:rPr>
                <w:color w:val="auto"/>
                <w:sz w:val="24"/>
              </w:rPr>
            </w:pPr>
            <w:r>
              <w:rPr>
                <w:color w:val="auto"/>
                <w:sz w:val="24"/>
              </w:rPr>
              <w:t>绵阳市建诚电子有限公司东莞分公司迁扩建项目于 2016 年 6 月获得原东莞市环境保护局审批（东环建[2016]0698 号），于 2017 年 7 月通过原东莞市环境保护局验收（东环建[2017]7496 号）。该项目设置磷化生产线，废水处理工艺为除磷预处理一水解酸化一生物接触氧化一混凝反应一沉淀过滤一砂滤一炭滤一精密过滤一反渗透 RO 系统一纳滤 NF 系统，根据绵阳市建诚电子有限公司东莞分公司迁扩建项目验收监测报告（DCHJ20170519001），废水经过处理后可以满足《城市污水再生利用 工业用水水质》（GB/T19923-2005）回用水标准。</w:t>
            </w:r>
          </w:p>
          <w:p w14:paraId="4FDB4337">
            <w:pPr>
              <w:pStyle w:val="84"/>
              <w:spacing w:before="0" w:beforeLines="0" w:line="360" w:lineRule="auto"/>
              <w:ind w:firstLine="420" w:firstLineChars="175"/>
              <w:jc w:val="left"/>
              <w:rPr>
                <w:color w:val="auto"/>
                <w:sz w:val="24"/>
              </w:rPr>
            </w:pPr>
            <w:r>
              <w:rPr>
                <w:color w:val="auto"/>
                <w:sz w:val="24"/>
              </w:rPr>
              <w:t>参照《东莞市黄江镇正扬电子尿素箱总成生产研发迁改扩项目环境影响评价报告表》（批文文号：东环建[2023]6421号）的工程案例，清洗废水经“混凝气浮机+pH 调节池+混凝池+絮凝池+斜管沉淀池+水解酸化池+缺氧池+接触氧化池+MBR 膜池+RO 系统” 处理后，其中80% 处理后达到《城市污水再生利用工业用水水质》（GB/T19923-2005）中洗涤用水标准回用于测漏、清洗工序、水喷淋装置及碱液喷淋塔。</w:t>
            </w:r>
          </w:p>
          <w:p w14:paraId="29AE83BA">
            <w:pPr>
              <w:pStyle w:val="84"/>
              <w:spacing w:before="0" w:beforeLines="0" w:line="360" w:lineRule="auto"/>
              <w:ind w:firstLine="420" w:firstLineChars="175"/>
              <w:jc w:val="left"/>
              <w:rPr>
                <w:color w:val="auto"/>
                <w:sz w:val="24"/>
              </w:rPr>
            </w:pPr>
            <w:r>
              <w:rPr>
                <w:color w:val="auto"/>
                <w:sz w:val="24"/>
              </w:rPr>
              <w:t>本项目采用“</w:t>
            </w:r>
            <w:r>
              <w:rPr>
                <w:color w:val="auto"/>
                <w:kern w:val="0"/>
                <w:sz w:val="24"/>
                <w:lang w:bidi="ar"/>
              </w:rPr>
              <w:t>调节+</w:t>
            </w:r>
            <w:r>
              <w:rPr>
                <w:rFonts w:hint="eastAsia"/>
                <w:color w:val="auto"/>
                <w:kern w:val="0"/>
                <w:sz w:val="24"/>
                <w:lang w:bidi="ar"/>
              </w:rPr>
              <w:t>隔油池+</w:t>
            </w:r>
            <w:r>
              <w:rPr>
                <w:color w:val="auto"/>
                <w:kern w:val="0"/>
                <w:sz w:val="24"/>
                <w:lang w:bidi="ar"/>
              </w:rPr>
              <w:t>混凝沉淀+水解酸化+缺氧+接触氧化+MBR+砂滤+碳滤+精密过滤+</w:t>
            </w:r>
            <w:r>
              <w:rPr>
                <w:rFonts w:hint="eastAsia"/>
                <w:color w:val="auto"/>
                <w:kern w:val="0"/>
                <w:sz w:val="24"/>
                <w:lang w:bidi="ar"/>
              </w:rPr>
              <w:t>超滤+RO系统</w:t>
            </w:r>
            <w:r>
              <w:rPr>
                <w:color w:val="auto"/>
                <w:sz w:val="24"/>
              </w:rPr>
              <w:t>”工艺，与上述废水处理工艺相近，因此本项目采用的废水处理工艺有效。</w:t>
            </w:r>
          </w:p>
          <w:p w14:paraId="27003BE1">
            <w:pPr>
              <w:pStyle w:val="84"/>
              <w:spacing w:before="0" w:beforeLines="0" w:line="360" w:lineRule="auto"/>
              <w:ind w:firstLine="422" w:firstLineChars="175"/>
              <w:jc w:val="left"/>
              <w:rPr>
                <w:b/>
                <w:bCs/>
                <w:color w:val="auto"/>
                <w:sz w:val="24"/>
                <w:szCs w:val="24"/>
              </w:rPr>
            </w:pPr>
            <w:r>
              <w:rPr>
                <w:rFonts w:hint="eastAsia" w:ascii="宋体" w:hAnsi="宋体" w:cs="宋体"/>
                <w:b/>
                <w:bCs/>
                <w:color w:val="auto"/>
                <w:sz w:val="24"/>
                <w:szCs w:val="24"/>
              </w:rPr>
              <w:t>③</w:t>
            </w:r>
            <w:r>
              <w:rPr>
                <w:b/>
                <w:bCs/>
                <w:color w:val="auto"/>
                <w:sz w:val="24"/>
                <w:szCs w:val="24"/>
              </w:rPr>
              <w:t>水质可达性分析</w:t>
            </w:r>
          </w:p>
          <w:p w14:paraId="4F060140">
            <w:pPr>
              <w:pStyle w:val="84"/>
              <w:spacing w:before="0" w:beforeLines="0" w:line="360" w:lineRule="auto"/>
              <w:ind w:firstLine="420" w:firstLineChars="175"/>
              <w:jc w:val="left"/>
              <w:rPr>
                <w:color w:val="auto"/>
                <w:sz w:val="24"/>
                <w:szCs w:val="24"/>
              </w:rPr>
            </w:pPr>
            <w:r>
              <w:rPr>
                <w:color w:val="auto"/>
                <w:sz w:val="24"/>
                <w:szCs w:val="24"/>
              </w:rPr>
              <w:t>根据废水处理站设计资料，以及相关废水处理案例和技术规范，对项目废水处理站各单元进行分级效率分析，各阶段废水污染物处理效率如下表。</w:t>
            </w:r>
          </w:p>
          <w:p w14:paraId="346ADE46">
            <w:pPr>
              <w:pStyle w:val="77"/>
              <w:numPr>
                <w:ilvl w:val="0"/>
                <w:numId w:val="18"/>
              </w:numPr>
              <w:adjustRightInd w:val="0"/>
              <w:snapToGrid w:val="0"/>
              <w:jc w:val="center"/>
              <w:rPr>
                <w:b/>
                <w:bCs/>
                <w:color w:val="auto"/>
              </w:rPr>
            </w:pPr>
            <w:r>
              <w:rPr>
                <w:b/>
                <w:bCs/>
                <w:color w:val="auto"/>
              </w:rPr>
              <w:t>废水处理效率一览表  单位mg/L，pH为无量纲</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602"/>
              <w:gridCol w:w="985"/>
              <w:gridCol w:w="917"/>
              <w:gridCol w:w="732"/>
              <w:gridCol w:w="751"/>
              <w:gridCol w:w="893"/>
              <w:gridCol w:w="675"/>
              <w:gridCol w:w="642"/>
              <w:gridCol w:w="666"/>
              <w:gridCol w:w="667"/>
              <w:gridCol w:w="751"/>
            </w:tblGrid>
            <w:tr w14:paraId="069D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Merge w:val="restart"/>
                  <w:vAlign w:val="center"/>
                </w:tcPr>
                <w:p w14:paraId="02DDFE19">
                  <w:pPr>
                    <w:autoSpaceDE w:val="0"/>
                    <w:autoSpaceDN w:val="0"/>
                    <w:adjustRightInd w:val="0"/>
                    <w:snapToGrid w:val="0"/>
                    <w:jc w:val="center"/>
                    <w:rPr>
                      <w:b/>
                      <w:color w:val="auto"/>
                      <w:szCs w:val="21"/>
                    </w:rPr>
                  </w:pPr>
                  <w:r>
                    <w:rPr>
                      <w:b/>
                      <w:color w:val="auto"/>
                      <w:szCs w:val="21"/>
                    </w:rPr>
                    <w:t>废水处理单元</w:t>
                  </w:r>
                </w:p>
              </w:tc>
              <w:tc>
                <w:tcPr>
                  <w:tcW w:w="3993" w:type="pct"/>
                  <w:gridSpan w:val="11"/>
                  <w:vAlign w:val="center"/>
                </w:tcPr>
                <w:p w14:paraId="1969B051">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处理效率（%）</w:t>
                  </w:r>
                </w:p>
              </w:tc>
            </w:tr>
            <w:tr w14:paraId="61B7D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Merge w:val="continue"/>
                  <w:vAlign w:val="center"/>
                </w:tcPr>
                <w:p w14:paraId="72879F2E">
                  <w:pPr>
                    <w:autoSpaceDE w:val="0"/>
                    <w:autoSpaceDN w:val="0"/>
                    <w:adjustRightInd w:val="0"/>
                    <w:snapToGrid w:val="0"/>
                    <w:jc w:val="center"/>
                    <w:rPr>
                      <w:b/>
                      <w:color w:val="auto"/>
                      <w:szCs w:val="21"/>
                    </w:rPr>
                  </w:pPr>
                </w:p>
              </w:tc>
              <w:tc>
                <w:tcPr>
                  <w:tcW w:w="290" w:type="pct"/>
                  <w:vAlign w:val="center"/>
                </w:tcPr>
                <w:p w14:paraId="57F29062">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pH</w:t>
                  </w:r>
                </w:p>
              </w:tc>
              <w:tc>
                <w:tcPr>
                  <w:tcW w:w="475" w:type="pct"/>
                  <w:vAlign w:val="center"/>
                </w:tcPr>
                <w:p w14:paraId="0F99F65E">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kern w:val="2"/>
                      <w:sz w:val="21"/>
                      <w:szCs w:val="21"/>
                    </w:rPr>
                    <w:t>COD</w:t>
                  </w:r>
                  <w:r>
                    <w:rPr>
                      <w:rFonts w:eastAsia="宋体"/>
                      <w:bCs w:val="0"/>
                      <w:color w:val="auto"/>
                      <w:kern w:val="2"/>
                      <w:sz w:val="21"/>
                      <w:szCs w:val="21"/>
                      <w:vertAlign w:val="subscript"/>
                    </w:rPr>
                    <w:t>Cr</w:t>
                  </w:r>
                </w:p>
              </w:tc>
              <w:tc>
                <w:tcPr>
                  <w:tcW w:w="442" w:type="pct"/>
                  <w:vAlign w:val="center"/>
                </w:tcPr>
                <w:p w14:paraId="208D23CE">
                  <w:pPr>
                    <w:pStyle w:val="3"/>
                    <w:adjustRightInd w:val="0"/>
                    <w:spacing w:before="0" w:after="0" w:line="240" w:lineRule="auto"/>
                    <w:ind w:left="0" w:firstLine="0"/>
                    <w:jc w:val="center"/>
                    <w:rPr>
                      <w:rFonts w:eastAsia="宋体"/>
                      <w:bCs w:val="0"/>
                      <w:color w:val="auto"/>
                      <w:sz w:val="21"/>
                      <w:szCs w:val="21"/>
                    </w:rPr>
                  </w:pPr>
                  <w:r>
                    <w:rPr>
                      <w:rFonts w:eastAsia="宋体"/>
                      <w:color w:val="auto"/>
                      <w:kern w:val="2"/>
                      <w:sz w:val="21"/>
                      <w:szCs w:val="21"/>
                    </w:rPr>
                    <w:t>BOD</w:t>
                  </w:r>
                  <w:r>
                    <w:rPr>
                      <w:rFonts w:eastAsia="宋体"/>
                      <w:color w:val="auto"/>
                      <w:kern w:val="2"/>
                      <w:sz w:val="21"/>
                      <w:szCs w:val="21"/>
                      <w:vertAlign w:val="subscript"/>
                    </w:rPr>
                    <w:t>5</w:t>
                  </w:r>
                </w:p>
              </w:tc>
              <w:tc>
                <w:tcPr>
                  <w:tcW w:w="353" w:type="pct"/>
                  <w:vAlign w:val="center"/>
                </w:tcPr>
                <w:p w14:paraId="61A35D64">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SS</w:t>
                  </w:r>
                </w:p>
              </w:tc>
              <w:tc>
                <w:tcPr>
                  <w:tcW w:w="362" w:type="pct"/>
                  <w:vAlign w:val="center"/>
                </w:tcPr>
                <w:p w14:paraId="5342B113">
                  <w:pPr>
                    <w:pStyle w:val="3"/>
                    <w:adjustRightInd w:val="0"/>
                    <w:spacing w:before="0" w:after="0" w:line="240" w:lineRule="auto"/>
                    <w:ind w:left="0" w:firstLine="0"/>
                    <w:jc w:val="center"/>
                    <w:rPr>
                      <w:rFonts w:eastAsia="宋体"/>
                      <w:color w:val="auto"/>
                      <w:sz w:val="21"/>
                      <w:szCs w:val="21"/>
                    </w:rPr>
                  </w:pPr>
                  <w:r>
                    <w:rPr>
                      <w:rFonts w:eastAsia="宋体"/>
                      <w:color w:val="auto"/>
                      <w:sz w:val="21"/>
                      <w:szCs w:val="21"/>
                    </w:rPr>
                    <w:t>氨氮</w:t>
                  </w:r>
                </w:p>
              </w:tc>
              <w:tc>
                <w:tcPr>
                  <w:tcW w:w="430" w:type="pct"/>
                  <w:vAlign w:val="center"/>
                </w:tcPr>
                <w:p w14:paraId="40900762">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石油类</w:t>
                  </w:r>
                </w:p>
              </w:tc>
              <w:tc>
                <w:tcPr>
                  <w:tcW w:w="325" w:type="pct"/>
                  <w:vAlign w:val="center"/>
                </w:tcPr>
                <w:p w14:paraId="70782080">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总磷</w:t>
                  </w:r>
                </w:p>
              </w:tc>
              <w:tc>
                <w:tcPr>
                  <w:tcW w:w="309" w:type="pct"/>
                  <w:vAlign w:val="center"/>
                </w:tcPr>
                <w:p w14:paraId="4B83CFE7">
                  <w:pPr>
                    <w:pStyle w:val="3"/>
                    <w:adjustRightInd w:val="0"/>
                    <w:spacing w:before="0" w:after="0" w:line="240" w:lineRule="auto"/>
                    <w:ind w:left="0" w:firstLine="0"/>
                    <w:jc w:val="center"/>
                    <w:rPr>
                      <w:rFonts w:eastAsia="宋体"/>
                      <w:bCs w:val="0"/>
                      <w:color w:val="auto"/>
                      <w:sz w:val="21"/>
                      <w:szCs w:val="21"/>
                    </w:rPr>
                  </w:pPr>
                  <w:r>
                    <w:rPr>
                      <w:rFonts w:hint="eastAsia" w:eastAsia="宋体"/>
                      <w:bCs w:val="0"/>
                      <w:color w:val="auto"/>
                      <w:sz w:val="21"/>
                      <w:szCs w:val="21"/>
                    </w:rPr>
                    <w:t>总氮</w:t>
                  </w:r>
                </w:p>
              </w:tc>
              <w:tc>
                <w:tcPr>
                  <w:tcW w:w="321" w:type="pct"/>
                  <w:vAlign w:val="center"/>
                </w:tcPr>
                <w:p w14:paraId="1ACB9F12">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总锌</w:t>
                  </w:r>
                </w:p>
              </w:tc>
              <w:tc>
                <w:tcPr>
                  <w:tcW w:w="321" w:type="pct"/>
                  <w:vAlign w:val="center"/>
                </w:tcPr>
                <w:p w14:paraId="10A23A54">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总铁</w:t>
                  </w:r>
                </w:p>
              </w:tc>
              <w:tc>
                <w:tcPr>
                  <w:tcW w:w="362" w:type="pct"/>
                  <w:vAlign w:val="center"/>
                </w:tcPr>
                <w:p w14:paraId="5ABD7CA6">
                  <w:pPr>
                    <w:pStyle w:val="3"/>
                    <w:adjustRightInd w:val="0"/>
                    <w:spacing w:before="0" w:after="0" w:line="240" w:lineRule="auto"/>
                    <w:ind w:left="0" w:firstLine="0"/>
                    <w:jc w:val="center"/>
                    <w:rPr>
                      <w:rFonts w:hint="eastAsia" w:eastAsia="宋体"/>
                      <w:bCs w:val="0"/>
                      <w:color w:val="auto"/>
                      <w:sz w:val="21"/>
                      <w:szCs w:val="21"/>
                      <w:lang w:val="en-US" w:eastAsia="zh-CN"/>
                    </w:rPr>
                  </w:pPr>
                  <w:r>
                    <w:rPr>
                      <w:rFonts w:hint="eastAsia" w:eastAsia="宋体"/>
                      <w:bCs w:val="0"/>
                      <w:color w:val="auto"/>
                      <w:sz w:val="21"/>
                      <w:szCs w:val="21"/>
                      <w:lang w:val="en-US" w:eastAsia="zh-CN"/>
                    </w:rPr>
                    <w:t>总铝</w:t>
                  </w:r>
                </w:p>
              </w:tc>
            </w:tr>
            <w:tr w14:paraId="49768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4CF441C2">
                  <w:pPr>
                    <w:autoSpaceDE w:val="0"/>
                    <w:autoSpaceDN w:val="0"/>
                    <w:adjustRightInd w:val="0"/>
                    <w:snapToGrid w:val="0"/>
                    <w:jc w:val="center"/>
                    <w:rPr>
                      <w:rFonts w:hint="eastAsia" w:eastAsia="宋体"/>
                      <w:bCs/>
                      <w:color w:val="auto"/>
                      <w:szCs w:val="21"/>
                      <w:lang w:eastAsia="zh-CN"/>
                    </w:rPr>
                  </w:pPr>
                  <w:r>
                    <w:rPr>
                      <w:bCs/>
                      <w:color w:val="auto"/>
                      <w:szCs w:val="21"/>
                    </w:rPr>
                    <w:t>隔油</w:t>
                  </w:r>
                  <w:r>
                    <w:rPr>
                      <w:rFonts w:hint="eastAsia"/>
                      <w:bCs/>
                      <w:color w:val="auto"/>
                      <w:szCs w:val="21"/>
                      <w:lang w:eastAsia="zh-CN"/>
                    </w:rPr>
                    <w:t>（</w:t>
                  </w:r>
                  <w:r>
                    <w:rPr>
                      <w:rFonts w:hint="eastAsia"/>
                      <w:bCs/>
                      <w:color w:val="auto"/>
                      <w:szCs w:val="21"/>
                      <w:lang w:val="en-US" w:eastAsia="zh-CN"/>
                    </w:rPr>
                    <w:t>上浮处理</w:t>
                  </w:r>
                  <w:r>
                    <w:rPr>
                      <w:rFonts w:hint="eastAsia"/>
                      <w:bCs/>
                      <w:color w:val="auto"/>
                      <w:szCs w:val="21"/>
                      <w:lang w:eastAsia="zh-CN"/>
                    </w:rPr>
                    <w:t>）</w:t>
                  </w:r>
                </w:p>
              </w:tc>
              <w:tc>
                <w:tcPr>
                  <w:tcW w:w="290" w:type="pct"/>
                  <w:vAlign w:val="center"/>
                </w:tcPr>
                <w:p w14:paraId="518B8784">
                  <w:pPr>
                    <w:keepNext/>
                    <w:overflowPunct w:val="0"/>
                    <w:adjustRightInd w:val="0"/>
                    <w:snapToGrid w:val="0"/>
                    <w:jc w:val="center"/>
                    <w:outlineLvl w:val="0"/>
                    <w:rPr>
                      <w:bCs/>
                      <w:color w:val="auto"/>
                      <w:szCs w:val="21"/>
                    </w:rPr>
                  </w:pPr>
                  <w:r>
                    <w:rPr>
                      <w:bCs/>
                      <w:color w:val="auto"/>
                      <w:kern w:val="44"/>
                      <w:szCs w:val="21"/>
                    </w:rPr>
                    <w:t>/</w:t>
                  </w:r>
                </w:p>
              </w:tc>
              <w:tc>
                <w:tcPr>
                  <w:tcW w:w="475" w:type="pct"/>
                  <w:vAlign w:val="center"/>
                </w:tcPr>
                <w:p w14:paraId="70DABD33">
                  <w:pPr>
                    <w:keepNext/>
                    <w:overflowPunct w:val="0"/>
                    <w:adjustRightInd w:val="0"/>
                    <w:snapToGrid w:val="0"/>
                    <w:jc w:val="center"/>
                    <w:outlineLvl w:val="0"/>
                    <w:rPr>
                      <w:bCs/>
                      <w:color w:val="auto"/>
                      <w:szCs w:val="21"/>
                    </w:rPr>
                  </w:pPr>
                  <w:r>
                    <w:rPr>
                      <w:rFonts w:hint="eastAsia"/>
                      <w:bCs/>
                      <w:color w:val="auto"/>
                      <w:kern w:val="44"/>
                      <w:szCs w:val="21"/>
                    </w:rPr>
                    <w:t>0</w:t>
                  </w:r>
                </w:p>
              </w:tc>
              <w:tc>
                <w:tcPr>
                  <w:tcW w:w="442" w:type="pct"/>
                  <w:vAlign w:val="center"/>
                </w:tcPr>
                <w:p w14:paraId="12993D19">
                  <w:pPr>
                    <w:keepNext/>
                    <w:overflowPunct w:val="0"/>
                    <w:adjustRightInd w:val="0"/>
                    <w:snapToGrid w:val="0"/>
                    <w:jc w:val="center"/>
                    <w:outlineLvl w:val="0"/>
                    <w:rPr>
                      <w:bCs/>
                      <w:color w:val="auto"/>
                      <w:szCs w:val="21"/>
                    </w:rPr>
                  </w:pPr>
                  <w:r>
                    <w:rPr>
                      <w:rFonts w:hint="eastAsia"/>
                      <w:bCs/>
                      <w:color w:val="auto"/>
                      <w:kern w:val="44"/>
                      <w:szCs w:val="21"/>
                    </w:rPr>
                    <w:t>0</w:t>
                  </w:r>
                </w:p>
              </w:tc>
              <w:tc>
                <w:tcPr>
                  <w:tcW w:w="353" w:type="pct"/>
                  <w:vAlign w:val="center"/>
                </w:tcPr>
                <w:p w14:paraId="1BC9AD65">
                  <w:pPr>
                    <w:keepNext/>
                    <w:overflowPunct w:val="0"/>
                    <w:adjustRightInd w:val="0"/>
                    <w:snapToGrid w:val="0"/>
                    <w:jc w:val="center"/>
                    <w:outlineLvl w:val="0"/>
                    <w:rPr>
                      <w:bCs/>
                      <w:color w:val="auto"/>
                      <w:szCs w:val="21"/>
                    </w:rPr>
                  </w:pPr>
                  <w:r>
                    <w:rPr>
                      <w:rFonts w:hint="eastAsia"/>
                      <w:bCs/>
                      <w:color w:val="auto"/>
                      <w:kern w:val="44"/>
                      <w:szCs w:val="21"/>
                    </w:rPr>
                    <w:t>0</w:t>
                  </w:r>
                </w:p>
              </w:tc>
              <w:tc>
                <w:tcPr>
                  <w:tcW w:w="362" w:type="pct"/>
                  <w:vAlign w:val="center"/>
                </w:tcPr>
                <w:p w14:paraId="230DAFD8">
                  <w:pPr>
                    <w:keepNext/>
                    <w:overflowPunct w:val="0"/>
                    <w:adjustRightInd w:val="0"/>
                    <w:snapToGrid w:val="0"/>
                    <w:jc w:val="center"/>
                    <w:outlineLvl w:val="0"/>
                    <w:rPr>
                      <w:bCs/>
                      <w:color w:val="auto"/>
                      <w:szCs w:val="21"/>
                    </w:rPr>
                  </w:pPr>
                  <w:r>
                    <w:rPr>
                      <w:rFonts w:hint="eastAsia"/>
                      <w:bCs/>
                      <w:color w:val="auto"/>
                      <w:kern w:val="44"/>
                      <w:szCs w:val="21"/>
                    </w:rPr>
                    <w:t>0</w:t>
                  </w:r>
                </w:p>
              </w:tc>
              <w:tc>
                <w:tcPr>
                  <w:tcW w:w="430" w:type="pct"/>
                  <w:vAlign w:val="center"/>
                </w:tcPr>
                <w:p w14:paraId="5F1FB521">
                  <w:pPr>
                    <w:keepNext/>
                    <w:overflowPunct w:val="0"/>
                    <w:adjustRightInd w:val="0"/>
                    <w:snapToGrid w:val="0"/>
                    <w:jc w:val="center"/>
                    <w:outlineLvl w:val="0"/>
                    <w:rPr>
                      <w:bCs/>
                      <w:color w:val="auto"/>
                      <w:szCs w:val="21"/>
                    </w:rPr>
                  </w:pPr>
                  <w:r>
                    <w:rPr>
                      <w:rFonts w:hint="eastAsia"/>
                      <w:bCs/>
                      <w:color w:val="auto"/>
                      <w:kern w:val="44"/>
                      <w:szCs w:val="21"/>
                    </w:rPr>
                    <w:t>40</w:t>
                  </w:r>
                </w:p>
              </w:tc>
              <w:tc>
                <w:tcPr>
                  <w:tcW w:w="325" w:type="pct"/>
                  <w:vAlign w:val="center"/>
                </w:tcPr>
                <w:p w14:paraId="5E748DA6">
                  <w:pPr>
                    <w:keepNext/>
                    <w:overflowPunct w:val="0"/>
                    <w:adjustRightInd w:val="0"/>
                    <w:snapToGrid w:val="0"/>
                    <w:jc w:val="center"/>
                    <w:outlineLvl w:val="0"/>
                    <w:rPr>
                      <w:bCs/>
                      <w:color w:val="auto"/>
                      <w:szCs w:val="21"/>
                    </w:rPr>
                  </w:pPr>
                  <w:r>
                    <w:rPr>
                      <w:rFonts w:hint="eastAsia"/>
                      <w:bCs/>
                      <w:color w:val="auto"/>
                      <w:kern w:val="44"/>
                      <w:szCs w:val="21"/>
                    </w:rPr>
                    <w:t>0</w:t>
                  </w:r>
                </w:p>
              </w:tc>
              <w:tc>
                <w:tcPr>
                  <w:tcW w:w="309" w:type="pct"/>
                  <w:vAlign w:val="center"/>
                </w:tcPr>
                <w:p w14:paraId="386B1144">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321" w:type="pct"/>
                  <w:vAlign w:val="center"/>
                </w:tcPr>
                <w:p w14:paraId="7E82301F">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321" w:type="pct"/>
                  <w:vAlign w:val="center"/>
                </w:tcPr>
                <w:p w14:paraId="637D0DF8">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751" w:type="dxa"/>
                  <w:vAlign w:val="center"/>
                </w:tcPr>
                <w:p w14:paraId="19834911">
                  <w:pPr>
                    <w:keepNext/>
                    <w:overflowPunct w:val="0"/>
                    <w:adjustRightInd w:val="0"/>
                    <w:snapToGrid w:val="0"/>
                    <w:jc w:val="center"/>
                    <w:outlineLvl w:val="0"/>
                    <w:rPr>
                      <w:rFonts w:hint="eastAsia"/>
                      <w:bCs/>
                      <w:color w:val="auto"/>
                      <w:kern w:val="44"/>
                      <w:szCs w:val="21"/>
                    </w:rPr>
                  </w:pPr>
                  <w:r>
                    <w:rPr>
                      <w:rFonts w:hint="eastAsia"/>
                      <w:bCs/>
                      <w:color w:val="auto"/>
                      <w:kern w:val="44"/>
                      <w:szCs w:val="21"/>
                    </w:rPr>
                    <w:t>0</w:t>
                  </w:r>
                </w:p>
              </w:tc>
            </w:tr>
            <w:tr w14:paraId="3FA68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0F2DC51D">
                  <w:pPr>
                    <w:autoSpaceDE w:val="0"/>
                    <w:autoSpaceDN w:val="0"/>
                    <w:adjustRightInd w:val="0"/>
                    <w:snapToGrid w:val="0"/>
                    <w:jc w:val="center"/>
                    <w:rPr>
                      <w:bCs/>
                      <w:color w:val="auto"/>
                      <w:szCs w:val="21"/>
                    </w:rPr>
                  </w:pPr>
                  <w:r>
                    <w:rPr>
                      <w:bCs/>
                      <w:color w:val="auto"/>
                      <w:szCs w:val="21"/>
                    </w:rPr>
                    <w:t>调节</w:t>
                  </w:r>
                </w:p>
              </w:tc>
              <w:tc>
                <w:tcPr>
                  <w:tcW w:w="290" w:type="pct"/>
                  <w:vAlign w:val="center"/>
                </w:tcPr>
                <w:p w14:paraId="69EFB489">
                  <w:pPr>
                    <w:keepNext/>
                    <w:overflowPunct w:val="0"/>
                    <w:adjustRightInd w:val="0"/>
                    <w:snapToGrid w:val="0"/>
                    <w:jc w:val="center"/>
                    <w:outlineLvl w:val="0"/>
                    <w:rPr>
                      <w:bCs/>
                      <w:color w:val="auto"/>
                      <w:szCs w:val="21"/>
                    </w:rPr>
                  </w:pPr>
                  <w:r>
                    <w:rPr>
                      <w:bCs/>
                      <w:color w:val="auto"/>
                      <w:kern w:val="44"/>
                      <w:szCs w:val="21"/>
                    </w:rPr>
                    <w:t>/</w:t>
                  </w:r>
                </w:p>
              </w:tc>
              <w:tc>
                <w:tcPr>
                  <w:tcW w:w="475" w:type="pct"/>
                  <w:vAlign w:val="center"/>
                </w:tcPr>
                <w:p w14:paraId="2BEDE528">
                  <w:pPr>
                    <w:keepNext/>
                    <w:overflowPunct w:val="0"/>
                    <w:adjustRightInd w:val="0"/>
                    <w:snapToGrid w:val="0"/>
                    <w:jc w:val="center"/>
                    <w:rPr>
                      <w:bCs/>
                      <w:color w:val="auto"/>
                      <w:szCs w:val="21"/>
                    </w:rPr>
                  </w:pPr>
                  <w:r>
                    <w:rPr>
                      <w:rFonts w:hint="eastAsia"/>
                      <w:bCs/>
                      <w:color w:val="auto"/>
                      <w:kern w:val="44"/>
                      <w:szCs w:val="21"/>
                    </w:rPr>
                    <w:t>0</w:t>
                  </w:r>
                </w:p>
              </w:tc>
              <w:tc>
                <w:tcPr>
                  <w:tcW w:w="442" w:type="pct"/>
                  <w:vAlign w:val="center"/>
                </w:tcPr>
                <w:p w14:paraId="607CECE5">
                  <w:pPr>
                    <w:keepNext/>
                    <w:overflowPunct w:val="0"/>
                    <w:adjustRightInd w:val="0"/>
                    <w:snapToGrid w:val="0"/>
                    <w:jc w:val="center"/>
                    <w:rPr>
                      <w:bCs/>
                      <w:color w:val="auto"/>
                      <w:szCs w:val="21"/>
                    </w:rPr>
                  </w:pPr>
                  <w:r>
                    <w:rPr>
                      <w:rFonts w:hint="eastAsia"/>
                      <w:bCs/>
                      <w:color w:val="auto"/>
                      <w:kern w:val="44"/>
                      <w:szCs w:val="21"/>
                    </w:rPr>
                    <w:t>0</w:t>
                  </w:r>
                </w:p>
              </w:tc>
              <w:tc>
                <w:tcPr>
                  <w:tcW w:w="353" w:type="pct"/>
                  <w:vAlign w:val="center"/>
                </w:tcPr>
                <w:p w14:paraId="33990454">
                  <w:pPr>
                    <w:keepNext/>
                    <w:overflowPunct w:val="0"/>
                    <w:adjustRightInd w:val="0"/>
                    <w:snapToGrid w:val="0"/>
                    <w:jc w:val="center"/>
                    <w:rPr>
                      <w:bCs/>
                      <w:color w:val="auto"/>
                      <w:szCs w:val="21"/>
                    </w:rPr>
                  </w:pPr>
                  <w:r>
                    <w:rPr>
                      <w:rFonts w:hint="eastAsia"/>
                      <w:bCs/>
                      <w:color w:val="auto"/>
                      <w:kern w:val="44"/>
                      <w:szCs w:val="21"/>
                    </w:rPr>
                    <w:t>0</w:t>
                  </w:r>
                </w:p>
              </w:tc>
              <w:tc>
                <w:tcPr>
                  <w:tcW w:w="362" w:type="pct"/>
                  <w:vAlign w:val="center"/>
                </w:tcPr>
                <w:p w14:paraId="1047DD04">
                  <w:pPr>
                    <w:keepNext/>
                    <w:overflowPunct w:val="0"/>
                    <w:adjustRightInd w:val="0"/>
                    <w:snapToGrid w:val="0"/>
                    <w:jc w:val="center"/>
                    <w:rPr>
                      <w:bCs/>
                      <w:color w:val="auto"/>
                      <w:szCs w:val="21"/>
                    </w:rPr>
                  </w:pPr>
                  <w:r>
                    <w:rPr>
                      <w:rFonts w:hint="eastAsia"/>
                      <w:bCs/>
                      <w:color w:val="auto"/>
                      <w:kern w:val="44"/>
                      <w:szCs w:val="21"/>
                    </w:rPr>
                    <w:t>0</w:t>
                  </w:r>
                </w:p>
              </w:tc>
              <w:tc>
                <w:tcPr>
                  <w:tcW w:w="430" w:type="pct"/>
                  <w:vAlign w:val="center"/>
                </w:tcPr>
                <w:p w14:paraId="2FF69568">
                  <w:pPr>
                    <w:keepNext/>
                    <w:overflowPunct w:val="0"/>
                    <w:adjustRightInd w:val="0"/>
                    <w:snapToGrid w:val="0"/>
                    <w:jc w:val="center"/>
                    <w:rPr>
                      <w:bCs/>
                      <w:color w:val="auto"/>
                      <w:szCs w:val="21"/>
                    </w:rPr>
                  </w:pPr>
                  <w:r>
                    <w:rPr>
                      <w:rFonts w:hint="eastAsia"/>
                      <w:bCs/>
                      <w:color w:val="auto"/>
                      <w:kern w:val="44"/>
                      <w:szCs w:val="21"/>
                    </w:rPr>
                    <w:t>0</w:t>
                  </w:r>
                </w:p>
              </w:tc>
              <w:tc>
                <w:tcPr>
                  <w:tcW w:w="325" w:type="pct"/>
                  <w:vAlign w:val="center"/>
                </w:tcPr>
                <w:p w14:paraId="21CE7E0A">
                  <w:pPr>
                    <w:keepNext/>
                    <w:overflowPunct w:val="0"/>
                    <w:adjustRightInd w:val="0"/>
                    <w:snapToGrid w:val="0"/>
                    <w:jc w:val="center"/>
                    <w:outlineLvl w:val="0"/>
                    <w:rPr>
                      <w:bCs/>
                      <w:color w:val="auto"/>
                      <w:szCs w:val="21"/>
                    </w:rPr>
                  </w:pPr>
                  <w:r>
                    <w:rPr>
                      <w:rFonts w:hint="eastAsia"/>
                      <w:bCs/>
                      <w:color w:val="auto"/>
                      <w:kern w:val="44"/>
                      <w:szCs w:val="21"/>
                    </w:rPr>
                    <w:t>0</w:t>
                  </w:r>
                </w:p>
              </w:tc>
              <w:tc>
                <w:tcPr>
                  <w:tcW w:w="309" w:type="pct"/>
                  <w:vAlign w:val="center"/>
                </w:tcPr>
                <w:p w14:paraId="09C61583">
                  <w:pPr>
                    <w:keepNext/>
                    <w:overflowPunct w:val="0"/>
                    <w:adjustRightInd w:val="0"/>
                    <w:snapToGrid w:val="0"/>
                    <w:jc w:val="center"/>
                    <w:outlineLvl w:val="0"/>
                    <w:rPr>
                      <w:bCs/>
                      <w:color w:val="auto"/>
                      <w:szCs w:val="21"/>
                    </w:rPr>
                  </w:pPr>
                  <w:r>
                    <w:rPr>
                      <w:rFonts w:hint="eastAsia"/>
                      <w:bCs/>
                      <w:color w:val="auto"/>
                      <w:kern w:val="44"/>
                      <w:szCs w:val="21"/>
                    </w:rPr>
                    <w:t>0</w:t>
                  </w:r>
                </w:p>
              </w:tc>
              <w:tc>
                <w:tcPr>
                  <w:tcW w:w="321" w:type="pct"/>
                  <w:vAlign w:val="center"/>
                </w:tcPr>
                <w:p w14:paraId="0F33E7D5">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321" w:type="pct"/>
                  <w:vAlign w:val="center"/>
                </w:tcPr>
                <w:p w14:paraId="5551946B">
                  <w:pPr>
                    <w:keepNext/>
                    <w:overflowPunct w:val="0"/>
                    <w:adjustRightInd w:val="0"/>
                    <w:snapToGrid w:val="0"/>
                    <w:jc w:val="center"/>
                    <w:outlineLvl w:val="0"/>
                    <w:rPr>
                      <w:bCs/>
                      <w:color w:val="auto"/>
                      <w:szCs w:val="21"/>
                    </w:rPr>
                  </w:pPr>
                  <w:r>
                    <w:rPr>
                      <w:rFonts w:hint="eastAsia"/>
                      <w:bCs/>
                      <w:color w:val="auto"/>
                      <w:kern w:val="44"/>
                      <w:szCs w:val="21"/>
                    </w:rPr>
                    <w:t>0</w:t>
                  </w:r>
                </w:p>
              </w:tc>
              <w:tc>
                <w:tcPr>
                  <w:tcW w:w="751" w:type="dxa"/>
                  <w:vAlign w:val="center"/>
                </w:tcPr>
                <w:p w14:paraId="5C748304">
                  <w:pPr>
                    <w:keepNext/>
                    <w:overflowPunct w:val="0"/>
                    <w:adjustRightInd w:val="0"/>
                    <w:snapToGrid w:val="0"/>
                    <w:jc w:val="center"/>
                    <w:outlineLvl w:val="0"/>
                    <w:rPr>
                      <w:rFonts w:hint="eastAsia"/>
                      <w:bCs/>
                      <w:color w:val="auto"/>
                      <w:kern w:val="44"/>
                      <w:szCs w:val="21"/>
                    </w:rPr>
                  </w:pPr>
                  <w:r>
                    <w:rPr>
                      <w:rFonts w:hint="eastAsia"/>
                      <w:bCs/>
                      <w:color w:val="auto"/>
                      <w:kern w:val="44"/>
                      <w:szCs w:val="21"/>
                    </w:rPr>
                    <w:t>0</w:t>
                  </w:r>
                </w:p>
              </w:tc>
            </w:tr>
            <w:tr w14:paraId="1216D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63CDCB68">
                  <w:pPr>
                    <w:autoSpaceDE w:val="0"/>
                    <w:autoSpaceDN w:val="0"/>
                    <w:adjustRightInd w:val="0"/>
                    <w:snapToGrid w:val="0"/>
                    <w:jc w:val="center"/>
                    <w:rPr>
                      <w:bCs/>
                      <w:color w:val="auto"/>
                      <w:szCs w:val="21"/>
                    </w:rPr>
                  </w:pPr>
                  <w:r>
                    <w:rPr>
                      <w:rFonts w:hint="eastAsia"/>
                      <w:bCs/>
                      <w:color w:val="auto"/>
                      <w:szCs w:val="21"/>
                    </w:rPr>
                    <w:t>石灰+</w:t>
                  </w:r>
                  <w:r>
                    <w:rPr>
                      <w:bCs/>
                      <w:color w:val="auto"/>
                      <w:szCs w:val="21"/>
                    </w:rPr>
                    <w:t>混凝沉淀</w:t>
                  </w:r>
                </w:p>
              </w:tc>
              <w:tc>
                <w:tcPr>
                  <w:tcW w:w="290" w:type="pct"/>
                  <w:vAlign w:val="center"/>
                </w:tcPr>
                <w:p w14:paraId="69013177">
                  <w:pPr>
                    <w:keepNext/>
                    <w:overflowPunct w:val="0"/>
                    <w:adjustRightInd w:val="0"/>
                    <w:snapToGrid w:val="0"/>
                    <w:jc w:val="center"/>
                    <w:outlineLvl w:val="0"/>
                    <w:rPr>
                      <w:bCs/>
                      <w:color w:val="auto"/>
                      <w:szCs w:val="21"/>
                    </w:rPr>
                  </w:pPr>
                  <w:r>
                    <w:rPr>
                      <w:bCs/>
                      <w:color w:val="auto"/>
                      <w:kern w:val="44"/>
                      <w:szCs w:val="21"/>
                    </w:rPr>
                    <w:t>/</w:t>
                  </w:r>
                </w:p>
              </w:tc>
              <w:tc>
                <w:tcPr>
                  <w:tcW w:w="475" w:type="pct"/>
                  <w:vAlign w:val="center"/>
                </w:tcPr>
                <w:p w14:paraId="6DD39684">
                  <w:pPr>
                    <w:keepNext/>
                    <w:overflowPunct w:val="0"/>
                    <w:adjustRightInd w:val="0"/>
                    <w:snapToGrid w:val="0"/>
                    <w:jc w:val="center"/>
                    <w:outlineLvl w:val="0"/>
                    <w:rPr>
                      <w:bCs/>
                      <w:color w:val="auto"/>
                      <w:szCs w:val="21"/>
                    </w:rPr>
                  </w:pPr>
                  <w:r>
                    <w:rPr>
                      <w:rFonts w:hint="eastAsia"/>
                      <w:bCs/>
                      <w:color w:val="auto"/>
                      <w:kern w:val="44"/>
                      <w:szCs w:val="21"/>
                    </w:rPr>
                    <w:t>40</w:t>
                  </w:r>
                </w:p>
              </w:tc>
              <w:tc>
                <w:tcPr>
                  <w:tcW w:w="442" w:type="pct"/>
                  <w:vAlign w:val="center"/>
                </w:tcPr>
                <w:p w14:paraId="6942428F">
                  <w:pPr>
                    <w:keepNext/>
                    <w:overflowPunct w:val="0"/>
                    <w:adjustRightInd w:val="0"/>
                    <w:snapToGrid w:val="0"/>
                    <w:jc w:val="center"/>
                    <w:outlineLvl w:val="0"/>
                    <w:rPr>
                      <w:bCs/>
                      <w:color w:val="auto"/>
                      <w:szCs w:val="21"/>
                    </w:rPr>
                  </w:pPr>
                  <w:r>
                    <w:rPr>
                      <w:rFonts w:hint="eastAsia"/>
                      <w:bCs/>
                      <w:color w:val="auto"/>
                      <w:kern w:val="44"/>
                      <w:szCs w:val="21"/>
                    </w:rPr>
                    <w:t>30</w:t>
                  </w:r>
                </w:p>
              </w:tc>
              <w:tc>
                <w:tcPr>
                  <w:tcW w:w="353" w:type="pct"/>
                  <w:vAlign w:val="center"/>
                </w:tcPr>
                <w:p w14:paraId="2E00447D">
                  <w:pPr>
                    <w:keepNext/>
                    <w:overflowPunct w:val="0"/>
                    <w:adjustRightInd w:val="0"/>
                    <w:snapToGrid w:val="0"/>
                    <w:jc w:val="center"/>
                    <w:outlineLvl w:val="0"/>
                    <w:rPr>
                      <w:bCs/>
                      <w:color w:val="auto"/>
                      <w:szCs w:val="21"/>
                    </w:rPr>
                  </w:pPr>
                  <w:r>
                    <w:rPr>
                      <w:bCs/>
                      <w:color w:val="auto"/>
                      <w:kern w:val="44"/>
                      <w:szCs w:val="21"/>
                    </w:rPr>
                    <w:t>40</w:t>
                  </w:r>
                </w:p>
              </w:tc>
              <w:tc>
                <w:tcPr>
                  <w:tcW w:w="362" w:type="pct"/>
                  <w:vAlign w:val="center"/>
                </w:tcPr>
                <w:p w14:paraId="5B502F66">
                  <w:pPr>
                    <w:keepNext/>
                    <w:overflowPunct w:val="0"/>
                    <w:adjustRightInd w:val="0"/>
                    <w:snapToGrid w:val="0"/>
                    <w:jc w:val="center"/>
                    <w:outlineLvl w:val="0"/>
                    <w:rPr>
                      <w:bCs/>
                      <w:color w:val="auto"/>
                      <w:szCs w:val="21"/>
                    </w:rPr>
                  </w:pPr>
                  <w:r>
                    <w:rPr>
                      <w:rFonts w:hint="eastAsia"/>
                      <w:bCs/>
                      <w:color w:val="auto"/>
                      <w:kern w:val="44"/>
                      <w:szCs w:val="21"/>
                    </w:rPr>
                    <w:t>0</w:t>
                  </w:r>
                </w:p>
              </w:tc>
              <w:tc>
                <w:tcPr>
                  <w:tcW w:w="430" w:type="pct"/>
                  <w:vAlign w:val="center"/>
                </w:tcPr>
                <w:p w14:paraId="2E373A8A">
                  <w:pPr>
                    <w:keepNext/>
                    <w:overflowPunct w:val="0"/>
                    <w:adjustRightInd w:val="0"/>
                    <w:snapToGrid w:val="0"/>
                    <w:jc w:val="center"/>
                    <w:outlineLvl w:val="0"/>
                    <w:rPr>
                      <w:bCs/>
                      <w:color w:val="auto"/>
                      <w:szCs w:val="21"/>
                    </w:rPr>
                  </w:pPr>
                  <w:r>
                    <w:rPr>
                      <w:rFonts w:hint="eastAsia"/>
                      <w:bCs/>
                      <w:color w:val="auto"/>
                      <w:kern w:val="44"/>
                      <w:szCs w:val="21"/>
                    </w:rPr>
                    <w:t>50</w:t>
                  </w:r>
                </w:p>
              </w:tc>
              <w:tc>
                <w:tcPr>
                  <w:tcW w:w="325" w:type="pct"/>
                  <w:vAlign w:val="center"/>
                </w:tcPr>
                <w:p w14:paraId="17CD9BD9">
                  <w:pPr>
                    <w:keepNext/>
                    <w:overflowPunct w:val="0"/>
                    <w:adjustRightInd w:val="0"/>
                    <w:snapToGrid w:val="0"/>
                    <w:jc w:val="center"/>
                    <w:outlineLvl w:val="0"/>
                    <w:rPr>
                      <w:bCs/>
                      <w:color w:val="auto"/>
                      <w:szCs w:val="21"/>
                    </w:rPr>
                  </w:pPr>
                  <w:r>
                    <w:rPr>
                      <w:rFonts w:hint="eastAsia"/>
                      <w:bCs/>
                      <w:color w:val="auto"/>
                      <w:kern w:val="44"/>
                      <w:szCs w:val="21"/>
                    </w:rPr>
                    <w:t>85</w:t>
                  </w:r>
                </w:p>
              </w:tc>
              <w:tc>
                <w:tcPr>
                  <w:tcW w:w="309" w:type="pct"/>
                  <w:vAlign w:val="center"/>
                </w:tcPr>
                <w:p w14:paraId="45E093E5">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10</w:t>
                  </w:r>
                </w:p>
              </w:tc>
              <w:tc>
                <w:tcPr>
                  <w:tcW w:w="321" w:type="pct"/>
                  <w:vAlign w:val="center"/>
                </w:tcPr>
                <w:p w14:paraId="53969DA5">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95</w:t>
                  </w:r>
                </w:p>
              </w:tc>
              <w:tc>
                <w:tcPr>
                  <w:tcW w:w="321" w:type="pct"/>
                  <w:vAlign w:val="center"/>
                </w:tcPr>
                <w:p w14:paraId="542A9A88">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95</w:t>
                  </w:r>
                </w:p>
              </w:tc>
              <w:tc>
                <w:tcPr>
                  <w:tcW w:w="751" w:type="dxa"/>
                  <w:vAlign w:val="center"/>
                </w:tcPr>
                <w:p w14:paraId="167AA805">
                  <w:pPr>
                    <w:pStyle w:val="3"/>
                    <w:adjustRightInd w:val="0"/>
                    <w:spacing w:before="0" w:after="0" w:line="240" w:lineRule="auto"/>
                    <w:ind w:left="0" w:leftChars="0" w:firstLine="0" w:firstLineChars="0"/>
                    <w:jc w:val="center"/>
                    <w:rPr>
                      <w:rFonts w:hint="eastAsia" w:eastAsia="宋体"/>
                      <w:b w:val="0"/>
                      <w:color w:val="auto"/>
                      <w:sz w:val="21"/>
                      <w:szCs w:val="21"/>
                    </w:rPr>
                  </w:pPr>
                  <w:r>
                    <w:rPr>
                      <w:rFonts w:hint="eastAsia" w:eastAsia="宋体"/>
                      <w:b w:val="0"/>
                      <w:color w:val="auto"/>
                      <w:sz w:val="21"/>
                      <w:szCs w:val="21"/>
                    </w:rPr>
                    <w:t>95</w:t>
                  </w:r>
                </w:p>
              </w:tc>
            </w:tr>
            <w:tr w14:paraId="4FB55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5600E52F">
                  <w:pPr>
                    <w:autoSpaceDE w:val="0"/>
                    <w:autoSpaceDN w:val="0"/>
                    <w:adjustRightInd w:val="0"/>
                    <w:snapToGrid w:val="0"/>
                    <w:jc w:val="center"/>
                    <w:rPr>
                      <w:bCs/>
                      <w:color w:val="auto"/>
                      <w:szCs w:val="21"/>
                    </w:rPr>
                  </w:pPr>
                  <w:r>
                    <w:rPr>
                      <w:bCs/>
                      <w:color w:val="auto"/>
                      <w:szCs w:val="21"/>
                    </w:rPr>
                    <w:t>混凝沉淀</w:t>
                  </w:r>
                </w:p>
              </w:tc>
              <w:tc>
                <w:tcPr>
                  <w:tcW w:w="290" w:type="pct"/>
                  <w:vAlign w:val="center"/>
                </w:tcPr>
                <w:p w14:paraId="7B65256C">
                  <w:pPr>
                    <w:keepNext/>
                    <w:overflowPunct w:val="0"/>
                    <w:adjustRightInd w:val="0"/>
                    <w:snapToGrid w:val="0"/>
                    <w:jc w:val="center"/>
                    <w:outlineLvl w:val="0"/>
                    <w:rPr>
                      <w:bCs/>
                      <w:color w:val="auto"/>
                      <w:kern w:val="44"/>
                      <w:szCs w:val="21"/>
                    </w:rPr>
                  </w:pPr>
                  <w:r>
                    <w:rPr>
                      <w:rFonts w:hint="eastAsia"/>
                      <w:bCs/>
                      <w:color w:val="auto"/>
                      <w:kern w:val="44"/>
                      <w:szCs w:val="21"/>
                    </w:rPr>
                    <w:t>/</w:t>
                  </w:r>
                </w:p>
              </w:tc>
              <w:tc>
                <w:tcPr>
                  <w:tcW w:w="475" w:type="pct"/>
                  <w:vAlign w:val="center"/>
                </w:tcPr>
                <w:p w14:paraId="7259945F">
                  <w:pPr>
                    <w:keepNext/>
                    <w:overflowPunct w:val="0"/>
                    <w:adjustRightInd w:val="0"/>
                    <w:snapToGrid w:val="0"/>
                    <w:jc w:val="center"/>
                    <w:outlineLvl w:val="0"/>
                    <w:rPr>
                      <w:bCs/>
                      <w:color w:val="auto"/>
                      <w:kern w:val="44"/>
                      <w:szCs w:val="21"/>
                    </w:rPr>
                  </w:pPr>
                  <w:r>
                    <w:rPr>
                      <w:rFonts w:hint="eastAsia"/>
                      <w:bCs/>
                      <w:color w:val="auto"/>
                      <w:kern w:val="44"/>
                      <w:szCs w:val="21"/>
                    </w:rPr>
                    <w:t>30</w:t>
                  </w:r>
                </w:p>
              </w:tc>
              <w:tc>
                <w:tcPr>
                  <w:tcW w:w="442" w:type="pct"/>
                  <w:vAlign w:val="center"/>
                </w:tcPr>
                <w:p w14:paraId="719DEF54">
                  <w:pPr>
                    <w:keepNext/>
                    <w:overflowPunct w:val="0"/>
                    <w:adjustRightInd w:val="0"/>
                    <w:snapToGrid w:val="0"/>
                    <w:jc w:val="center"/>
                    <w:outlineLvl w:val="0"/>
                    <w:rPr>
                      <w:bCs/>
                      <w:color w:val="auto"/>
                      <w:kern w:val="44"/>
                      <w:szCs w:val="21"/>
                    </w:rPr>
                  </w:pPr>
                  <w:r>
                    <w:rPr>
                      <w:rFonts w:hint="eastAsia"/>
                      <w:bCs/>
                      <w:color w:val="auto"/>
                      <w:kern w:val="44"/>
                      <w:szCs w:val="21"/>
                    </w:rPr>
                    <w:t>30</w:t>
                  </w:r>
                </w:p>
              </w:tc>
              <w:tc>
                <w:tcPr>
                  <w:tcW w:w="353" w:type="pct"/>
                  <w:vAlign w:val="center"/>
                </w:tcPr>
                <w:p w14:paraId="52F35C3B">
                  <w:pPr>
                    <w:keepNext/>
                    <w:overflowPunct w:val="0"/>
                    <w:adjustRightInd w:val="0"/>
                    <w:snapToGrid w:val="0"/>
                    <w:jc w:val="center"/>
                    <w:outlineLvl w:val="0"/>
                    <w:rPr>
                      <w:bCs/>
                      <w:color w:val="auto"/>
                      <w:kern w:val="44"/>
                      <w:szCs w:val="21"/>
                    </w:rPr>
                  </w:pPr>
                  <w:r>
                    <w:rPr>
                      <w:rFonts w:hint="eastAsia"/>
                      <w:bCs/>
                      <w:color w:val="auto"/>
                      <w:kern w:val="44"/>
                      <w:szCs w:val="21"/>
                    </w:rPr>
                    <w:t>40</w:t>
                  </w:r>
                </w:p>
              </w:tc>
              <w:tc>
                <w:tcPr>
                  <w:tcW w:w="362" w:type="pct"/>
                  <w:vAlign w:val="center"/>
                </w:tcPr>
                <w:p w14:paraId="5D2620DE">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430" w:type="pct"/>
                  <w:vAlign w:val="center"/>
                </w:tcPr>
                <w:p w14:paraId="1AC7D1E5">
                  <w:pPr>
                    <w:keepNext/>
                    <w:overflowPunct w:val="0"/>
                    <w:adjustRightInd w:val="0"/>
                    <w:snapToGrid w:val="0"/>
                    <w:jc w:val="center"/>
                    <w:outlineLvl w:val="0"/>
                    <w:rPr>
                      <w:bCs/>
                      <w:color w:val="auto"/>
                      <w:kern w:val="44"/>
                      <w:szCs w:val="21"/>
                    </w:rPr>
                  </w:pPr>
                  <w:r>
                    <w:rPr>
                      <w:rFonts w:hint="eastAsia"/>
                      <w:bCs/>
                      <w:color w:val="auto"/>
                      <w:kern w:val="44"/>
                      <w:szCs w:val="21"/>
                    </w:rPr>
                    <w:t>50</w:t>
                  </w:r>
                </w:p>
              </w:tc>
              <w:tc>
                <w:tcPr>
                  <w:tcW w:w="325" w:type="pct"/>
                  <w:vAlign w:val="center"/>
                </w:tcPr>
                <w:p w14:paraId="7ECC1195">
                  <w:pPr>
                    <w:keepNext/>
                    <w:overflowPunct w:val="0"/>
                    <w:adjustRightInd w:val="0"/>
                    <w:snapToGrid w:val="0"/>
                    <w:jc w:val="center"/>
                    <w:outlineLvl w:val="0"/>
                    <w:rPr>
                      <w:bCs/>
                      <w:color w:val="auto"/>
                      <w:kern w:val="44"/>
                      <w:szCs w:val="21"/>
                    </w:rPr>
                  </w:pPr>
                  <w:r>
                    <w:rPr>
                      <w:rFonts w:hint="eastAsia"/>
                      <w:bCs/>
                      <w:color w:val="auto"/>
                      <w:kern w:val="44"/>
                      <w:szCs w:val="21"/>
                    </w:rPr>
                    <w:t>85</w:t>
                  </w:r>
                </w:p>
              </w:tc>
              <w:tc>
                <w:tcPr>
                  <w:tcW w:w="309" w:type="pct"/>
                  <w:vAlign w:val="center"/>
                </w:tcPr>
                <w:p w14:paraId="75CB87B2">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10</w:t>
                  </w:r>
                </w:p>
              </w:tc>
              <w:tc>
                <w:tcPr>
                  <w:tcW w:w="321" w:type="pct"/>
                  <w:vAlign w:val="center"/>
                </w:tcPr>
                <w:p w14:paraId="1C21C090">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95</w:t>
                  </w:r>
                </w:p>
              </w:tc>
              <w:tc>
                <w:tcPr>
                  <w:tcW w:w="321" w:type="pct"/>
                  <w:vAlign w:val="center"/>
                </w:tcPr>
                <w:p w14:paraId="55E50264">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95</w:t>
                  </w:r>
                </w:p>
              </w:tc>
              <w:tc>
                <w:tcPr>
                  <w:tcW w:w="751" w:type="dxa"/>
                  <w:vAlign w:val="center"/>
                </w:tcPr>
                <w:p w14:paraId="21175725">
                  <w:pPr>
                    <w:pStyle w:val="3"/>
                    <w:adjustRightInd w:val="0"/>
                    <w:spacing w:before="0" w:after="0" w:line="240" w:lineRule="auto"/>
                    <w:ind w:left="0" w:leftChars="0" w:firstLine="0" w:firstLineChars="0"/>
                    <w:jc w:val="center"/>
                    <w:rPr>
                      <w:rFonts w:hint="eastAsia" w:eastAsia="宋体"/>
                      <w:b w:val="0"/>
                      <w:color w:val="auto"/>
                      <w:sz w:val="21"/>
                      <w:szCs w:val="21"/>
                    </w:rPr>
                  </w:pPr>
                  <w:r>
                    <w:rPr>
                      <w:rFonts w:hint="eastAsia" w:eastAsia="宋体"/>
                      <w:b w:val="0"/>
                      <w:color w:val="auto"/>
                      <w:sz w:val="21"/>
                      <w:szCs w:val="21"/>
                    </w:rPr>
                    <w:t>95</w:t>
                  </w:r>
                </w:p>
              </w:tc>
            </w:tr>
            <w:tr w14:paraId="14F91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1B50045A">
                  <w:pPr>
                    <w:autoSpaceDE w:val="0"/>
                    <w:autoSpaceDN w:val="0"/>
                    <w:adjustRightInd w:val="0"/>
                    <w:snapToGrid w:val="0"/>
                    <w:jc w:val="center"/>
                    <w:rPr>
                      <w:bCs/>
                      <w:color w:val="auto"/>
                      <w:szCs w:val="21"/>
                    </w:rPr>
                  </w:pPr>
                  <w:r>
                    <w:rPr>
                      <w:bCs/>
                      <w:color w:val="auto"/>
                      <w:szCs w:val="21"/>
                    </w:rPr>
                    <w:t>水解酸化</w:t>
                  </w:r>
                </w:p>
              </w:tc>
              <w:tc>
                <w:tcPr>
                  <w:tcW w:w="290" w:type="pct"/>
                  <w:vAlign w:val="center"/>
                </w:tcPr>
                <w:p w14:paraId="67C3A3F2">
                  <w:pPr>
                    <w:keepNext/>
                    <w:overflowPunct w:val="0"/>
                    <w:adjustRightInd w:val="0"/>
                    <w:snapToGrid w:val="0"/>
                    <w:jc w:val="center"/>
                    <w:outlineLvl w:val="0"/>
                    <w:rPr>
                      <w:bCs/>
                      <w:color w:val="auto"/>
                      <w:szCs w:val="21"/>
                    </w:rPr>
                  </w:pPr>
                  <w:r>
                    <w:rPr>
                      <w:bCs/>
                      <w:color w:val="auto"/>
                      <w:kern w:val="44"/>
                      <w:szCs w:val="21"/>
                    </w:rPr>
                    <w:t>/</w:t>
                  </w:r>
                </w:p>
              </w:tc>
              <w:tc>
                <w:tcPr>
                  <w:tcW w:w="475" w:type="pct"/>
                  <w:vAlign w:val="center"/>
                </w:tcPr>
                <w:p w14:paraId="57755E0B">
                  <w:pPr>
                    <w:keepNext/>
                    <w:overflowPunct w:val="0"/>
                    <w:adjustRightInd w:val="0"/>
                    <w:snapToGrid w:val="0"/>
                    <w:jc w:val="center"/>
                    <w:outlineLvl w:val="0"/>
                    <w:rPr>
                      <w:bCs/>
                      <w:color w:val="auto"/>
                      <w:szCs w:val="21"/>
                    </w:rPr>
                  </w:pPr>
                  <w:r>
                    <w:rPr>
                      <w:rFonts w:hint="eastAsia"/>
                      <w:bCs/>
                      <w:color w:val="auto"/>
                      <w:kern w:val="44"/>
                      <w:szCs w:val="21"/>
                    </w:rPr>
                    <w:t>/</w:t>
                  </w:r>
                </w:p>
              </w:tc>
              <w:tc>
                <w:tcPr>
                  <w:tcW w:w="442" w:type="pct"/>
                  <w:vAlign w:val="center"/>
                </w:tcPr>
                <w:p w14:paraId="4CA5B1C0">
                  <w:pPr>
                    <w:keepNext/>
                    <w:overflowPunct w:val="0"/>
                    <w:adjustRightInd w:val="0"/>
                    <w:snapToGrid w:val="0"/>
                    <w:jc w:val="center"/>
                    <w:outlineLvl w:val="0"/>
                    <w:rPr>
                      <w:bCs/>
                      <w:color w:val="auto"/>
                      <w:szCs w:val="21"/>
                    </w:rPr>
                  </w:pPr>
                  <w:r>
                    <w:rPr>
                      <w:rFonts w:hint="eastAsia"/>
                      <w:bCs/>
                      <w:color w:val="auto"/>
                      <w:kern w:val="44"/>
                      <w:szCs w:val="21"/>
                    </w:rPr>
                    <w:t>/</w:t>
                  </w:r>
                </w:p>
              </w:tc>
              <w:tc>
                <w:tcPr>
                  <w:tcW w:w="353" w:type="pct"/>
                  <w:vAlign w:val="center"/>
                </w:tcPr>
                <w:p w14:paraId="0BA0DFDB">
                  <w:pPr>
                    <w:keepNext/>
                    <w:overflowPunct w:val="0"/>
                    <w:adjustRightInd w:val="0"/>
                    <w:snapToGrid w:val="0"/>
                    <w:jc w:val="center"/>
                    <w:outlineLvl w:val="0"/>
                    <w:rPr>
                      <w:bCs/>
                      <w:color w:val="auto"/>
                      <w:szCs w:val="21"/>
                    </w:rPr>
                  </w:pPr>
                  <w:r>
                    <w:rPr>
                      <w:rFonts w:hint="eastAsia"/>
                      <w:bCs/>
                      <w:color w:val="auto"/>
                      <w:szCs w:val="21"/>
                    </w:rPr>
                    <w:t>/</w:t>
                  </w:r>
                </w:p>
              </w:tc>
              <w:tc>
                <w:tcPr>
                  <w:tcW w:w="362" w:type="pct"/>
                  <w:vAlign w:val="center"/>
                </w:tcPr>
                <w:p w14:paraId="35B88483">
                  <w:pPr>
                    <w:keepNext/>
                    <w:overflowPunct w:val="0"/>
                    <w:adjustRightInd w:val="0"/>
                    <w:snapToGrid w:val="0"/>
                    <w:jc w:val="center"/>
                    <w:outlineLvl w:val="0"/>
                    <w:rPr>
                      <w:bCs/>
                      <w:color w:val="auto"/>
                      <w:szCs w:val="21"/>
                    </w:rPr>
                  </w:pPr>
                  <w:r>
                    <w:rPr>
                      <w:rFonts w:hint="eastAsia"/>
                      <w:bCs/>
                      <w:color w:val="auto"/>
                      <w:szCs w:val="21"/>
                    </w:rPr>
                    <w:t>/</w:t>
                  </w:r>
                </w:p>
              </w:tc>
              <w:tc>
                <w:tcPr>
                  <w:tcW w:w="430" w:type="pct"/>
                  <w:vAlign w:val="center"/>
                </w:tcPr>
                <w:p w14:paraId="02C07906">
                  <w:pPr>
                    <w:keepNext/>
                    <w:overflowPunct w:val="0"/>
                    <w:adjustRightInd w:val="0"/>
                    <w:snapToGrid w:val="0"/>
                    <w:jc w:val="center"/>
                    <w:outlineLvl w:val="0"/>
                    <w:rPr>
                      <w:bCs/>
                      <w:color w:val="auto"/>
                      <w:szCs w:val="21"/>
                    </w:rPr>
                  </w:pPr>
                  <w:r>
                    <w:rPr>
                      <w:rFonts w:hint="eastAsia"/>
                      <w:bCs/>
                      <w:color w:val="auto"/>
                      <w:kern w:val="44"/>
                      <w:szCs w:val="21"/>
                    </w:rPr>
                    <w:t>35</w:t>
                  </w:r>
                </w:p>
              </w:tc>
              <w:tc>
                <w:tcPr>
                  <w:tcW w:w="325" w:type="pct"/>
                  <w:vAlign w:val="center"/>
                </w:tcPr>
                <w:p w14:paraId="2CEF9015">
                  <w:pPr>
                    <w:keepNext/>
                    <w:overflowPunct w:val="0"/>
                    <w:adjustRightInd w:val="0"/>
                    <w:snapToGrid w:val="0"/>
                    <w:jc w:val="center"/>
                    <w:outlineLvl w:val="0"/>
                    <w:rPr>
                      <w:bCs/>
                      <w:color w:val="auto"/>
                      <w:szCs w:val="21"/>
                    </w:rPr>
                  </w:pPr>
                  <w:r>
                    <w:rPr>
                      <w:bCs/>
                      <w:color w:val="auto"/>
                      <w:kern w:val="44"/>
                      <w:szCs w:val="21"/>
                    </w:rPr>
                    <w:t>/</w:t>
                  </w:r>
                </w:p>
              </w:tc>
              <w:tc>
                <w:tcPr>
                  <w:tcW w:w="309" w:type="pct"/>
                  <w:vAlign w:val="center"/>
                </w:tcPr>
                <w:p w14:paraId="7D77323F">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w:t>
                  </w:r>
                </w:p>
              </w:tc>
              <w:tc>
                <w:tcPr>
                  <w:tcW w:w="321" w:type="pct"/>
                  <w:vAlign w:val="center"/>
                </w:tcPr>
                <w:p w14:paraId="60CF89B4">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321" w:type="pct"/>
                  <w:vAlign w:val="center"/>
                </w:tcPr>
                <w:p w14:paraId="14E2B11C">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751" w:type="dxa"/>
                  <w:vAlign w:val="center"/>
                </w:tcPr>
                <w:p w14:paraId="7025FB23">
                  <w:pPr>
                    <w:keepNext/>
                    <w:overflowPunct w:val="0"/>
                    <w:adjustRightInd w:val="0"/>
                    <w:snapToGrid w:val="0"/>
                    <w:jc w:val="center"/>
                    <w:outlineLvl w:val="0"/>
                    <w:rPr>
                      <w:rFonts w:hint="eastAsia"/>
                      <w:bCs/>
                      <w:color w:val="auto"/>
                      <w:kern w:val="44"/>
                      <w:szCs w:val="21"/>
                    </w:rPr>
                  </w:pPr>
                  <w:r>
                    <w:rPr>
                      <w:rFonts w:hint="eastAsia"/>
                      <w:bCs/>
                      <w:color w:val="auto"/>
                      <w:kern w:val="44"/>
                      <w:szCs w:val="21"/>
                    </w:rPr>
                    <w:t>0</w:t>
                  </w:r>
                </w:p>
              </w:tc>
            </w:tr>
            <w:tr w14:paraId="09CB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4477F5E6">
                  <w:pPr>
                    <w:autoSpaceDE w:val="0"/>
                    <w:autoSpaceDN w:val="0"/>
                    <w:adjustRightInd w:val="0"/>
                    <w:snapToGrid w:val="0"/>
                    <w:jc w:val="center"/>
                    <w:rPr>
                      <w:bCs/>
                      <w:color w:val="auto"/>
                      <w:szCs w:val="21"/>
                    </w:rPr>
                  </w:pPr>
                  <w:r>
                    <w:rPr>
                      <w:bCs/>
                      <w:color w:val="auto"/>
                      <w:szCs w:val="21"/>
                    </w:rPr>
                    <w:t>缺氧+接触氧化</w:t>
                  </w:r>
                </w:p>
              </w:tc>
              <w:tc>
                <w:tcPr>
                  <w:tcW w:w="290" w:type="pct"/>
                  <w:vAlign w:val="center"/>
                </w:tcPr>
                <w:p w14:paraId="49215012">
                  <w:pPr>
                    <w:keepNext/>
                    <w:overflowPunct w:val="0"/>
                    <w:adjustRightInd w:val="0"/>
                    <w:snapToGrid w:val="0"/>
                    <w:jc w:val="center"/>
                    <w:outlineLvl w:val="0"/>
                    <w:rPr>
                      <w:bCs/>
                      <w:color w:val="auto"/>
                      <w:szCs w:val="21"/>
                    </w:rPr>
                  </w:pPr>
                  <w:r>
                    <w:rPr>
                      <w:bCs/>
                      <w:color w:val="auto"/>
                      <w:kern w:val="44"/>
                      <w:szCs w:val="21"/>
                    </w:rPr>
                    <w:t>/</w:t>
                  </w:r>
                </w:p>
              </w:tc>
              <w:tc>
                <w:tcPr>
                  <w:tcW w:w="475" w:type="pct"/>
                  <w:vAlign w:val="center"/>
                </w:tcPr>
                <w:p w14:paraId="1E09A260">
                  <w:pPr>
                    <w:keepNext/>
                    <w:overflowPunct w:val="0"/>
                    <w:adjustRightInd w:val="0"/>
                    <w:snapToGrid w:val="0"/>
                    <w:jc w:val="center"/>
                    <w:outlineLvl w:val="0"/>
                    <w:rPr>
                      <w:bCs/>
                      <w:color w:val="auto"/>
                      <w:szCs w:val="21"/>
                    </w:rPr>
                  </w:pPr>
                  <w:r>
                    <w:rPr>
                      <w:rFonts w:hint="eastAsia"/>
                      <w:bCs/>
                      <w:color w:val="auto"/>
                      <w:kern w:val="44"/>
                      <w:szCs w:val="21"/>
                    </w:rPr>
                    <w:t>80</w:t>
                  </w:r>
                </w:p>
              </w:tc>
              <w:tc>
                <w:tcPr>
                  <w:tcW w:w="442" w:type="pct"/>
                  <w:vAlign w:val="center"/>
                </w:tcPr>
                <w:p w14:paraId="72A6FC90">
                  <w:pPr>
                    <w:keepNext/>
                    <w:overflowPunct w:val="0"/>
                    <w:adjustRightInd w:val="0"/>
                    <w:snapToGrid w:val="0"/>
                    <w:jc w:val="center"/>
                    <w:outlineLvl w:val="0"/>
                    <w:rPr>
                      <w:bCs/>
                      <w:color w:val="auto"/>
                      <w:szCs w:val="21"/>
                    </w:rPr>
                  </w:pPr>
                  <w:r>
                    <w:rPr>
                      <w:rFonts w:hint="eastAsia"/>
                      <w:bCs/>
                      <w:color w:val="auto"/>
                      <w:kern w:val="44"/>
                      <w:szCs w:val="21"/>
                    </w:rPr>
                    <w:t>80</w:t>
                  </w:r>
                </w:p>
              </w:tc>
              <w:tc>
                <w:tcPr>
                  <w:tcW w:w="353" w:type="pct"/>
                  <w:vAlign w:val="center"/>
                </w:tcPr>
                <w:p w14:paraId="0B34094A">
                  <w:pPr>
                    <w:keepNext/>
                    <w:overflowPunct w:val="0"/>
                    <w:adjustRightInd w:val="0"/>
                    <w:snapToGrid w:val="0"/>
                    <w:jc w:val="center"/>
                    <w:outlineLvl w:val="0"/>
                    <w:rPr>
                      <w:rFonts w:hint="eastAsia" w:eastAsia="宋体"/>
                      <w:bCs/>
                      <w:color w:val="auto"/>
                      <w:szCs w:val="21"/>
                      <w:lang w:eastAsia="zh-CN"/>
                    </w:rPr>
                  </w:pPr>
                  <w:r>
                    <w:rPr>
                      <w:rFonts w:hint="eastAsia"/>
                      <w:bCs/>
                      <w:color w:val="auto"/>
                      <w:kern w:val="44"/>
                      <w:szCs w:val="21"/>
                      <w:lang w:val="en-US" w:eastAsia="zh-CN"/>
                    </w:rPr>
                    <w:t>/</w:t>
                  </w:r>
                </w:p>
              </w:tc>
              <w:tc>
                <w:tcPr>
                  <w:tcW w:w="362" w:type="pct"/>
                  <w:vAlign w:val="center"/>
                </w:tcPr>
                <w:p w14:paraId="665521CA">
                  <w:pPr>
                    <w:keepNext/>
                    <w:overflowPunct w:val="0"/>
                    <w:adjustRightInd w:val="0"/>
                    <w:snapToGrid w:val="0"/>
                    <w:jc w:val="center"/>
                    <w:outlineLvl w:val="0"/>
                    <w:rPr>
                      <w:bCs/>
                      <w:color w:val="auto"/>
                      <w:szCs w:val="21"/>
                    </w:rPr>
                  </w:pPr>
                  <w:r>
                    <w:rPr>
                      <w:rFonts w:hint="eastAsia"/>
                      <w:bCs/>
                      <w:color w:val="auto"/>
                      <w:kern w:val="44"/>
                      <w:szCs w:val="21"/>
                    </w:rPr>
                    <w:t>85</w:t>
                  </w:r>
                </w:p>
              </w:tc>
              <w:tc>
                <w:tcPr>
                  <w:tcW w:w="430" w:type="pct"/>
                  <w:vAlign w:val="center"/>
                </w:tcPr>
                <w:p w14:paraId="6AFE2E47">
                  <w:pPr>
                    <w:keepNext/>
                    <w:overflowPunct w:val="0"/>
                    <w:adjustRightInd w:val="0"/>
                    <w:snapToGrid w:val="0"/>
                    <w:jc w:val="center"/>
                    <w:outlineLvl w:val="0"/>
                    <w:rPr>
                      <w:bCs/>
                      <w:color w:val="auto"/>
                      <w:szCs w:val="21"/>
                    </w:rPr>
                  </w:pPr>
                  <w:r>
                    <w:rPr>
                      <w:rFonts w:hint="eastAsia"/>
                      <w:bCs/>
                      <w:color w:val="auto"/>
                      <w:kern w:val="44"/>
                      <w:szCs w:val="21"/>
                    </w:rPr>
                    <w:t>70</w:t>
                  </w:r>
                </w:p>
              </w:tc>
              <w:tc>
                <w:tcPr>
                  <w:tcW w:w="325" w:type="pct"/>
                  <w:vAlign w:val="center"/>
                </w:tcPr>
                <w:p w14:paraId="34424936">
                  <w:pPr>
                    <w:keepNext/>
                    <w:overflowPunct w:val="0"/>
                    <w:adjustRightInd w:val="0"/>
                    <w:snapToGrid w:val="0"/>
                    <w:jc w:val="center"/>
                    <w:outlineLvl w:val="0"/>
                    <w:rPr>
                      <w:bCs/>
                      <w:color w:val="auto"/>
                      <w:szCs w:val="21"/>
                    </w:rPr>
                  </w:pPr>
                  <w:r>
                    <w:rPr>
                      <w:rFonts w:hint="eastAsia"/>
                      <w:bCs/>
                      <w:color w:val="auto"/>
                      <w:kern w:val="44"/>
                      <w:szCs w:val="21"/>
                    </w:rPr>
                    <w:t>40</w:t>
                  </w:r>
                </w:p>
              </w:tc>
              <w:tc>
                <w:tcPr>
                  <w:tcW w:w="309" w:type="pct"/>
                  <w:vAlign w:val="center"/>
                </w:tcPr>
                <w:p w14:paraId="6DFF7A5A">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70</w:t>
                  </w:r>
                </w:p>
              </w:tc>
              <w:tc>
                <w:tcPr>
                  <w:tcW w:w="321" w:type="pct"/>
                  <w:vAlign w:val="center"/>
                </w:tcPr>
                <w:p w14:paraId="7D05B173">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321" w:type="pct"/>
                  <w:vAlign w:val="center"/>
                </w:tcPr>
                <w:p w14:paraId="5E757233">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751" w:type="dxa"/>
                  <w:vAlign w:val="center"/>
                </w:tcPr>
                <w:p w14:paraId="6F5DD598">
                  <w:pPr>
                    <w:keepNext/>
                    <w:overflowPunct w:val="0"/>
                    <w:adjustRightInd w:val="0"/>
                    <w:snapToGrid w:val="0"/>
                    <w:jc w:val="center"/>
                    <w:outlineLvl w:val="0"/>
                    <w:rPr>
                      <w:rFonts w:hint="eastAsia"/>
                      <w:bCs/>
                      <w:color w:val="auto"/>
                      <w:kern w:val="44"/>
                      <w:szCs w:val="21"/>
                    </w:rPr>
                  </w:pPr>
                  <w:r>
                    <w:rPr>
                      <w:rFonts w:hint="eastAsia"/>
                      <w:bCs/>
                      <w:color w:val="auto"/>
                      <w:kern w:val="44"/>
                      <w:szCs w:val="21"/>
                    </w:rPr>
                    <w:t>0</w:t>
                  </w:r>
                </w:p>
              </w:tc>
            </w:tr>
            <w:tr w14:paraId="40E0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06" w:type="pct"/>
                  <w:vAlign w:val="center"/>
                </w:tcPr>
                <w:p w14:paraId="6CE88A0E">
                  <w:pPr>
                    <w:autoSpaceDE w:val="0"/>
                    <w:autoSpaceDN w:val="0"/>
                    <w:adjustRightInd w:val="0"/>
                    <w:snapToGrid w:val="0"/>
                    <w:jc w:val="center"/>
                    <w:rPr>
                      <w:bCs/>
                      <w:color w:val="auto"/>
                      <w:szCs w:val="21"/>
                    </w:rPr>
                  </w:pPr>
                  <w:r>
                    <w:rPr>
                      <w:bCs/>
                      <w:color w:val="auto"/>
                      <w:szCs w:val="21"/>
                    </w:rPr>
                    <w:t>MBR</w:t>
                  </w:r>
                </w:p>
              </w:tc>
              <w:tc>
                <w:tcPr>
                  <w:tcW w:w="290" w:type="pct"/>
                  <w:vAlign w:val="center"/>
                </w:tcPr>
                <w:p w14:paraId="30052CC1">
                  <w:pPr>
                    <w:keepNext/>
                    <w:overflowPunct w:val="0"/>
                    <w:adjustRightInd w:val="0"/>
                    <w:snapToGrid w:val="0"/>
                    <w:jc w:val="center"/>
                    <w:outlineLvl w:val="0"/>
                    <w:rPr>
                      <w:bCs/>
                      <w:color w:val="auto"/>
                      <w:szCs w:val="21"/>
                    </w:rPr>
                  </w:pPr>
                  <w:r>
                    <w:rPr>
                      <w:bCs/>
                      <w:color w:val="auto"/>
                      <w:kern w:val="44"/>
                      <w:szCs w:val="21"/>
                    </w:rPr>
                    <w:t>/</w:t>
                  </w:r>
                </w:p>
              </w:tc>
              <w:tc>
                <w:tcPr>
                  <w:tcW w:w="475" w:type="pct"/>
                  <w:vAlign w:val="center"/>
                </w:tcPr>
                <w:p w14:paraId="5192B0B8">
                  <w:pPr>
                    <w:keepNext/>
                    <w:overflowPunct w:val="0"/>
                    <w:adjustRightInd w:val="0"/>
                    <w:snapToGrid w:val="0"/>
                    <w:jc w:val="center"/>
                    <w:outlineLvl w:val="0"/>
                    <w:rPr>
                      <w:bCs/>
                      <w:color w:val="auto"/>
                      <w:szCs w:val="21"/>
                    </w:rPr>
                  </w:pPr>
                  <w:r>
                    <w:rPr>
                      <w:rFonts w:hint="eastAsia"/>
                      <w:bCs/>
                      <w:color w:val="auto"/>
                      <w:kern w:val="44"/>
                      <w:szCs w:val="21"/>
                    </w:rPr>
                    <w:t>85</w:t>
                  </w:r>
                </w:p>
              </w:tc>
              <w:tc>
                <w:tcPr>
                  <w:tcW w:w="442" w:type="pct"/>
                  <w:vAlign w:val="center"/>
                </w:tcPr>
                <w:p w14:paraId="03925D10">
                  <w:pPr>
                    <w:keepNext/>
                    <w:overflowPunct w:val="0"/>
                    <w:adjustRightInd w:val="0"/>
                    <w:snapToGrid w:val="0"/>
                    <w:jc w:val="center"/>
                    <w:outlineLvl w:val="0"/>
                    <w:rPr>
                      <w:bCs/>
                      <w:color w:val="auto"/>
                      <w:szCs w:val="21"/>
                    </w:rPr>
                  </w:pPr>
                  <w:r>
                    <w:rPr>
                      <w:rFonts w:hint="eastAsia"/>
                      <w:bCs/>
                      <w:color w:val="auto"/>
                      <w:kern w:val="44"/>
                      <w:szCs w:val="21"/>
                    </w:rPr>
                    <w:t>90</w:t>
                  </w:r>
                </w:p>
              </w:tc>
              <w:tc>
                <w:tcPr>
                  <w:tcW w:w="353" w:type="pct"/>
                  <w:vAlign w:val="center"/>
                </w:tcPr>
                <w:p w14:paraId="2108D69A">
                  <w:pPr>
                    <w:keepNext/>
                    <w:overflowPunct w:val="0"/>
                    <w:adjustRightInd w:val="0"/>
                    <w:snapToGrid w:val="0"/>
                    <w:jc w:val="center"/>
                    <w:outlineLvl w:val="0"/>
                    <w:rPr>
                      <w:rFonts w:hint="default" w:eastAsia="宋体"/>
                      <w:bCs/>
                      <w:color w:val="auto"/>
                      <w:szCs w:val="21"/>
                      <w:lang w:val="en-US" w:eastAsia="zh-CN"/>
                    </w:rPr>
                  </w:pPr>
                  <w:r>
                    <w:rPr>
                      <w:rFonts w:hint="eastAsia"/>
                      <w:bCs/>
                      <w:color w:val="auto"/>
                      <w:kern w:val="44"/>
                      <w:szCs w:val="21"/>
                      <w:lang w:val="en-US" w:eastAsia="zh-CN"/>
                    </w:rPr>
                    <w:t>90</w:t>
                  </w:r>
                </w:p>
              </w:tc>
              <w:tc>
                <w:tcPr>
                  <w:tcW w:w="362" w:type="pct"/>
                  <w:vAlign w:val="center"/>
                </w:tcPr>
                <w:p w14:paraId="6B1D96BA">
                  <w:pPr>
                    <w:keepNext/>
                    <w:overflowPunct w:val="0"/>
                    <w:adjustRightInd w:val="0"/>
                    <w:snapToGrid w:val="0"/>
                    <w:jc w:val="center"/>
                    <w:outlineLvl w:val="0"/>
                    <w:rPr>
                      <w:bCs/>
                      <w:color w:val="auto"/>
                      <w:szCs w:val="21"/>
                    </w:rPr>
                  </w:pPr>
                  <w:r>
                    <w:rPr>
                      <w:rFonts w:hint="eastAsia"/>
                      <w:bCs/>
                      <w:color w:val="auto"/>
                      <w:kern w:val="44"/>
                      <w:szCs w:val="21"/>
                    </w:rPr>
                    <w:t>85</w:t>
                  </w:r>
                </w:p>
              </w:tc>
              <w:tc>
                <w:tcPr>
                  <w:tcW w:w="430" w:type="pct"/>
                  <w:vAlign w:val="center"/>
                </w:tcPr>
                <w:p w14:paraId="692C5408">
                  <w:pPr>
                    <w:keepNext/>
                    <w:overflowPunct w:val="0"/>
                    <w:adjustRightInd w:val="0"/>
                    <w:snapToGrid w:val="0"/>
                    <w:jc w:val="center"/>
                    <w:outlineLvl w:val="0"/>
                    <w:rPr>
                      <w:bCs/>
                      <w:color w:val="auto"/>
                      <w:szCs w:val="21"/>
                    </w:rPr>
                  </w:pPr>
                  <w:r>
                    <w:rPr>
                      <w:rFonts w:hint="eastAsia"/>
                      <w:bCs/>
                      <w:color w:val="auto"/>
                      <w:kern w:val="44"/>
                      <w:szCs w:val="21"/>
                    </w:rPr>
                    <w:t>70</w:t>
                  </w:r>
                </w:p>
              </w:tc>
              <w:tc>
                <w:tcPr>
                  <w:tcW w:w="325" w:type="pct"/>
                  <w:vAlign w:val="center"/>
                </w:tcPr>
                <w:p w14:paraId="64A0977D">
                  <w:pPr>
                    <w:keepNext/>
                    <w:overflowPunct w:val="0"/>
                    <w:adjustRightInd w:val="0"/>
                    <w:snapToGrid w:val="0"/>
                    <w:jc w:val="center"/>
                    <w:outlineLvl w:val="0"/>
                    <w:rPr>
                      <w:bCs/>
                      <w:color w:val="auto"/>
                      <w:szCs w:val="21"/>
                    </w:rPr>
                  </w:pPr>
                  <w:r>
                    <w:rPr>
                      <w:rFonts w:hint="eastAsia"/>
                      <w:bCs/>
                      <w:color w:val="auto"/>
                      <w:kern w:val="44"/>
                      <w:szCs w:val="21"/>
                    </w:rPr>
                    <w:t>40</w:t>
                  </w:r>
                </w:p>
              </w:tc>
              <w:tc>
                <w:tcPr>
                  <w:tcW w:w="309" w:type="pct"/>
                  <w:vAlign w:val="center"/>
                </w:tcPr>
                <w:p w14:paraId="7FE0756A">
                  <w:pPr>
                    <w:pStyle w:val="3"/>
                    <w:adjustRightInd w:val="0"/>
                    <w:spacing w:before="0" w:after="0" w:line="240" w:lineRule="auto"/>
                    <w:ind w:left="0" w:firstLine="0"/>
                    <w:jc w:val="center"/>
                    <w:rPr>
                      <w:rFonts w:eastAsia="宋体"/>
                      <w:b w:val="0"/>
                      <w:color w:val="auto"/>
                      <w:sz w:val="21"/>
                      <w:szCs w:val="21"/>
                    </w:rPr>
                  </w:pPr>
                  <w:r>
                    <w:rPr>
                      <w:rFonts w:hint="eastAsia" w:eastAsia="宋体"/>
                      <w:b w:val="0"/>
                      <w:color w:val="auto"/>
                      <w:sz w:val="21"/>
                      <w:szCs w:val="21"/>
                    </w:rPr>
                    <w:t>70</w:t>
                  </w:r>
                </w:p>
              </w:tc>
              <w:tc>
                <w:tcPr>
                  <w:tcW w:w="321" w:type="pct"/>
                  <w:vAlign w:val="center"/>
                </w:tcPr>
                <w:p w14:paraId="61056FFF">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321" w:type="pct"/>
                  <w:vAlign w:val="center"/>
                </w:tcPr>
                <w:p w14:paraId="28A679A8">
                  <w:pPr>
                    <w:keepNext/>
                    <w:overflowPunct w:val="0"/>
                    <w:adjustRightInd w:val="0"/>
                    <w:snapToGrid w:val="0"/>
                    <w:jc w:val="center"/>
                    <w:outlineLvl w:val="0"/>
                    <w:rPr>
                      <w:bCs/>
                      <w:color w:val="auto"/>
                      <w:kern w:val="44"/>
                      <w:szCs w:val="21"/>
                    </w:rPr>
                  </w:pPr>
                  <w:r>
                    <w:rPr>
                      <w:rFonts w:hint="eastAsia"/>
                      <w:bCs/>
                      <w:color w:val="auto"/>
                      <w:kern w:val="44"/>
                      <w:szCs w:val="21"/>
                    </w:rPr>
                    <w:t>0</w:t>
                  </w:r>
                </w:p>
              </w:tc>
              <w:tc>
                <w:tcPr>
                  <w:tcW w:w="751" w:type="dxa"/>
                  <w:vAlign w:val="center"/>
                </w:tcPr>
                <w:p w14:paraId="53DE008B">
                  <w:pPr>
                    <w:keepNext/>
                    <w:overflowPunct w:val="0"/>
                    <w:adjustRightInd w:val="0"/>
                    <w:snapToGrid w:val="0"/>
                    <w:jc w:val="center"/>
                    <w:outlineLvl w:val="0"/>
                    <w:rPr>
                      <w:rFonts w:hint="eastAsia"/>
                      <w:bCs/>
                      <w:color w:val="auto"/>
                      <w:kern w:val="44"/>
                      <w:szCs w:val="21"/>
                    </w:rPr>
                  </w:pPr>
                  <w:r>
                    <w:rPr>
                      <w:rFonts w:hint="eastAsia"/>
                      <w:bCs/>
                      <w:color w:val="auto"/>
                      <w:kern w:val="44"/>
                      <w:szCs w:val="21"/>
                    </w:rPr>
                    <w:t>0</w:t>
                  </w:r>
                </w:p>
              </w:tc>
            </w:tr>
            <w:tr w14:paraId="27EA7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335A294D">
                  <w:pPr>
                    <w:autoSpaceDE w:val="0"/>
                    <w:autoSpaceDN w:val="0"/>
                    <w:adjustRightInd w:val="0"/>
                    <w:snapToGrid w:val="0"/>
                    <w:jc w:val="center"/>
                    <w:rPr>
                      <w:bCs/>
                      <w:color w:val="auto"/>
                      <w:szCs w:val="21"/>
                    </w:rPr>
                  </w:pPr>
                  <w:r>
                    <w:rPr>
                      <w:bCs/>
                      <w:color w:val="auto"/>
                      <w:szCs w:val="21"/>
                    </w:rPr>
                    <w:t>砂滤+碳滤+精密过滤+</w:t>
                  </w:r>
                  <w:r>
                    <w:rPr>
                      <w:rFonts w:hint="eastAsia"/>
                      <w:bCs/>
                      <w:color w:val="auto"/>
                      <w:szCs w:val="21"/>
                    </w:rPr>
                    <w:t>二段RO</w:t>
                  </w:r>
                </w:p>
              </w:tc>
              <w:tc>
                <w:tcPr>
                  <w:tcW w:w="290" w:type="pct"/>
                  <w:vAlign w:val="center"/>
                </w:tcPr>
                <w:p w14:paraId="24EF3901">
                  <w:pPr>
                    <w:keepNext/>
                    <w:overflowPunct w:val="0"/>
                    <w:adjustRightInd w:val="0"/>
                    <w:snapToGrid w:val="0"/>
                    <w:jc w:val="center"/>
                    <w:outlineLvl w:val="0"/>
                    <w:rPr>
                      <w:bCs/>
                      <w:color w:val="auto"/>
                      <w:szCs w:val="21"/>
                    </w:rPr>
                  </w:pPr>
                  <w:r>
                    <w:rPr>
                      <w:bCs/>
                      <w:color w:val="auto"/>
                      <w:kern w:val="44"/>
                      <w:szCs w:val="21"/>
                    </w:rPr>
                    <w:t>/</w:t>
                  </w:r>
                </w:p>
              </w:tc>
              <w:tc>
                <w:tcPr>
                  <w:tcW w:w="475" w:type="pct"/>
                  <w:vAlign w:val="center"/>
                </w:tcPr>
                <w:p w14:paraId="086AA087">
                  <w:pPr>
                    <w:keepNext/>
                    <w:overflowPunct w:val="0"/>
                    <w:adjustRightInd w:val="0"/>
                    <w:snapToGrid w:val="0"/>
                    <w:jc w:val="center"/>
                    <w:outlineLvl w:val="0"/>
                    <w:rPr>
                      <w:bCs/>
                      <w:color w:val="auto"/>
                      <w:szCs w:val="21"/>
                    </w:rPr>
                  </w:pPr>
                  <w:r>
                    <w:rPr>
                      <w:rFonts w:hint="eastAsia"/>
                      <w:bCs/>
                      <w:color w:val="auto"/>
                      <w:szCs w:val="21"/>
                    </w:rPr>
                    <w:t>50</w:t>
                  </w:r>
                </w:p>
              </w:tc>
              <w:tc>
                <w:tcPr>
                  <w:tcW w:w="442" w:type="pct"/>
                  <w:vAlign w:val="center"/>
                </w:tcPr>
                <w:p w14:paraId="7D9D0141">
                  <w:pPr>
                    <w:keepNext/>
                    <w:overflowPunct w:val="0"/>
                    <w:adjustRightInd w:val="0"/>
                    <w:snapToGrid w:val="0"/>
                    <w:jc w:val="center"/>
                    <w:outlineLvl w:val="0"/>
                    <w:rPr>
                      <w:bCs/>
                      <w:color w:val="auto"/>
                      <w:szCs w:val="21"/>
                    </w:rPr>
                  </w:pPr>
                  <w:r>
                    <w:rPr>
                      <w:rFonts w:hint="eastAsia"/>
                      <w:bCs/>
                      <w:color w:val="auto"/>
                      <w:szCs w:val="21"/>
                    </w:rPr>
                    <w:t>50</w:t>
                  </w:r>
                </w:p>
              </w:tc>
              <w:tc>
                <w:tcPr>
                  <w:tcW w:w="353" w:type="pct"/>
                  <w:vAlign w:val="center"/>
                </w:tcPr>
                <w:p w14:paraId="0B460CE2">
                  <w:pPr>
                    <w:widowControl/>
                    <w:jc w:val="center"/>
                    <w:textAlignment w:val="center"/>
                    <w:rPr>
                      <w:bCs/>
                      <w:color w:val="auto"/>
                      <w:szCs w:val="21"/>
                    </w:rPr>
                  </w:pPr>
                  <w:r>
                    <w:rPr>
                      <w:rFonts w:hint="eastAsia"/>
                      <w:color w:val="auto"/>
                      <w:kern w:val="0"/>
                      <w:szCs w:val="21"/>
                      <w:lang w:bidi="ar"/>
                    </w:rPr>
                    <w:t>50</w:t>
                  </w:r>
                </w:p>
              </w:tc>
              <w:tc>
                <w:tcPr>
                  <w:tcW w:w="362" w:type="pct"/>
                  <w:vAlign w:val="center"/>
                </w:tcPr>
                <w:p w14:paraId="1968EDBB">
                  <w:pPr>
                    <w:keepNext/>
                    <w:overflowPunct w:val="0"/>
                    <w:adjustRightInd w:val="0"/>
                    <w:snapToGrid w:val="0"/>
                    <w:jc w:val="center"/>
                    <w:outlineLvl w:val="0"/>
                    <w:rPr>
                      <w:bCs/>
                      <w:color w:val="auto"/>
                      <w:szCs w:val="21"/>
                    </w:rPr>
                  </w:pPr>
                  <w:r>
                    <w:rPr>
                      <w:rFonts w:hint="eastAsia"/>
                      <w:bCs/>
                      <w:color w:val="auto"/>
                      <w:szCs w:val="21"/>
                    </w:rPr>
                    <w:t>50</w:t>
                  </w:r>
                </w:p>
              </w:tc>
              <w:tc>
                <w:tcPr>
                  <w:tcW w:w="430" w:type="pct"/>
                  <w:vAlign w:val="center"/>
                </w:tcPr>
                <w:p w14:paraId="6974D82D">
                  <w:pPr>
                    <w:keepNext/>
                    <w:overflowPunct w:val="0"/>
                    <w:adjustRightInd w:val="0"/>
                    <w:snapToGrid w:val="0"/>
                    <w:jc w:val="center"/>
                    <w:outlineLvl w:val="0"/>
                    <w:rPr>
                      <w:bCs/>
                      <w:color w:val="auto"/>
                      <w:szCs w:val="21"/>
                    </w:rPr>
                  </w:pPr>
                  <w:r>
                    <w:rPr>
                      <w:rFonts w:hint="eastAsia"/>
                      <w:bCs/>
                      <w:color w:val="auto"/>
                      <w:szCs w:val="21"/>
                    </w:rPr>
                    <w:t>50</w:t>
                  </w:r>
                </w:p>
              </w:tc>
              <w:tc>
                <w:tcPr>
                  <w:tcW w:w="325" w:type="pct"/>
                  <w:vAlign w:val="center"/>
                </w:tcPr>
                <w:p w14:paraId="42962DDC">
                  <w:pPr>
                    <w:keepNext/>
                    <w:overflowPunct w:val="0"/>
                    <w:adjustRightInd w:val="0"/>
                    <w:snapToGrid w:val="0"/>
                    <w:jc w:val="center"/>
                    <w:outlineLvl w:val="0"/>
                    <w:rPr>
                      <w:bCs/>
                      <w:color w:val="auto"/>
                      <w:szCs w:val="21"/>
                    </w:rPr>
                  </w:pPr>
                  <w:r>
                    <w:rPr>
                      <w:rFonts w:hint="eastAsia"/>
                      <w:bCs/>
                      <w:color w:val="auto"/>
                      <w:szCs w:val="21"/>
                    </w:rPr>
                    <w:t>50</w:t>
                  </w:r>
                </w:p>
              </w:tc>
              <w:tc>
                <w:tcPr>
                  <w:tcW w:w="309" w:type="pct"/>
                  <w:vAlign w:val="center"/>
                </w:tcPr>
                <w:p w14:paraId="166A1FE6">
                  <w:pPr>
                    <w:keepNext/>
                    <w:overflowPunct w:val="0"/>
                    <w:adjustRightInd w:val="0"/>
                    <w:snapToGrid w:val="0"/>
                    <w:jc w:val="center"/>
                    <w:outlineLvl w:val="0"/>
                    <w:rPr>
                      <w:bCs/>
                      <w:color w:val="auto"/>
                      <w:szCs w:val="21"/>
                    </w:rPr>
                  </w:pPr>
                  <w:r>
                    <w:rPr>
                      <w:rFonts w:hint="eastAsia"/>
                      <w:bCs/>
                      <w:color w:val="auto"/>
                      <w:szCs w:val="21"/>
                    </w:rPr>
                    <w:t>50</w:t>
                  </w:r>
                </w:p>
              </w:tc>
              <w:tc>
                <w:tcPr>
                  <w:tcW w:w="321" w:type="pct"/>
                  <w:vAlign w:val="center"/>
                </w:tcPr>
                <w:p w14:paraId="00567F45">
                  <w:pPr>
                    <w:keepNext/>
                    <w:overflowPunct w:val="0"/>
                    <w:adjustRightInd w:val="0"/>
                    <w:snapToGrid w:val="0"/>
                    <w:jc w:val="center"/>
                    <w:outlineLvl w:val="0"/>
                    <w:rPr>
                      <w:bCs/>
                      <w:color w:val="auto"/>
                      <w:szCs w:val="21"/>
                    </w:rPr>
                  </w:pPr>
                  <w:r>
                    <w:rPr>
                      <w:rFonts w:hint="eastAsia"/>
                      <w:bCs/>
                      <w:color w:val="auto"/>
                      <w:kern w:val="44"/>
                      <w:szCs w:val="21"/>
                    </w:rPr>
                    <w:t>0</w:t>
                  </w:r>
                </w:p>
              </w:tc>
              <w:tc>
                <w:tcPr>
                  <w:tcW w:w="321" w:type="pct"/>
                  <w:vAlign w:val="center"/>
                </w:tcPr>
                <w:p w14:paraId="115D1CD6">
                  <w:pPr>
                    <w:keepNext/>
                    <w:overflowPunct w:val="0"/>
                    <w:adjustRightInd w:val="0"/>
                    <w:snapToGrid w:val="0"/>
                    <w:jc w:val="center"/>
                    <w:outlineLvl w:val="0"/>
                    <w:rPr>
                      <w:bCs/>
                      <w:color w:val="auto"/>
                      <w:szCs w:val="21"/>
                    </w:rPr>
                  </w:pPr>
                  <w:r>
                    <w:rPr>
                      <w:rFonts w:hint="eastAsia"/>
                      <w:bCs/>
                      <w:color w:val="auto"/>
                      <w:kern w:val="44"/>
                      <w:szCs w:val="21"/>
                    </w:rPr>
                    <w:t>0</w:t>
                  </w:r>
                </w:p>
              </w:tc>
              <w:tc>
                <w:tcPr>
                  <w:tcW w:w="751" w:type="dxa"/>
                  <w:vAlign w:val="center"/>
                </w:tcPr>
                <w:p w14:paraId="3973C5D4">
                  <w:pPr>
                    <w:keepNext/>
                    <w:overflowPunct w:val="0"/>
                    <w:adjustRightInd w:val="0"/>
                    <w:snapToGrid w:val="0"/>
                    <w:jc w:val="center"/>
                    <w:outlineLvl w:val="0"/>
                    <w:rPr>
                      <w:rFonts w:hint="eastAsia"/>
                      <w:bCs/>
                      <w:color w:val="auto"/>
                      <w:kern w:val="44"/>
                      <w:szCs w:val="21"/>
                    </w:rPr>
                  </w:pPr>
                  <w:r>
                    <w:rPr>
                      <w:rFonts w:hint="eastAsia"/>
                      <w:bCs/>
                      <w:color w:val="auto"/>
                      <w:kern w:val="44"/>
                      <w:szCs w:val="21"/>
                    </w:rPr>
                    <w:t>0</w:t>
                  </w:r>
                </w:p>
              </w:tc>
            </w:tr>
            <w:tr w14:paraId="427A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6" w:type="pct"/>
                  <w:vAlign w:val="center"/>
                </w:tcPr>
                <w:p w14:paraId="64FBBEC2">
                  <w:pPr>
                    <w:autoSpaceDE w:val="0"/>
                    <w:autoSpaceDN w:val="0"/>
                    <w:adjustRightInd w:val="0"/>
                    <w:snapToGrid w:val="0"/>
                    <w:jc w:val="center"/>
                    <w:rPr>
                      <w:bCs/>
                      <w:color w:val="auto"/>
                      <w:szCs w:val="21"/>
                    </w:rPr>
                  </w:pPr>
                  <w:r>
                    <w:rPr>
                      <w:rFonts w:hint="eastAsia"/>
                      <w:bCs/>
                      <w:color w:val="auto"/>
                      <w:szCs w:val="21"/>
                    </w:rPr>
                    <w:t>合计</w:t>
                  </w:r>
                </w:p>
              </w:tc>
              <w:tc>
                <w:tcPr>
                  <w:tcW w:w="290" w:type="pct"/>
                  <w:vAlign w:val="center"/>
                </w:tcPr>
                <w:p w14:paraId="28D20952">
                  <w:pPr>
                    <w:keepNext/>
                    <w:overflowPunct w:val="0"/>
                    <w:adjustRightInd w:val="0"/>
                    <w:snapToGrid w:val="0"/>
                    <w:jc w:val="center"/>
                    <w:outlineLvl w:val="0"/>
                    <w:rPr>
                      <w:bCs/>
                      <w:color w:val="auto"/>
                      <w:kern w:val="44"/>
                      <w:szCs w:val="21"/>
                    </w:rPr>
                  </w:pPr>
                  <w:r>
                    <w:rPr>
                      <w:rFonts w:hint="eastAsia"/>
                      <w:bCs/>
                      <w:color w:val="auto"/>
                      <w:kern w:val="44"/>
                      <w:szCs w:val="21"/>
                    </w:rPr>
                    <w:t>/</w:t>
                  </w:r>
                </w:p>
              </w:tc>
              <w:tc>
                <w:tcPr>
                  <w:tcW w:w="475" w:type="pct"/>
                  <w:vAlign w:val="center"/>
                </w:tcPr>
                <w:p w14:paraId="1CBC5766">
                  <w:pPr>
                    <w:widowControl/>
                    <w:jc w:val="center"/>
                    <w:textAlignment w:val="center"/>
                    <w:rPr>
                      <w:bCs/>
                      <w:color w:val="auto"/>
                      <w:szCs w:val="21"/>
                    </w:rPr>
                  </w:pPr>
                  <w:r>
                    <w:rPr>
                      <w:color w:val="auto"/>
                      <w:kern w:val="0"/>
                      <w:szCs w:val="21"/>
                      <w:lang w:bidi="ar"/>
                    </w:rPr>
                    <w:t>99.4</w:t>
                  </w:r>
                </w:p>
              </w:tc>
              <w:tc>
                <w:tcPr>
                  <w:tcW w:w="442" w:type="pct"/>
                  <w:vAlign w:val="center"/>
                </w:tcPr>
                <w:p w14:paraId="007197E9">
                  <w:pPr>
                    <w:widowControl/>
                    <w:jc w:val="center"/>
                    <w:textAlignment w:val="center"/>
                    <w:rPr>
                      <w:bCs/>
                      <w:color w:val="auto"/>
                      <w:szCs w:val="21"/>
                    </w:rPr>
                  </w:pPr>
                  <w:r>
                    <w:rPr>
                      <w:color w:val="auto"/>
                      <w:kern w:val="0"/>
                      <w:szCs w:val="21"/>
                      <w:lang w:bidi="ar"/>
                    </w:rPr>
                    <w:t>99.5</w:t>
                  </w:r>
                </w:p>
              </w:tc>
              <w:tc>
                <w:tcPr>
                  <w:tcW w:w="353" w:type="pct"/>
                  <w:vAlign w:val="center"/>
                </w:tcPr>
                <w:p w14:paraId="20DD6D6F">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98.2</w:t>
                  </w:r>
                </w:p>
              </w:tc>
              <w:tc>
                <w:tcPr>
                  <w:tcW w:w="362" w:type="pct"/>
                  <w:vAlign w:val="center"/>
                </w:tcPr>
                <w:p w14:paraId="69BC001B">
                  <w:pPr>
                    <w:widowControl/>
                    <w:jc w:val="center"/>
                    <w:textAlignment w:val="center"/>
                    <w:rPr>
                      <w:bCs/>
                      <w:color w:val="auto"/>
                      <w:szCs w:val="21"/>
                    </w:rPr>
                  </w:pPr>
                  <w:r>
                    <w:rPr>
                      <w:color w:val="auto"/>
                      <w:kern w:val="0"/>
                      <w:szCs w:val="21"/>
                      <w:lang w:bidi="ar"/>
                    </w:rPr>
                    <w:t>98.9</w:t>
                  </w:r>
                </w:p>
              </w:tc>
              <w:tc>
                <w:tcPr>
                  <w:tcW w:w="430" w:type="pct"/>
                  <w:vAlign w:val="center"/>
                </w:tcPr>
                <w:p w14:paraId="6C5D0DC5">
                  <w:pPr>
                    <w:widowControl/>
                    <w:jc w:val="center"/>
                    <w:textAlignment w:val="center"/>
                    <w:rPr>
                      <w:bCs/>
                      <w:color w:val="auto"/>
                      <w:szCs w:val="21"/>
                    </w:rPr>
                  </w:pPr>
                  <w:r>
                    <w:rPr>
                      <w:color w:val="auto"/>
                      <w:kern w:val="0"/>
                      <w:szCs w:val="21"/>
                      <w:lang w:bidi="ar"/>
                    </w:rPr>
                    <w:t>99.3</w:t>
                  </w:r>
                </w:p>
              </w:tc>
              <w:tc>
                <w:tcPr>
                  <w:tcW w:w="325" w:type="pct"/>
                  <w:vAlign w:val="center"/>
                </w:tcPr>
                <w:p w14:paraId="48E62DC3">
                  <w:pPr>
                    <w:widowControl/>
                    <w:jc w:val="center"/>
                    <w:textAlignment w:val="center"/>
                    <w:rPr>
                      <w:bCs/>
                      <w:color w:val="auto"/>
                      <w:szCs w:val="21"/>
                    </w:rPr>
                  </w:pPr>
                  <w:r>
                    <w:rPr>
                      <w:color w:val="auto"/>
                      <w:kern w:val="0"/>
                      <w:szCs w:val="21"/>
                      <w:lang w:bidi="ar"/>
                    </w:rPr>
                    <w:t>99.6</w:t>
                  </w:r>
                </w:p>
              </w:tc>
              <w:tc>
                <w:tcPr>
                  <w:tcW w:w="309" w:type="pct"/>
                  <w:vAlign w:val="center"/>
                </w:tcPr>
                <w:p w14:paraId="41765A98">
                  <w:pPr>
                    <w:widowControl/>
                    <w:jc w:val="center"/>
                    <w:textAlignment w:val="center"/>
                    <w:rPr>
                      <w:bCs/>
                      <w:color w:val="auto"/>
                      <w:szCs w:val="21"/>
                    </w:rPr>
                  </w:pPr>
                  <w:r>
                    <w:rPr>
                      <w:color w:val="auto"/>
                      <w:kern w:val="0"/>
                      <w:szCs w:val="21"/>
                      <w:lang w:bidi="ar"/>
                    </w:rPr>
                    <w:t>96.4</w:t>
                  </w:r>
                </w:p>
              </w:tc>
              <w:tc>
                <w:tcPr>
                  <w:tcW w:w="321" w:type="pct"/>
                  <w:vAlign w:val="center"/>
                </w:tcPr>
                <w:p w14:paraId="747E615E">
                  <w:pPr>
                    <w:widowControl/>
                    <w:jc w:val="center"/>
                    <w:textAlignment w:val="center"/>
                    <w:rPr>
                      <w:bCs/>
                      <w:color w:val="auto"/>
                      <w:kern w:val="44"/>
                      <w:szCs w:val="21"/>
                    </w:rPr>
                  </w:pPr>
                  <w:r>
                    <w:rPr>
                      <w:color w:val="auto"/>
                      <w:kern w:val="0"/>
                      <w:szCs w:val="21"/>
                      <w:lang w:bidi="ar"/>
                    </w:rPr>
                    <w:t>99.8</w:t>
                  </w:r>
                </w:p>
              </w:tc>
              <w:tc>
                <w:tcPr>
                  <w:tcW w:w="321" w:type="pct"/>
                  <w:vAlign w:val="center"/>
                </w:tcPr>
                <w:p w14:paraId="2F6A3F6C">
                  <w:pPr>
                    <w:widowControl/>
                    <w:jc w:val="center"/>
                    <w:textAlignment w:val="center"/>
                    <w:rPr>
                      <w:bCs/>
                      <w:color w:val="auto"/>
                      <w:kern w:val="44"/>
                      <w:szCs w:val="21"/>
                    </w:rPr>
                  </w:pPr>
                  <w:r>
                    <w:rPr>
                      <w:color w:val="auto"/>
                      <w:kern w:val="0"/>
                      <w:szCs w:val="21"/>
                      <w:lang w:bidi="ar"/>
                    </w:rPr>
                    <w:t>99.8</w:t>
                  </w:r>
                </w:p>
              </w:tc>
              <w:tc>
                <w:tcPr>
                  <w:tcW w:w="751" w:type="dxa"/>
                  <w:vAlign w:val="center"/>
                </w:tcPr>
                <w:p w14:paraId="44D94A3A">
                  <w:pPr>
                    <w:widowControl/>
                    <w:jc w:val="center"/>
                    <w:textAlignment w:val="center"/>
                    <w:rPr>
                      <w:color w:val="auto"/>
                      <w:kern w:val="0"/>
                      <w:szCs w:val="21"/>
                      <w:lang w:bidi="ar"/>
                    </w:rPr>
                  </w:pPr>
                  <w:r>
                    <w:rPr>
                      <w:color w:val="auto"/>
                      <w:kern w:val="0"/>
                      <w:szCs w:val="21"/>
                      <w:lang w:bidi="ar"/>
                    </w:rPr>
                    <w:t>99.8</w:t>
                  </w:r>
                </w:p>
              </w:tc>
            </w:tr>
          </w:tbl>
          <w:p w14:paraId="6CD8497D">
            <w:pPr>
              <w:widowControl/>
              <w:tabs>
                <w:tab w:val="left" w:pos="0"/>
              </w:tabs>
              <w:autoSpaceDE w:val="0"/>
              <w:autoSpaceDN w:val="0"/>
              <w:adjustRightInd w:val="0"/>
              <w:snapToGrid w:val="0"/>
              <w:spacing w:before="120" w:beforeLines="50" w:line="360" w:lineRule="auto"/>
              <w:ind w:firstLine="480" w:firstLineChars="200"/>
              <w:rPr>
                <w:color w:val="auto"/>
                <w:sz w:val="24"/>
              </w:rPr>
            </w:pPr>
            <w:r>
              <w:rPr>
                <w:color w:val="auto"/>
                <w:sz w:val="24"/>
              </w:rPr>
              <w:t>本项目生产废水经自建废水</w:t>
            </w:r>
            <w:r>
              <w:rPr>
                <w:rFonts w:hint="eastAsia"/>
                <w:color w:val="auto"/>
                <w:sz w:val="24"/>
              </w:rPr>
              <w:t>处理设施</w:t>
            </w:r>
            <w:r>
              <w:rPr>
                <w:color w:val="auto"/>
                <w:sz w:val="24"/>
              </w:rPr>
              <w:t>处理后，出水水质情况见下表。</w:t>
            </w:r>
          </w:p>
          <w:p w14:paraId="40884050">
            <w:pPr>
              <w:pStyle w:val="77"/>
              <w:numPr>
                <w:ilvl w:val="0"/>
                <w:numId w:val="18"/>
              </w:numPr>
              <w:adjustRightInd w:val="0"/>
              <w:snapToGrid w:val="0"/>
              <w:jc w:val="center"/>
              <w:rPr>
                <w:b/>
                <w:bCs/>
                <w:color w:val="auto"/>
              </w:rPr>
            </w:pPr>
            <w:r>
              <w:rPr>
                <w:b/>
                <w:bCs/>
                <w:color w:val="auto"/>
              </w:rPr>
              <w:t>本项目生产废水出水水质一览表</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737"/>
              <w:gridCol w:w="883"/>
              <w:gridCol w:w="917"/>
              <w:gridCol w:w="783"/>
              <w:gridCol w:w="842"/>
              <w:gridCol w:w="941"/>
              <w:gridCol w:w="767"/>
              <w:gridCol w:w="850"/>
              <w:gridCol w:w="883"/>
              <w:gridCol w:w="792"/>
              <w:gridCol w:w="825"/>
            </w:tblGrid>
            <w:tr w14:paraId="0719C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3" w:type="pct"/>
                  <w:vAlign w:val="center"/>
                </w:tcPr>
                <w:p w14:paraId="4618194D">
                  <w:pPr>
                    <w:autoSpaceDE w:val="0"/>
                    <w:autoSpaceDN w:val="0"/>
                    <w:adjustRightInd w:val="0"/>
                    <w:snapToGrid w:val="0"/>
                    <w:jc w:val="center"/>
                    <w:rPr>
                      <w:b/>
                      <w:color w:val="auto"/>
                      <w:szCs w:val="21"/>
                    </w:rPr>
                  </w:pPr>
                  <w:r>
                    <w:rPr>
                      <w:b/>
                      <w:color w:val="auto"/>
                      <w:szCs w:val="21"/>
                    </w:rPr>
                    <w:t>污染物</w:t>
                  </w:r>
                </w:p>
              </w:tc>
              <w:tc>
                <w:tcPr>
                  <w:tcW w:w="355" w:type="pct"/>
                  <w:vAlign w:val="center"/>
                </w:tcPr>
                <w:p w14:paraId="258F6974">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pH</w:t>
                  </w:r>
                </w:p>
              </w:tc>
              <w:tc>
                <w:tcPr>
                  <w:tcW w:w="425" w:type="pct"/>
                  <w:vAlign w:val="center"/>
                </w:tcPr>
                <w:p w14:paraId="09CD4FC0">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kern w:val="2"/>
                      <w:sz w:val="21"/>
                      <w:szCs w:val="21"/>
                    </w:rPr>
                    <w:t>COD</w:t>
                  </w:r>
                  <w:r>
                    <w:rPr>
                      <w:rFonts w:eastAsia="宋体"/>
                      <w:bCs w:val="0"/>
                      <w:color w:val="auto"/>
                      <w:kern w:val="2"/>
                      <w:sz w:val="21"/>
                      <w:szCs w:val="21"/>
                      <w:vertAlign w:val="subscript"/>
                    </w:rPr>
                    <w:t>Cr</w:t>
                  </w:r>
                </w:p>
              </w:tc>
              <w:tc>
                <w:tcPr>
                  <w:tcW w:w="442" w:type="pct"/>
                  <w:vAlign w:val="center"/>
                </w:tcPr>
                <w:p w14:paraId="24792C9A">
                  <w:pPr>
                    <w:pStyle w:val="3"/>
                    <w:adjustRightInd w:val="0"/>
                    <w:spacing w:before="0" w:after="0" w:line="240" w:lineRule="auto"/>
                    <w:ind w:left="0" w:firstLine="0"/>
                    <w:jc w:val="center"/>
                    <w:rPr>
                      <w:rFonts w:eastAsia="宋体"/>
                      <w:bCs w:val="0"/>
                      <w:color w:val="auto"/>
                      <w:sz w:val="21"/>
                      <w:szCs w:val="21"/>
                    </w:rPr>
                  </w:pPr>
                  <w:r>
                    <w:rPr>
                      <w:rFonts w:eastAsia="宋体"/>
                      <w:color w:val="auto"/>
                      <w:kern w:val="2"/>
                      <w:sz w:val="21"/>
                      <w:szCs w:val="21"/>
                    </w:rPr>
                    <w:t>BOD</w:t>
                  </w:r>
                  <w:r>
                    <w:rPr>
                      <w:rFonts w:eastAsia="宋体"/>
                      <w:color w:val="auto"/>
                      <w:kern w:val="2"/>
                      <w:sz w:val="21"/>
                      <w:szCs w:val="21"/>
                      <w:vertAlign w:val="subscript"/>
                    </w:rPr>
                    <w:t>5</w:t>
                  </w:r>
                </w:p>
              </w:tc>
              <w:tc>
                <w:tcPr>
                  <w:tcW w:w="377" w:type="pct"/>
                  <w:vAlign w:val="center"/>
                </w:tcPr>
                <w:p w14:paraId="57B0DE18">
                  <w:pPr>
                    <w:pStyle w:val="3"/>
                    <w:adjustRightInd w:val="0"/>
                    <w:spacing w:before="0" w:after="0" w:line="240" w:lineRule="auto"/>
                    <w:ind w:left="0" w:firstLine="0"/>
                    <w:jc w:val="center"/>
                    <w:rPr>
                      <w:rFonts w:eastAsia="宋体"/>
                      <w:color w:val="auto"/>
                      <w:sz w:val="21"/>
                      <w:szCs w:val="21"/>
                    </w:rPr>
                  </w:pPr>
                  <w:r>
                    <w:rPr>
                      <w:rFonts w:eastAsia="宋体"/>
                      <w:bCs w:val="0"/>
                      <w:color w:val="auto"/>
                      <w:sz w:val="21"/>
                      <w:szCs w:val="21"/>
                    </w:rPr>
                    <w:t>SS</w:t>
                  </w:r>
                </w:p>
              </w:tc>
              <w:tc>
                <w:tcPr>
                  <w:tcW w:w="406" w:type="pct"/>
                  <w:vAlign w:val="center"/>
                </w:tcPr>
                <w:p w14:paraId="374529DE">
                  <w:pPr>
                    <w:pStyle w:val="3"/>
                    <w:adjustRightInd w:val="0"/>
                    <w:spacing w:before="0" w:after="0" w:line="240" w:lineRule="auto"/>
                    <w:ind w:left="0" w:firstLine="0"/>
                    <w:jc w:val="center"/>
                    <w:rPr>
                      <w:rFonts w:eastAsia="宋体"/>
                      <w:color w:val="auto"/>
                      <w:sz w:val="21"/>
                      <w:szCs w:val="21"/>
                    </w:rPr>
                  </w:pPr>
                  <w:r>
                    <w:rPr>
                      <w:rFonts w:eastAsia="宋体"/>
                      <w:color w:val="auto"/>
                      <w:sz w:val="21"/>
                      <w:szCs w:val="21"/>
                    </w:rPr>
                    <w:t>氨氮</w:t>
                  </w:r>
                </w:p>
              </w:tc>
              <w:tc>
                <w:tcPr>
                  <w:tcW w:w="453" w:type="pct"/>
                  <w:vAlign w:val="center"/>
                </w:tcPr>
                <w:p w14:paraId="7363F9BE">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石油类</w:t>
                  </w:r>
                </w:p>
              </w:tc>
              <w:tc>
                <w:tcPr>
                  <w:tcW w:w="369" w:type="pct"/>
                  <w:vAlign w:val="center"/>
                </w:tcPr>
                <w:p w14:paraId="5D70F4E5">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总磷</w:t>
                  </w:r>
                </w:p>
              </w:tc>
              <w:tc>
                <w:tcPr>
                  <w:tcW w:w="409" w:type="pct"/>
                  <w:vAlign w:val="center"/>
                </w:tcPr>
                <w:p w14:paraId="516FCD3B">
                  <w:pPr>
                    <w:pStyle w:val="3"/>
                    <w:adjustRightInd w:val="0"/>
                    <w:spacing w:before="0" w:after="0" w:line="240" w:lineRule="auto"/>
                    <w:ind w:left="0" w:firstLine="0"/>
                    <w:jc w:val="center"/>
                    <w:rPr>
                      <w:rFonts w:eastAsia="宋体"/>
                      <w:bCs w:val="0"/>
                      <w:color w:val="auto"/>
                      <w:sz w:val="21"/>
                      <w:szCs w:val="21"/>
                    </w:rPr>
                  </w:pPr>
                  <w:r>
                    <w:rPr>
                      <w:rFonts w:hint="eastAsia" w:eastAsia="宋体"/>
                      <w:bCs w:val="0"/>
                      <w:color w:val="auto"/>
                      <w:sz w:val="21"/>
                      <w:szCs w:val="21"/>
                    </w:rPr>
                    <w:t>总氮</w:t>
                  </w:r>
                </w:p>
              </w:tc>
              <w:tc>
                <w:tcPr>
                  <w:tcW w:w="425" w:type="pct"/>
                  <w:vAlign w:val="center"/>
                </w:tcPr>
                <w:p w14:paraId="49213AAF">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总锌</w:t>
                  </w:r>
                </w:p>
              </w:tc>
              <w:tc>
                <w:tcPr>
                  <w:tcW w:w="381" w:type="pct"/>
                  <w:vAlign w:val="center"/>
                </w:tcPr>
                <w:p w14:paraId="1AD514C8">
                  <w:pPr>
                    <w:pStyle w:val="3"/>
                    <w:adjustRightInd w:val="0"/>
                    <w:spacing w:before="0" w:after="0" w:line="240" w:lineRule="auto"/>
                    <w:ind w:left="0" w:firstLine="0"/>
                    <w:jc w:val="center"/>
                    <w:rPr>
                      <w:rFonts w:eastAsia="宋体"/>
                      <w:bCs w:val="0"/>
                      <w:color w:val="auto"/>
                      <w:sz w:val="21"/>
                      <w:szCs w:val="21"/>
                    </w:rPr>
                  </w:pPr>
                  <w:r>
                    <w:rPr>
                      <w:rFonts w:eastAsia="宋体"/>
                      <w:bCs w:val="0"/>
                      <w:color w:val="auto"/>
                      <w:sz w:val="21"/>
                      <w:szCs w:val="21"/>
                    </w:rPr>
                    <w:t>总铁</w:t>
                  </w:r>
                </w:p>
              </w:tc>
              <w:tc>
                <w:tcPr>
                  <w:tcW w:w="397" w:type="pct"/>
                  <w:vAlign w:val="center"/>
                </w:tcPr>
                <w:p w14:paraId="41D35AB2">
                  <w:pPr>
                    <w:pStyle w:val="3"/>
                    <w:adjustRightInd w:val="0"/>
                    <w:spacing w:before="0" w:after="0" w:line="240" w:lineRule="auto"/>
                    <w:ind w:left="0" w:firstLine="0"/>
                    <w:jc w:val="center"/>
                    <w:rPr>
                      <w:rFonts w:hint="eastAsia" w:eastAsia="宋体"/>
                      <w:bCs w:val="0"/>
                      <w:color w:val="auto"/>
                      <w:sz w:val="21"/>
                      <w:szCs w:val="21"/>
                      <w:lang w:val="en-US" w:eastAsia="zh-CN"/>
                    </w:rPr>
                  </w:pPr>
                  <w:r>
                    <w:rPr>
                      <w:rFonts w:hint="eastAsia" w:eastAsia="宋体"/>
                      <w:bCs w:val="0"/>
                      <w:color w:val="auto"/>
                      <w:sz w:val="21"/>
                      <w:szCs w:val="21"/>
                      <w:lang w:val="en-US" w:eastAsia="zh-CN"/>
                    </w:rPr>
                    <w:t>总铝</w:t>
                  </w:r>
                </w:p>
              </w:tc>
            </w:tr>
            <w:tr w14:paraId="6801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3" w:type="pct"/>
                  <w:vAlign w:val="center"/>
                </w:tcPr>
                <w:p w14:paraId="1ED45B60">
                  <w:pPr>
                    <w:autoSpaceDE w:val="0"/>
                    <w:autoSpaceDN w:val="0"/>
                    <w:adjustRightInd w:val="0"/>
                    <w:snapToGrid w:val="0"/>
                    <w:jc w:val="center"/>
                    <w:rPr>
                      <w:bCs/>
                      <w:color w:val="auto"/>
                      <w:szCs w:val="21"/>
                    </w:rPr>
                  </w:pPr>
                  <w:r>
                    <w:rPr>
                      <w:bCs/>
                      <w:color w:val="auto"/>
                      <w:szCs w:val="21"/>
                    </w:rPr>
                    <w:t>产生浓度(mg/L)</w:t>
                  </w:r>
                </w:p>
              </w:tc>
              <w:tc>
                <w:tcPr>
                  <w:tcW w:w="355" w:type="pct"/>
                  <w:vAlign w:val="center"/>
                </w:tcPr>
                <w:p w14:paraId="53C239BB">
                  <w:pPr>
                    <w:autoSpaceDE w:val="0"/>
                    <w:autoSpaceDN w:val="0"/>
                    <w:adjustRightInd w:val="0"/>
                    <w:snapToGrid w:val="0"/>
                    <w:jc w:val="center"/>
                    <w:rPr>
                      <w:bCs/>
                      <w:color w:val="auto"/>
                      <w:szCs w:val="21"/>
                    </w:rPr>
                  </w:pPr>
                  <w:r>
                    <w:rPr>
                      <w:bCs/>
                      <w:color w:val="auto"/>
                      <w:szCs w:val="21"/>
                    </w:rPr>
                    <w:t>3-5</w:t>
                  </w:r>
                </w:p>
              </w:tc>
              <w:tc>
                <w:tcPr>
                  <w:tcW w:w="425" w:type="pct"/>
                  <w:vAlign w:val="center"/>
                </w:tcPr>
                <w:p w14:paraId="5D2D9C30">
                  <w:pPr>
                    <w:autoSpaceDE w:val="0"/>
                    <w:autoSpaceDN w:val="0"/>
                    <w:adjustRightInd w:val="0"/>
                    <w:snapToGrid w:val="0"/>
                    <w:jc w:val="center"/>
                    <w:rPr>
                      <w:bCs/>
                      <w:color w:val="auto"/>
                      <w:szCs w:val="21"/>
                    </w:rPr>
                  </w:pPr>
                  <w:r>
                    <w:rPr>
                      <w:rFonts w:hint="eastAsia"/>
                      <w:bCs/>
                      <w:color w:val="auto"/>
                      <w:szCs w:val="21"/>
                    </w:rPr>
                    <w:t>717</w:t>
                  </w:r>
                </w:p>
              </w:tc>
              <w:tc>
                <w:tcPr>
                  <w:tcW w:w="442" w:type="pct"/>
                  <w:vAlign w:val="center"/>
                </w:tcPr>
                <w:p w14:paraId="39CDD4CD">
                  <w:pPr>
                    <w:autoSpaceDE w:val="0"/>
                    <w:autoSpaceDN w:val="0"/>
                    <w:adjustRightInd w:val="0"/>
                    <w:snapToGrid w:val="0"/>
                    <w:jc w:val="center"/>
                    <w:rPr>
                      <w:bCs/>
                      <w:color w:val="auto"/>
                      <w:szCs w:val="21"/>
                    </w:rPr>
                  </w:pPr>
                  <w:r>
                    <w:rPr>
                      <w:rFonts w:hint="eastAsia"/>
                      <w:bCs/>
                      <w:color w:val="auto"/>
                      <w:szCs w:val="21"/>
                    </w:rPr>
                    <w:t>412</w:t>
                  </w:r>
                </w:p>
              </w:tc>
              <w:tc>
                <w:tcPr>
                  <w:tcW w:w="377" w:type="pct"/>
                  <w:vAlign w:val="center"/>
                </w:tcPr>
                <w:p w14:paraId="28697D83">
                  <w:pPr>
                    <w:autoSpaceDE w:val="0"/>
                    <w:autoSpaceDN w:val="0"/>
                    <w:adjustRightInd w:val="0"/>
                    <w:snapToGrid w:val="0"/>
                    <w:jc w:val="center"/>
                    <w:rPr>
                      <w:bCs/>
                      <w:color w:val="auto"/>
                      <w:szCs w:val="21"/>
                    </w:rPr>
                  </w:pPr>
                  <w:r>
                    <w:rPr>
                      <w:rFonts w:hint="eastAsia"/>
                      <w:bCs/>
                      <w:color w:val="auto"/>
                      <w:szCs w:val="21"/>
                    </w:rPr>
                    <w:t>320</w:t>
                  </w:r>
                </w:p>
              </w:tc>
              <w:tc>
                <w:tcPr>
                  <w:tcW w:w="406" w:type="pct"/>
                  <w:vAlign w:val="center"/>
                </w:tcPr>
                <w:p w14:paraId="7200D78A">
                  <w:pPr>
                    <w:autoSpaceDE w:val="0"/>
                    <w:autoSpaceDN w:val="0"/>
                    <w:adjustRightInd w:val="0"/>
                    <w:snapToGrid w:val="0"/>
                    <w:jc w:val="center"/>
                    <w:rPr>
                      <w:rFonts w:hint="default"/>
                      <w:bCs/>
                      <w:color w:val="auto"/>
                      <w:szCs w:val="21"/>
                      <w:lang w:val="en-US"/>
                    </w:rPr>
                  </w:pPr>
                  <w:r>
                    <w:rPr>
                      <w:rFonts w:hint="eastAsia" w:cs="Times New Roman"/>
                      <w:i w:val="0"/>
                      <w:iCs w:val="0"/>
                      <w:color w:val="auto"/>
                      <w:kern w:val="0"/>
                      <w:sz w:val="21"/>
                      <w:szCs w:val="21"/>
                      <w:u w:val="none"/>
                      <w:lang w:val="en-US" w:eastAsia="zh-CN" w:bidi="ar"/>
                    </w:rPr>
                    <w:t>40.7</w:t>
                  </w:r>
                </w:p>
              </w:tc>
              <w:tc>
                <w:tcPr>
                  <w:tcW w:w="453" w:type="pct"/>
                  <w:vAlign w:val="center"/>
                </w:tcPr>
                <w:p w14:paraId="2559B7E1">
                  <w:pPr>
                    <w:autoSpaceDE w:val="0"/>
                    <w:autoSpaceDN w:val="0"/>
                    <w:adjustRightInd w:val="0"/>
                    <w:snapToGrid w:val="0"/>
                    <w:jc w:val="center"/>
                    <w:rPr>
                      <w:bCs/>
                      <w:color w:val="auto"/>
                      <w:szCs w:val="21"/>
                    </w:rPr>
                  </w:pPr>
                  <w:r>
                    <w:rPr>
                      <w:rFonts w:hint="eastAsia"/>
                      <w:bCs/>
                      <w:color w:val="auto"/>
                      <w:szCs w:val="21"/>
                    </w:rPr>
                    <w:t>47.5</w:t>
                  </w:r>
                </w:p>
              </w:tc>
              <w:tc>
                <w:tcPr>
                  <w:tcW w:w="369" w:type="pct"/>
                  <w:vAlign w:val="center"/>
                </w:tcPr>
                <w:p w14:paraId="7DEFF831">
                  <w:pPr>
                    <w:autoSpaceDE w:val="0"/>
                    <w:autoSpaceDN w:val="0"/>
                    <w:adjustRightInd w:val="0"/>
                    <w:snapToGrid w:val="0"/>
                    <w:jc w:val="center"/>
                    <w:rPr>
                      <w:bCs/>
                      <w:color w:val="auto"/>
                      <w:szCs w:val="21"/>
                    </w:rPr>
                  </w:pPr>
                  <w:r>
                    <w:rPr>
                      <w:rFonts w:hint="eastAsia"/>
                      <w:bCs/>
                      <w:color w:val="auto"/>
                      <w:szCs w:val="21"/>
                    </w:rPr>
                    <w:t>89.8</w:t>
                  </w:r>
                </w:p>
              </w:tc>
              <w:tc>
                <w:tcPr>
                  <w:tcW w:w="409" w:type="pct"/>
                  <w:vAlign w:val="center"/>
                </w:tcPr>
                <w:p w14:paraId="7A117E9C">
                  <w:pPr>
                    <w:autoSpaceDE w:val="0"/>
                    <w:autoSpaceDN w:val="0"/>
                    <w:adjustRightInd w:val="0"/>
                    <w:snapToGrid w:val="0"/>
                    <w:jc w:val="center"/>
                    <w:rPr>
                      <w:bCs/>
                      <w:color w:val="auto"/>
                      <w:szCs w:val="21"/>
                    </w:rPr>
                  </w:pPr>
                  <w:r>
                    <w:rPr>
                      <w:rFonts w:hint="eastAsia"/>
                      <w:bCs/>
                      <w:color w:val="auto"/>
                      <w:szCs w:val="21"/>
                    </w:rPr>
                    <w:t>10.6</w:t>
                  </w:r>
                </w:p>
              </w:tc>
              <w:tc>
                <w:tcPr>
                  <w:tcW w:w="425" w:type="pct"/>
                  <w:vAlign w:val="center"/>
                </w:tcPr>
                <w:p w14:paraId="0C332EF8">
                  <w:pPr>
                    <w:autoSpaceDE w:val="0"/>
                    <w:autoSpaceDN w:val="0"/>
                    <w:adjustRightInd w:val="0"/>
                    <w:snapToGrid w:val="0"/>
                    <w:jc w:val="center"/>
                    <w:rPr>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43.6</w:t>
                  </w:r>
                </w:p>
              </w:tc>
              <w:tc>
                <w:tcPr>
                  <w:tcW w:w="381" w:type="pct"/>
                  <w:vAlign w:val="center"/>
                </w:tcPr>
                <w:p w14:paraId="229DA328">
                  <w:pPr>
                    <w:autoSpaceDE w:val="0"/>
                    <w:autoSpaceDN w:val="0"/>
                    <w:adjustRightInd w:val="0"/>
                    <w:snapToGrid w:val="0"/>
                    <w:jc w:val="center"/>
                    <w:rPr>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 xml:space="preserve">98.1 </w:t>
                  </w:r>
                </w:p>
              </w:tc>
              <w:tc>
                <w:tcPr>
                  <w:tcW w:w="397" w:type="pct"/>
                  <w:vAlign w:val="center"/>
                </w:tcPr>
                <w:p w14:paraId="7D69B36A">
                  <w:pPr>
                    <w:autoSpaceDE w:val="0"/>
                    <w:autoSpaceDN w:val="0"/>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1.53</w:t>
                  </w:r>
                </w:p>
              </w:tc>
            </w:tr>
            <w:tr w14:paraId="36A9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3" w:type="pct"/>
                  <w:vAlign w:val="center"/>
                </w:tcPr>
                <w:p w14:paraId="66A43DC3">
                  <w:pPr>
                    <w:autoSpaceDE w:val="0"/>
                    <w:autoSpaceDN w:val="0"/>
                    <w:adjustRightInd w:val="0"/>
                    <w:snapToGrid w:val="0"/>
                    <w:jc w:val="center"/>
                    <w:rPr>
                      <w:bCs/>
                      <w:color w:val="auto"/>
                      <w:szCs w:val="21"/>
                    </w:rPr>
                  </w:pPr>
                  <w:r>
                    <w:rPr>
                      <w:bCs/>
                      <w:color w:val="auto"/>
                      <w:szCs w:val="21"/>
                    </w:rPr>
                    <w:t>出水浓度(mg/L)</w:t>
                  </w:r>
                </w:p>
              </w:tc>
              <w:tc>
                <w:tcPr>
                  <w:tcW w:w="355" w:type="pct"/>
                  <w:vAlign w:val="center"/>
                </w:tcPr>
                <w:p w14:paraId="45E257A1">
                  <w:pPr>
                    <w:autoSpaceDE w:val="0"/>
                    <w:autoSpaceDN w:val="0"/>
                    <w:adjustRightInd w:val="0"/>
                    <w:snapToGrid w:val="0"/>
                    <w:jc w:val="center"/>
                    <w:rPr>
                      <w:bCs/>
                      <w:color w:val="auto"/>
                      <w:szCs w:val="21"/>
                    </w:rPr>
                  </w:pPr>
                  <w:r>
                    <w:rPr>
                      <w:bCs/>
                      <w:color w:val="auto"/>
                      <w:szCs w:val="21"/>
                    </w:rPr>
                    <w:t>/</w:t>
                  </w:r>
                </w:p>
              </w:tc>
              <w:tc>
                <w:tcPr>
                  <w:tcW w:w="425" w:type="pct"/>
                  <w:vAlign w:val="center"/>
                </w:tcPr>
                <w:p w14:paraId="174883A6">
                  <w:pPr>
                    <w:widowControl/>
                    <w:jc w:val="center"/>
                    <w:textAlignment w:val="center"/>
                    <w:rPr>
                      <w:bCs/>
                      <w:color w:val="auto"/>
                      <w:szCs w:val="21"/>
                    </w:rPr>
                  </w:pPr>
                  <w:r>
                    <w:rPr>
                      <w:color w:val="auto"/>
                      <w:kern w:val="0"/>
                      <w:szCs w:val="21"/>
                      <w:lang w:bidi="ar"/>
                    </w:rPr>
                    <w:t>4.30</w:t>
                  </w:r>
                </w:p>
              </w:tc>
              <w:tc>
                <w:tcPr>
                  <w:tcW w:w="442" w:type="pct"/>
                  <w:vAlign w:val="center"/>
                </w:tcPr>
                <w:p w14:paraId="53EF27B5">
                  <w:pPr>
                    <w:widowControl/>
                    <w:jc w:val="center"/>
                    <w:textAlignment w:val="center"/>
                    <w:rPr>
                      <w:bCs/>
                      <w:color w:val="auto"/>
                      <w:szCs w:val="21"/>
                    </w:rPr>
                  </w:pPr>
                  <w:r>
                    <w:rPr>
                      <w:color w:val="auto"/>
                      <w:kern w:val="0"/>
                      <w:szCs w:val="21"/>
                      <w:lang w:bidi="ar"/>
                    </w:rPr>
                    <w:t>2.06</w:t>
                  </w:r>
                </w:p>
              </w:tc>
              <w:tc>
                <w:tcPr>
                  <w:tcW w:w="377" w:type="pct"/>
                  <w:vAlign w:val="center"/>
                </w:tcPr>
                <w:p w14:paraId="18D331A2">
                  <w:pPr>
                    <w:widowControl/>
                    <w:jc w:val="center"/>
                    <w:textAlignment w:val="center"/>
                    <w:rPr>
                      <w:rFonts w:hint="default" w:eastAsia="宋体"/>
                      <w:bCs/>
                      <w:color w:val="auto"/>
                      <w:szCs w:val="21"/>
                      <w:lang w:val="en-US" w:eastAsia="zh-CN"/>
                    </w:rPr>
                  </w:pPr>
                  <w:r>
                    <w:rPr>
                      <w:rFonts w:hint="eastAsia"/>
                      <w:color w:val="auto"/>
                      <w:kern w:val="0"/>
                      <w:szCs w:val="21"/>
                      <w:lang w:val="en-US" w:eastAsia="zh-CN" w:bidi="ar"/>
                    </w:rPr>
                    <w:t>5.76</w:t>
                  </w:r>
                </w:p>
              </w:tc>
              <w:tc>
                <w:tcPr>
                  <w:tcW w:w="406" w:type="pct"/>
                  <w:vAlign w:val="center"/>
                </w:tcPr>
                <w:p w14:paraId="7923D662">
                  <w:pPr>
                    <w:widowControl/>
                    <w:jc w:val="center"/>
                    <w:textAlignment w:val="center"/>
                    <w:rPr>
                      <w:rFonts w:hint="default" w:eastAsia="宋体"/>
                      <w:bCs/>
                      <w:color w:val="auto"/>
                      <w:szCs w:val="21"/>
                      <w:lang w:val="en-US" w:eastAsia="zh-CN"/>
                    </w:rPr>
                  </w:pPr>
                  <w:r>
                    <w:rPr>
                      <w:rFonts w:hint="eastAsia"/>
                      <w:color w:val="auto"/>
                      <w:kern w:val="0"/>
                      <w:szCs w:val="21"/>
                      <w:lang w:val="en-US" w:eastAsia="zh-CN" w:bidi="ar"/>
                    </w:rPr>
                    <w:t>0.448</w:t>
                  </w:r>
                </w:p>
              </w:tc>
              <w:tc>
                <w:tcPr>
                  <w:tcW w:w="453" w:type="pct"/>
                  <w:vAlign w:val="center"/>
                </w:tcPr>
                <w:p w14:paraId="6EE47931">
                  <w:pPr>
                    <w:widowControl/>
                    <w:jc w:val="center"/>
                    <w:textAlignment w:val="center"/>
                    <w:rPr>
                      <w:bCs/>
                      <w:color w:val="auto"/>
                      <w:szCs w:val="21"/>
                    </w:rPr>
                  </w:pPr>
                  <w:r>
                    <w:rPr>
                      <w:color w:val="auto"/>
                      <w:kern w:val="0"/>
                      <w:szCs w:val="21"/>
                      <w:lang w:bidi="ar"/>
                    </w:rPr>
                    <w:t>0.333</w:t>
                  </w:r>
                </w:p>
              </w:tc>
              <w:tc>
                <w:tcPr>
                  <w:tcW w:w="369" w:type="pct"/>
                  <w:vAlign w:val="center"/>
                </w:tcPr>
                <w:p w14:paraId="4E0A35ED">
                  <w:pPr>
                    <w:widowControl/>
                    <w:jc w:val="center"/>
                    <w:textAlignment w:val="center"/>
                    <w:rPr>
                      <w:bCs/>
                      <w:color w:val="auto"/>
                      <w:szCs w:val="21"/>
                    </w:rPr>
                  </w:pPr>
                  <w:r>
                    <w:rPr>
                      <w:color w:val="auto"/>
                      <w:kern w:val="0"/>
                      <w:szCs w:val="21"/>
                      <w:lang w:bidi="ar"/>
                    </w:rPr>
                    <w:t>0.359</w:t>
                  </w:r>
                </w:p>
              </w:tc>
              <w:tc>
                <w:tcPr>
                  <w:tcW w:w="409" w:type="pct"/>
                  <w:vAlign w:val="center"/>
                </w:tcPr>
                <w:p w14:paraId="78C398F0">
                  <w:pPr>
                    <w:widowControl/>
                    <w:jc w:val="center"/>
                    <w:textAlignment w:val="center"/>
                    <w:rPr>
                      <w:bCs/>
                      <w:color w:val="auto"/>
                      <w:szCs w:val="21"/>
                    </w:rPr>
                  </w:pPr>
                  <w:r>
                    <w:rPr>
                      <w:color w:val="auto"/>
                      <w:kern w:val="0"/>
                      <w:szCs w:val="21"/>
                      <w:lang w:bidi="ar"/>
                    </w:rPr>
                    <w:t>0.382</w:t>
                  </w:r>
                </w:p>
              </w:tc>
              <w:tc>
                <w:tcPr>
                  <w:tcW w:w="425" w:type="pct"/>
                  <w:vAlign w:val="center"/>
                </w:tcPr>
                <w:p w14:paraId="02CF3936">
                  <w:pPr>
                    <w:widowControl/>
                    <w:jc w:val="center"/>
                    <w:textAlignment w:val="center"/>
                    <w:rPr>
                      <w:rFonts w:hint="default" w:eastAsia="宋体"/>
                      <w:bCs/>
                      <w:color w:val="auto"/>
                      <w:szCs w:val="21"/>
                      <w:lang w:val="en-US" w:eastAsia="zh-CN"/>
                    </w:rPr>
                  </w:pPr>
                  <w:r>
                    <w:rPr>
                      <w:rFonts w:hint="eastAsia"/>
                      <w:color w:val="auto"/>
                      <w:kern w:val="0"/>
                      <w:szCs w:val="21"/>
                      <w:lang w:val="en-US" w:eastAsia="zh-CN" w:bidi="ar"/>
                    </w:rPr>
                    <w:t>0.0872</w:t>
                  </w:r>
                </w:p>
              </w:tc>
              <w:tc>
                <w:tcPr>
                  <w:tcW w:w="381" w:type="pct"/>
                  <w:vAlign w:val="center"/>
                </w:tcPr>
                <w:p w14:paraId="62D27035">
                  <w:pPr>
                    <w:widowControl/>
                    <w:jc w:val="center"/>
                    <w:textAlignment w:val="center"/>
                    <w:rPr>
                      <w:rFonts w:hint="default" w:eastAsia="宋体"/>
                      <w:bCs/>
                      <w:color w:val="auto"/>
                      <w:szCs w:val="21"/>
                      <w:lang w:val="en-US" w:eastAsia="zh-CN"/>
                    </w:rPr>
                  </w:pPr>
                  <w:r>
                    <w:rPr>
                      <w:rFonts w:hint="eastAsia"/>
                      <w:color w:val="auto"/>
                      <w:kern w:val="0"/>
                      <w:szCs w:val="21"/>
                      <w:lang w:val="en-US" w:eastAsia="zh-CN" w:bidi="ar"/>
                    </w:rPr>
                    <w:t>0.196</w:t>
                  </w:r>
                </w:p>
              </w:tc>
              <w:tc>
                <w:tcPr>
                  <w:tcW w:w="397" w:type="pct"/>
                  <w:vAlign w:val="center"/>
                </w:tcPr>
                <w:p w14:paraId="62FD0EC2">
                  <w:pPr>
                    <w:widowControl/>
                    <w:jc w:val="center"/>
                    <w:textAlignment w:val="center"/>
                    <w:rPr>
                      <w:rFonts w:hint="default"/>
                      <w:color w:val="auto"/>
                      <w:kern w:val="0"/>
                      <w:szCs w:val="21"/>
                      <w:lang w:val="en-US" w:eastAsia="zh-CN" w:bidi="ar"/>
                    </w:rPr>
                  </w:pPr>
                  <w:r>
                    <w:rPr>
                      <w:rFonts w:hint="eastAsia"/>
                      <w:color w:val="auto"/>
                      <w:kern w:val="0"/>
                      <w:szCs w:val="21"/>
                      <w:lang w:val="en-US" w:eastAsia="zh-CN" w:bidi="ar"/>
                    </w:rPr>
                    <w:t>0.0031</w:t>
                  </w:r>
                </w:p>
              </w:tc>
            </w:tr>
            <w:tr w14:paraId="2608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3" w:type="pct"/>
                  <w:vAlign w:val="center"/>
                </w:tcPr>
                <w:p w14:paraId="0D453DE7">
                  <w:pPr>
                    <w:autoSpaceDE w:val="0"/>
                    <w:autoSpaceDN w:val="0"/>
                    <w:adjustRightInd w:val="0"/>
                    <w:snapToGrid w:val="0"/>
                    <w:jc w:val="center"/>
                    <w:rPr>
                      <w:bCs/>
                      <w:color w:val="auto"/>
                      <w:szCs w:val="21"/>
                    </w:rPr>
                  </w:pPr>
                  <w:r>
                    <w:rPr>
                      <w:bCs/>
                      <w:color w:val="auto"/>
                      <w:szCs w:val="21"/>
                    </w:rPr>
                    <w:t>回用标准(mg/L)</w:t>
                  </w:r>
                </w:p>
              </w:tc>
              <w:tc>
                <w:tcPr>
                  <w:tcW w:w="355" w:type="pct"/>
                  <w:vAlign w:val="center"/>
                </w:tcPr>
                <w:p w14:paraId="34648961">
                  <w:pPr>
                    <w:autoSpaceDE w:val="0"/>
                    <w:autoSpaceDN w:val="0"/>
                    <w:adjustRightInd w:val="0"/>
                    <w:snapToGrid w:val="0"/>
                    <w:jc w:val="center"/>
                    <w:rPr>
                      <w:bCs/>
                      <w:color w:val="auto"/>
                      <w:szCs w:val="21"/>
                    </w:rPr>
                  </w:pPr>
                  <w:r>
                    <w:rPr>
                      <w:bCs/>
                      <w:color w:val="auto"/>
                      <w:szCs w:val="21"/>
                    </w:rPr>
                    <w:t>6-9</w:t>
                  </w:r>
                </w:p>
              </w:tc>
              <w:tc>
                <w:tcPr>
                  <w:tcW w:w="425" w:type="pct"/>
                  <w:vAlign w:val="center"/>
                </w:tcPr>
                <w:p w14:paraId="0FF72C80">
                  <w:pPr>
                    <w:autoSpaceDE w:val="0"/>
                    <w:autoSpaceDN w:val="0"/>
                    <w:adjustRightInd w:val="0"/>
                    <w:snapToGrid w:val="0"/>
                    <w:jc w:val="center"/>
                    <w:rPr>
                      <w:bCs/>
                      <w:color w:val="auto"/>
                      <w:szCs w:val="21"/>
                    </w:rPr>
                  </w:pPr>
                  <w:r>
                    <w:rPr>
                      <w:bCs/>
                      <w:color w:val="auto"/>
                      <w:szCs w:val="21"/>
                    </w:rPr>
                    <w:t>≤</w:t>
                  </w:r>
                  <w:r>
                    <w:rPr>
                      <w:rFonts w:hint="eastAsia"/>
                      <w:bCs/>
                      <w:color w:val="auto"/>
                      <w:szCs w:val="21"/>
                    </w:rPr>
                    <w:t>50</w:t>
                  </w:r>
                </w:p>
              </w:tc>
              <w:tc>
                <w:tcPr>
                  <w:tcW w:w="442" w:type="pct"/>
                  <w:vAlign w:val="center"/>
                </w:tcPr>
                <w:p w14:paraId="1872F14F">
                  <w:pPr>
                    <w:autoSpaceDE w:val="0"/>
                    <w:autoSpaceDN w:val="0"/>
                    <w:adjustRightInd w:val="0"/>
                    <w:snapToGrid w:val="0"/>
                    <w:jc w:val="center"/>
                    <w:rPr>
                      <w:bCs/>
                      <w:color w:val="auto"/>
                      <w:szCs w:val="21"/>
                    </w:rPr>
                  </w:pPr>
                  <w:r>
                    <w:rPr>
                      <w:bCs/>
                      <w:color w:val="auto"/>
                      <w:szCs w:val="21"/>
                    </w:rPr>
                    <w:t>≤</w:t>
                  </w:r>
                  <w:r>
                    <w:rPr>
                      <w:rFonts w:hint="eastAsia"/>
                      <w:bCs/>
                      <w:color w:val="auto"/>
                      <w:szCs w:val="21"/>
                    </w:rPr>
                    <w:t>10</w:t>
                  </w:r>
                </w:p>
              </w:tc>
              <w:tc>
                <w:tcPr>
                  <w:tcW w:w="377" w:type="pct"/>
                  <w:vAlign w:val="center"/>
                </w:tcPr>
                <w:p w14:paraId="0CA03021">
                  <w:pPr>
                    <w:autoSpaceDE w:val="0"/>
                    <w:autoSpaceDN w:val="0"/>
                    <w:adjustRightInd w:val="0"/>
                    <w:snapToGrid w:val="0"/>
                    <w:jc w:val="center"/>
                    <w:rPr>
                      <w:bCs/>
                      <w:color w:val="auto"/>
                      <w:szCs w:val="21"/>
                    </w:rPr>
                  </w:pPr>
                  <w:r>
                    <w:rPr>
                      <w:bCs/>
                      <w:color w:val="auto"/>
                      <w:szCs w:val="21"/>
                    </w:rPr>
                    <w:t>≤10</w:t>
                  </w:r>
                </w:p>
              </w:tc>
              <w:tc>
                <w:tcPr>
                  <w:tcW w:w="406" w:type="pct"/>
                  <w:vAlign w:val="center"/>
                </w:tcPr>
                <w:p w14:paraId="78631FF3">
                  <w:pPr>
                    <w:autoSpaceDE w:val="0"/>
                    <w:autoSpaceDN w:val="0"/>
                    <w:adjustRightInd w:val="0"/>
                    <w:snapToGrid w:val="0"/>
                    <w:jc w:val="center"/>
                    <w:rPr>
                      <w:bCs/>
                      <w:color w:val="auto"/>
                      <w:szCs w:val="21"/>
                    </w:rPr>
                  </w:pPr>
                  <w:r>
                    <w:rPr>
                      <w:bCs/>
                      <w:color w:val="auto"/>
                      <w:szCs w:val="21"/>
                    </w:rPr>
                    <w:t>≤5</w:t>
                  </w:r>
                </w:p>
              </w:tc>
              <w:tc>
                <w:tcPr>
                  <w:tcW w:w="453" w:type="pct"/>
                  <w:vAlign w:val="center"/>
                </w:tcPr>
                <w:p w14:paraId="0DCDB5CD">
                  <w:pPr>
                    <w:autoSpaceDE w:val="0"/>
                    <w:autoSpaceDN w:val="0"/>
                    <w:adjustRightInd w:val="0"/>
                    <w:snapToGrid w:val="0"/>
                    <w:jc w:val="center"/>
                    <w:rPr>
                      <w:bCs/>
                      <w:color w:val="auto"/>
                      <w:szCs w:val="21"/>
                    </w:rPr>
                  </w:pPr>
                  <w:r>
                    <w:rPr>
                      <w:bCs/>
                      <w:color w:val="auto"/>
                      <w:szCs w:val="21"/>
                    </w:rPr>
                    <w:t>≤</w:t>
                  </w:r>
                  <w:r>
                    <w:rPr>
                      <w:rFonts w:hint="eastAsia"/>
                      <w:bCs/>
                      <w:color w:val="auto"/>
                      <w:szCs w:val="21"/>
                    </w:rPr>
                    <w:t>1</w:t>
                  </w:r>
                </w:p>
              </w:tc>
              <w:tc>
                <w:tcPr>
                  <w:tcW w:w="369" w:type="pct"/>
                  <w:vAlign w:val="center"/>
                </w:tcPr>
                <w:p w14:paraId="27C42B27">
                  <w:pPr>
                    <w:autoSpaceDE w:val="0"/>
                    <w:autoSpaceDN w:val="0"/>
                    <w:adjustRightInd w:val="0"/>
                    <w:snapToGrid w:val="0"/>
                    <w:jc w:val="center"/>
                    <w:rPr>
                      <w:bCs/>
                      <w:color w:val="auto"/>
                      <w:szCs w:val="21"/>
                    </w:rPr>
                  </w:pPr>
                  <w:r>
                    <w:rPr>
                      <w:bCs/>
                      <w:color w:val="auto"/>
                      <w:szCs w:val="21"/>
                    </w:rPr>
                    <w:t>≤</w:t>
                  </w:r>
                  <w:r>
                    <w:rPr>
                      <w:rFonts w:hint="eastAsia"/>
                      <w:bCs/>
                      <w:color w:val="auto"/>
                      <w:szCs w:val="21"/>
                    </w:rPr>
                    <w:t>0.5</w:t>
                  </w:r>
                </w:p>
              </w:tc>
              <w:tc>
                <w:tcPr>
                  <w:tcW w:w="409" w:type="pct"/>
                  <w:vAlign w:val="center"/>
                </w:tcPr>
                <w:p w14:paraId="2BB83B0E">
                  <w:pPr>
                    <w:autoSpaceDE w:val="0"/>
                    <w:autoSpaceDN w:val="0"/>
                    <w:adjustRightInd w:val="0"/>
                    <w:snapToGrid w:val="0"/>
                    <w:jc w:val="center"/>
                    <w:rPr>
                      <w:bCs/>
                      <w:color w:val="auto"/>
                      <w:szCs w:val="21"/>
                    </w:rPr>
                  </w:pPr>
                  <w:r>
                    <w:rPr>
                      <w:bCs/>
                      <w:color w:val="auto"/>
                      <w:szCs w:val="21"/>
                    </w:rPr>
                    <w:t>≤</w:t>
                  </w:r>
                  <w:r>
                    <w:rPr>
                      <w:rFonts w:hint="eastAsia"/>
                      <w:bCs/>
                      <w:color w:val="auto"/>
                      <w:szCs w:val="21"/>
                    </w:rPr>
                    <w:t>15</w:t>
                  </w:r>
                </w:p>
              </w:tc>
              <w:tc>
                <w:tcPr>
                  <w:tcW w:w="425" w:type="pct"/>
                  <w:vAlign w:val="center"/>
                </w:tcPr>
                <w:p w14:paraId="55BE514A">
                  <w:pPr>
                    <w:autoSpaceDE w:val="0"/>
                    <w:autoSpaceDN w:val="0"/>
                    <w:adjustRightInd w:val="0"/>
                    <w:snapToGrid w:val="0"/>
                    <w:jc w:val="center"/>
                    <w:rPr>
                      <w:bCs/>
                      <w:color w:val="auto"/>
                      <w:szCs w:val="21"/>
                    </w:rPr>
                  </w:pPr>
                  <w:r>
                    <w:rPr>
                      <w:rFonts w:hint="eastAsia"/>
                      <w:bCs/>
                      <w:color w:val="auto"/>
                      <w:szCs w:val="21"/>
                    </w:rPr>
                    <w:t>/</w:t>
                  </w:r>
                </w:p>
              </w:tc>
              <w:tc>
                <w:tcPr>
                  <w:tcW w:w="381" w:type="pct"/>
                  <w:vAlign w:val="center"/>
                </w:tcPr>
                <w:p w14:paraId="01416F7C">
                  <w:pPr>
                    <w:autoSpaceDE w:val="0"/>
                    <w:autoSpaceDN w:val="0"/>
                    <w:adjustRightInd w:val="0"/>
                    <w:snapToGrid w:val="0"/>
                    <w:jc w:val="center"/>
                    <w:rPr>
                      <w:bCs/>
                      <w:color w:val="auto"/>
                      <w:szCs w:val="21"/>
                    </w:rPr>
                  </w:pPr>
                  <w:r>
                    <w:rPr>
                      <w:bCs/>
                      <w:color w:val="auto"/>
                      <w:szCs w:val="21"/>
                    </w:rPr>
                    <w:t>≤0.</w:t>
                  </w:r>
                  <w:r>
                    <w:rPr>
                      <w:rFonts w:hint="eastAsia"/>
                      <w:bCs/>
                      <w:color w:val="auto"/>
                      <w:szCs w:val="21"/>
                    </w:rPr>
                    <w:t>3</w:t>
                  </w:r>
                </w:p>
              </w:tc>
              <w:tc>
                <w:tcPr>
                  <w:tcW w:w="397" w:type="pct"/>
                  <w:vAlign w:val="center"/>
                </w:tcPr>
                <w:p w14:paraId="01212707">
                  <w:pPr>
                    <w:autoSpaceDE w:val="0"/>
                    <w:autoSpaceDN w:val="0"/>
                    <w:adjustRightInd w:val="0"/>
                    <w:snapToGrid w:val="0"/>
                    <w:jc w:val="center"/>
                    <w:rPr>
                      <w:rFonts w:hint="eastAsia" w:eastAsia="宋体"/>
                      <w:bCs/>
                      <w:color w:val="auto"/>
                      <w:szCs w:val="21"/>
                      <w:lang w:val="en-US" w:eastAsia="zh-CN"/>
                    </w:rPr>
                  </w:pPr>
                  <w:r>
                    <w:rPr>
                      <w:rFonts w:hint="eastAsia"/>
                      <w:bCs/>
                      <w:color w:val="auto"/>
                      <w:szCs w:val="21"/>
                      <w:lang w:val="en-US" w:eastAsia="zh-CN"/>
                    </w:rPr>
                    <w:t>/</w:t>
                  </w:r>
                </w:p>
              </w:tc>
            </w:tr>
          </w:tbl>
          <w:p w14:paraId="358FC038">
            <w:pPr>
              <w:pStyle w:val="84"/>
              <w:spacing w:before="28" w:line="360" w:lineRule="auto"/>
              <w:ind w:firstLine="420" w:firstLineChars="175"/>
              <w:jc w:val="left"/>
              <w:rPr>
                <w:color w:val="auto"/>
                <w:sz w:val="24"/>
                <w:szCs w:val="24"/>
              </w:rPr>
            </w:pPr>
            <w:r>
              <w:rPr>
                <w:color w:val="auto"/>
                <w:sz w:val="24"/>
                <w:szCs w:val="24"/>
              </w:rPr>
              <w:t>根据上述分析可知，项目运营期生产废水经</w:t>
            </w:r>
            <w:r>
              <w:rPr>
                <w:rFonts w:hint="eastAsia"/>
                <w:color w:val="auto"/>
                <w:sz w:val="24"/>
                <w:szCs w:val="24"/>
              </w:rPr>
              <w:t>废水处理设施</w:t>
            </w:r>
            <w:r>
              <w:rPr>
                <w:color w:val="auto"/>
                <w:sz w:val="24"/>
                <w:szCs w:val="24"/>
              </w:rPr>
              <w:t>处理后，其出水能够达到</w:t>
            </w:r>
            <w:r>
              <w:rPr>
                <w:color w:val="auto"/>
                <w:kern w:val="0"/>
                <w:sz w:val="24"/>
                <w:lang w:bidi="ar"/>
              </w:rPr>
              <w:t>《城市污水再生利用工业用水水质》（GB/T19923-2024）“工艺用水、产品用水和直流冷却水、洗涤用水”水质标准较严值</w:t>
            </w:r>
            <w:r>
              <w:rPr>
                <w:rFonts w:hint="eastAsia"/>
                <w:color w:val="auto"/>
                <w:sz w:val="24"/>
                <w:szCs w:val="24"/>
              </w:rPr>
              <w:t>，</w:t>
            </w:r>
            <w:r>
              <w:rPr>
                <w:color w:val="auto"/>
                <w:sz w:val="24"/>
                <w:szCs w:val="24"/>
              </w:rPr>
              <w:t>回用于前处理线</w:t>
            </w:r>
            <w:r>
              <w:rPr>
                <w:rFonts w:hint="eastAsia"/>
                <w:color w:val="auto"/>
                <w:sz w:val="24"/>
                <w:lang w:bidi="ar"/>
              </w:rPr>
              <w:t>清洗</w:t>
            </w:r>
            <w:r>
              <w:rPr>
                <w:color w:val="auto"/>
                <w:sz w:val="24"/>
                <w:lang w:bidi="ar"/>
              </w:rPr>
              <w:t>用水</w:t>
            </w:r>
            <w:r>
              <w:rPr>
                <w:rFonts w:hint="eastAsia"/>
                <w:color w:val="auto"/>
                <w:sz w:val="24"/>
                <w:lang w:bidi="ar"/>
              </w:rPr>
              <w:t>、喷淋塔用水</w:t>
            </w:r>
            <w:r>
              <w:rPr>
                <w:color w:val="auto"/>
                <w:sz w:val="24"/>
                <w:szCs w:val="24"/>
              </w:rPr>
              <w:t>；同时，</w:t>
            </w:r>
            <w:r>
              <w:rPr>
                <w:rFonts w:hint="eastAsia"/>
                <w:color w:val="auto"/>
                <w:sz w:val="24"/>
                <w:szCs w:val="24"/>
              </w:rPr>
              <w:t>废水处理设施</w:t>
            </w:r>
            <w:r>
              <w:rPr>
                <w:color w:val="auto"/>
                <w:sz w:val="24"/>
                <w:szCs w:val="24"/>
              </w:rPr>
              <w:t>产生的浓水通过MVR蒸发器进行蒸发，蒸发后的蒸汽冷凝部分</w:t>
            </w:r>
            <w:r>
              <w:rPr>
                <w:rFonts w:hint="eastAsia"/>
                <w:color w:val="auto"/>
                <w:sz w:val="24"/>
                <w:szCs w:val="24"/>
              </w:rPr>
              <w:t>回用于</w:t>
            </w:r>
            <w:r>
              <w:rPr>
                <w:rFonts w:hint="eastAsia"/>
                <w:color w:val="auto"/>
                <w:sz w:val="24"/>
              </w:rPr>
              <w:t>喷淋塔用水</w:t>
            </w:r>
            <w:r>
              <w:rPr>
                <w:color w:val="auto"/>
                <w:sz w:val="24"/>
                <w:szCs w:val="24"/>
              </w:rPr>
              <w:t>，浓缩废液</w:t>
            </w:r>
            <w:r>
              <w:rPr>
                <w:rFonts w:hint="eastAsia"/>
                <w:color w:val="auto"/>
                <w:sz w:val="24"/>
                <w:szCs w:val="24"/>
              </w:rPr>
              <w:t>委外</w:t>
            </w:r>
            <w:r>
              <w:rPr>
                <w:color w:val="auto"/>
                <w:sz w:val="24"/>
                <w:szCs w:val="24"/>
              </w:rPr>
              <w:t>处置，实现零排放，因此该生产废水处理工艺在技术上具有可行性。</w:t>
            </w:r>
          </w:p>
          <w:p w14:paraId="66CDE3BB">
            <w:pPr>
              <w:pStyle w:val="84"/>
              <w:spacing w:before="28" w:line="360" w:lineRule="auto"/>
              <w:ind w:firstLine="422" w:firstLineChars="175"/>
              <w:jc w:val="left"/>
              <w:rPr>
                <w:b/>
                <w:bCs/>
                <w:color w:val="auto"/>
                <w:sz w:val="24"/>
                <w:szCs w:val="24"/>
              </w:rPr>
            </w:pPr>
            <w:r>
              <w:rPr>
                <w:b/>
                <w:bCs/>
                <w:color w:val="auto"/>
                <w:sz w:val="24"/>
                <w:szCs w:val="24"/>
              </w:rPr>
              <w:t>2）中水回用可行性分析</w:t>
            </w:r>
          </w:p>
          <w:p w14:paraId="03A67067">
            <w:pPr>
              <w:pStyle w:val="84"/>
              <w:spacing w:before="28" w:line="360" w:lineRule="auto"/>
              <w:ind w:firstLine="420" w:firstLineChars="175"/>
              <w:jc w:val="left"/>
              <w:rPr>
                <w:color w:val="auto"/>
                <w:sz w:val="24"/>
                <w:szCs w:val="24"/>
              </w:rPr>
            </w:pPr>
            <w:r>
              <w:rPr>
                <w:color w:val="auto"/>
                <w:sz w:val="24"/>
                <w:szCs w:val="24"/>
              </w:rPr>
              <w:t>根据水平衡图可知，回用水主要回用于前处理线</w:t>
            </w:r>
            <w:r>
              <w:rPr>
                <w:rFonts w:hint="eastAsia"/>
                <w:color w:val="auto"/>
                <w:sz w:val="24"/>
                <w:lang w:bidi="ar"/>
              </w:rPr>
              <w:t>清洗用水、喷淋塔用水</w:t>
            </w:r>
            <w:r>
              <w:rPr>
                <w:color w:val="auto"/>
                <w:sz w:val="24"/>
                <w:szCs w:val="24"/>
              </w:rPr>
              <w:t>，建设单位从产品清洗洁净情况分析，对回用水没有特殊要求，只需要达到表面基本清洁即可，因此本次评价确定回用水水质指标执行</w:t>
            </w:r>
            <w:r>
              <w:rPr>
                <w:color w:val="auto"/>
                <w:kern w:val="0"/>
                <w:sz w:val="24"/>
                <w:lang w:bidi="ar"/>
              </w:rPr>
              <w:t>《城市污水再生利用工业用水水质》（GB/T19923-2024）“工艺用水、产品用水和直流冷却水、洗涤用水”水质标准较严值</w:t>
            </w:r>
            <w:r>
              <w:rPr>
                <w:color w:val="auto"/>
                <w:sz w:val="24"/>
                <w:szCs w:val="24"/>
              </w:rPr>
              <w:t>。</w:t>
            </w:r>
          </w:p>
          <w:p w14:paraId="2332CF60">
            <w:pPr>
              <w:pStyle w:val="84"/>
              <w:spacing w:before="28" w:line="360" w:lineRule="auto"/>
              <w:ind w:firstLine="420" w:firstLineChars="175"/>
              <w:jc w:val="left"/>
              <w:rPr>
                <w:color w:val="auto"/>
                <w:sz w:val="24"/>
                <w:szCs w:val="24"/>
              </w:rPr>
            </w:pPr>
            <w:r>
              <w:rPr>
                <w:color w:val="auto"/>
                <w:sz w:val="24"/>
                <w:szCs w:val="24"/>
              </w:rPr>
              <w:t>废水水质成分主要包括“有机成分、无机成分、悬浮固体”等，有机成分和悬浮固体物质通过生化/物化处理系统可得到高效去除，但是无机成分即废水中的盐分（盐分的含量大小以“电导率”表示）通过上述过程不会发生太大变化，如果废水仅经过上述过程处理后回用，就会导致盐分不断累积，对生产和处理环节均会造成不良影响，因此本项目在</w:t>
            </w:r>
            <w:r>
              <w:rPr>
                <w:rFonts w:hint="eastAsia"/>
                <w:color w:val="auto"/>
                <w:sz w:val="24"/>
                <w:szCs w:val="24"/>
              </w:rPr>
              <w:t>“</w:t>
            </w:r>
            <w:r>
              <w:rPr>
                <w:color w:val="auto"/>
                <w:kern w:val="0"/>
                <w:sz w:val="24"/>
                <w:lang w:bidi="ar"/>
              </w:rPr>
              <w:t>砂滤+碳滤+精密过滤</w:t>
            </w:r>
            <w:r>
              <w:rPr>
                <w:rFonts w:hint="eastAsia"/>
                <w:color w:val="auto"/>
                <w:sz w:val="24"/>
                <w:szCs w:val="24"/>
              </w:rPr>
              <w:t>”</w:t>
            </w:r>
            <w:r>
              <w:rPr>
                <w:color w:val="auto"/>
                <w:sz w:val="24"/>
                <w:szCs w:val="24"/>
              </w:rPr>
              <w:t>后面增加“</w:t>
            </w:r>
            <w:r>
              <w:rPr>
                <w:rFonts w:hint="eastAsia"/>
                <w:color w:val="auto"/>
                <w:sz w:val="24"/>
                <w:szCs w:val="24"/>
              </w:rPr>
              <w:t>两段</w:t>
            </w:r>
            <w:r>
              <w:rPr>
                <w:rFonts w:hint="eastAsia"/>
                <w:color w:val="auto"/>
                <w:kern w:val="0"/>
                <w:sz w:val="24"/>
                <w:lang w:bidi="ar"/>
              </w:rPr>
              <w:t>RO系统+</w:t>
            </w:r>
            <w:r>
              <w:rPr>
                <w:color w:val="auto"/>
                <w:sz w:val="24"/>
                <w:szCs w:val="24"/>
              </w:rPr>
              <w:t xml:space="preserve">MVR蒸发器”。 </w:t>
            </w:r>
          </w:p>
          <w:p w14:paraId="6F4A52F0">
            <w:pPr>
              <w:pStyle w:val="84"/>
              <w:spacing w:before="28" w:line="360" w:lineRule="auto"/>
              <w:ind w:firstLine="420" w:firstLineChars="175"/>
              <w:jc w:val="left"/>
              <w:rPr>
                <w:color w:val="auto"/>
                <w:sz w:val="24"/>
                <w:szCs w:val="24"/>
                <w:highlight w:val="yellow"/>
              </w:rPr>
            </w:pPr>
            <w:r>
              <w:rPr>
                <w:color w:val="auto"/>
                <w:sz w:val="24"/>
                <w:szCs w:val="24"/>
              </w:rPr>
              <w:t>反渗透工艺的核心是“反渗透膜”，反渗透膜是一种只允许水分子通过的半透膜（选择性透过膜），孔径约为1～2nm，大部分可溶性盐均无法穿透反渗透膜，因此能够对盐分起到良好的分离作用。本项目采用4040的RO膜，安装在玻璃钢压力容器内，</w:t>
            </w:r>
            <w:r>
              <w:rPr>
                <w:rFonts w:hint="eastAsia"/>
                <w:color w:val="auto"/>
                <w:kern w:val="0"/>
                <w:sz w:val="24"/>
                <w:lang w:bidi="ar"/>
              </w:rPr>
              <w:t>一段</w:t>
            </w:r>
            <w:r>
              <w:rPr>
                <w:color w:val="auto"/>
                <w:kern w:val="0"/>
                <w:sz w:val="24"/>
                <w:lang w:bidi="ar"/>
              </w:rPr>
              <w:t>RO产水率约为</w:t>
            </w:r>
            <w:r>
              <w:rPr>
                <w:rFonts w:hint="eastAsia"/>
                <w:color w:val="auto"/>
                <w:kern w:val="0"/>
                <w:sz w:val="24"/>
                <w:lang w:bidi="ar"/>
              </w:rPr>
              <w:t>75</w:t>
            </w:r>
            <w:r>
              <w:rPr>
                <w:color w:val="auto"/>
                <w:kern w:val="0"/>
                <w:sz w:val="24"/>
                <w:lang w:bidi="ar"/>
              </w:rPr>
              <w:t>%</w:t>
            </w:r>
            <w:r>
              <w:rPr>
                <w:rFonts w:hint="eastAsia"/>
                <w:color w:val="auto"/>
                <w:kern w:val="0"/>
                <w:sz w:val="24"/>
                <w:lang w:bidi="ar"/>
              </w:rPr>
              <w:t>，二段</w:t>
            </w:r>
            <w:r>
              <w:rPr>
                <w:color w:val="auto"/>
                <w:kern w:val="0"/>
                <w:sz w:val="24"/>
                <w:lang w:bidi="ar"/>
              </w:rPr>
              <w:t>RO产水率约为</w:t>
            </w:r>
            <w:r>
              <w:rPr>
                <w:rFonts w:hint="eastAsia"/>
                <w:color w:val="auto"/>
                <w:kern w:val="0"/>
                <w:sz w:val="24"/>
                <w:lang w:bidi="ar"/>
              </w:rPr>
              <w:t>50</w:t>
            </w:r>
            <w:r>
              <w:rPr>
                <w:color w:val="auto"/>
                <w:kern w:val="0"/>
                <w:sz w:val="24"/>
                <w:lang w:bidi="ar"/>
              </w:rPr>
              <w:t>%</w:t>
            </w:r>
            <w:r>
              <w:rPr>
                <w:rFonts w:hint="eastAsia"/>
                <w:color w:val="auto"/>
                <w:kern w:val="0"/>
                <w:sz w:val="24"/>
                <w:lang w:bidi="ar"/>
              </w:rPr>
              <w:t>，</w:t>
            </w:r>
            <w:r>
              <w:rPr>
                <w:color w:val="auto"/>
                <w:sz w:val="24"/>
                <w:szCs w:val="24"/>
              </w:rPr>
              <w:t>系统脱盐率不小于98%，根据上表分析可知，出水电导率可以小于3</w:t>
            </w:r>
            <w:r>
              <w:rPr>
                <w:rFonts w:hint="eastAsia"/>
                <w:color w:val="auto"/>
                <w:sz w:val="24"/>
                <w:szCs w:val="24"/>
              </w:rPr>
              <w:t>5</w:t>
            </w:r>
            <w:r>
              <w:rPr>
                <w:color w:val="auto"/>
                <w:sz w:val="24"/>
                <w:szCs w:val="24"/>
              </w:rPr>
              <w:t>0μs/cm，满足建设单位生产需求。RO</w:t>
            </w:r>
            <w:r>
              <w:rPr>
                <w:rFonts w:hint="eastAsia"/>
                <w:color w:val="auto"/>
                <w:sz w:val="24"/>
                <w:szCs w:val="24"/>
              </w:rPr>
              <w:t>系统</w:t>
            </w:r>
            <w:r>
              <w:rPr>
                <w:color w:val="auto"/>
                <w:sz w:val="24"/>
                <w:szCs w:val="24"/>
              </w:rPr>
              <w:t>产生的浓水进入MVR蒸发器进行蒸发浓缩处理，蒸汽冷凝处理后回用，浓缩废液委外处置。项目拟设置处理规模为</w:t>
            </w:r>
            <w:r>
              <w:rPr>
                <w:rFonts w:hint="eastAsia"/>
                <w:color w:val="auto"/>
                <w:sz w:val="24"/>
                <w:szCs w:val="24"/>
              </w:rPr>
              <w:t>2t/d</w:t>
            </w:r>
            <w:r>
              <w:rPr>
                <w:color w:val="auto"/>
                <w:sz w:val="24"/>
                <w:szCs w:val="24"/>
              </w:rPr>
              <w:t>的MVR蒸发器，项目</w:t>
            </w:r>
            <w:r>
              <w:rPr>
                <w:rFonts w:hint="eastAsia"/>
                <w:color w:val="auto"/>
                <w:sz w:val="24"/>
                <w:szCs w:val="24"/>
              </w:rPr>
              <w:t>自建废水处理设施</w:t>
            </w:r>
            <w:r>
              <w:rPr>
                <w:color w:val="auto"/>
                <w:sz w:val="24"/>
                <w:szCs w:val="24"/>
              </w:rPr>
              <w:t>产生的浓水约</w:t>
            </w:r>
            <w:r>
              <w:rPr>
                <w:rFonts w:hint="eastAsia"/>
                <w:color w:val="auto"/>
                <w:sz w:val="24"/>
                <w:szCs w:val="24"/>
              </w:rPr>
              <w:t>0.599</w:t>
            </w:r>
            <w:r>
              <w:rPr>
                <w:color w:val="auto"/>
                <w:sz w:val="24"/>
                <w:szCs w:val="24"/>
              </w:rPr>
              <w:t>t/d，MVR</w:t>
            </w:r>
            <w:r>
              <w:rPr>
                <w:rFonts w:hint="eastAsia"/>
                <w:color w:val="auto"/>
                <w:sz w:val="24"/>
                <w:szCs w:val="24"/>
              </w:rPr>
              <w:t>蒸发器的处理能力</w:t>
            </w:r>
            <w:r>
              <w:rPr>
                <w:color w:val="auto"/>
                <w:sz w:val="24"/>
                <w:szCs w:val="24"/>
              </w:rPr>
              <w:t>可满足处理需求。</w:t>
            </w:r>
          </w:p>
          <w:p w14:paraId="115CC2D1">
            <w:pPr>
              <w:pStyle w:val="84"/>
              <w:spacing w:before="28" w:line="360" w:lineRule="auto"/>
              <w:ind w:firstLine="422" w:firstLineChars="175"/>
              <w:jc w:val="left"/>
              <w:rPr>
                <w:b/>
                <w:bCs/>
                <w:color w:val="auto"/>
                <w:sz w:val="24"/>
                <w:szCs w:val="24"/>
              </w:rPr>
            </w:pPr>
            <w:r>
              <w:rPr>
                <w:rFonts w:hint="eastAsia" w:ascii="宋体" w:hAnsi="宋体" w:cs="宋体"/>
                <w:b/>
                <w:bCs/>
                <w:color w:val="auto"/>
                <w:sz w:val="24"/>
                <w:szCs w:val="24"/>
              </w:rPr>
              <w:t>3）</w:t>
            </w:r>
            <w:r>
              <w:rPr>
                <w:b/>
                <w:bCs/>
                <w:color w:val="auto"/>
                <w:sz w:val="24"/>
                <w:szCs w:val="24"/>
              </w:rPr>
              <w:t>生产废水零排放可行性分析</w:t>
            </w:r>
          </w:p>
          <w:p w14:paraId="2EAA88B2">
            <w:pPr>
              <w:pStyle w:val="84"/>
              <w:spacing w:before="28" w:line="360" w:lineRule="auto"/>
              <w:ind w:firstLine="420" w:firstLineChars="175"/>
              <w:jc w:val="left"/>
              <w:rPr>
                <w:color w:val="auto"/>
                <w:sz w:val="24"/>
                <w:szCs w:val="24"/>
                <w:lang w:bidi="ar"/>
              </w:rPr>
            </w:pPr>
            <w:r>
              <w:rPr>
                <w:rFonts w:hint="eastAsia"/>
                <w:color w:val="auto"/>
                <w:sz w:val="24"/>
                <w:szCs w:val="24"/>
                <w:lang w:bidi="ar"/>
              </w:rPr>
              <w:t>项目工艺用水中前处理线清洗工艺、喷淋塔用水对水质要求不高，可作为回用工序。</w:t>
            </w:r>
          </w:p>
          <w:p w14:paraId="5F4AD40D">
            <w:pPr>
              <w:pStyle w:val="84"/>
              <w:spacing w:before="28" w:line="360" w:lineRule="auto"/>
              <w:ind w:firstLine="420" w:firstLineChars="175"/>
              <w:jc w:val="left"/>
              <w:rPr>
                <w:color w:val="auto"/>
                <w:sz w:val="24"/>
                <w:lang w:bidi="ar"/>
              </w:rPr>
            </w:pPr>
            <w:r>
              <w:rPr>
                <w:color w:val="auto"/>
                <w:sz w:val="24"/>
                <w:szCs w:val="24"/>
                <w:lang w:bidi="ar"/>
              </w:rPr>
              <w:t>生产</w:t>
            </w:r>
            <w:r>
              <w:rPr>
                <w:color w:val="auto"/>
                <w:sz w:val="24"/>
                <w:szCs w:val="24"/>
              </w:rPr>
              <w:t>废水量为</w:t>
            </w:r>
            <w:r>
              <w:rPr>
                <w:rFonts w:hint="eastAsia"/>
                <w:color w:val="auto"/>
                <w:kern w:val="0"/>
                <w:sz w:val="24"/>
                <w:szCs w:val="24"/>
                <w:lang w:bidi="ar"/>
              </w:rPr>
              <w:t>4.793</w:t>
            </w:r>
            <w:r>
              <w:rPr>
                <w:color w:val="auto"/>
                <w:kern w:val="0"/>
                <w:sz w:val="24"/>
                <w:szCs w:val="24"/>
                <w:lang w:bidi="ar"/>
              </w:rPr>
              <w:t>m</w:t>
            </w:r>
            <w:r>
              <w:rPr>
                <w:color w:val="auto"/>
                <w:kern w:val="0"/>
                <w:sz w:val="24"/>
                <w:szCs w:val="24"/>
                <w:vertAlign w:val="superscript"/>
                <w:lang w:bidi="ar"/>
              </w:rPr>
              <w:t>3</w:t>
            </w:r>
            <w:r>
              <w:rPr>
                <w:color w:val="auto"/>
                <w:kern w:val="0"/>
                <w:sz w:val="24"/>
                <w:szCs w:val="24"/>
                <w:lang w:bidi="ar"/>
              </w:rPr>
              <w:t>/d，</w:t>
            </w:r>
            <w:r>
              <w:rPr>
                <w:color w:val="auto"/>
                <w:sz w:val="24"/>
                <w:szCs w:val="24"/>
              </w:rPr>
              <w:t>拟采用</w:t>
            </w:r>
            <w:r>
              <w:rPr>
                <w:color w:val="auto"/>
                <w:sz w:val="24"/>
              </w:rPr>
              <w:t>“</w:t>
            </w:r>
            <w:r>
              <w:rPr>
                <w:color w:val="auto"/>
                <w:kern w:val="0"/>
                <w:sz w:val="24"/>
                <w:lang w:bidi="ar"/>
              </w:rPr>
              <w:t>调节+</w:t>
            </w:r>
            <w:r>
              <w:rPr>
                <w:rFonts w:hint="eastAsia"/>
                <w:color w:val="auto"/>
                <w:kern w:val="0"/>
                <w:sz w:val="24"/>
                <w:lang w:bidi="ar"/>
              </w:rPr>
              <w:t>隔油池+</w:t>
            </w:r>
            <w:r>
              <w:rPr>
                <w:color w:val="auto"/>
                <w:kern w:val="0"/>
                <w:sz w:val="24"/>
                <w:lang w:bidi="ar"/>
              </w:rPr>
              <w:t>混凝沉淀+水解酸化+缺氧+接触氧化+MBR+砂滤+碳滤+精密过滤+</w:t>
            </w:r>
            <w:r>
              <w:rPr>
                <w:rFonts w:hint="eastAsia"/>
                <w:color w:val="auto"/>
                <w:kern w:val="0"/>
                <w:sz w:val="24"/>
                <w:lang w:bidi="ar"/>
              </w:rPr>
              <w:t>两段RO系统</w:t>
            </w:r>
            <w:r>
              <w:rPr>
                <w:color w:val="auto"/>
                <w:sz w:val="24"/>
              </w:rPr>
              <w:t xml:space="preserve">” </w:t>
            </w:r>
            <w:r>
              <w:rPr>
                <w:color w:val="auto"/>
                <w:sz w:val="24"/>
                <w:szCs w:val="24"/>
              </w:rPr>
              <w:t>处理达到《城市污水再生利用工业用水水质》（GB/T19923-2024）“工艺用水、产品用水和直流冷却水、洗涤用水”较严值</w:t>
            </w:r>
            <w:r>
              <w:rPr>
                <w:color w:val="auto"/>
                <w:sz w:val="24"/>
                <w:lang w:bidi="ar"/>
              </w:rPr>
              <w:t>后（电导率≤3</w:t>
            </w:r>
            <w:r>
              <w:rPr>
                <w:rFonts w:hint="eastAsia"/>
                <w:color w:val="auto"/>
                <w:sz w:val="24"/>
                <w:lang w:bidi="ar"/>
              </w:rPr>
              <w:t>5</w:t>
            </w:r>
            <w:r>
              <w:rPr>
                <w:color w:val="auto"/>
                <w:sz w:val="24"/>
                <w:lang w:bidi="ar"/>
              </w:rPr>
              <w:t>0μs/cm）后回用于</w:t>
            </w:r>
            <w:r>
              <w:rPr>
                <w:color w:val="auto"/>
                <w:sz w:val="24"/>
                <w:szCs w:val="24"/>
              </w:rPr>
              <w:t>前处理线</w:t>
            </w:r>
            <w:r>
              <w:rPr>
                <w:rFonts w:hint="eastAsia"/>
                <w:color w:val="auto"/>
                <w:sz w:val="24"/>
                <w:lang w:bidi="ar"/>
              </w:rPr>
              <w:t>清洗用水、喷淋塔用水</w:t>
            </w:r>
            <w:r>
              <w:rPr>
                <w:color w:val="auto"/>
                <w:sz w:val="24"/>
                <w:lang w:bidi="ar"/>
              </w:rPr>
              <w:t>，约</w:t>
            </w:r>
            <w:r>
              <w:rPr>
                <w:rFonts w:hint="eastAsia"/>
                <w:color w:val="auto"/>
                <w:sz w:val="24"/>
                <w:lang w:bidi="ar"/>
              </w:rPr>
              <w:t>12.5</w:t>
            </w:r>
            <w:r>
              <w:rPr>
                <w:color w:val="auto"/>
                <w:sz w:val="24"/>
                <w:lang w:bidi="ar"/>
              </w:rPr>
              <w:t>%的浓水（</w:t>
            </w:r>
            <w:r>
              <w:rPr>
                <w:rFonts w:hint="eastAsia"/>
                <w:color w:val="auto"/>
                <w:sz w:val="24"/>
                <w:lang w:bidi="ar"/>
              </w:rPr>
              <w:t>0.599</w:t>
            </w:r>
            <w:r>
              <w:rPr>
                <w:color w:val="auto"/>
                <w:kern w:val="0"/>
                <w:sz w:val="24"/>
                <w:szCs w:val="24"/>
                <w:lang w:bidi="ar"/>
              </w:rPr>
              <w:t>m</w:t>
            </w:r>
            <w:r>
              <w:rPr>
                <w:color w:val="auto"/>
                <w:kern w:val="0"/>
                <w:sz w:val="24"/>
                <w:szCs w:val="24"/>
                <w:vertAlign w:val="superscript"/>
                <w:lang w:bidi="ar"/>
              </w:rPr>
              <w:t>3</w:t>
            </w:r>
            <w:r>
              <w:rPr>
                <w:color w:val="auto"/>
                <w:sz w:val="24"/>
                <w:lang w:bidi="ar"/>
              </w:rPr>
              <w:t>/d，</w:t>
            </w:r>
            <w:r>
              <w:rPr>
                <w:rFonts w:hint="eastAsia"/>
                <w:color w:val="auto"/>
                <w:sz w:val="24"/>
                <w:lang w:bidi="ar"/>
              </w:rPr>
              <w:t>179.735</w:t>
            </w:r>
            <w:r>
              <w:rPr>
                <w:color w:val="auto"/>
                <w:kern w:val="0"/>
                <w:sz w:val="24"/>
                <w:szCs w:val="24"/>
                <w:lang w:bidi="ar"/>
              </w:rPr>
              <w:t>m</w:t>
            </w:r>
            <w:r>
              <w:rPr>
                <w:color w:val="auto"/>
                <w:kern w:val="0"/>
                <w:sz w:val="24"/>
                <w:szCs w:val="24"/>
                <w:vertAlign w:val="superscript"/>
                <w:lang w:bidi="ar"/>
              </w:rPr>
              <w:t>3</w:t>
            </w:r>
            <w:r>
              <w:rPr>
                <w:color w:val="auto"/>
                <w:sz w:val="24"/>
                <w:lang w:bidi="ar"/>
              </w:rPr>
              <w:t>/a）通过MVR蒸发器处理后，其中：约9</w:t>
            </w:r>
            <w:r>
              <w:rPr>
                <w:rFonts w:hint="eastAsia"/>
                <w:color w:val="auto"/>
                <w:sz w:val="24"/>
                <w:lang w:bidi="ar"/>
              </w:rPr>
              <w:t>5</w:t>
            </w:r>
            <w:r>
              <w:rPr>
                <w:color w:val="auto"/>
                <w:sz w:val="24"/>
                <w:lang w:bidi="ar"/>
              </w:rPr>
              <w:t>%回收为冷凝水（</w:t>
            </w:r>
            <w:r>
              <w:rPr>
                <w:rFonts w:hint="eastAsia"/>
                <w:color w:val="auto"/>
                <w:sz w:val="24"/>
                <w:lang w:bidi="ar"/>
              </w:rPr>
              <w:t>0.569</w:t>
            </w:r>
            <w:r>
              <w:rPr>
                <w:color w:val="auto"/>
                <w:kern w:val="0"/>
                <w:sz w:val="24"/>
                <w:szCs w:val="24"/>
                <w:lang w:bidi="ar"/>
              </w:rPr>
              <w:t>m</w:t>
            </w:r>
            <w:r>
              <w:rPr>
                <w:color w:val="auto"/>
                <w:kern w:val="0"/>
                <w:sz w:val="24"/>
                <w:szCs w:val="24"/>
                <w:vertAlign w:val="superscript"/>
                <w:lang w:bidi="ar"/>
              </w:rPr>
              <w:t>3</w:t>
            </w:r>
            <w:r>
              <w:rPr>
                <w:color w:val="auto"/>
                <w:sz w:val="24"/>
                <w:lang w:bidi="ar"/>
              </w:rPr>
              <w:t>/d、</w:t>
            </w:r>
            <w:r>
              <w:rPr>
                <w:rFonts w:hint="eastAsia"/>
                <w:color w:val="auto"/>
                <w:sz w:val="24"/>
                <w:lang w:bidi="ar"/>
              </w:rPr>
              <w:t>170.748</w:t>
            </w:r>
            <w:r>
              <w:rPr>
                <w:color w:val="auto"/>
                <w:kern w:val="0"/>
                <w:sz w:val="24"/>
                <w:szCs w:val="24"/>
                <w:lang w:bidi="ar"/>
              </w:rPr>
              <w:t>m</w:t>
            </w:r>
            <w:r>
              <w:rPr>
                <w:color w:val="auto"/>
                <w:kern w:val="0"/>
                <w:sz w:val="24"/>
                <w:szCs w:val="24"/>
                <w:vertAlign w:val="superscript"/>
                <w:lang w:bidi="ar"/>
              </w:rPr>
              <w:t>3</w:t>
            </w:r>
            <w:r>
              <w:rPr>
                <w:color w:val="auto"/>
                <w:sz w:val="24"/>
                <w:lang w:bidi="ar"/>
              </w:rPr>
              <w:t>/a），剩余</w:t>
            </w:r>
            <w:r>
              <w:rPr>
                <w:color w:val="auto"/>
                <w:kern w:val="0"/>
                <w:sz w:val="24"/>
                <w:szCs w:val="24"/>
                <w:lang w:bidi="ar"/>
              </w:rPr>
              <w:t>约</w:t>
            </w:r>
            <w:r>
              <w:rPr>
                <w:rFonts w:hint="eastAsia"/>
                <w:color w:val="auto"/>
                <w:kern w:val="0"/>
                <w:sz w:val="24"/>
                <w:szCs w:val="24"/>
                <w:lang w:bidi="ar"/>
              </w:rPr>
              <w:t>5</w:t>
            </w:r>
            <w:r>
              <w:rPr>
                <w:color w:val="auto"/>
                <w:kern w:val="0"/>
                <w:sz w:val="24"/>
                <w:szCs w:val="24"/>
                <w:lang w:bidi="ar"/>
              </w:rPr>
              <w:t>%的浓缩废液</w:t>
            </w:r>
            <w:r>
              <w:rPr>
                <w:color w:val="auto"/>
                <w:kern w:val="0"/>
                <w:sz w:val="24"/>
                <w:lang w:bidi="ar"/>
              </w:rPr>
              <w:t>（</w:t>
            </w:r>
            <w:r>
              <w:rPr>
                <w:rFonts w:hint="eastAsia"/>
                <w:color w:val="auto"/>
                <w:kern w:val="0"/>
                <w:sz w:val="24"/>
                <w:lang w:bidi="ar"/>
              </w:rPr>
              <w:t>0.03</w:t>
            </w:r>
            <w:r>
              <w:rPr>
                <w:color w:val="auto"/>
                <w:kern w:val="0"/>
                <w:sz w:val="24"/>
                <w:lang w:bidi="ar"/>
              </w:rPr>
              <w:t>m</w:t>
            </w:r>
            <w:r>
              <w:rPr>
                <w:color w:val="auto"/>
                <w:kern w:val="0"/>
                <w:sz w:val="24"/>
                <w:vertAlign w:val="superscript"/>
                <w:lang w:bidi="ar"/>
              </w:rPr>
              <w:t>3</w:t>
            </w:r>
            <w:r>
              <w:rPr>
                <w:color w:val="auto"/>
                <w:kern w:val="0"/>
                <w:sz w:val="24"/>
                <w:lang w:bidi="ar"/>
              </w:rPr>
              <w:t>/d</w:t>
            </w:r>
            <w:r>
              <w:rPr>
                <w:color w:val="auto"/>
                <w:sz w:val="24"/>
                <w:lang w:bidi="ar"/>
              </w:rPr>
              <w:t>，</w:t>
            </w:r>
            <w:r>
              <w:rPr>
                <w:rFonts w:hint="eastAsia"/>
                <w:color w:val="auto"/>
                <w:sz w:val="24"/>
                <w:lang w:bidi="ar"/>
              </w:rPr>
              <w:t>8.987</w:t>
            </w:r>
            <w:r>
              <w:rPr>
                <w:color w:val="auto"/>
                <w:kern w:val="0"/>
                <w:sz w:val="24"/>
                <w:szCs w:val="24"/>
                <w:lang w:bidi="ar"/>
              </w:rPr>
              <w:t>m</w:t>
            </w:r>
            <w:r>
              <w:rPr>
                <w:color w:val="auto"/>
                <w:kern w:val="0"/>
                <w:sz w:val="24"/>
                <w:szCs w:val="24"/>
                <w:vertAlign w:val="superscript"/>
                <w:lang w:bidi="ar"/>
              </w:rPr>
              <w:t>3</w:t>
            </w:r>
            <w:r>
              <w:rPr>
                <w:color w:val="auto"/>
                <w:sz w:val="24"/>
                <w:lang w:bidi="ar"/>
              </w:rPr>
              <w:t>/a），作为危险废物交由有危险废物处理资质的单位处置。</w:t>
            </w:r>
          </w:p>
          <w:p w14:paraId="54B5EA30">
            <w:pPr>
              <w:pStyle w:val="84"/>
              <w:spacing w:before="28" w:line="360" w:lineRule="auto"/>
              <w:ind w:firstLine="420" w:firstLineChars="175"/>
              <w:jc w:val="left"/>
              <w:rPr>
                <w:color w:val="auto"/>
                <w:sz w:val="24"/>
                <w:szCs w:val="24"/>
              </w:rPr>
            </w:pPr>
            <w:r>
              <w:rPr>
                <w:color w:val="auto"/>
                <w:sz w:val="24"/>
                <w:szCs w:val="24"/>
              </w:rPr>
              <w:t>因此，本项目总回用水量为</w:t>
            </w:r>
            <w:r>
              <w:rPr>
                <w:rFonts w:hint="eastAsia"/>
                <w:color w:val="auto"/>
                <w:sz w:val="24"/>
                <w:szCs w:val="24"/>
              </w:rPr>
              <w:t>4.763</w:t>
            </w:r>
            <w:r>
              <w:rPr>
                <w:color w:val="auto"/>
                <w:kern w:val="0"/>
                <w:sz w:val="24"/>
                <w:szCs w:val="24"/>
                <w:lang w:bidi="ar"/>
              </w:rPr>
              <w:t>m</w:t>
            </w:r>
            <w:r>
              <w:rPr>
                <w:color w:val="auto"/>
                <w:kern w:val="0"/>
                <w:sz w:val="24"/>
                <w:szCs w:val="24"/>
                <w:vertAlign w:val="superscript"/>
                <w:lang w:bidi="ar"/>
              </w:rPr>
              <w:t>3</w:t>
            </w:r>
            <w:r>
              <w:rPr>
                <w:color w:val="auto"/>
                <w:sz w:val="24"/>
                <w:szCs w:val="24"/>
              </w:rPr>
              <w:t>/d（</w:t>
            </w:r>
            <w:r>
              <w:rPr>
                <w:rFonts w:hint="eastAsia"/>
                <w:color w:val="auto"/>
                <w:sz w:val="24"/>
                <w:szCs w:val="24"/>
              </w:rPr>
              <w:t>1428.899</w:t>
            </w:r>
            <w:r>
              <w:rPr>
                <w:color w:val="auto"/>
                <w:kern w:val="0"/>
                <w:sz w:val="24"/>
                <w:szCs w:val="24"/>
                <w:lang w:bidi="ar"/>
              </w:rPr>
              <w:t>m</w:t>
            </w:r>
            <w:r>
              <w:rPr>
                <w:color w:val="auto"/>
                <w:kern w:val="0"/>
                <w:sz w:val="24"/>
                <w:szCs w:val="24"/>
                <w:vertAlign w:val="superscript"/>
                <w:lang w:bidi="ar"/>
              </w:rPr>
              <w:t>3</w:t>
            </w:r>
            <w:r>
              <w:rPr>
                <w:color w:val="auto"/>
                <w:sz w:val="24"/>
                <w:szCs w:val="24"/>
              </w:rPr>
              <w:t>/a），</w:t>
            </w:r>
            <w:r>
              <w:rPr>
                <w:rFonts w:hint="eastAsia"/>
                <w:color w:val="auto"/>
                <w:sz w:val="24"/>
                <w:szCs w:val="24"/>
                <w:lang w:val="en-US" w:eastAsia="zh-CN"/>
              </w:rPr>
              <w:t>中水回用率为99.4%（中水回用率=总回用水量÷总生产废水量×100%=1428.899÷1437.886×100%=99.4%），</w:t>
            </w:r>
            <w:r>
              <w:rPr>
                <w:color w:val="auto"/>
                <w:sz w:val="24"/>
                <w:szCs w:val="24"/>
              </w:rPr>
              <w:t>全部回用于前处理线</w:t>
            </w:r>
            <w:r>
              <w:rPr>
                <w:rFonts w:hint="eastAsia"/>
                <w:color w:val="auto"/>
                <w:sz w:val="24"/>
                <w:lang w:bidi="ar"/>
              </w:rPr>
              <w:t>清洗用水、喷淋塔用水</w:t>
            </w:r>
            <w:r>
              <w:rPr>
                <w:rFonts w:hint="eastAsia"/>
                <w:color w:val="auto"/>
                <w:sz w:val="24"/>
                <w:lang w:eastAsia="zh-CN" w:bidi="ar"/>
              </w:rPr>
              <w:t>；</w:t>
            </w:r>
            <w:r>
              <w:rPr>
                <w:rFonts w:hint="eastAsia"/>
                <w:color w:val="auto"/>
                <w:sz w:val="24"/>
                <w:lang w:val="en-US" w:eastAsia="zh-CN" w:bidi="ar"/>
              </w:rPr>
              <w:t>生产回用率为82.6%（生产回用率=生产回用水量÷</w:t>
            </w:r>
            <w:r>
              <w:rPr>
                <w:rFonts w:hint="eastAsia"/>
                <w:color w:val="auto"/>
                <w:sz w:val="24"/>
                <w:szCs w:val="24"/>
                <w:lang w:val="en-US" w:eastAsia="zh-CN"/>
              </w:rPr>
              <w:t>总回用水量×100%=1180÷1428.899×100%=82.6%</w:t>
            </w:r>
            <w:r>
              <w:rPr>
                <w:rFonts w:hint="eastAsia"/>
                <w:color w:val="auto"/>
                <w:sz w:val="24"/>
                <w:lang w:val="en-US" w:eastAsia="zh-CN" w:bidi="ar"/>
              </w:rPr>
              <w:t>）</w:t>
            </w:r>
            <w:r>
              <w:rPr>
                <w:color w:val="auto"/>
                <w:sz w:val="24"/>
                <w:szCs w:val="24"/>
              </w:rPr>
              <w:t>。</w:t>
            </w:r>
          </w:p>
          <w:p w14:paraId="61E609C1">
            <w:pPr>
              <w:pStyle w:val="84"/>
              <w:spacing w:before="28" w:line="360" w:lineRule="auto"/>
              <w:ind w:firstLine="422" w:firstLineChars="175"/>
              <w:jc w:val="left"/>
              <w:rPr>
                <w:b/>
                <w:bCs/>
                <w:color w:val="auto"/>
                <w:sz w:val="24"/>
                <w:szCs w:val="24"/>
              </w:rPr>
            </w:pPr>
            <w:r>
              <w:rPr>
                <w:b/>
                <w:bCs/>
                <w:color w:val="auto"/>
                <w:sz w:val="24"/>
                <w:szCs w:val="24"/>
              </w:rPr>
              <w:t>污泥处理工艺：</w:t>
            </w:r>
          </w:p>
          <w:p w14:paraId="5111148B">
            <w:pPr>
              <w:adjustRightInd w:val="0"/>
              <w:snapToGrid w:val="0"/>
              <w:spacing w:line="360" w:lineRule="auto"/>
              <w:ind w:firstLine="420"/>
              <w:textAlignment w:val="baseline"/>
              <w:rPr>
                <w:color w:val="auto"/>
                <w:sz w:val="24"/>
                <w:highlight w:val="yellow"/>
              </w:rPr>
            </w:pPr>
            <w:r>
              <w:rPr>
                <w:color w:val="auto"/>
                <w:sz w:val="24"/>
              </w:rPr>
              <w:t>项目设置1</w:t>
            </w:r>
            <w:r>
              <w:rPr>
                <w:rFonts w:hint="eastAsia"/>
                <w:color w:val="auto"/>
                <w:sz w:val="24"/>
              </w:rPr>
              <w:t>个</w:t>
            </w:r>
            <w:r>
              <w:rPr>
                <w:color w:val="auto"/>
                <w:sz w:val="24"/>
              </w:rPr>
              <w:t>污泥</w:t>
            </w:r>
            <w:r>
              <w:rPr>
                <w:rFonts w:hint="eastAsia"/>
                <w:color w:val="auto"/>
                <w:sz w:val="24"/>
              </w:rPr>
              <w:t>浓缩池</w:t>
            </w:r>
            <w:r>
              <w:rPr>
                <w:color w:val="auto"/>
                <w:sz w:val="24"/>
              </w:rPr>
              <w:t>，用于储存生化污泥以及物化污泥</w:t>
            </w:r>
            <w:r>
              <w:rPr>
                <w:rFonts w:hint="eastAsia"/>
                <w:color w:val="auto"/>
                <w:sz w:val="24"/>
              </w:rPr>
              <w:t>，经收集后的</w:t>
            </w:r>
            <w:r>
              <w:rPr>
                <w:color w:val="auto"/>
                <w:sz w:val="24"/>
              </w:rPr>
              <w:t>污泥</w:t>
            </w:r>
            <w:r>
              <w:rPr>
                <w:rFonts w:hint="eastAsia"/>
                <w:color w:val="auto"/>
                <w:sz w:val="24"/>
              </w:rPr>
              <w:t>沿管道</w:t>
            </w:r>
            <w:r>
              <w:rPr>
                <w:color w:val="auto"/>
                <w:sz w:val="24"/>
              </w:rPr>
              <w:t>输送至板框压滤机</w:t>
            </w:r>
            <w:r>
              <w:rPr>
                <w:rFonts w:hint="eastAsia"/>
                <w:color w:val="auto"/>
                <w:sz w:val="24"/>
              </w:rPr>
              <w:t>进行泥水分离，滤液回到原废水收集池</w:t>
            </w:r>
            <w:r>
              <w:rPr>
                <w:rFonts w:hint="eastAsia"/>
                <w:color w:val="auto"/>
                <w:sz w:val="24"/>
                <w:lang w:bidi="ar"/>
              </w:rPr>
              <w:t>等待</w:t>
            </w:r>
            <w:r>
              <w:rPr>
                <w:rFonts w:hint="eastAsia"/>
                <w:color w:val="auto"/>
                <w:sz w:val="24"/>
              </w:rPr>
              <w:t>进入下一轮处理</w:t>
            </w:r>
            <w:r>
              <w:rPr>
                <w:color w:val="auto"/>
                <w:sz w:val="24"/>
              </w:rPr>
              <w:t>，干泥外运处置。</w:t>
            </w:r>
          </w:p>
          <w:p w14:paraId="174DF3C3">
            <w:pPr>
              <w:pStyle w:val="84"/>
              <w:spacing w:before="28" w:line="360" w:lineRule="auto"/>
              <w:ind w:firstLine="422" w:firstLineChars="175"/>
              <w:jc w:val="left"/>
              <w:rPr>
                <w:b/>
                <w:bCs/>
                <w:color w:val="auto"/>
                <w:sz w:val="24"/>
                <w:szCs w:val="24"/>
              </w:rPr>
            </w:pPr>
            <w:r>
              <w:rPr>
                <w:rFonts w:hint="eastAsia"/>
                <w:b/>
                <w:bCs/>
                <w:color w:val="auto"/>
                <w:sz w:val="24"/>
                <w:szCs w:val="24"/>
              </w:rPr>
              <w:t>4</w:t>
            </w:r>
            <w:r>
              <w:rPr>
                <w:b/>
                <w:bCs/>
                <w:color w:val="auto"/>
                <w:sz w:val="24"/>
                <w:szCs w:val="24"/>
              </w:rPr>
              <w:t>）处理规模可行性分析</w:t>
            </w:r>
          </w:p>
          <w:p w14:paraId="248D3C75">
            <w:pPr>
              <w:pStyle w:val="84"/>
              <w:spacing w:before="28" w:line="360" w:lineRule="auto"/>
              <w:ind w:firstLine="420" w:firstLineChars="175"/>
              <w:jc w:val="left"/>
              <w:rPr>
                <w:color w:val="auto"/>
                <w:sz w:val="24"/>
                <w:szCs w:val="24"/>
              </w:rPr>
            </w:pPr>
            <w:r>
              <w:rPr>
                <w:color w:val="auto"/>
                <w:sz w:val="24"/>
                <w:szCs w:val="24"/>
              </w:rPr>
              <w:t>建设单位拟建废水处理设施设计规模</w:t>
            </w:r>
            <w:r>
              <w:rPr>
                <w:rFonts w:hint="eastAsia"/>
                <w:color w:val="auto"/>
                <w:sz w:val="24"/>
                <w:szCs w:val="24"/>
              </w:rPr>
              <w:t>8</w:t>
            </w:r>
            <w:r>
              <w:rPr>
                <w:color w:val="auto"/>
                <w:sz w:val="24"/>
                <w:szCs w:val="24"/>
              </w:rPr>
              <w:t>m</w:t>
            </w:r>
            <w:r>
              <w:rPr>
                <w:color w:val="auto"/>
                <w:sz w:val="24"/>
                <w:szCs w:val="24"/>
                <w:vertAlign w:val="superscript"/>
              </w:rPr>
              <w:t xml:space="preserve">3 </w:t>
            </w:r>
            <w:r>
              <w:rPr>
                <w:color w:val="auto"/>
                <w:sz w:val="24"/>
                <w:szCs w:val="24"/>
              </w:rPr>
              <w:t>/d，各处理设施均按照</w:t>
            </w:r>
            <w:r>
              <w:rPr>
                <w:rFonts w:hint="eastAsia"/>
                <w:color w:val="auto"/>
                <w:sz w:val="24"/>
                <w:szCs w:val="24"/>
              </w:rPr>
              <w:t>8</w:t>
            </w:r>
            <w:r>
              <w:rPr>
                <w:color w:val="auto"/>
                <w:sz w:val="24"/>
                <w:szCs w:val="24"/>
              </w:rPr>
              <w:t>m</w:t>
            </w:r>
            <w:r>
              <w:rPr>
                <w:color w:val="auto"/>
                <w:sz w:val="24"/>
                <w:szCs w:val="24"/>
                <w:vertAlign w:val="superscript"/>
              </w:rPr>
              <w:t xml:space="preserve">3 </w:t>
            </w:r>
            <w:r>
              <w:rPr>
                <w:color w:val="auto"/>
                <w:sz w:val="24"/>
                <w:szCs w:val="24"/>
              </w:rPr>
              <w:t>/d建设。废水处理量为</w:t>
            </w:r>
            <w:r>
              <w:rPr>
                <w:rFonts w:hint="eastAsia"/>
                <w:color w:val="auto"/>
                <w:sz w:val="24"/>
                <w:szCs w:val="24"/>
              </w:rPr>
              <w:t>4.793</w:t>
            </w:r>
            <w:r>
              <w:rPr>
                <w:color w:val="auto"/>
                <w:sz w:val="24"/>
                <w:szCs w:val="24"/>
              </w:rPr>
              <w:t>m</w:t>
            </w:r>
            <w:r>
              <w:rPr>
                <w:color w:val="auto"/>
                <w:sz w:val="24"/>
                <w:szCs w:val="24"/>
                <w:vertAlign w:val="superscript"/>
              </w:rPr>
              <w:t>3</w:t>
            </w:r>
            <w:r>
              <w:rPr>
                <w:color w:val="auto"/>
                <w:sz w:val="24"/>
                <w:szCs w:val="24"/>
              </w:rPr>
              <w:t xml:space="preserve">/d，因此废水处理设施有足够容量处理项目生产污水。 </w:t>
            </w:r>
          </w:p>
          <w:p w14:paraId="59552C52">
            <w:pPr>
              <w:pStyle w:val="84"/>
              <w:spacing w:before="28" w:line="360" w:lineRule="auto"/>
              <w:ind w:firstLine="422" w:firstLineChars="175"/>
              <w:jc w:val="left"/>
              <w:rPr>
                <w:b/>
                <w:bCs/>
                <w:color w:val="auto"/>
                <w:sz w:val="24"/>
                <w:szCs w:val="24"/>
              </w:rPr>
            </w:pPr>
            <w:r>
              <w:rPr>
                <w:b/>
                <w:bCs/>
                <w:color w:val="auto"/>
                <w:kern w:val="0"/>
                <w:sz w:val="24"/>
                <w:szCs w:val="24"/>
                <w:lang w:bidi="ar"/>
              </w:rPr>
              <w:t>（</w:t>
            </w:r>
            <w:r>
              <w:rPr>
                <w:rFonts w:hint="eastAsia"/>
                <w:b/>
                <w:bCs/>
                <w:color w:val="auto"/>
                <w:kern w:val="0"/>
                <w:sz w:val="24"/>
                <w:szCs w:val="24"/>
                <w:lang w:bidi="ar"/>
              </w:rPr>
              <w:t>3</w:t>
            </w:r>
            <w:r>
              <w:rPr>
                <w:b/>
                <w:bCs/>
                <w:color w:val="auto"/>
                <w:kern w:val="0"/>
                <w:sz w:val="24"/>
                <w:szCs w:val="24"/>
                <w:lang w:bidi="ar"/>
              </w:rPr>
              <w:t>）拟采取废水处理措施经济可行性分析</w:t>
            </w:r>
          </w:p>
          <w:p w14:paraId="33921B22">
            <w:pPr>
              <w:widowControl/>
              <w:spacing w:line="360" w:lineRule="auto"/>
              <w:ind w:firstLine="480" w:firstLineChars="200"/>
              <w:jc w:val="left"/>
              <w:rPr>
                <w:color w:val="auto"/>
                <w:sz w:val="24"/>
              </w:rPr>
            </w:pPr>
            <w:r>
              <w:rPr>
                <w:color w:val="auto"/>
                <w:sz w:val="24"/>
              </w:rPr>
              <w:t xml:space="preserve">1）工程造价 </w:t>
            </w:r>
          </w:p>
          <w:p w14:paraId="0727BCEC">
            <w:pPr>
              <w:widowControl/>
              <w:spacing w:line="360" w:lineRule="auto"/>
              <w:ind w:firstLine="480" w:firstLineChars="200"/>
              <w:jc w:val="left"/>
              <w:rPr>
                <w:color w:val="auto"/>
                <w:sz w:val="24"/>
              </w:rPr>
            </w:pPr>
            <w:r>
              <w:rPr>
                <w:color w:val="auto"/>
                <w:sz w:val="24"/>
              </w:rPr>
              <w:t>根据建设单位提供的资料，</w:t>
            </w:r>
            <w:r>
              <w:rPr>
                <w:rFonts w:hint="eastAsia"/>
                <w:color w:val="auto"/>
                <w:sz w:val="24"/>
              </w:rPr>
              <w:t>新增一套废水处理及中水回用系统设计处理能力为0.8t/h（8t/d）工程造价约80万元，新增MVR蒸发能力2t/d设备工程造价约20万元，</w:t>
            </w:r>
            <w:r>
              <w:rPr>
                <w:color w:val="auto"/>
                <w:sz w:val="24"/>
              </w:rPr>
              <w:t>因此，本项目</w:t>
            </w:r>
            <w:r>
              <w:rPr>
                <w:rFonts w:hint="eastAsia"/>
                <w:color w:val="auto"/>
                <w:sz w:val="24"/>
              </w:rPr>
              <w:t>新增</w:t>
            </w:r>
            <w:r>
              <w:rPr>
                <w:color w:val="auto"/>
                <w:sz w:val="24"/>
              </w:rPr>
              <w:t>生产废水处理设施的工程总造价约为</w:t>
            </w:r>
            <w:r>
              <w:rPr>
                <w:rFonts w:hint="eastAsia"/>
                <w:color w:val="auto"/>
                <w:sz w:val="24"/>
              </w:rPr>
              <w:t>100</w:t>
            </w:r>
            <w:r>
              <w:rPr>
                <w:color w:val="auto"/>
                <w:sz w:val="24"/>
              </w:rPr>
              <w:t>万元，占项目总投资的</w:t>
            </w:r>
            <w:r>
              <w:rPr>
                <w:rFonts w:hint="eastAsia"/>
                <w:color w:val="auto"/>
                <w:sz w:val="24"/>
              </w:rPr>
              <w:t>2.86</w:t>
            </w:r>
            <w:r>
              <w:rPr>
                <w:color w:val="auto"/>
                <w:sz w:val="24"/>
              </w:rPr>
              <w:t xml:space="preserve">%，其投资在建设单位可以承受的范围内。 </w:t>
            </w:r>
          </w:p>
          <w:p w14:paraId="1A876DD9">
            <w:pPr>
              <w:widowControl/>
              <w:spacing w:line="360" w:lineRule="auto"/>
              <w:ind w:firstLine="480" w:firstLineChars="200"/>
              <w:jc w:val="left"/>
              <w:rPr>
                <w:color w:val="auto"/>
                <w:sz w:val="24"/>
              </w:rPr>
            </w:pPr>
            <w:r>
              <w:rPr>
                <w:color w:val="auto"/>
                <w:sz w:val="24"/>
              </w:rPr>
              <w:t xml:space="preserve">2）废水处理设施的运行费用 </w:t>
            </w:r>
          </w:p>
          <w:p w14:paraId="588DD594">
            <w:pPr>
              <w:widowControl/>
              <w:spacing w:line="360" w:lineRule="auto"/>
              <w:ind w:firstLine="480" w:firstLineChars="200"/>
              <w:rPr>
                <w:color w:val="auto"/>
                <w:sz w:val="24"/>
              </w:rPr>
            </w:pPr>
            <w:r>
              <w:rPr>
                <w:color w:val="auto"/>
                <w:sz w:val="24"/>
              </w:rPr>
              <w:t>废水处理设施投入运行后的运行费用的高低是考察其经济可行性的重要因素，本工艺投入使用后的运行费用主要包括以下几个方面：</w:t>
            </w:r>
            <w:r>
              <w:rPr>
                <w:rFonts w:hint="eastAsia"/>
                <w:color w:val="auto"/>
                <w:sz w:val="24"/>
              </w:rPr>
              <w:t>废水处理+中水回用系统</w:t>
            </w:r>
            <w:r>
              <w:rPr>
                <w:color w:val="auto"/>
                <w:sz w:val="24"/>
              </w:rPr>
              <w:t>电费E1：</w:t>
            </w:r>
            <w:r>
              <w:rPr>
                <w:rFonts w:hint="eastAsia"/>
                <w:color w:val="auto"/>
                <w:sz w:val="24"/>
              </w:rPr>
              <w:t>8.79</w:t>
            </w:r>
            <w:r>
              <w:rPr>
                <w:color w:val="auto"/>
                <w:sz w:val="24"/>
              </w:rPr>
              <w:t>元/m</w:t>
            </w:r>
            <w:r>
              <w:rPr>
                <w:color w:val="auto"/>
                <w:sz w:val="24"/>
                <w:vertAlign w:val="superscript"/>
              </w:rPr>
              <w:t>3</w:t>
            </w:r>
            <w:r>
              <w:rPr>
                <w:color w:val="auto"/>
                <w:sz w:val="24"/>
              </w:rPr>
              <w:t>，药剂费E2：</w:t>
            </w:r>
            <w:r>
              <w:rPr>
                <w:rFonts w:hint="eastAsia"/>
                <w:color w:val="auto"/>
                <w:sz w:val="24"/>
              </w:rPr>
              <w:t>5</w:t>
            </w:r>
            <w:r>
              <w:rPr>
                <w:color w:val="auto"/>
                <w:sz w:val="24"/>
              </w:rPr>
              <w:t>元/m</w:t>
            </w:r>
            <w:r>
              <w:rPr>
                <w:color w:val="auto"/>
                <w:sz w:val="24"/>
                <w:vertAlign w:val="superscript"/>
              </w:rPr>
              <w:t>3</w:t>
            </w:r>
            <w:r>
              <w:rPr>
                <w:color w:val="auto"/>
                <w:sz w:val="24"/>
              </w:rPr>
              <w:t>，设备维护保养费 E3：</w:t>
            </w:r>
            <w:r>
              <w:rPr>
                <w:rFonts w:hint="eastAsia"/>
                <w:color w:val="auto"/>
                <w:sz w:val="24"/>
              </w:rPr>
              <w:t>3.66</w:t>
            </w:r>
            <w:r>
              <w:rPr>
                <w:color w:val="auto"/>
                <w:sz w:val="24"/>
              </w:rPr>
              <w:t>元/m</w:t>
            </w:r>
            <w:r>
              <w:rPr>
                <w:color w:val="auto"/>
                <w:sz w:val="24"/>
                <w:vertAlign w:val="superscript"/>
              </w:rPr>
              <w:t>3</w:t>
            </w:r>
            <w:r>
              <w:rPr>
                <w:color w:val="auto"/>
                <w:sz w:val="24"/>
              </w:rPr>
              <w:t>，工资福利费E4：</w:t>
            </w:r>
            <w:r>
              <w:rPr>
                <w:rFonts w:hint="eastAsia"/>
                <w:color w:val="auto"/>
                <w:sz w:val="24"/>
              </w:rPr>
              <w:t>21.96</w:t>
            </w:r>
            <w:r>
              <w:rPr>
                <w:color w:val="auto"/>
                <w:sz w:val="24"/>
              </w:rPr>
              <w:t>元/m</w:t>
            </w:r>
            <w:r>
              <w:rPr>
                <w:color w:val="auto"/>
                <w:sz w:val="24"/>
                <w:vertAlign w:val="superscript"/>
              </w:rPr>
              <w:t>3</w:t>
            </w:r>
            <w:r>
              <w:rPr>
                <w:color w:val="auto"/>
                <w:sz w:val="24"/>
              </w:rPr>
              <w:t>。 则：ΣE＝E1＋E2＋E3＋E4=</w:t>
            </w:r>
            <w:r>
              <w:rPr>
                <w:rFonts w:hint="eastAsia"/>
                <w:color w:val="auto"/>
                <w:sz w:val="24"/>
              </w:rPr>
              <w:t>8.79</w:t>
            </w:r>
            <w:r>
              <w:rPr>
                <w:color w:val="auto"/>
                <w:sz w:val="24"/>
              </w:rPr>
              <w:t>＋</w:t>
            </w:r>
            <w:r>
              <w:rPr>
                <w:rFonts w:hint="eastAsia"/>
                <w:color w:val="auto"/>
                <w:sz w:val="24"/>
              </w:rPr>
              <w:t>5</w:t>
            </w:r>
            <w:r>
              <w:rPr>
                <w:color w:val="auto"/>
                <w:sz w:val="24"/>
              </w:rPr>
              <w:t>＋</w:t>
            </w:r>
            <w:r>
              <w:rPr>
                <w:rFonts w:hint="eastAsia"/>
                <w:color w:val="auto"/>
                <w:sz w:val="24"/>
              </w:rPr>
              <w:t>3.66</w:t>
            </w:r>
            <w:r>
              <w:rPr>
                <w:color w:val="auto"/>
                <w:sz w:val="24"/>
              </w:rPr>
              <w:t>+</w:t>
            </w:r>
            <w:r>
              <w:rPr>
                <w:rFonts w:hint="eastAsia"/>
                <w:color w:val="auto"/>
                <w:sz w:val="24"/>
              </w:rPr>
              <w:t>21.96</w:t>
            </w:r>
            <w:r>
              <w:rPr>
                <w:color w:val="auto"/>
                <w:sz w:val="24"/>
              </w:rPr>
              <w:t>=</w:t>
            </w:r>
            <w:r>
              <w:rPr>
                <w:rFonts w:hint="eastAsia"/>
                <w:color w:val="auto"/>
                <w:sz w:val="24"/>
              </w:rPr>
              <w:t>39.41</w:t>
            </w:r>
            <w:r>
              <w:rPr>
                <w:color w:val="auto"/>
                <w:sz w:val="24"/>
              </w:rPr>
              <w:t>元/m</w:t>
            </w:r>
            <w:r>
              <w:rPr>
                <w:color w:val="auto"/>
                <w:sz w:val="24"/>
                <w:vertAlign w:val="superscript"/>
              </w:rPr>
              <w:t>3</w:t>
            </w:r>
          </w:p>
          <w:p w14:paraId="54476E00">
            <w:pPr>
              <w:widowControl/>
              <w:spacing w:line="360" w:lineRule="auto"/>
              <w:ind w:firstLine="480" w:firstLineChars="200"/>
              <w:jc w:val="left"/>
              <w:rPr>
                <w:color w:val="auto"/>
                <w:sz w:val="24"/>
              </w:rPr>
            </w:pPr>
            <w:r>
              <w:rPr>
                <w:color w:val="auto"/>
                <w:sz w:val="24"/>
              </w:rPr>
              <w:t>根据项目工程分析，本项目生产废水总产生量为</w:t>
            </w:r>
            <w:r>
              <w:rPr>
                <w:rFonts w:hint="eastAsia"/>
                <w:color w:val="auto"/>
                <w:sz w:val="24"/>
              </w:rPr>
              <w:t>4.793t</w:t>
            </w:r>
            <w:r>
              <w:rPr>
                <w:color w:val="auto"/>
                <w:sz w:val="24"/>
              </w:rPr>
              <w:t>/</w:t>
            </w:r>
            <w:r>
              <w:rPr>
                <w:rFonts w:hint="eastAsia"/>
                <w:color w:val="auto"/>
                <w:sz w:val="24"/>
              </w:rPr>
              <w:t>d（1437.886t/a）</w:t>
            </w:r>
            <w:r>
              <w:rPr>
                <w:color w:val="auto"/>
                <w:sz w:val="24"/>
              </w:rPr>
              <w:t>，项目需蒸发的废水量为</w:t>
            </w:r>
            <w:r>
              <w:rPr>
                <w:color w:val="auto"/>
                <w:sz w:val="24"/>
                <w:lang w:bidi="ar"/>
              </w:rPr>
              <w:t>（</w:t>
            </w:r>
            <w:r>
              <w:rPr>
                <w:rFonts w:hint="eastAsia"/>
                <w:color w:val="auto"/>
                <w:sz w:val="24"/>
                <w:lang w:bidi="ar"/>
              </w:rPr>
              <w:t>0.599</w:t>
            </w:r>
            <w:r>
              <w:rPr>
                <w:rFonts w:hint="eastAsia"/>
                <w:color w:val="auto"/>
                <w:kern w:val="0"/>
                <w:sz w:val="24"/>
                <w:lang w:bidi="ar"/>
              </w:rPr>
              <w:t>t</w:t>
            </w:r>
            <w:r>
              <w:rPr>
                <w:color w:val="auto"/>
                <w:sz w:val="24"/>
                <w:lang w:bidi="ar"/>
              </w:rPr>
              <w:t>/d，</w:t>
            </w:r>
            <w:r>
              <w:rPr>
                <w:rFonts w:hint="eastAsia"/>
                <w:color w:val="auto"/>
                <w:sz w:val="24"/>
                <w:lang w:bidi="ar"/>
              </w:rPr>
              <w:t>179.735</w:t>
            </w:r>
            <w:r>
              <w:rPr>
                <w:rFonts w:hint="eastAsia"/>
                <w:color w:val="auto"/>
                <w:kern w:val="0"/>
                <w:sz w:val="24"/>
                <w:lang w:bidi="ar"/>
              </w:rPr>
              <w:t>t</w:t>
            </w:r>
            <w:r>
              <w:rPr>
                <w:color w:val="auto"/>
                <w:sz w:val="24"/>
                <w:lang w:bidi="ar"/>
              </w:rPr>
              <w:t>/a）</w:t>
            </w:r>
            <w:r>
              <w:rPr>
                <w:color w:val="auto"/>
                <w:sz w:val="24"/>
              </w:rPr>
              <w:t>，则本项目需处理的废水量为</w:t>
            </w:r>
            <w:r>
              <w:rPr>
                <w:color w:val="auto"/>
                <w:sz w:val="24"/>
                <w:lang w:bidi="ar"/>
              </w:rPr>
              <w:t>（</w:t>
            </w:r>
            <w:r>
              <w:rPr>
                <w:rFonts w:hint="eastAsia"/>
                <w:color w:val="auto"/>
                <w:sz w:val="24"/>
                <w:lang w:bidi="ar"/>
              </w:rPr>
              <w:t>5.392</w:t>
            </w:r>
            <w:r>
              <w:rPr>
                <w:rFonts w:hint="eastAsia"/>
                <w:color w:val="auto"/>
                <w:kern w:val="0"/>
                <w:sz w:val="24"/>
                <w:lang w:bidi="ar"/>
              </w:rPr>
              <w:t>t</w:t>
            </w:r>
            <w:r>
              <w:rPr>
                <w:color w:val="auto"/>
                <w:sz w:val="24"/>
                <w:lang w:bidi="ar"/>
              </w:rPr>
              <w:t>/d，</w:t>
            </w:r>
            <w:r>
              <w:rPr>
                <w:rFonts w:hint="eastAsia"/>
                <w:color w:val="auto"/>
                <w:sz w:val="24"/>
                <w:lang w:bidi="ar"/>
              </w:rPr>
              <w:t>1617.621</w:t>
            </w:r>
            <w:r>
              <w:rPr>
                <w:rFonts w:hint="eastAsia"/>
                <w:color w:val="auto"/>
                <w:kern w:val="0"/>
                <w:sz w:val="24"/>
                <w:lang w:bidi="ar"/>
              </w:rPr>
              <w:t>t</w:t>
            </w:r>
            <w:r>
              <w:rPr>
                <w:color w:val="auto"/>
                <w:sz w:val="24"/>
                <w:lang w:bidi="ar"/>
              </w:rPr>
              <w:t>/a）</w:t>
            </w:r>
            <w:r>
              <w:rPr>
                <w:color w:val="auto"/>
                <w:sz w:val="24"/>
              </w:rPr>
              <w:t>，则需运行成本为</w:t>
            </w:r>
            <w:r>
              <w:rPr>
                <w:rFonts w:hint="eastAsia"/>
                <w:color w:val="auto"/>
                <w:sz w:val="24"/>
              </w:rPr>
              <w:t>212.5</w:t>
            </w:r>
            <w:r>
              <w:rPr>
                <w:color w:val="auto"/>
                <w:sz w:val="24"/>
              </w:rPr>
              <w:t>元/天（</w:t>
            </w:r>
            <w:r>
              <w:rPr>
                <w:rFonts w:hint="eastAsia"/>
                <w:color w:val="auto"/>
                <w:sz w:val="24"/>
              </w:rPr>
              <w:t>63750</w:t>
            </w:r>
            <w:r>
              <w:rPr>
                <w:color w:val="auto"/>
                <w:sz w:val="24"/>
              </w:rPr>
              <w:t xml:space="preserve">元/年）。 </w:t>
            </w:r>
          </w:p>
          <w:p w14:paraId="5353CAAB">
            <w:pPr>
              <w:widowControl/>
              <w:spacing w:line="360" w:lineRule="auto"/>
              <w:ind w:firstLine="480" w:firstLineChars="200"/>
              <w:jc w:val="left"/>
              <w:rPr>
                <w:color w:val="auto"/>
                <w:sz w:val="24"/>
              </w:rPr>
            </w:pPr>
            <w:r>
              <w:rPr>
                <w:rFonts w:hint="eastAsia"/>
                <w:color w:val="auto"/>
                <w:sz w:val="24"/>
              </w:rPr>
              <w:t>MVR蒸发器：</w:t>
            </w:r>
            <w:r>
              <w:rPr>
                <w:color w:val="auto"/>
                <w:sz w:val="24"/>
              </w:rPr>
              <w:t>根据工程实例，每蒸发1吨水的运行费用为</w:t>
            </w:r>
            <w:r>
              <w:rPr>
                <w:rFonts w:hint="eastAsia"/>
                <w:color w:val="auto"/>
                <w:sz w:val="24"/>
              </w:rPr>
              <w:t>15-60</w:t>
            </w:r>
            <w:r>
              <w:rPr>
                <w:color w:val="auto"/>
                <w:sz w:val="24"/>
              </w:rPr>
              <w:t>元，则需运行成本为</w:t>
            </w:r>
            <w:r>
              <w:rPr>
                <w:rFonts w:hint="eastAsia"/>
                <w:color w:val="auto"/>
                <w:sz w:val="24"/>
              </w:rPr>
              <w:t>35.9</w:t>
            </w:r>
            <w:r>
              <w:rPr>
                <w:color w:val="auto"/>
                <w:sz w:val="24"/>
              </w:rPr>
              <w:t>元/天（</w:t>
            </w:r>
            <w:r>
              <w:rPr>
                <w:rFonts w:hint="eastAsia"/>
                <w:color w:val="auto"/>
                <w:sz w:val="24"/>
              </w:rPr>
              <w:t>10782</w:t>
            </w:r>
            <w:r>
              <w:rPr>
                <w:color w:val="auto"/>
                <w:sz w:val="24"/>
              </w:rPr>
              <w:t xml:space="preserve">元/年）。 </w:t>
            </w:r>
          </w:p>
          <w:p w14:paraId="5092E5B3">
            <w:pPr>
              <w:widowControl/>
              <w:spacing w:line="360" w:lineRule="auto"/>
              <w:ind w:firstLine="480" w:firstLineChars="200"/>
              <w:jc w:val="left"/>
              <w:rPr>
                <w:color w:val="auto"/>
                <w:sz w:val="24"/>
              </w:rPr>
            </w:pPr>
            <w:r>
              <w:rPr>
                <w:color w:val="auto"/>
                <w:sz w:val="24"/>
              </w:rPr>
              <w:t>总直接运行费用（满负荷运行计）为：</w:t>
            </w:r>
            <w:r>
              <w:rPr>
                <w:rFonts w:hint="eastAsia"/>
                <w:color w:val="auto"/>
                <w:sz w:val="24"/>
              </w:rPr>
              <w:t>212.5</w:t>
            </w:r>
            <w:r>
              <w:rPr>
                <w:color w:val="auto"/>
                <w:sz w:val="24"/>
              </w:rPr>
              <w:t>+</w:t>
            </w:r>
            <w:r>
              <w:rPr>
                <w:rFonts w:hint="eastAsia"/>
                <w:color w:val="auto"/>
                <w:sz w:val="24"/>
              </w:rPr>
              <w:t>35.9</w:t>
            </w:r>
            <w:r>
              <w:rPr>
                <w:color w:val="auto"/>
                <w:sz w:val="24"/>
              </w:rPr>
              <w:t>=</w:t>
            </w:r>
            <w:r>
              <w:rPr>
                <w:rFonts w:hint="eastAsia"/>
                <w:color w:val="auto"/>
                <w:sz w:val="24"/>
              </w:rPr>
              <w:t>248.4</w:t>
            </w:r>
            <w:r>
              <w:rPr>
                <w:color w:val="auto"/>
                <w:sz w:val="24"/>
              </w:rPr>
              <w:t>元/天（约</w:t>
            </w:r>
            <w:r>
              <w:rPr>
                <w:rFonts w:hint="eastAsia"/>
                <w:color w:val="auto"/>
                <w:sz w:val="24"/>
              </w:rPr>
              <w:t>74532</w:t>
            </w:r>
            <w:r>
              <w:rPr>
                <w:color w:val="auto"/>
                <w:sz w:val="24"/>
              </w:rPr>
              <w:t xml:space="preserve">元/年）。 </w:t>
            </w:r>
          </w:p>
          <w:p w14:paraId="2E82ED3A">
            <w:pPr>
              <w:widowControl/>
              <w:numPr>
                <w:ilvl w:val="0"/>
                <w:numId w:val="20"/>
              </w:numPr>
              <w:spacing w:line="360" w:lineRule="auto"/>
              <w:ind w:firstLine="480" w:firstLineChars="200"/>
              <w:jc w:val="left"/>
              <w:rPr>
                <w:color w:val="auto"/>
                <w:sz w:val="24"/>
              </w:rPr>
            </w:pPr>
            <w:r>
              <w:rPr>
                <w:rFonts w:hint="eastAsia"/>
                <w:color w:val="auto"/>
                <w:sz w:val="24"/>
              </w:rPr>
              <w:t>经济效益</w:t>
            </w:r>
          </w:p>
          <w:p w14:paraId="6FD3A4CE">
            <w:pPr>
              <w:widowControl/>
              <w:spacing w:line="360" w:lineRule="auto"/>
              <w:ind w:firstLine="480" w:firstLineChars="200"/>
              <w:jc w:val="left"/>
              <w:rPr>
                <w:color w:val="auto"/>
                <w:sz w:val="24"/>
              </w:rPr>
            </w:pPr>
            <w:r>
              <w:rPr>
                <w:rFonts w:hint="eastAsia"/>
                <w:color w:val="auto"/>
                <w:sz w:val="24"/>
              </w:rPr>
              <w:t>本项目废水处理后中水回用量为1428.899t/a，按照3.5元/t计算，则产生5001元/年的经济效益。</w:t>
            </w:r>
          </w:p>
          <w:p w14:paraId="256671C4">
            <w:pPr>
              <w:spacing w:line="360" w:lineRule="auto"/>
              <w:ind w:firstLine="480" w:firstLineChars="200"/>
              <w:rPr>
                <w:color w:val="auto"/>
                <w:sz w:val="24"/>
              </w:rPr>
            </w:pPr>
            <w:r>
              <w:rPr>
                <w:color w:val="auto"/>
                <w:sz w:val="24"/>
              </w:rPr>
              <w:t>通过分析可以看出，</w:t>
            </w:r>
            <w:r>
              <w:rPr>
                <w:rFonts w:hint="eastAsia"/>
                <w:color w:val="auto"/>
                <w:sz w:val="24"/>
              </w:rPr>
              <w:t>扣除中水回用产生的经济效益后，</w:t>
            </w:r>
            <w:r>
              <w:rPr>
                <w:color w:val="auto"/>
                <w:sz w:val="24"/>
              </w:rPr>
              <w:t>项目废水处理设施的运转费用</w:t>
            </w:r>
            <w:r>
              <w:rPr>
                <w:rFonts w:hint="eastAsia"/>
                <w:color w:val="auto"/>
                <w:sz w:val="24"/>
              </w:rPr>
              <w:t>约69531元/年，平均运行费用231.8元/天，运行费用可接受，</w:t>
            </w:r>
            <w:r>
              <w:rPr>
                <w:color w:val="auto"/>
                <w:sz w:val="24"/>
              </w:rPr>
              <w:t>经济上可行。</w:t>
            </w:r>
          </w:p>
          <w:p w14:paraId="66273AA7">
            <w:pPr>
              <w:adjustRightInd w:val="0"/>
              <w:snapToGrid w:val="0"/>
              <w:spacing w:line="360" w:lineRule="auto"/>
              <w:ind w:firstLine="480" w:firstLineChars="200"/>
              <w:rPr>
                <w:color w:val="auto"/>
                <w:sz w:val="24"/>
              </w:rPr>
            </w:pPr>
            <w:r>
              <w:rPr>
                <w:color w:val="auto"/>
                <w:sz w:val="24"/>
              </w:rPr>
              <w:t>综上，本项目生产废水处理设施具有经济、技术可行性。</w:t>
            </w:r>
          </w:p>
          <w:p w14:paraId="0A01F954">
            <w:pPr>
              <w:adjustRightInd w:val="0"/>
              <w:snapToGrid w:val="0"/>
              <w:spacing w:line="360" w:lineRule="auto"/>
              <w:ind w:firstLine="422" w:firstLineChars="175"/>
              <w:rPr>
                <w:b/>
                <w:bCs/>
                <w:color w:val="auto"/>
                <w:sz w:val="24"/>
              </w:rPr>
            </w:pPr>
            <w:r>
              <w:rPr>
                <w:rFonts w:hint="eastAsia"/>
                <w:b/>
                <w:bCs/>
                <w:color w:val="auto"/>
                <w:sz w:val="24"/>
              </w:rPr>
              <w:t>4.2</w:t>
            </w:r>
            <w:r>
              <w:rPr>
                <w:b/>
                <w:bCs/>
                <w:color w:val="auto"/>
                <w:sz w:val="24"/>
              </w:rPr>
              <w:t>、生活污水依托污水处理厂可行性分析</w:t>
            </w:r>
          </w:p>
          <w:p w14:paraId="08C6CB22">
            <w:pPr>
              <w:adjustRightInd w:val="0"/>
              <w:snapToGrid w:val="0"/>
              <w:spacing w:line="360" w:lineRule="auto"/>
              <w:ind w:firstLine="482" w:firstLineChars="200"/>
              <w:rPr>
                <w:b/>
                <w:color w:val="auto"/>
                <w:sz w:val="24"/>
              </w:rPr>
            </w:pPr>
            <w:r>
              <w:rPr>
                <w:b/>
                <w:color w:val="auto"/>
                <w:kern w:val="0"/>
                <w:sz w:val="24"/>
                <w:lang w:bidi="ar"/>
              </w:rPr>
              <w:t>（1）</w:t>
            </w:r>
            <w:r>
              <w:rPr>
                <w:rFonts w:hint="eastAsia"/>
                <w:b/>
                <w:color w:val="auto"/>
                <w:sz w:val="24"/>
              </w:rPr>
              <w:t>石湾镇西基生活污水厂</w:t>
            </w:r>
            <w:r>
              <w:rPr>
                <w:b/>
                <w:color w:val="auto"/>
                <w:sz w:val="24"/>
              </w:rPr>
              <w:t>概况</w:t>
            </w:r>
          </w:p>
          <w:p w14:paraId="4D6B92FE">
            <w:pPr>
              <w:adjustRightInd w:val="0"/>
              <w:snapToGrid w:val="0"/>
              <w:spacing w:line="360" w:lineRule="auto"/>
              <w:ind w:firstLine="480" w:firstLineChars="200"/>
              <w:rPr>
                <w:color w:val="auto"/>
                <w:sz w:val="24"/>
              </w:rPr>
            </w:pPr>
            <w:r>
              <w:rPr>
                <w:rFonts w:hint="eastAsia"/>
                <w:color w:val="auto"/>
                <w:sz w:val="24"/>
              </w:rPr>
              <w:t>博罗县石湾镇西基生活污水处理厂位于博罗县石湾镇滘吓西基，总投资</w:t>
            </w:r>
            <w:r>
              <w:rPr>
                <w:color w:val="auto"/>
                <w:sz w:val="24"/>
              </w:rPr>
              <w:t>5168.73</w:t>
            </w:r>
            <w:r>
              <w:rPr>
                <w:rFonts w:hint="eastAsia"/>
                <w:color w:val="auto"/>
                <w:sz w:val="24"/>
              </w:rPr>
              <w:t>万元，占地面积2万平方米，污水日处理能力1万m</w:t>
            </w:r>
            <w:r>
              <w:rPr>
                <w:rFonts w:hint="eastAsia"/>
                <w:color w:val="auto"/>
                <w:sz w:val="24"/>
                <w:vertAlign w:val="superscript"/>
              </w:rPr>
              <w:t>3</w:t>
            </w:r>
            <w:r>
              <w:rPr>
                <w:color w:val="auto"/>
                <w:sz w:val="24"/>
              </w:rPr>
              <w:t>/</w:t>
            </w:r>
            <w:r>
              <w:rPr>
                <w:rFonts w:hint="eastAsia"/>
                <w:color w:val="auto"/>
                <w:sz w:val="24"/>
              </w:rPr>
              <w:t>日，工程采用</w:t>
            </w:r>
            <w:r>
              <w:rPr>
                <w:color w:val="auto"/>
                <w:sz w:val="24"/>
              </w:rPr>
              <w:t>“A2 /O</w:t>
            </w:r>
            <w:r>
              <w:rPr>
                <w:rFonts w:hint="eastAsia"/>
                <w:color w:val="auto"/>
                <w:sz w:val="24"/>
              </w:rPr>
              <w:t>生化处理工艺</w:t>
            </w:r>
            <w:r>
              <w:rPr>
                <w:color w:val="auto"/>
                <w:sz w:val="24"/>
              </w:rPr>
              <w:t>”</w:t>
            </w:r>
            <w:r>
              <w:rPr>
                <w:rFonts w:hint="eastAsia"/>
                <w:color w:val="auto"/>
                <w:sz w:val="24"/>
              </w:rPr>
              <w:t>，污水的处理工艺流程为：污水首先经过厂内进水泵房前的粗格栅，提升输送至厂内沉砂池，沉砂池前的进水渠道上设置细格栅，以保证后续处理构筑物的正常运行。污水经沉砂后配水到</w:t>
            </w:r>
            <w:r>
              <w:rPr>
                <w:color w:val="auto"/>
                <w:sz w:val="24"/>
              </w:rPr>
              <w:t>A2/O</w:t>
            </w:r>
            <w:r>
              <w:rPr>
                <w:rFonts w:hint="eastAsia"/>
                <w:color w:val="auto"/>
                <w:sz w:val="24"/>
              </w:rPr>
              <w:t>生化处理池，该池由厌氧、缺氧、好氧三段组成，以完成生物脱氮除磷和降解有机污染物的过程。</w:t>
            </w:r>
            <w:r>
              <w:rPr>
                <w:color w:val="auto"/>
                <w:sz w:val="24"/>
              </w:rPr>
              <w:t>A2/O</w:t>
            </w:r>
            <w:r>
              <w:rPr>
                <w:rFonts w:hint="eastAsia"/>
                <w:color w:val="auto"/>
                <w:sz w:val="24"/>
              </w:rPr>
              <w:t>氧化沟生化处理池的出水配水至二沉池进行固液分离，二沉池出水经消毒后排入深度处理系统，最终深度处理系统出水达标排放。处理后的尾水水质达到《城镇污水处理厂污染物排放标准》（</w:t>
            </w:r>
            <w:r>
              <w:rPr>
                <w:color w:val="auto"/>
                <w:sz w:val="24"/>
              </w:rPr>
              <w:t>GB18918-2002</w:t>
            </w:r>
            <w:r>
              <w:rPr>
                <w:rFonts w:hint="eastAsia"/>
                <w:color w:val="auto"/>
                <w:sz w:val="24"/>
              </w:rPr>
              <w:t xml:space="preserve">）一级标准的 </w:t>
            </w:r>
            <w:r>
              <w:rPr>
                <w:color w:val="auto"/>
                <w:sz w:val="24"/>
              </w:rPr>
              <w:t xml:space="preserve">A </w:t>
            </w:r>
            <w:r>
              <w:rPr>
                <w:rFonts w:hint="eastAsia"/>
                <w:color w:val="auto"/>
                <w:sz w:val="24"/>
              </w:rPr>
              <w:t>类标准以及广东省地方标准《水污染物排放限值》（</w:t>
            </w:r>
            <w:r>
              <w:rPr>
                <w:color w:val="auto"/>
                <w:sz w:val="24"/>
              </w:rPr>
              <w:t>DB44/26-2001</w:t>
            </w:r>
            <w:r>
              <w:rPr>
                <w:rFonts w:hint="eastAsia"/>
                <w:color w:val="auto"/>
                <w:sz w:val="24"/>
              </w:rPr>
              <w:t>）第二时段一级标准中的较严值，</w:t>
            </w:r>
            <w:r>
              <w:rPr>
                <w:rFonts w:hint="eastAsia"/>
                <w:color w:val="auto"/>
                <w:sz w:val="24"/>
                <w:lang w:bidi="ar"/>
              </w:rPr>
              <w:t>其中氨氮、总磷排放执行国家《地表水环境质量》（GB3838-2002）</w:t>
            </w:r>
            <w:r>
              <w:rPr>
                <w:color w:val="auto"/>
                <w:sz w:val="24"/>
                <w:lang w:bidi="ar"/>
              </w:rPr>
              <w:t>Ⅴ</w:t>
            </w:r>
            <w:r>
              <w:rPr>
                <w:rFonts w:hint="eastAsia"/>
                <w:color w:val="auto"/>
                <w:sz w:val="24"/>
                <w:lang w:bidi="ar"/>
              </w:rPr>
              <w:t>类标准，尾水</w:t>
            </w:r>
            <w:r>
              <w:rPr>
                <w:rFonts w:hint="eastAsia"/>
                <w:color w:val="auto"/>
                <w:sz w:val="24"/>
              </w:rPr>
              <w:t>排至联和排渠（里波水）汇入东江。</w:t>
            </w:r>
          </w:p>
          <w:p w14:paraId="32F30A98">
            <w:pPr>
              <w:pStyle w:val="43"/>
              <w:ind w:firstLine="422" w:firstLineChars="175"/>
              <w:rPr>
                <w:b/>
                <w:color w:val="auto"/>
              </w:rPr>
            </w:pPr>
            <w:r>
              <w:rPr>
                <w:b/>
                <w:color w:val="auto"/>
              </w:rPr>
              <w:t>（</w:t>
            </w:r>
            <w:r>
              <w:rPr>
                <w:rFonts w:hint="eastAsia"/>
                <w:b/>
                <w:color w:val="auto"/>
              </w:rPr>
              <w:t>2</w:t>
            </w:r>
            <w:r>
              <w:rPr>
                <w:b/>
                <w:color w:val="auto"/>
              </w:rPr>
              <w:t>）污水接纳可行性分析</w:t>
            </w:r>
          </w:p>
          <w:p w14:paraId="30EA2769">
            <w:pPr>
              <w:pStyle w:val="43"/>
              <w:ind w:firstLine="420" w:firstLineChars="175"/>
              <w:rPr>
                <w:color w:val="auto"/>
              </w:rPr>
            </w:pPr>
            <w:r>
              <w:rPr>
                <w:rFonts w:hint="eastAsia"/>
                <w:color w:val="auto"/>
              </w:rPr>
              <w:t>项目外排废水主要来源于厂区员工的日常办公生活用水，属于典型的城市生活污水，主要污染物为COD</w:t>
            </w:r>
            <w:r>
              <w:rPr>
                <w:rFonts w:hint="eastAsia"/>
                <w:color w:val="auto"/>
                <w:vertAlign w:val="subscript"/>
              </w:rPr>
              <w:t>Cr</w:t>
            </w:r>
            <w:r>
              <w:rPr>
                <w:rFonts w:hint="eastAsia"/>
                <w:color w:val="auto"/>
              </w:rPr>
              <w:t>、BOD</w:t>
            </w:r>
            <w:r>
              <w:rPr>
                <w:rFonts w:hint="eastAsia"/>
                <w:color w:val="auto"/>
                <w:vertAlign w:val="subscript"/>
              </w:rPr>
              <w:t>5</w:t>
            </w:r>
            <w:r>
              <w:rPr>
                <w:rFonts w:hint="eastAsia"/>
                <w:color w:val="auto"/>
              </w:rPr>
              <w:t>、氨氮、SS、总磷、总氮等，根据《村镇生活污染防治最佳可行技术指南（试行）》（HJ -BAT-9）三级化粪池对污染物的削减为COD：40%～50%，SS：60%～70%，动植物油：80%～90%，致病菌寄生虫卵：不小于95%，TN：不大于10%，TP：不大于20%。由此可知，项目生活污水经园区三级化粪池预处理后基本可满足石湾镇西基生活污水厂的进水水质要求，根据</w:t>
            </w:r>
            <w:r>
              <w:rPr>
                <w:rFonts w:hint="eastAsia"/>
                <w:color w:val="auto"/>
                <w:kern w:val="0"/>
              </w:rPr>
              <w:t>《博罗县石湾镇污水专项建设规划》（2018年9月），</w:t>
            </w:r>
            <w:r>
              <w:rPr>
                <w:rFonts w:hint="eastAsia"/>
                <w:color w:val="auto"/>
              </w:rPr>
              <w:t>项目所在区域属于石湾镇西基生活污水厂纳污范围，且该污水厂的纳污管网已铺设至项目所在区域，附近的污水管网属于已建成，因此项目营运期生活污水纳入石湾镇西基生活污水厂具备可行性。</w:t>
            </w:r>
          </w:p>
          <w:p w14:paraId="21F6B7D8">
            <w:pPr>
              <w:pStyle w:val="43"/>
              <w:ind w:firstLine="422" w:firstLineChars="175"/>
              <w:rPr>
                <w:b/>
                <w:color w:val="auto"/>
              </w:rPr>
            </w:pPr>
            <w:r>
              <w:rPr>
                <w:rFonts w:hint="eastAsia"/>
                <w:b/>
                <w:bCs/>
                <w:color w:val="auto"/>
              </w:rPr>
              <w:t>（3）处理能力可行性分析</w:t>
            </w:r>
          </w:p>
          <w:p w14:paraId="10F7A500">
            <w:pPr>
              <w:pStyle w:val="43"/>
              <w:ind w:firstLine="420" w:firstLineChars="175"/>
              <w:rPr>
                <w:color w:val="auto"/>
              </w:rPr>
            </w:pPr>
            <w:r>
              <w:rPr>
                <w:rFonts w:hint="eastAsia"/>
                <w:color w:val="auto"/>
              </w:rPr>
              <w:t>石湾镇西基生活污水厂污水处理能力为1万m</w:t>
            </w:r>
            <w:r>
              <w:rPr>
                <w:rFonts w:hint="eastAsia"/>
                <w:color w:val="auto"/>
                <w:vertAlign w:val="superscript"/>
              </w:rPr>
              <w:t>3</w:t>
            </w:r>
            <w:r>
              <w:rPr>
                <w:rFonts w:hint="eastAsia"/>
                <w:color w:val="auto"/>
              </w:rPr>
              <w:t>/d，剩余处理能力约为800m</w:t>
            </w:r>
            <w:r>
              <w:rPr>
                <w:rFonts w:hint="eastAsia"/>
                <w:color w:val="auto"/>
                <w:vertAlign w:val="superscript"/>
              </w:rPr>
              <w:t>3</w:t>
            </w:r>
            <w:r>
              <w:rPr>
                <w:rFonts w:hint="eastAsia"/>
                <w:color w:val="auto"/>
              </w:rPr>
              <w:t>/d。项目生活污水的排放量为1.5m</w:t>
            </w:r>
            <w:r>
              <w:rPr>
                <w:rFonts w:hint="eastAsia"/>
                <w:color w:val="auto"/>
                <w:vertAlign w:val="superscript"/>
              </w:rPr>
              <w:t>3</w:t>
            </w:r>
            <w:r>
              <w:rPr>
                <w:rFonts w:hint="eastAsia"/>
                <w:color w:val="auto"/>
              </w:rPr>
              <w:t>/d（450m</w:t>
            </w:r>
            <w:r>
              <w:rPr>
                <w:rFonts w:hint="eastAsia"/>
                <w:color w:val="auto"/>
                <w:vertAlign w:val="superscript"/>
              </w:rPr>
              <w:t>3</w:t>
            </w:r>
            <w:r>
              <w:rPr>
                <w:rFonts w:hint="eastAsia"/>
                <w:color w:val="auto"/>
              </w:rPr>
              <w:t>/a），仅占剩余处理量的0.1875%，占比较小，在该污水处理厂的处理能力之内，具有接纳本项目污水的能力，对该污水厂的正常运行不会造成冲击性的影响。因此项目生活污水经三级化粪池预处理后纳入石湾镇西基生活污水厂进行处理方案是可行的。</w:t>
            </w:r>
          </w:p>
          <w:p w14:paraId="0781A813">
            <w:pPr>
              <w:adjustRightInd w:val="0"/>
              <w:snapToGrid w:val="0"/>
              <w:spacing w:line="360" w:lineRule="auto"/>
              <w:ind w:firstLine="482" w:firstLineChars="200"/>
              <w:rPr>
                <w:b/>
                <w:bCs/>
                <w:color w:val="auto"/>
                <w:sz w:val="24"/>
              </w:rPr>
            </w:pPr>
            <w:r>
              <w:rPr>
                <w:b/>
                <w:bCs/>
                <w:color w:val="auto"/>
                <w:sz w:val="24"/>
              </w:rPr>
              <w:t>（</w:t>
            </w:r>
            <w:r>
              <w:rPr>
                <w:rFonts w:hint="eastAsia"/>
                <w:b/>
                <w:bCs/>
                <w:color w:val="auto"/>
                <w:sz w:val="24"/>
              </w:rPr>
              <w:t>二</w:t>
            </w:r>
            <w:r>
              <w:rPr>
                <w:b/>
                <w:bCs/>
                <w:color w:val="auto"/>
                <w:sz w:val="24"/>
              </w:rPr>
              <w:t>）废气</w:t>
            </w:r>
          </w:p>
          <w:p w14:paraId="1419A7CA">
            <w:pPr>
              <w:adjustRightInd w:val="0"/>
              <w:snapToGrid w:val="0"/>
              <w:spacing w:line="360" w:lineRule="auto"/>
              <w:ind w:firstLine="480" w:firstLineChars="200"/>
              <w:rPr>
                <w:color w:val="auto"/>
                <w:sz w:val="24"/>
              </w:rPr>
            </w:pPr>
            <w:r>
              <w:rPr>
                <w:color w:val="auto"/>
                <w:sz w:val="24"/>
              </w:rPr>
              <w:t>项目运营期产生的废气主要为</w:t>
            </w:r>
            <w:r>
              <w:rPr>
                <w:rFonts w:hint="eastAsia"/>
                <w:color w:val="auto"/>
                <w:sz w:val="24"/>
              </w:rPr>
              <w:t>抛丸工序产生的抛丸粉尘、打磨工序产生的打磨粉尘、</w:t>
            </w:r>
            <w:r>
              <w:rPr>
                <w:color w:val="auto"/>
                <w:sz w:val="24"/>
              </w:rPr>
              <w:t>喷粉工序产生的</w:t>
            </w:r>
            <w:r>
              <w:rPr>
                <w:rFonts w:hint="eastAsia"/>
                <w:color w:val="auto"/>
                <w:sz w:val="24"/>
              </w:rPr>
              <w:t>喷粉</w:t>
            </w:r>
            <w:r>
              <w:rPr>
                <w:color w:val="auto"/>
                <w:sz w:val="24"/>
              </w:rPr>
              <w:t>粉尘、固化工序产生的</w:t>
            </w:r>
            <w:r>
              <w:rPr>
                <w:rFonts w:hint="eastAsia"/>
                <w:color w:val="auto"/>
                <w:sz w:val="24"/>
              </w:rPr>
              <w:t>固化废气</w:t>
            </w:r>
            <w:r>
              <w:rPr>
                <w:color w:val="auto"/>
                <w:sz w:val="24"/>
              </w:rPr>
              <w:t>、</w:t>
            </w:r>
            <w:r>
              <w:rPr>
                <w:rFonts w:hint="eastAsia"/>
                <w:color w:val="auto"/>
                <w:sz w:val="24"/>
              </w:rPr>
              <w:t>喷漆产生的喷漆废气、烘烤产生的烘烤废气、除锈</w:t>
            </w:r>
            <w:r>
              <w:rPr>
                <w:color w:val="auto"/>
                <w:sz w:val="24"/>
              </w:rPr>
              <w:t>工序产生的硫酸雾、天然气燃烧产生的废气和自建</w:t>
            </w:r>
            <w:r>
              <w:rPr>
                <w:rFonts w:hint="eastAsia"/>
                <w:color w:val="auto"/>
                <w:sz w:val="24"/>
              </w:rPr>
              <w:t>废水处理设施</w:t>
            </w:r>
            <w:r>
              <w:rPr>
                <w:color w:val="auto"/>
                <w:sz w:val="24"/>
              </w:rPr>
              <w:t>恶臭气体等。</w:t>
            </w:r>
            <w:r>
              <w:rPr>
                <w:rFonts w:hint="eastAsia"/>
                <w:color w:val="auto"/>
                <w:sz w:val="24"/>
              </w:rPr>
              <w:t>污染因子包括颗粒物、TVOC、臭气浓度、氮氧化物、二氧化硫、硫酸雾、氨、硫化氢等。</w:t>
            </w:r>
          </w:p>
          <w:p w14:paraId="37469D6A">
            <w:pPr>
              <w:pStyle w:val="43"/>
              <w:rPr>
                <w:color w:val="auto"/>
              </w:rPr>
            </w:pPr>
            <w:r>
              <w:rPr>
                <w:color w:val="auto"/>
              </w:rPr>
              <w:t>项目废气污染源源强核算结果及相关参数见下表。</w:t>
            </w:r>
          </w:p>
          <w:p w14:paraId="2B11CBB8">
            <w:pPr>
              <w:rPr>
                <w:color w:val="auto"/>
              </w:rPr>
            </w:pPr>
          </w:p>
          <w:p w14:paraId="64C10E02">
            <w:pPr>
              <w:rPr>
                <w:color w:val="auto"/>
              </w:rPr>
            </w:pPr>
          </w:p>
          <w:p w14:paraId="7232001F">
            <w:pPr>
              <w:rPr>
                <w:color w:val="auto"/>
              </w:rPr>
            </w:pPr>
          </w:p>
          <w:p w14:paraId="38062B15">
            <w:pPr>
              <w:rPr>
                <w:color w:val="auto"/>
              </w:rPr>
            </w:pPr>
          </w:p>
          <w:p w14:paraId="52A88339">
            <w:pPr>
              <w:rPr>
                <w:color w:val="auto"/>
              </w:rPr>
            </w:pPr>
          </w:p>
          <w:p w14:paraId="6AE93B95">
            <w:pPr>
              <w:rPr>
                <w:color w:val="auto"/>
              </w:rPr>
            </w:pPr>
          </w:p>
          <w:p w14:paraId="5D435D75">
            <w:pPr>
              <w:rPr>
                <w:color w:val="auto"/>
              </w:rPr>
            </w:pPr>
          </w:p>
        </w:tc>
      </w:tr>
    </w:tbl>
    <w:p w14:paraId="5344BDB9">
      <w:pPr>
        <w:sectPr>
          <w:pgSz w:w="11907" w:h="16840"/>
          <w:pgMar w:top="1440" w:right="1080" w:bottom="1440" w:left="1080" w:header="851" w:footer="851" w:gutter="0"/>
          <w:cols w:space="720" w:num="1"/>
          <w:docGrid w:linePitch="312" w:charSpace="0"/>
        </w:sectPr>
      </w:pPr>
    </w:p>
    <w:tbl>
      <w:tblPr>
        <w:tblStyle w:val="3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0"/>
      </w:tblGrid>
      <w:tr w14:paraId="55B04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9" w:hRule="atLeast"/>
        </w:trPr>
        <w:tc>
          <w:tcPr>
            <w:tcW w:w="5000" w:type="pct"/>
            <w:tcBorders>
              <w:top w:val="single" w:color="auto" w:sz="8" w:space="0"/>
              <w:left w:val="single" w:color="auto" w:sz="8" w:space="0"/>
              <w:bottom w:val="single" w:color="auto" w:sz="8" w:space="0"/>
              <w:right w:val="single" w:color="auto" w:sz="8" w:space="0"/>
            </w:tcBorders>
          </w:tcPr>
          <w:p w14:paraId="0F2F3B73">
            <w:pPr>
              <w:pStyle w:val="77"/>
              <w:numPr>
                <w:ilvl w:val="0"/>
                <w:numId w:val="18"/>
              </w:numPr>
              <w:adjustRightInd w:val="0"/>
              <w:snapToGrid w:val="0"/>
              <w:jc w:val="center"/>
              <w:rPr>
                <w:color w:val="auto"/>
              </w:rPr>
            </w:pPr>
            <w:r>
              <w:rPr>
                <w:b/>
                <w:color w:val="auto"/>
                <w:szCs w:val="21"/>
              </w:rPr>
              <w:t>项目</w:t>
            </w:r>
            <w:r>
              <w:rPr>
                <w:b/>
                <w:color w:val="auto"/>
              </w:rPr>
              <w:t>废气污染源源强核算结果及相关参数一览表</w:t>
            </w:r>
          </w:p>
          <w:tbl>
            <w:tblPr>
              <w:tblStyle w:val="35"/>
              <w:tblW w:w="50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881"/>
              <w:gridCol w:w="1269"/>
              <w:gridCol w:w="1069"/>
              <w:gridCol w:w="970"/>
              <w:gridCol w:w="975"/>
              <w:gridCol w:w="970"/>
              <w:gridCol w:w="970"/>
              <w:gridCol w:w="1125"/>
              <w:gridCol w:w="710"/>
              <w:gridCol w:w="661"/>
              <w:gridCol w:w="1093"/>
              <w:gridCol w:w="998"/>
              <w:gridCol w:w="930"/>
              <w:gridCol w:w="936"/>
              <w:gridCol w:w="716"/>
            </w:tblGrid>
            <w:tr w14:paraId="55D2A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restart"/>
                  <w:vAlign w:val="center"/>
                </w:tcPr>
                <w:p w14:paraId="22086B11">
                  <w:pPr>
                    <w:pStyle w:val="70"/>
                    <w:spacing w:beforeLines="0" w:afterLines="0" w:line="240" w:lineRule="auto"/>
                    <w:ind w:firstLine="0"/>
                    <w:rPr>
                      <w:rFonts w:ascii="Times New Roman"/>
                      <w:b/>
                      <w:bCs/>
                      <w:color w:val="auto"/>
                      <w:sz w:val="21"/>
                      <w:szCs w:val="21"/>
                    </w:rPr>
                  </w:pPr>
                  <w:r>
                    <w:rPr>
                      <w:rFonts w:hint="eastAsia" w:ascii="Times New Roman"/>
                      <w:b/>
                      <w:bCs/>
                      <w:color w:val="auto"/>
                      <w:sz w:val="21"/>
                      <w:szCs w:val="21"/>
                    </w:rPr>
                    <w:t>排放形式</w:t>
                  </w:r>
                </w:p>
              </w:tc>
              <w:tc>
                <w:tcPr>
                  <w:tcW w:w="299" w:type="pct"/>
                  <w:vMerge w:val="restart"/>
                  <w:vAlign w:val="center"/>
                </w:tcPr>
                <w:p w14:paraId="38003F2C">
                  <w:pPr>
                    <w:pStyle w:val="70"/>
                    <w:spacing w:beforeLines="0" w:afterLines="0" w:line="240" w:lineRule="auto"/>
                    <w:ind w:firstLine="0"/>
                    <w:rPr>
                      <w:rFonts w:ascii="Times New Roman"/>
                      <w:b/>
                      <w:bCs/>
                      <w:color w:val="auto"/>
                      <w:sz w:val="21"/>
                      <w:szCs w:val="21"/>
                    </w:rPr>
                  </w:pPr>
                  <w:r>
                    <w:rPr>
                      <w:rFonts w:hint="eastAsia" w:ascii="Times New Roman"/>
                      <w:b/>
                      <w:bCs/>
                      <w:color w:val="auto"/>
                      <w:sz w:val="21"/>
                      <w:szCs w:val="21"/>
                    </w:rPr>
                    <w:t>排放口编号</w:t>
                  </w:r>
                </w:p>
              </w:tc>
              <w:tc>
                <w:tcPr>
                  <w:tcW w:w="431" w:type="pct"/>
                  <w:vMerge w:val="restart"/>
                  <w:vAlign w:val="center"/>
                </w:tcPr>
                <w:p w14:paraId="7C844636">
                  <w:pPr>
                    <w:pStyle w:val="70"/>
                    <w:spacing w:beforeLines="0" w:afterLines="0" w:line="240" w:lineRule="auto"/>
                    <w:ind w:firstLine="0"/>
                    <w:rPr>
                      <w:rFonts w:ascii="Times New Roman"/>
                      <w:b/>
                      <w:bCs/>
                      <w:color w:val="auto"/>
                      <w:sz w:val="21"/>
                      <w:szCs w:val="21"/>
                    </w:rPr>
                  </w:pPr>
                  <w:r>
                    <w:rPr>
                      <w:rFonts w:hint="eastAsia" w:ascii="Times New Roman"/>
                      <w:b/>
                      <w:bCs/>
                      <w:color w:val="auto"/>
                      <w:sz w:val="21"/>
                      <w:szCs w:val="21"/>
                    </w:rPr>
                    <w:t>污染源/污染工序</w:t>
                  </w:r>
                </w:p>
              </w:tc>
              <w:tc>
                <w:tcPr>
                  <w:tcW w:w="363" w:type="pct"/>
                  <w:vMerge w:val="restart"/>
                  <w:vAlign w:val="center"/>
                </w:tcPr>
                <w:p w14:paraId="79866D8A">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污染</w:t>
                  </w:r>
                </w:p>
                <w:p w14:paraId="352544F0">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因子</w:t>
                  </w:r>
                </w:p>
              </w:tc>
              <w:tc>
                <w:tcPr>
                  <w:tcW w:w="329" w:type="pct"/>
                  <w:vMerge w:val="restart"/>
                  <w:vAlign w:val="center"/>
                </w:tcPr>
                <w:p w14:paraId="71D28420">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核算</w:t>
                  </w:r>
                </w:p>
                <w:p w14:paraId="3423B0C5">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方法</w:t>
                  </w:r>
                </w:p>
              </w:tc>
              <w:tc>
                <w:tcPr>
                  <w:tcW w:w="989" w:type="pct"/>
                  <w:gridSpan w:val="3"/>
                  <w:vAlign w:val="center"/>
                </w:tcPr>
                <w:p w14:paraId="584133D5">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产生情况</w:t>
                  </w:r>
                </w:p>
              </w:tc>
              <w:tc>
                <w:tcPr>
                  <w:tcW w:w="1218" w:type="pct"/>
                  <w:gridSpan w:val="4"/>
                  <w:vAlign w:val="center"/>
                </w:tcPr>
                <w:p w14:paraId="586E4A0B">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治理措施</w:t>
                  </w:r>
                </w:p>
              </w:tc>
              <w:tc>
                <w:tcPr>
                  <w:tcW w:w="973" w:type="pct"/>
                  <w:gridSpan w:val="3"/>
                  <w:vAlign w:val="center"/>
                </w:tcPr>
                <w:p w14:paraId="1A1B75C5">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排放情况</w:t>
                  </w:r>
                </w:p>
              </w:tc>
              <w:tc>
                <w:tcPr>
                  <w:tcW w:w="243" w:type="pct"/>
                  <w:vMerge w:val="restart"/>
                  <w:vAlign w:val="center"/>
                </w:tcPr>
                <w:p w14:paraId="2A81BE04">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排放时间</w:t>
                  </w:r>
                </w:p>
                <w:p w14:paraId="4E6362D0">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h</w:t>
                  </w:r>
                </w:p>
              </w:tc>
            </w:tr>
            <w:tr w14:paraId="20AE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50" w:type="pct"/>
                  <w:vMerge w:val="continue"/>
                  <w:vAlign w:val="center"/>
                </w:tcPr>
                <w:p w14:paraId="0DEC1091">
                  <w:pPr>
                    <w:pStyle w:val="70"/>
                    <w:spacing w:beforeLines="0" w:afterLines="0" w:line="240" w:lineRule="auto"/>
                    <w:ind w:firstLine="0"/>
                    <w:rPr>
                      <w:rFonts w:ascii="Times New Roman"/>
                      <w:b/>
                      <w:bCs/>
                      <w:color w:val="auto"/>
                      <w:sz w:val="21"/>
                      <w:szCs w:val="21"/>
                    </w:rPr>
                  </w:pPr>
                </w:p>
              </w:tc>
              <w:tc>
                <w:tcPr>
                  <w:tcW w:w="299" w:type="pct"/>
                  <w:vMerge w:val="continue"/>
                  <w:vAlign w:val="center"/>
                </w:tcPr>
                <w:p w14:paraId="3444353C">
                  <w:pPr>
                    <w:pStyle w:val="70"/>
                    <w:spacing w:beforeLines="0" w:afterLines="0" w:line="240" w:lineRule="auto"/>
                    <w:ind w:firstLine="0"/>
                    <w:rPr>
                      <w:rFonts w:ascii="Times New Roman"/>
                      <w:b/>
                      <w:bCs/>
                      <w:color w:val="auto"/>
                      <w:sz w:val="21"/>
                      <w:szCs w:val="21"/>
                    </w:rPr>
                  </w:pPr>
                </w:p>
              </w:tc>
              <w:tc>
                <w:tcPr>
                  <w:tcW w:w="431" w:type="pct"/>
                  <w:vMerge w:val="continue"/>
                  <w:vAlign w:val="center"/>
                </w:tcPr>
                <w:p w14:paraId="37BB1F3B">
                  <w:pPr>
                    <w:pStyle w:val="70"/>
                    <w:spacing w:beforeLines="0" w:afterLines="0" w:line="240" w:lineRule="auto"/>
                    <w:ind w:firstLine="0"/>
                    <w:rPr>
                      <w:rFonts w:ascii="Times New Roman"/>
                      <w:b/>
                      <w:bCs/>
                      <w:color w:val="auto"/>
                      <w:sz w:val="21"/>
                      <w:szCs w:val="21"/>
                    </w:rPr>
                  </w:pPr>
                </w:p>
              </w:tc>
              <w:tc>
                <w:tcPr>
                  <w:tcW w:w="363" w:type="pct"/>
                  <w:vMerge w:val="continue"/>
                  <w:vAlign w:val="center"/>
                </w:tcPr>
                <w:p w14:paraId="20A9EB82">
                  <w:pPr>
                    <w:pStyle w:val="70"/>
                    <w:spacing w:beforeLines="0" w:afterLines="0" w:line="240" w:lineRule="auto"/>
                    <w:ind w:firstLine="0"/>
                    <w:rPr>
                      <w:rFonts w:ascii="Times New Roman"/>
                      <w:b/>
                      <w:bCs/>
                      <w:color w:val="auto"/>
                      <w:sz w:val="21"/>
                      <w:szCs w:val="21"/>
                    </w:rPr>
                  </w:pPr>
                </w:p>
              </w:tc>
              <w:tc>
                <w:tcPr>
                  <w:tcW w:w="329" w:type="pct"/>
                  <w:vMerge w:val="continue"/>
                  <w:vAlign w:val="center"/>
                </w:tcPr>
                <w:p w14:paraId="31BCA23C">
                  <w:pPr>
                    <w:pStyle w:val="70"/>
                    <w:spacing w:beforeLines="0" w:afterLines="0" w:line="240" w:lineRule="auto"/>
                    <w:ind w:firstLine="0"/>
                    <w:rPr>
                      <w:rFonts w:ascii="Times New Roman"/>
                      <w:b/>
                      <w:bCs/>
                      <w:color w:val="auto"/>
                      <w:sz w:val="21"/>
                      <w:szCs w:val="21"/>
                    </w:rPr>
                  </w:pPr>
                </w:p>
              </w:tc>
              <w:tc>
                <w:tcPr>
                  <w:tcW w:w="331" w:type="pct"/>
                  <w:vAlign w:val="center"/>
                </w:tcPr>
                <w:p w14:paraId="2CA8A0A1">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产生</w:t>
                  </w:r>
                </w:p>
                <w:p w14:paraId="5C27093E">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量t/a</w:t>
                  </w:r>
                </w:p>
              </w:tc>
              <w:tc>
                <w:tcPr>
                  <w:tcW w:w="329" w:type="pct"/>
                  <w:vAlign w:val="center"/>
                </w:tcPr>
                <w:p w14:paraId="609A77AC">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速率</w:t>
                  </w:r>
                </w:p>
                <w:p w14:paraId="20EDEDC2">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kg/h</w:t>
                  </w:r>
                </w:p>
              </w:tc>
              <w:tc>
                <w:tcPr>
                  <w:tcW w:w="328" w:type="pct"/>
                  <w:vAlign w:val="center"/>
                </w:tcPr>
                <w:p w14:paraId="62C6F102">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浓度mg/m</w:t>
                  </w:r>
                  <w:r>
                    <w:rPr>
                      <w:rFonts w:ascii="Times New Roman"/>
                      <w:b/>
                      <w:bCs/>
                      <w:color w:val="auto"/>
                      <w:sz w:val="21"/>
                      <w:szCs w:val="21"/>
                      <w:vertAlign w:val="superscript"/>
                    </w:rPr>
                    <w:t>3</w:t>
                  </w:r>
                </w:p>
              </w:tc>
              <w:tc>
                <w:tcPr>
                  <w:tcW w:w="382" w:type="pct"/>
                  <w:vAlign w:val="center"/>
                </w:tcPr>
                <w:p w14:paraId="0518C926">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工艺</w:t>
                  </w:r>
                </w:p>
              </w:tc>
              <w:tc>
                <w:tcPr>
                  <w:tcW w:w="241" w:type="pct"/>
                  <w:vAlign w:val="center"/>
                </w:tcPr>
                <w:p w14:paraId="22E96E1B">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收</w:t>
                  </w:r>
                </w:p>
                <w:p w14:paraId="7031B73B">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集</w:t>
                  </w:r>
                </w:p>
                <w:p w14:paraId="3E4F3FD4">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率</w:t>
                  </w:r>
                </w:p>
              </w:tc>
              <w:tc>
                <w:tcPr>
                  <w:tcW w:w="224" w:type="pct"/>
                  <w:vAlign w:val="center"/>
                </w:tcPr>
                <w:p w14:paraId="0150895A">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去</w:t>
                  </w:r>
                </w:p>
                <w:p w14:paraId="09B1F34D">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除</w:t>
                  </w:r>
                </w:p>
                <w:p w14:paraId="0ACF8DE5">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率</w:t>
                  </w:r>
                </w:p>
              </w:tc>
              <w:tc>
                <w:tcPr>
                  <w:tcW w:w="370" w:type="pct"/>
                  <w:vAlign w:val="center"/>
                </w:tcPr>
                <w:p w14:paraId="57833CA8">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是否为可行技术</w:t>
                  </w:r>
                </w:p>
              </w:tc>
              <w:tc>
                <w:tcPr>
                  <w:tcW w:w="339" w:type="pct"/>
                  <w:vAlign w:val="center"/>
                </w:tcPr>
                <w:p w14:paraId="60BACC8A">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排放量</w:t>
                  </w:r>
                </w:p>
                <w:p w14:paraId="7945A1A5">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t/a</w:t>
                  </w:r>
                </w:p>
              </w:tc>
              <w:tc>
                <w:tcPr>
                  <w:tcW w:w="316" w:type="pct"/>
                  <w:vAlign w:val="center"/>
                </w:tcPr>
                <w:p w14:paraId="7F573D22">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速率</w:t>
                  </w:r>
                </w:p>
                <w:p w14:paraId="50D14DD7">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kg/h</w:t>
                  </w:r>
                </w:p>
              </w:tc>
              <w:tc>
                <w:tcPr>
                  <w:tcW w:w="317" w:type="pct"/>
                  <w:vAlign w:val="center"/>
                </w:tcPr>
                <w:p w14:paraId="08A42121">
                  <w:pPr>
                    <w:pStyle w:val="70"/>
                    <w:spacing w:beforeLines="0" w:afterLines="0" w:line="240" w:lineRule="auto"/>
                    <w:ind w:firstLine="0"/>
                    <w:rPr>
                      <w:rFonts w:ascii="Times New Roman"/>
                      <w:b/>
                      <w:bCs/>
                      <w:color w:val="auto"/>
                      <w:sz w:val="21"/>
                      <w:szCs w:val="21"/>
                    </w:rPr>
                  </w:pPr>
                  <w:r>
                    <w:rPr>
                      <w:rFonts w:ascii="Times New Roman"/>
                      <w:b/>
                      <w:bCs/>
                      <w:color w:val="auto"/>
                      <w:sz w:val="21"/>
                      <w:szCs w:val="21"/>
                    </w:rPr>
                    <w:t>浓度mg/m</w:t>
                  </w:r>
                  <w:r>
                    <w:rPr>
                      <w:rFonts w:ascii="Times New Roman"/>
                      <w:b/>
                      <w:bCs/>
                      <w:color w:val="auto"/>
                      <w:sz w:val="21"/>
                      <w:szCs w:val="21"/>
                      <w:vertAlign w:val="superscript"/>
                    </w:rPr>
                    <w:t>3</w:t>
                  </w:r>
                </w:p>
              </w:tc>
              <w:tc>
                <w:tcPr>
                  <w:tcW w:w="243" w:type="pct"/>
                  <w:vMerge w:val="continue"/>
                  <w:vAlign w:val="center"/>
                </w:tcPr>
                <w:p w14:paraId="1B97914F">
                  <w:pPr>
                    <w:pStyle w:val="70"/>
                    <w:spacing w:beforeLines="0" w:afterLines="0" w:line="240" w:lineRule="auto"/>
                    <w:ind w:firstLine="0"/>
                    <w:rPr>
                      <w:rFonts w:ascii="Times New Roman"/>
                      <w:b/>
                      <w:bCs/>
                      <w:color w:val="auto"/>
                      <w:sz w:val="21"/>
                      <w:szCs w:val="21"/>
                    </w:rPr>
                  </w:pPr>
                </w:p>
              </w:tc>
            </w:tr>
            <w:tr w14:paraId="0ADE6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restart"/>
                  <w:vAlign w:val="center"/>
                </w:tcPr>
                <w:p w14:paraId="57A13E58">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有组织</w:t>
                  </w:r>
                </w:p>
              </w:tc>
              <w:tc>
                <w:tcPr>
                  <w:tcW w:w="299" w:type="pct"/>
                  <w:vAlign w:val="center"/>
                </w:tcPr>
                <w:p w14:paraId="5FE1A17D">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DA001</w:t>
                  </w:r>
                </w:p>
              </w:tc>
              <w:tc>
                <w:tcPr>
                  <w:tcW w:w="431" w:type="pct"/>
                  <w:vAlign w:val="center"/>
                </w:tcPr>
                <w:p w14:paraId="6DFD2B59">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喷粉</w:t>
                  </w:r>
                </w:p>
              </w:tc>
              <w:tc>
                <w:tcPr>
                  <w:tcW w:w="363" w:type="pct"/>
                  <w:vAlign w:val="center"/>
                </w:tcPr>
                <w:p w14:paraId="2474E79A">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颗粒物</w:t>
                  </w:r>
                </w:p>
              </w:tc>
              <w:tc>
                <w:tcPr>
                  <w:tcW w:w="329" w:type="pct"/>
                  <w:vAlign w:val="center"/>
                </w:tcPr>
                <w:p w14:paraId="33E5B292">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0E006AA7">
                  <w:pPr>
                    <w:widowControl/>
                    <w:jc w:val="center"/>
                    <w:textAlignment w:val="center"/>
                    <w:rPr>
                      <w:color w:val="auto"/>
                      <w:kern w:val="0"/>
                      <w:szCs w:val="21"/>
                      <w:lang w:bidi="ar"/>
                    </w:rPr>
                  </w:pPr>
                  <w:r>
                    <w:rPr>
                      <w:color w:val="auto"/>
                      <w:kern w:val="0"/>
                      <w:szCs w:val="21"/>
                      <w:lang w:bidi="ar"/>
                    </w:rPr>
                    <w:t>1.89</w:t>
                  </w:r>
                </w:p>
              </w:tc>
              <w:tc>
                <w:tcPr>
                  <w:tcW w:w="969" w:type="dxa"/>
                  <w:vAlign w:val="center"/>
                </w:tcPr>
                <w:p w14:paraId="41083374">
                  <w:pPr>
                    <w:widowControl/>
                    <w:jc w:val="center"/>
                    <w:textAlignment w:val="center"/>
                    <w:rPr>
                      <w:color w:val="auto"/>
                      <w:kern w:val="0"/>
                      <w:szCs w:val="21"/>
                      <w:lang w:bidi="ar"/>
                    </w:rPr>
                  </w:pPr>
                  <w:r>
                    <w:rPr>
                      <w:color w:val="auto"/>
                      <w:kern w:val="0"/>
                      <w:szCs w:val="21"/>
                      <w:lang w:bidi="ar"/>
                    </w:rPr>
                    <w:t>0.63</w:t>
                  </w:r>
                </w:p>
              </w:tc>
              <w:tc>
                <w:tcPr>
                  <w:tcW w:w="967" w:type="dxa"/>
                  <w:vAlign w:val="center"/>
                </w:tcPr>
                <w:p w14:paraId="72AAB81D">
                  <w:pPr>
                    <w:widowControl/>
                    <w:jc w:val="center"/>
                    <w:textAlignment w:val="center"/>
                    <w:rPr>
                      <w:color w:val="auto"/>
                      <w:kern w:val="0"/>
                      <w:szCs w:val="21"/>
                      <w:lang w:bidi="ar"/>
                    </w:rPr>
                  </w:pPr>
                  <w:r>
                    <w:rPr>
                      <w:color w:val="auto"/>
                      <w:kern w:val="0"/>
                      <w:szCs w:val="21"/>
                      <w:lang w:bidi="ar"/>
                    </w:rPr>
                    <w:t xml:space="preserve">48.46 </w:t>
                  </w:r>
                </w:p>
              </w:tc>
              <w:tc>
                <w:tcPr>
                  <w:tcW w:w="382" w:type="pct"/>
                  <w:vAlign w:val="center"/>
                </w:tcPr>
                <w:p w14:paraId="1A661B9C">
                  <w:pPr>
                    <w:pStyle w:val="70"/>
                    <w:spacing w:beforeLines="0" w:afterLines="0" w:line="240" w:lineRule="auto"/>
                    <w:ind w:firstLine="0"/>
                    <w:rPr>
                      <w:color w:val="auto"/>
                      <w:sz w:val="21"/>
                      <w:szCs w:val="21"/>
                    </w:rPr>
                  </w:pPr>
                  <w:r>
                    <w:rPr>
                      <w:rFonts w:hint="eastAsia"/>
                      <w:color w:val="auto"/>
                      <w:sz w:val="21"/>
                      <w:szCs w:val="21"/>
                    </w:rPr>
                    <w:t>布袋除尘</w:t>
                  </w:r>
                </w:p>
              </w:tc>
              <w:tc>
                <w:tcPr>
                  <w:tcW w:w="241" w:type="pct"/>
                  <w:vAlign w:val="center"/>
                </w:tcPr>
                <w:p w14:paraId="5A3DF8E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w:t>
                  </w:r>
                </w:p>
              </w:tc>
              <w:tc>
                <w:tcPr>
                  <w:tcW w:w="224" w:type="pct"/>
                  <w:vAlign w:val="center"/>
                </w:tcPr>
                <w:p w14:paraId="168194FA">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99%</w:t>
                  </w:r>
                </w:p>
              </w:tc>
              <w:tc>
                <w:tcPr>
                  <w:tcW w:w="370" w:type="pct"/>
                  <w:vAlign w:val="center"/>
                </w:tcPr>
                <w:p w14:paraId="043CE802">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2F9D3625">
                  <w:pPr>
                    <w:widowControl/>
                    <w:jc w:val="center"/>
                    <w:textAlignment w:val="center"/>
                    <w:rPr>
                      <w:color w:val="auto"/>
                      <w:kern w:val="0"/>
                      <w:szCs w:val="21"/>
                      <w:lang w:bidi="ar"/>
                    </w:rPr>
                  </w:pPr>
                  <w:r>
                    <w:rPr>
                      <w:color w:val="auto"/>
                      <w:kern w:val="0"/>
                      <w:szCs w:val="21"/>
                      <w:lang w:bidi="ar"/>
                    </w:rPr>
                    <w:t>0.0189</w:t>
                  </w:r>
                </w:p>
              </w:tc>
              <w:tc>
                <w:tcPr>
                  <w:tcW w:w="930" w:type="dxa"/>
                  <w:vAlign w:val="center"/>
                </w:tcPr>
                <w:p w14:paraId="3D3303BB">
                  <w:pPr>
                    <w:widowControl/>
                    <w:jc w:val="center"/>
                    <w:textAlignment w:val="center"/>
                    <w:rPr>
                      <w:color w:val="auto"/>
                      <w:kern w:val="0"/>
                      <w:szCs w:val="21"/>
                      <w:lang w:bidi="ar"/>
                    </w:rPr>
                  </w:pPr>
                  <w:r>
                    <w:rPr>
                      <w:color w:val="auto"/>
                      <w:kern w:val="0"/>
                      <w:szCs w:val="21"/>
                      <w:lang w:bidi="ar"/>
                    </w:rPr>
                    <w:t>0.0063</w:t>
                  </w:r>
                </w:p>
              </w:tc>
              <w:tc>
                <w:tcPr>
                  <w:tcW w:w="934" w:type="dxa"/>
                  <w:vAlign w:val="center"/>
                </w:tcPr>
                <w:p w14:paraId="6922F20D">
                  <w:pPr>
                    <w:widowControl/>
                    <w:jc w:val="center"/>
                    <w:textAlignment w:val="center"/>
                    <w:rPr>
                      <w:color w:val="auto"/>
                      <w:kern w:val="0"/>
                      <w:szCs w:val="21"/>
                      <w:lang w:bidi="ar"/>
                    </w:rPr>
                  </w:pPr>
                  <w:r>
                    <w:rPr>
                      <w:color w:val="auto"/>
                      <w:kern w:val="0"/>
                      <w:szCs w:val="21"/>
                      <w:lang w:bidi="ar"/>
                    </w:rPr>
                    <w:t xml:space="preserve">0.485 </w:t>
                  </w:r>
                </w:p>
              </w:tc>
              <w:tc>
                <w:tcPr>
                  <w:tcW w:w="243" w:type="pct"/>
                  <w:vAlign w:val="center"/>
                </w:tcPr>
                <w:p w14:paraId="7CACC3BF">
                  <w:pPr>
                    <w:pStyle w:val="77"/>
                    <w:jc w:val="center"/>
                    <w:rPr>
                      <w:color w:val="auto"/>
                      <w:szCs w:val="21"/>
                    </w:rPr>
                  </w:pPr>
                  <w:r>
                    <w:rPr>
                      <w:rFonts w:hint="eastAsia"/>
                      <w:color w:val="auto"/>
                      <w:szCs w:val="21"/>
                    </w:rPr>
                    <w:t>3000</w:t>
                  </w:r>
                </w:p>
              </w:tc>
            </w:tr>
            <w:tr w14:paraId="40FDA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121100D9">
                  <w:pPr>
                    <w:pStyle w:val="70"/>
                    <w:spacing w:beforeLines="0" w:afterLines="0" w:line="240" w:lineRule="auto"/>
                    <w:ind w:firstLine="0"/>
                    <w:rPr>
                      <w:rFonts w:ascii="Times New Roman"/>
                      <w:color w:val="auto"/>
                      <w:sz w:val="21"/>
                      <w:szCs w:val="21"/>
                    </w:rPr>
                  </w:pPr>
                </w:p>
              </w:tc>
              <w:tc>
                <w:tcPr>
                  <w:tcW w:w="299" w:type="pct"/>
                  <w:vAlign w:val="center"/>
                </w:tcPr>
                <w:p w14:paraId="315A2FD8">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DA002</w:t>
                  </w:r>
                </w:p>
              </w:tc>
              <w:tc>
                <w:tcPr>
                  <w:tcW w:w="431" w:type="pct"/>
                  <w:vAlign w:val="center"/>
                </w:tcPr>
                <w:p w14:paraId="6BEA2EFC">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喷粉</w:t>
                  </w:r>
                </w:p>
              </w:tc>
              <w:tc>
                <w:tcPr>
                  <w:tcW w:w="363" w:type="pct"/>
                  <w:vAlign w:val="center"/>
                </w:tcPr>
                <w:p w14:paraId="12195842">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颗粒物</w:t>
                  </w:r>
                </w:p>
              </w:tc>
              <w:tc>
                <w:tcPr>
                  <w:tcW w:w="329" w:type="pct"/>
                  <w:vAlign w:val="center"/>
                </w:tcPr>
                <w:p w14:paraId="715BA63A">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6404FF7F">
                  <w:pPr>
                    <w:widowControl/>
                    <w:jc w:val="center"/>
                    <w:textAlignment w:val="center"/>
                    <w:rPr>
                      <w:color w:val="auto"/>
                      <w:kern w:val="0"/>
                      <w:szCs w:val="21"/>
                      <w:lang w:bidi="ar"/>
                    </w:rPr>
                  </w:pPr>
                  <w:r>
                    <w:rPr>
                      <w:color w:val="auto"/>
                      <w:kern w:val="0"/>
                      <w:szCs w:val="21"/>
                      <w:lang w:bidi="ar"/>
                    </w:rPr>
                    <w:t>1.89</w:t>
                  </w:r>
                </w:p>
              </w:tc>
              <w:tc>
                <w:tcPr>
                  <w:tcW w:w="969" w:type="dxa"/>
                  <w:vAlign w:val="center"/>
                </w:tcPr>
                <w:p w14:paraId="2ECA91DD">
                  <w:pPr>
                    <w:widowControl/>
                    <w:jc w:val="center"/>
                    <w:textAlignment w:val="center"/>
                    <w:rPr>
                      <w:color w:val="auto"/>
                      <w:kern w:val="0"/>
                      <w:szCs w:val="21"/>
                      <w:lang w:bidi="ar"/>
                    </w:rPr>
                  </w:pPr>
                  <w:r>
                    <w:rPr>
                      <w:color w:val="auto"/>
                      <w:kern w:val="0"/>
                      <w:szCs w:val="21"/>
                      <w:lang w:bidi="ar"/>
                    </w:rPr>
                    <w:t>0.63</w:t>
                  </w:r>
                </w:p>
              </w:tc>
              <w:tc>
                <w:tcPr>
                  <w:tcW w:w="967" w:type="dxa"/>
                  <w:vAlign w:val="center"/>
                </w:tcPr>
                <w:p w14:paraId="2C4AA640">
                  <w:pPr>
                    <w:widowControl/>
                    <w:jc w:val="center"/>
                    <w:textAlignment w:val="center"/>
                    <w:rPr>
                      <w:color w:val="auto"/>
                      <w:kern w:val="0"/>
                      <w:szCs w:val="21"/>
                      <w:lang w:bidi="ar"/>
                    </w:rPr>
                  </w:pPr>
                  <w:r>
                    <w:rPr>
                      <w:color w:val="auto"/>
                      <w:kern w:val="0"/>
                      <w:szCs w:val="21"/>
                      <w:lang w:bidi="ar"/>
                    </w:rPr>
                    <w:t xml:space="preserve">48.46 </w:t>
                  </w:r>
                </w:p>
              </w:tc>
              <w:tc>
                <w:tcPr>
                  <w:tcW w:w="382" w:type="pct"/>
                  <w:vAlign w:val="center"/>
                </w:tcPr>
                <w:p w14:paraId="46D8AC5B">
                  <w:pPr>
                    <w:pStyle w:val="70"/>
                    <w:spacing w:beforeLines="0" w:afterLines="0" w:line="240" w:lineRule="auto"/>
                    <w:ind w:firstLine="0"/>
                    <w:rPr>
                      <w:color w:val="auto"/>
                      <w:sz w:val="21"/>
                      <w:szCs w:val="21"/>
                    </w:rPr>
                  </w:pPr>
                  <w:r>
                    <w:rPr>
                      <w:rFonts w:hint="eastAsia"/>
                      <w:color w:val="auto"/>
                      <w:sz w:val="21"/>
                      <w:szCs w:val="21"/>
                    </w:rPr>
                    <w:t>布袋除尘</w:t>
                  </w:r>
                </w:p>
              </w:tc>
              <w:tc>
                <w:tcPr>
                  <w:tcW w:w="241" w:type="pct"/>
                  <w:vAlign w:val="center"/>
                </w:tcPr>
                <w:p w14:paraId="0159075D">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w:t>
                  </w:r>
                </w:p>
              </w:tc>
              <w:tc>
                <w:tcPr>
                  <w:tcW w:w="224" w:type="pct"/>
                  <w:vAlign w:val="center"/>
                </w:tcPr>
                <w:p w14:paraId="4F7C2844">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99%</w:t>
                  </w:r>
                </w:p>
              </w:tc>
              <w:tc>
                <w:tcPr>
                  <w:tcW w:w="370" w:type="pct"/>
                  <w:vAlign w:val="center"/>
                </w:tcPr>
                <w:p w14:paraId="69219C5B">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49784AB1">
                  <w:pPr>
                    <w:widowControl/>
                    <w:jc w:val="center"/>
                    <w:textAlignment w:val="center"/>
                    <w:rPr>
                      <w:color w:val="auto"/>
                      <w:kern w:val="0"/>
                      <w:szCs w:val="21"/>
                      <w:lang w:bidi="ar"/>
                    </w:rPr>
                  </w:pPr>
                  <w:r>
                    <w:rPr>
                      <w:color w:val="auto"/>
                      <w:kern w:val="0"/>
                      <w:szCs w:val="21"/>
                      <w:lang w:bidi="ar"/>
                    </w:rPr>
                    <w:t>0.0189</w:t>
                  </w:r>
                </w:p>
              </w:tc>
              <w:tc>
                <w:tcPr>
                  <w:tcW w:w="930" w:type="dxa"/>
                  <w:vAlign w:val="center"/>
                </w:tcPr>
                <w:p w14:paraId="26D636E7">
                  <w:pPr>
                    <w:widowControl/>
                    <w:jc w:val="center"/>
                    <w:textAlignment w:val="center"/>
                    <w:rPr>
                      <w:color w:val="auto"/>
                      <w:kern w:val="0"/>
                      <w:szCs w:val="21"/>
                      <w:lang w:bidi="ar"/>
                    </w:rPr>
                  </w:pPr>
                  <w:r>
                    <w:rPr>
                      <w:color w:val="auto"/>
                      <w:kern w:val="0"/>
                      <w:szCs w:val="21"/>
                      <w:lang w:bidi="ar"/>
                    </w:rPr>
                    <w:t>0.0063</w:t>
                  </w:r>
                </w:p>
              </w:tc>
              <w:tc>
                <w:tcPr>
                  <w:tcW w:w="934" w:type="dxa"/>
                  <w:vAlign w:val="center"/>
                </w:tcPr>
                <w:p w14:paraId="03050427">
                  <w:pPr>
                    <w:widowControl/>
                    <w:jc w:val="center"/>
                    <w:textAlignment w:val="center"/>
                    <w:rPr>
                      <w:color w:val="auto"/>
                      <w:kern w:val="0"/>
                      <w:szCs w:val="21"/>
                      <w:lang w:bidi="ar"/>
                    </w:rPr>
                  </w:pPr>
                  <w:r>
                    <w:rPr>
                      <w:color w:val="auto"/>
                      <w:kern w:val="0"/>
                      <w:szCs w:val="21"/>
                      <w:lang w:bidi="ar"/>
                    </w:rPr>
                    <w:t xml:space="preserve">0.485 </w:t>
                  </w:r>
                </w:p>
              </w:tc>
              <w:tc>
                <w:tcPr>
                  <w:tcW w:w="243" w:type="pct"/>
                  <w:vAlign w:val="center"/>
                </w:tcPr>
                <w:p w14:paraId="727D038A">
                  <w:pPr>
                    <w:pStyle w:val="77"/>
                    <w:jc w:val="center"/>
                    <w:rPr>
                      <w:color w:val="auto"/>
                      <w:szCs w:val="21"/>
                    </w:rPr>
                  </w:pPr>
                  <w:r>
                    <w:rPr>
                      <w:rFonts w:hint="eastAsia"/>
                      <w:color w:val="auto"/>
                      <w:szCs w:val="21"/>
                    </w:rPr>
                    <w:t>3000</w:t>
                  </w:r>
                </w:p>
              </w:tc>
            </w:tr>
            <w:tr w14:paraId="245E4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5E1EAFD1">
                  <w:pPr>
                    <w:pStyle w:val="70"/>
                    <w:spacing w:beforeLines="0" w:afterLines="0" w:line="240" w:lineRule="auto"/>
                    <w:ind w:firstLine="0"/>
                    <w:rPr>
                      <w:rFonts w:ascii="Times New Roman"/>
                      <w:color w:val="auto"/>
                      <w:sz w:val="21"/>
                      <w:szCs w:val="21"/>
                    </w:rPr>
                  </w:pPr>
                </w:p>
              </w:tc>
              <w:tc>
                <w:tcPr>
                  <w:tcW w:w="299" w:type="pct"/>
                  <w:vMerge w:val="restart"/>
                  <w:vAlign w:val="center"/>
                </w:tcPr>
                <w:p w14:paraId="5A4BC488">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DA003</w:t>
                  </w:r>
                </w:p>
              </w:tc>
              <w:tc>
                <w:tcPr>
                  <w:tcW w:w="431" w:type="pct"/>
                  <w:vMerge w:val="restart"/>
                  <w:vAlign w:val="center"/>
                </w:tcPr>
                <w:p w14:paraId="27BF8CEB">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喷漆、固化、烘烤、天然气燃烧</w:t>
                  </w:r>
                </w:p>
              </w:tc>
              <w:tc>
                <w:tcPr>
                  <w:tcW w:w="363" w:type="pct"/>
                  <w:vAlign w:val="center"/>
                </w:tcPr>
                <w:p w14:paraId="7A8DE258">
                  <w:pPr>
                    <w:widowControl/>
                    <w:jc w:val="center"/>
                    <w:textAlignment w:val="center"/>
                    <w:rPr>
                      <w:color w:val="auto"/>
                      <w:kern w:val="0"/>
                      <w:szCs w:val="21"/>
                      <w:lang w:bidi="ar"/>
                    </w:rPr>
                  </w:pPr>
                  <w:r>
                    <w:rPr>
                      <w:rFonts w:hint="eastAsia"/>
                      <w:color w:val="auto"/>
                      <w:kern w:val="0"/>
                      <w:szCs w:val="21"/>
                      <w:lang w:bidi="ar"/>
                    </w:rPr>
                    <w:t>颗粒物</w:t>
                  </w:r>
                </w:p>
              </w:tc>
              <w:tc>
                <w:tcPr>
                  <w:tcW w:w="329" w:type="pct"/>
                  <w:vAlign w:val="center"/>
                </w:tcPr>
                <w:p w14:paraId="3031350B">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系数法、物料衡算法</w:t>
                  </w:r>
                </w:p>
              </w:tc>
              <w:tc>
                <w:tcPr>
                  <w:tcW w:w="977" w:type="dxa"/>
                  <w:vAlign w:val="center"/>
                </w:tcPr>
                <w:p w14:paraId="6ACCB033">
                  <w:pPr>
                    <w:widowControl/>
                    <w:jc w:val="center"/>
                    <w:textAlignment w:val="center"/>
                    <w:rPr>
                      <w:color w:val="auto"/>
                      <w:kern w:val="0"/>
                      <w:szCs w:val="21"/>
                      <w:lang w:bidi="ar"/>
                    </w:rPr>
                  </w:pPr>
                  <w:r>
                    <w:rPr>
                      <w:color w:val="auto"/>
                      <w:kern w:val="0"/>
                      <w:szCs w:val="21"/>
                      <w:lang w:bidi="ar"/>
                    </w:rPr>
                    <w:t>1.906</w:t>
                  </w:r>
                </w:p>
              </w:tc>
              <w:tc>
                <w:tcPr>
                  <w:tcW w:w="969" w:type="dxa"/>
                  <w:vAlign w:val="center"/>
                </w:tcPr>
                <w:p w14:paraId="49908020">
                  <w:pPr>
                    <w:widowControl/>
                    <w:jc w:val="center"/>
                    <w:textAlignment w:val="center"/>
                    <w:rPr>
                      <w:color w:val="auto"/>
                      <w:kern w:val="0"/>
                      <w:szCs w:val="21"/>
                      <w:lang w:bidi="ar"/>
                    </w:rPr>
                  </w:pPr>
                  <w:r>
                    <w:rPr>
                      <w:color w:val="auto"/>
                      <w:kern w:val="0"/>
                      <w:szCs w:val="21"/>
                      <w:lang w:bidi="ar"/>
                    </w:rPr>
                    <w:t>0.6563</w:t>
                  </w:r>
                </w:p>
              </w:tc>
              <w:tc>
                <w:tcPr>
                  <w:tcW w:w="967" w:type="dxa"/>
                  <w:vAlign w:val="center"/>
                </w:tcPr>
                <w:p w14:paraId="47901F2B">
                  <w:pPr>
                    <w:widowControl/>
                    <w:jc w:val="center"/>
                    <w:textAlignment w:val="center"/>
                    <w:rPr>
                      <w:color w:val="auto"/>
                      <w:kern w:val="0"/>
                      <w:szCs w:val="21"/>
                      <w:lang w:bidi="ar"/>
                    </w:rPr>
                  </w:pPr>
                  <w:r>
                    <w:rPr>
                      <w:color w:val="auto"/>
                      <w:kern w:val="0"/>
                      <w:szCs w:val="21"/>
                      <w:lang w:bidi="ar"/>
                    </w:rPr>
                    <w:t>32.82</w:t>
                  </w:r>
                </w:p>
              </w:tc>
              <w:tc>
                <w:tcPr>
                  <w:tcW w:w="382" w:type="pct"/>
                  <w:vMerge w:val="restart"/>
                  <w:vAlign w:val="center"/>
                </w:tcPr>
                <w:p w14:paraId="7F08A2C3">
                  <w:pPr>
                    <w:pStyle w:val="70"/>
                    <w:spacing w:beforeLines="0" w:afterLines="0" w:line="240" w:lineRule="auto"/>
                    <w:ind w:firstLine="0"/>
                    <w:rPr>
                      <w:color w:val="auto"/>
                      <w:sz w:val="21"/>
                      <w:szCs w:val="21"/>
                    </w:rPr>
                  </w:pPr>
                  <w:r>
                    <w:rPr>
                      <w:rFonts w:hint="eastAsia"/>
                      <w:color w:val="auto"/>
                      <w:sz w:val="21"/>
                      <w:szCs w:val="21"/>
                    </w:rPr>
                    <w:t>水帘柜+喷淋塔+除湿装置+二级活性炭吸附装置</w:t>
                  </w:r>
                </w:p>
              </w:tc>
              <w:tc>
                <w:tcPr>
                  <w:tcW w:w="241" w:type="pct"/>
                  <w:vAlign w:val="center"/>
                </w:tcPr>
                <w:p w14:paraId="0959137F">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90%/95%</w:t>
                  </w:r>
                </w:p>
              </w:tc>
              <w:tc>
                <w:tcPr>
                  <w:tcW w:w="224" w:type="pct"/>
                  <w:vAlign w:val="center"/>
                </w:tcPr>
                <w:p w14:paraId="394D9DF8">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98%</w:t>
                  </w:r>
                </w:p>
              </w:tc>
              <w:tc>
                <w:tcPr>
                  <w:tcW w:w="370" w:type="pct"/>
                  <w:vAlign w:val="center"/>
                </w:tcPr>
                <w:p w14:paraId="71B1FAB9">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53EC7DEC">
                  <w:pPr>
                    <w:widowControl/>
                    <w:jc w:val="center"/>
                    <w:textAlignment w:val="center"/>
                    <w:rPr>
                      <w:color w:val="auto"/>
                      <w:kern w:val="0"/>
                      <w:szCs w:val="21"/>
                      <w:lang w:bidi="ar"/>
                    </w:rPr>
                  </w:pPr>
                  <w:r>
                    <w:rPr>
                      <w:color w:val="auto"/>
                      <w:kern w:val="0"/>
                      <w:szCs w:val="21"/>
                      <w:lang w:bidi="ar"/>
                    </w:rPr>
                    <w:t>0.0381</w:t>
                  </w:r>
                </w:p>
              </w:tc>
              <w:tc>
                <w:tcPr>
                  <w:tcW w:w="930" w:type="dxa"/>
                  <w:vAlign w:val="center"/>
                </w:tcPr>
                <w:p w14:paraId="32A7A42C">
                  <w:pPr>
                    <w:widowControl/>
                    <w:jc w:val="center"/>
                    <w:textAlignment w:val="center"/>
                    <w:rPr>
                      <w:color w:val="auto"/>
                      <w:kern w:val="0"/>
                      <w:szCs w:val="21"/>
                      <w:lang w:bidi="ar"/>
                    </w:rPr>
                  </w:pPr>
                  <w:r>
                    <w:rPr>
                      <w:color w:val="auto"/>
                      <w:kern w:val="0"/>
                      <w:szCs w:val="21"/>
                      <w:lang w:bidi="ar"/>
                    </w:rPr>
                    <w:t>0.0131</w:t>
                  </w:r>
                </w:p>
              </w:tc>
              <w:tc>
                <w:tcPr>
                  <w:tcW w:w="934" w:type="dxa"/>
                  <w:vAlign w:val="center"/>
                </w:tcPr>
                <w:p w14:paraId="6451F2DD">
                  <w:pPr>
                    <w:widowControl/>
                    <w:jc w:val="center"/>
                    <w:textAlignment w:val="center"/>
                    <w:rPr>
                      <w:color w:val="auto"/>
                      <w:kern w:val="0"/>
                      <w:szCs w:val="21"/>
                      <w:lang w:bidi="ar"/>
                    </w:rPr>
                  </w:pPr>
                  <w:r>
                    <w:rPr>
                      <w:color w:val="auto"/>
                      <w:kern w:val="0"/>
                      <w:szCs w:val="21"/>
                      <w:lang w:bidi="ar"/>
                    </w:rPr>
                    <w:t>0.656</w:t>
                  </w:r>
                </w:p>
              </w:tc>
              <w:tc>
                <w:tcPr>
                  <w:tcW w:w="243" w:type="pct"/>
                  <w:vMerge w:val="restart"/>
                  <w:vAlign w:val="center"/>
                </w:tcPr>
                <w:p w14:paraId="36DF020B">
                  <w:pPr>
                    <w:pStyle w:val="77"/>
                    <w:jc w:val="center"/>
                    <w:rPr>
                      <w:color w:val="auto"/>
                      <w:szCs w:val="21"/>
                    </w:rPr>
                  </w:pPr>
                  <w:r>
                    <w:rPr>
                      <w:rFonts w:hint="eastAsia"/>
                      <w:color w:val="auto"/>
                      <w:szCs w:val="21"/>
                    </w:rPr>
                    <w:t>3000</w:t>
                  </w:r>
                </w:p>
              </w:tc>
            </w:tr>
            <w:tr w14:paraId="44F7E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4ED1ED6C">
                  <w:pPr>
                    <w:pStyle w:val="70"/>
                    <w:spacing w:beforeLines="0" w:afterLines="0" w:line="240" w:lineRule="auto"/>
                    <w:ind w:firstLine="0"/>
                    <w:rPr>
                      <w:rFonts w:ascii="Times New Roman"/>
                      <w:color w:val="auto"/>
                      <w:sz w:val="21"/>
                      <w:szCs w:val="21"/>
                    </w:rPr>
                  </w:pPr>
                </w:p>
              </w:tc>
              <w:tc>
                <w:tcPr>
                  <w:tcW w:w="299" w:type="pct"/>
                  <w:vMerge w:val="continue"/>
                  <w:vAlign w:val="center"/>
                </w:tcPr>
                <w:p w14:paraId="668E1C9A">
                  <w:pPr>
                    <w:pStyle w:val="70"/>
                    <w:spacing w:beforeLines="0" w:afterLines="0" w:line="240" w:lineRule="auto"/>
                    <w:ind w:firstLine="0"/>
                    <w:rPr>
                      <w:rFonts w:ascii="Times New Roman"/>
                      <w:color w:val="auto"/>
                      <w:sz w:val="21"/>
                      <w:szCs w:val="21"/>
                    </w:rPr>
                  </w:pPr>
                </w:p>
              </w:tc>
              <w:tc>
                <w:tcPr>
                  <w:tcW w:w="431" w:type="pct"/>
                  <w:vMerge w:val="continue"/>
                  <w:vAlign w:val="center"/>
                </w:tcPr>
                <w:p w14:paraId="74EC2E03">
                  <w:pPr>
                    <w:pStyle w:val="70"/>
                    <w:spacing w:beforeLines="0" w:afterLines="0" w:line="240" w:lineRule="auto"/>
                    <w:ind w:firstLine="0"/>
                    <w:rPr>
                      <w:rFonts w:ascii="Times New Roman"/>
                      <w:color w:val="auto"/>
                      <w:sz w:val="21"/>
                      <w:szCs w:val="21"/>
                    </w:rPr>
                  </w:pPr>
                </w:p>
              </w:tc>
              <w:tc>
                <w:tcPr>
                  <w:tcW w:w="363" w:type="pct"/>
                  <w:vAlign w:val="center"/>
                </w:tcPr>
                <w:p w14:paraId="23AE22C7">
                  <w:pPr>
                    <w:widowControl/>
                    <w:jc w:val="center"/>
                    <w:textAlignment w:val="center"/>
                    <w:rPr>
                      <w:color w:val="auto"/>
                      <w:kern w:val="0"/>
                      <w:szCs w:val="21"/>
                      <w:lang w:bidi="ar"/>
                    </w:rPr>
                  </w:pPr>
                  <w:r>
                    <w:rPr>
                      <w:rFonts w:hint="eastAsia"/>
                      <w:color w:val="auto"/>
                      <w:kern w:val="0"/>
                      <w:szCs w:val="21"/>
                      <w:lang w:bidi="ar"/>
                    </w:rPr>
                    <w:t>TVOC</w:t>
                  </w:r>
                </w:p>
              </w:tc>
              <w:tc>
                <w:tcPr>
                  <w:tcW w:w="329" w:type="pct"/>
                  <w:vAlign w:val="center"/>
                </w:tcPr>
                <w:p w14:paraId="6A78DF2B">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3A165B46">
                  <w:pPr>
                    <w:widowControl/>
                    <w:jc w:val="center"/>
                    <w:textAlignment w:val="center"/>
                    <w:rPr>
                      <w:color w:val="auto"/>
                      <w:kern w:val="0"/>
                      <w:szCs w:val="21"/>
                      <w:lang w:bidi="ar"/>
                    </w:rPr>
                  </w:pPr>
                  <w:r>
                    <w:rPr>
                      <w:color w:val="auto"/>
                      <w:kern w:val="0"/>
                      <w:szCs w:val="21"/>
                      <w:lang w:bidi="ar"/>
                    </w:rPr>
                    <w:t>0.4418</w:t>
                  </w:r>
                </w:p>
              </w:tc>
              <w:tc>
                <w:tcPr>
                  <w:tcW w:w="969" w:type="dxa"/>
                  <w:vAlign w:val="center"/>
                </w:tcPr>
                <w:p w14:paraId="06B8606E">
                  <w:pPr>
                    <w:widowControl/>
                    <w:jc w:val="center"/>
                    <w:textAlignment w:val="center"/>
                    <w:rPr>
                      <w:color w:val="auto"/>
                      <w:kern w:val="0"/>
                      <w:szCs w:val="21"/>
                      <w:lang w:bidi="ar"/>
                    </w:rPr>
                  </w:pPr>
                  <w:r>
                    <w:rPr>
                      <w:color w:val="auto"/>
                      <w:kern w:val="0"/>
                      <w:szCs w:val="21"/>
                      <w:lang w:bidi="ar"/>
                    </w:rPr>
                    <w:t>0.1489</w:t>
                  </w:r>
                </w:p>
              </w:tc>
              <w:tc>
                <w:tcPr>
                  <w:tcW w:w="967" w:type="dxa"/>
                  <w:vAlign w:val="center"/>
                </w:tcPr>
                <w:p w14:paraId="6A5800D3">
                  <w:pPr>
                    <w:widowControl/>
                    <w:jc w:val="center"/>
                    <w:textAlignment w:val="center"/>
                    <w:rPr>
                      <w:color w:val="auto"/>
                      <w:kern w:val="0"/>
                      <w:szCs w:val="21"/>
                      <w:lang w:bidi="ar"/>
                    </w:rPr>
                  </w:pPr>
                  <w:r>
                    <w:rPr>
                      <w:color w:val="auto"/>
                      <w:kern w:val="0"/>
                      <w:szCs w:val="21"/>
                      <w:lang w:bidi="ar"/>
                    </w:rPr>
                    <w:t xml:space="preserve">7.45 </w:t>
                  </w:r>
                </w:p>
              </w:tc>
              <w:tc>
                <w:tcPr>
                  <w:tcW w:w="382" w:type="pct"/>
                  <w:vMerge w:val="continue"/>
                  <w:vAlign w:val="center"/>
                </w:tcPr>
                <w:p w14:paraId="4D248694">
                  <w:pPr>
                    <w:pStyle w:val="70"/>
                    <w:spacing w:beforeLines="0" w:afterLines="0" w:line="240" w:lineRule="auto"/>
                    <w:ind w:firstLine="0"/>
                    <w:rPr>
                      <w:color w:val="auto"/>
                      <w:sz w:val="21"/>
                      <w:szCs w:val="21"/>
                    </w:rPr>
                  </w:pPr>
                </w:p>
              </w:tc>
              <w:tc>
                <w:tcPr>
                  <w:tcW w:w="241" w:type="pct"/>
                  <w:vAlign w:val="center"/>
                </w:tcPr>
                <w:p w14:paraId="0D4BB323">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90%/95%</w:t>
                  </w:r>
                </w:p>
              </w:tc>
              <w:tc>
                <w:tcPr>
                  <w:tcW w:w="224" w:type="pct"/>
                  <w:vAlign w:val="center"/>
                </w:tcPr>
                <w:p w14:paraId="2C23F14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70%</w:t>
                  </w:r>
                </w:p>
              </w:tc>
              <w:tc>
                <w:tcPr>
                  <w:tcW w:w="370" w:type="pct"/>
                  <w:vAlign w:val="center"/>
                </w:tcPr>
                <w:p w14:paraId="79EAEC2E">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447388F0">
                  <w:pPr>
                    <w:widowControl/>
                    <w:jc w:val="center"/>
                    <w:textAlignment w:val="center"/>
                    <w:rPr>
                      <w:color w:val="auto"/>
                      <w:kern w:val="0"/>
                      <w:szCs w:val="21"/>
                      <w:lang w:bidi="ar"/>
                    </w:rPr>
                  </w:pPr>
                  <w:r>
                    <w:rPr>
                      <w:color w:val="auto"/>
                      <w:kern w:val="0"/>
                      <w:szCs w:val="21"/>
                      <w:lang w:bidi="ar"/>
                    </w:rPr>
                    <w:t>0.133</w:t>
                  </w:r>
                </w:p>
              </w:tc>
              <w:tc>
                <w:tcPr>
                  <w:tcW w:w="930" w:type="dxa"/>
                  <w:vAlign w:val="center"/>
                </w:tcPr>
                <w:p w14:paraId="1F592C24">
                  <w:pPr>
                    <w:widowControl/>
                    <w:jc w:val="center"/>
                    <w:textAlignment w:val="center"/>
                    <w:rPr>
                      <w:color w:val="auto"/>
                      <w:kern w:val="0"/>
                      <w:szCs w:val="21"/>
                      <w:lang w:bidi="ar"/>
                    </w:rPr>
                  </w:pPr>
                  <w:r>
                    <w:rPr>
                      <w:color w:val="auto"/>
                      <w:kern w:val="0"/>
                      <w:szCs w:val="21"/>
                      <w:lang w:bidi="ar"/>
                    </w:rPr>
                    <w:t>0.0447</w:t>
                  </w:r>
                </w:p>
              </w:tc>
              <w:tc>
                <w:tcPr>
                  <w:tcW w:w="934" w:type="dxa"/>
                  <w:vAlign w:val="center"/>
                </w:tcPr>
                <w:p w14:paraId="3AFF2976">
                  <w:pPr>
                    <w:widowControl/>
                    <w:jc w:val="center"/>
                    <w:textAlignment w:val="center"/>
                    <w:rPr>
                      <w:color w:val="auto"/>
                      <w:kern w:val="0"/>
                      <w:szCs w:val="21"/>
                      <w:lang w:bidi="ar"/>
                    </w:rPr>
                  </w:pPr>
                  <w:r>
                    <w:rPr>
                      <w:color w:val="auto"/>
                      <w:kern w:val="0"/>
                      <w:szCs w:val="21"/>
                      <w:lang w:bidi="ar"/>
                    </w:rPr>
                    <w:t>2.23</w:t>
                  </w:r>
                </w:p>
              </w:tc>
              <w:tc>
                <w:tcPr>
                  <w:tcW w:w="243" w:type="pct"/>
                  <w:vMerge w:val="continue"/>
                  <w:vAlign w:val="center"/>
                </w:tcPr>
                <w:p w14:paraId="69E6592C">
                  <w:pPr>
                    <w:pStyle w:val="77"/>
                    <w:jc w:val="center"/>
                    <w:rPr>
                      <w:color w:val="auto"/>
                      <w:szCs w:val="21"/>
                    </w:rPr>
                  </w:pPr>
                </w:p>
              </w:tc>
            </w:tr>
            <w:tr w14:paraId="241A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766CFAF1">
                  <w:pPr>
                    <w:pStyle w:val="70"/>
                    <w:spacing w:beforeLines="0" w:afterLines="0" w:line="240" w:lineRule="auto"/>
                    <w:ind w:firstLine="0"/>
                    <w:rPr>
                      <w:rFonts w:ascii="Times New Roman"/>
                      <w:color w:val="auto"/>
                      <w:sz w:val="21"/>
                      <w:szCs w:val="21"/>
                    </w:rPr>
                  </w:pPr>
                </w:p>
              </w:tc>
              <w:tc>
                <w:tcPr>
                  <w:tcW w:w="299" w:type="pct"/>
                  <w:vMerge w:val="continue"/>
                  <w:vAlign w:val="center"/>
                </w:tcPr>
                <w:p w14:paraId="4DE3F094">
                  <w:pPr>
                    <w:pStyle w:val="70"/>
                    <w:spacing w:beforeLines="0" w:afterLines="0" w:line="240" w:lineRule="auto"/>
                    <w:ind w:firstLine="0"/>
                    <w:rPr>
                      <w:rFonts w:ascii="Times New Roman"/>
                      <w:color w:val="auto"/>
                      <w:sz w:val="21"/>
                      <w:szCs w:val="21"/>
                    </w:rPr>
                  </w:pPr>
                </w:p>
              </w:tc>
              <w:tc>
                <w:tcPr>
                  <w:tcW w:w="431" w:type="pct"/>
                  <w:vMerge w:val="continue"/>
                  <w:vAlign w:val="center"/>
                </w:tcPr>
                <w:p w14:paraId="3C912F83">
                  <w:pPr>
                    <w:pStyle w:val="70"/>
                    <w:spacing w:beforeLines="0" w:afterLines="0" w:line="240" w:lineRule="auto"/>
                    <w:ind w:firstLine="0"/>
                    <w:rPr>
                      <w:rFonts w:ascii="Times New Roman"/>
                      <w:color w:val="auto"/>
                      <w:sz w:val="21"/>
                      <w:szCs w:val="21"/>
                    </w:rPr>
                  </w:pPr>
                </w:p>
              </w:tc>
              <w:tc>
                <w:tcPr>
                  <w:tcW w:w="363" w:type="pct"/>
                  <w:vAlign w:val="center"/>
                </w:tcPr>
                <w:p w14:paraId="28D894F3">
                  <w:pPr>
                    <w:widowControl/>
                    <w:jc w:val="center"/>
                    <w:textAlignment w:val="center"/>
                    <w:rPr>
                      <w:color w:val="auto"/>
                      <w:kern w:val="0"/>
                      <w:szCs w:val="21"/>
                      <w:lang w:bidi="ar"/>
                    </w:rPr>
                  </w:pPr>
                  <w:r>
                    <w:rPr>
                      <w:rFonts w:hint="eastAsia"/>
                      <w:color w:val="auto"/>
                      <w:kern w:val="0"/>
                      <w:szCs w:val="21"/>
                      <w:lang w:bidi="ar"/>
                    </w:rPr>
                    <w:t>氮氧化物</w:t>
                  </w:r>
                </w:p>
              </w:tc>
              <w:tc>
                <w:tcPr>
                  <w:tcW w:w="329" w:type="pct"/>
                  <w:vAlign w:val="center"/>
                </w:tcPr>
                <w:p w14:paraId="17D6F862">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2D0393BB">
                  <w:pPr>
                    <w:widowControl/>
                    <w:jc w:val="center"/>
                    <w:textAlignment w:val="center"/>
                    <w:rPr>
                      <w:color w:val="auto"/>
                      <w:kern w:val="0"/>
                      <w:szCs w:val="21"/>
                      <w:lang w:bidi="ar"/>
                    </w:rPr>
                  </w:pPr>
                  <w:r>
                    <w:rPr>
                      <w:color w:val="auto"/>
                      <w:kern w:val="0"/>
                      <w:szCs w:val="21"/>
                      <w:lang w:bidi="ar"/>
                    </w:rPr>
                    <w:t>0.15</w:t>
                  </w:r>
                </w:p>
              </w:tc>
              <w:tc>
                <w:tcPr>
                  <w:tcW w:w="969" w:type="dxa"/>
                  <w:vAlign w:val="center"/>
                </w:tcPr>
                <w:p w14:paraId="7D473563">
                  <w:pPr>
                    <w:widowControl/>
                    <w:jc w:val="center"/>
                    <w:textAlignment w:val="center"/>
                    <w:rPr>
                      <w:color w:val="auto"/>
                      <w:kern w:val="0"/>
                      <w:szCs w:val="21"/>
                      <w:lang w:bidi="ar"/>
                    </w:rPr>
                  </w:pPr>
                  <w:r>
                    <w:rPr>
                      <w:color w:val="auto"/>
                      <w:kern w:val="0"/>
                      <w:szCs w:val="21"/>
                      <w:lang w:bidi="ar"/>
                    </w:rPr>
                    <w:t>0.0502</w:t>
                  </w:r>
                </w:p>
              </w:tc>
              <w:tc>
                <w:tcPr>
                  <w:tcW w:w="967" w:type="dxa"/>
                  <w:vAlign w:val="center"/>
                </w:tcPr>
                <w:p w14:paraId="2FD8099B">
                  <w:pPr>
                    <w:widowControl/>
                    <w:jc w:val="center"/>
                    <w:textAlignment w:val="center"/>
                    <w:rPr>
                      <w:color w:val="auto"/>
                      <w:kern w:val="0"/>
                      <w:szCs w:val="21"/>
                      <w:lang w:bidi="ar"/>
                    </w:rPr>
                  </w:pPr>
                  <w:r>
                    <w:rPr>
                      <w:color w:val="auto"/>
                      <w:kern w:val="0"/>
                      <w:szCs w:val="21"/>
                      <w:lang w:bidi="ar"/>
                    </w:rPr>
                    <w:t>2.51</w:t>
                  </w:r>
                </w:p>
              </w:tc>
              <w:tc>
                <w:tcPr>
                  <w:tcW w:w="382" w:type="pct"/>
                  <w:vMerge w:val="continue"/>
                  <w:vAlign w:val="center"/>
                </w:tcPr>
                <w:p w14:paraId="0DF555DB">
                  <w:pPr>
                    <w:pStyle w:val="70"/>
                    <w:spacing w:beforeLines="0" w:afterLines="0" w:line="240" w:lineRule="auto"/>
                    <w:ind w:firstLine="0"/>
                    <w:rPr>
                      <w:color w:val="auto"/>
                      <w:sz w:val="21"/>
                      <w:szCs w:val="21"/>
                    </w:rPr>
                  </w:pPr>
                </w:p>
              </w:tc>
              <w:tc>
                <w:tcPr>
                  <w:tcW w:w="241" w:type="pct"/>
                  <w:vAlign w:val="center"/>
                </w:tcPr>
                <w:p w14:paraId="17EB5E2B">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4" w:type="pct"/>
                  <w:vAlign w:val="center"/>
                </w:tcPr>
                <w:p w14:paraId="3B886685">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7AD1E06B">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609B5C7C">
                  <w:pPr>
                    <w:widowControl/>
                    <w:jc w:val="center"/>
                    <w:textAlignment w:val="center"/>
                    <w:rPr>
                      <w:color w:val="auto"/>
                      <w:kern w:val="0"/>
                      <w:szCs w:val="21"/>
                      <w:lang w:bidi="ar"/>
                    </w:rPr>
                  </w:pPr>
                  <w:r>
                    <w:rPr>
                      <w:color w:val="auto"/>
                      <w:kern w:val="0"/>
                      <w:szCs w:val="21"/>
                      <w:lang w:bidi="ar"/>
                    </w:rPr>
                    <w:t>0.15</w:t>
                  </w:r>
                </w:p>
              </w:tc>
              <w:tc>
                <w:tcPr>
                  <w:tcW w:w="930" w:type="dxa"/>
                  <w:vAlign w:val="center"/>
                </w:tcPr>
                <w:p w14:paraId="4337E560">
                  <w:pPr>
                    <w:widowControl/>
                    <w:jc w:val="center"/>
                    <w:textAlignment w:val="center"/>
                    <w:rPr>
                      <w:color w:val="auto"/>
                      <w:kern w:val="0"/>
                      <w:szCs w:val="21"/>
                      <w:lang w:bidi="ar"/>
                    </w:rPr>
                  </w:pPr>
                  <w:r>
                    <w:rPr>
                      <w:color w:val="auto"/>
                      <w:kern w:val="0"/>
                      <w:szCs w:val="21"/>
                      <w:lang w:bidi="ar"/>
                    </w:rPr>
                    <w:t>0.0502</w:t>
                  </w:r>
                </w:p>
              </w:tc>
              <w:tc>
                <w:tcPr>
                  <w:tcW w:w="934" w:type="dxa"/>
                  <w:vAlign w:val="center"/>
                </w:tcPr>
                <w:p w14:paraId="52677608">
                  <w:pPr>
                    <w:widowControl/>
                    <w:jc w:val="center"/>
                    <w:textAlignment w:val="center"/>
                    <w:rPr>
                      <w:color w:val="auto"/>
                      <w:kern w:val="0"/>
                      <w:szCs w:val="21"/>
                      <w:lang w:bidi="ar"/>
                    </w:rPr>
                  </w:pPr>
                  <w:r>
                    <w:rPr>
                      <w:color w:val="auto"/>
                      <w:kern w:val="0"/>
                      <w:szCs w:val="21"/>
                      <w:lang w:bidi="ar"/>
                    </w:rPr>
                    <w:t>2.51</w:t>
                  </w:r>
                </w:p>
              </w:tc>
              <w:tc>
                <w:tcPr>
                  <w:tcW w:w="243" w:type="pct"/>
                  <w:vMerge w:val="continue"/>
                  <w:vAlign w:val="center"/>
                </w:tcPr>
                <w:p w14:paraId="6627E8CC">
                  <w:pPr>
                    <w:pStyle w:val="77"/>
                    <w:jc w:val="center"/>
                    <w:rPr>
                      <w:color w:val="auto"/>
                      <w:szCs w:val="21"/>
                    </w:rPr>
                  </w:pPr>
                </w:p>
              </w:tc>
            </w:tr>
            <w:tr w14:paraId="58B18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2FD51EAF">
                  <w:pPr>
                    <w:pStyle w:val="70"/>
                    <w:spacing w:beforeLines="0" w:afterLines="0" w:line="240" w:lineRule="auto"/>
                    <w:ind w:firstLine="0"/>
                    <w:rPr>
                      <w:rFonts w:ascii="Times New Roman"/>
                      <w:color w:val="auto"/>
                      <w:sz w:val="21"/>
                      <w:szCs w:val="21"/>
                    </w:rPr>
                  </w:pPr>
                </w:p>
              </w:tc>
              <w:tc>
                <w:tcPr>
                  <w:tcW w:w="299" w:type="pct"/>
                  <w:vMerge w:val="continue"/>
                  <w:vAlign w:val="center"/>
                </w:tcPr>
                <w:p w14:paraId="1E06E410">
                  <w:pPr>
                    <w:pStyle w:val="70"/>
                    <w:spacing w:beforeLines="0" w:afterLines="0" w:line="240" w:lineRule="auto"/>
                    <w:ind w:firstLine="0"/>
                    <w:rPr>
                      <w:rFonts w:ascii="Times New Roman"/>
                      <w:color w:val="auto"/>
                      <w:sz w:val="21"/>
                      <w:szCs w:val="21"/>
                    </w:rPr>
                  </w:pPr>
                </w:p>
              </w:tc>
              <w:tc>
                <w:tcPr>
                  <w:tcW w:w="431" w:type="pct"/>
                  <w:vMerge w:val="continue"/>
                  <w:vAlign w:val="center"/>
                </w:tcPr>
                <w:p w14:paraId="0967EE0B">
                  <w:pPr>
                    <w:pStyle w:val="70"/>
                    <w:spacing w:beforeLines="0" w:afterLines="0" w:line="240" w:lineRule="auto"/>
                    <w:ind w:firstLine="0"/>
                    <w:rPr>
                      <w:rFonts w:ascii="Times New Roman"/>
                      <w:color w:val="auto"/>
                      <w:sz w:val="21"/>
                      <w:szCs w:val="21"/>
                    </w:rPr>
                  </w:pPr>
                </w:p>
              </w:tc>
              <w:tc>
                <w:tcPr>
                  <w:tcW w:w="363" w:type="pct"/>
                  <w:vAlign w:val="center"/>
                </w:tcPr>
                <w:p w14:paraId="7323C042">
                  <w:pPr>
                    <w:widowControl/>
                    <w:jc w:val="center"/>
                    <w:textAlignment w:val="center"/>
                    <w:rPr>
                      <w:color w:val="auto"/>
                      <w:kern w:val="0"/>
                      <w:szCs w:val="21"/>
                      <w:lang w:bidi="ar"/>
                    </w:rPr>
                  </w:pPr>
                  <w:r>
                    <w:rPr>
                      <w:rFonts w:hint="eastAsia"/>
                      <w:color w:val="auto"/>
                      <w:kern w:val="0"/>
                      <w:szCs w:val="21"/>
                      <w:lang w:bidi="ar"/>
                    </w:rPr>
                    <w:t>二氧化硫</w:t>
                  </w:r>
                </w:p>
              </w:tc>
              <w:tc>
                <w:tcPr>
                  <w:tcW w:w="329" w:type="pct"/>
                  <w:vAlign w:val="center"/>
                </w:tcPr>
                <w:p w14:paraId="3D93A0E2">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638FD025">
                  <w:pPr>
                    <w:widowControl/>
                    <w:jc w:val="center"/>
                    <w:textAlignment w:val="center"/>
                    <w:rPr>
                      <w:color w:val="auto"/>
                      <w:kern w:val="0"/>
                      <w:szCs w:val="21"/>
                      <w:lang w:bidi="ar"/>
                    </w:rPr>
                  </w:pPr>
                  <w:r>
                    <w:rPr>
                      <w:color w:val="auto"/>
                      <w:kern w:val="0"/>
                      <w:szCs w:val="21"/>
                      <w:lang w:bidi="ar"/>
                    </w:rPr>
                    <w:t>0.0321</w:t>
                  </w:r>
                </w:p>
              </w:tc>
              <w:tc>
                <w:tcPr>
                  <w:tcW w:w="969" w:type="dxa"/>
                  <w:vAlign w:val="center"/>
                </w:tcPr>
                <w:p w14:paraId="1F3117AD">
                  <w:pPr>
                    <w:widowControl/>
                    <w:jc w:val="center"/>
                    <w:textAlignment w:val="center"/>
                    <w:rPr>
                      <w:color w:val="auto"/>
                      <w:kern w:val="0"/>
                      <w:szCs w:val="21"/>
                      <w:lang w:bidi="ar"/>
                    </w:rPr>
                  </w:pPr>
                  <w:r>
                    <w:rPr>
                      <w:color w:val="auto"/>
                      <w:kern w:val="0"/>
                      <w:szCs w:val="21"/>
                      <w:lang w:bidi="ar"/>
                    </w:rPr>
                    <w:t>0.0107</w:t>
                  </w:r>
                </w:p>
              </w:tc>
              <w:tc>
                <w:tcPr>
                  <w:tcW w:w="967" w:type="dxa"/>
                  <w:vAlign w:val="center"/>
                </w:tcPr>
                <w:p w14:paraId="39660178">
                  <w:pPr>
                    <w:widowControl/>
                    <w:jc w:val="center"/>
                    <w:textAlignment w:val="center"/>
                    <w:rPr>
                      <w:color w:val="auto"/>
                      <w:kern w:val="0"/>
                      <w:szCs w:val="21"/>
                      <w:lang w:bidi="ar"/>
                    </w:rPr>
                  </w:pPr>
                  <w:r>
                    <w:rPr>
                      <w:color w:val="auto"/>
                      <w:kern w:val="0"/>
                      <w:szCs w:val="21"/>
                      <w:lang w:bidi="ar"/>
                    </w:rPr>
                    <w:t>0.535</w:t>
                  </w:r>
                </w:p>
              </w:tc>
              <w:tc>
                <w:tcPr>
                  <w:tcW w:w="382" w:type="pct"/>
                  <w:vMerge w:val="continue"/>
                  <w:vAlign w:val="center"/>
                </w:tcPr>
                <w:p w14:paraId="19532639">
                  <w:pPr>
                    <w:pStyle w:val="70"/>
                    <w:spacing w:beforeLines="0" w:afterLines="0" w:line="240" w:lineRule="auto"/>
                    <w:ind w:firstLine="0"/>
                    <w:rPr>
                      <w:color w:val="auto"/>
                      <w:sz w:val="21"/>
                      <w:szCs w:val="21"/>
                    </w:rPr>
                  </w:pPr>
                </w:p>
              </w:tc>
              <w:tc>
                <w:tcPr>
                  <w:tcW w:w="241" w:type="pct"/>
                  <w:vAlign w:val="center"/>
                </w:tcPr>
                <w:p w14:paraId="25EE1314">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4" w:type="pct"/>
                  <w:vAlign w:val="center"/>
                </w:tcPr>
                <w:p w14:paraId="395EACD9">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0019DEB9">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7B82032B">
                  <w:pPr>
                    <w:widowControl/>
                    <w:jc w:val="center"/>
                    <w:textAlignment w:val="center"/>
                    <w:rPr>
                      <w:color w:val="auto"/>
                      <w:kern w:val="0"/>
                      <w:szCs w:val="21"/>
                      <w:lang w:bidi="ar"/>
                    </w:rPr>
                  </w:pPr>
                  <w:r>
                    <w:rPr>
                      <w:color w:val="auto"/>
                      <w:kern w:val="0"/>
                      <w:szCs w:val="21"/>
                      <w:lang w:bidi="ar"/>
                    </w:rPr>
                    <w:t>0.0321</w:t>
                  </w:r>
                </w:p>
              </w:tc>
              <w:tc>
                <w:tcPr>
                  <w:tcW w:w="930" w:type="dxa"/>
                  <w:vAlign w:val="center"/>
                </w:tcPr>
                <w:p w14:paraId="45C09005">
                  <w:pPr>
                    <w:widowControl/>
                    <w:jc w:val="center"/>
                    <w:textAlignment w:val="center"/>
                    <w:rPr>
                      <w:color w:val="auto"/>
                      <w:kern w:val="0"/>
                      <w:szCs w:val="21"/>
                      <w:lang w:bidi="ar"/>
                    </w:rPr>
                  </w:pPr>
                  <w:r>
                    <w:rPr>
                      <w:color w:val="auto"/>
                      <w:kern w:val="0"/>
                      <w:szCs w:val="21"/>
                      <w:lang w:bidi="ar"/>
                    </w:rPr>
                    <w:t>0.0107</w:t>
                  </w:r>
                </w:p>
              </w:tc>
              <w:tc>
                <w:tcPr>
                  <w:tcW w:w="934" w:type="dxa"/>
                  <w:vAlign w:val="center"/>
                </w:tcPr>
                <w:p w14:paraId="0761D9A0">
                  <w:pPr>
                    <w:widowControl/>
                    <w:jc w:val="center"/>
                    <w:textAlignment w:val="center"/>
                    <w:rPr>
                      <w:color w:val="auto"/>
                      <w:kern w:val="0"/>
                      <w:szCs w:val="21"/>
                      <w:lang w:bidi="ar"/>
                    </w:rPr>
                  </w:pPr>
                  <w:r>
                    <w:rPr>
                      <w:color w:val="auto"/>
                      <w:kern w:val="0"/>
                      <w:szCs w:val="21"/>
                      <w:lang w:bidi="ar"/>
                    </w:rPr>
                    <w:t>0.535</w:t>
                  </w:r>
                </w:p>
              </w:tc>
              <w:tc>
                <w:tcPr>
                  <w:tcW w:w="243" w:type="pct"/>
                  <w:vMerge w:val="continue"/>
                  <w:vAlign w:val="center"/>
                </w:tcPr>
                <w:p w14:paraId="4FE67F61">
                  <w:pPr>
                    <w:pStyle w:val="77"/>
                    <w:jc w:val="center"/>
                    <w:rPr>
                      <w:color w:val="auto"/>
                      <w:szCs w:val="21"/>
                    </w:rPr>
                  </w:pPr>
                </w:p>
              </w:tc>
            </w:tr>
            <w:tr w14:paraId="5B4EA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2D4F007E">
                  <w:pPr>
                    <w:pStyle w:val="70"/>
                    <w:spacing w:beforeLines="0" w:afterLines="0" w:line="240" w:lineRule="auto"/>
                    <w:ind w:firstLine="0"/>
                    <w:rPr>
                      <w:rFonts w:ascii="Times New Roman"/>
                      <w:color w:val="auto"/>
                      <w:sz w:val="21"/>
                      <w:szCs w:val="21"/>
                    </w:rPr>
                  </w:pPr>
                </w:p>
              </w:tc>
              <w:tc>
                <w:tcPr>
                  <w:tcW w:w="299" w:type="pct"/>
                  <w:vMerge w:val="restart"/>
                  <w:vAlign w:val="center"/>
                </w:tcPr>
                <w:p w14:paraId="4AD29FE3">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DA004</w:t>
                  </w:r>
                </w:p>
              </w:tc>
              <w:tc>
                <w:tcPr>
                  <w:tcW w:w="431" w:type="pct"/>
                  <w:vMerge w:val="restart"/>
                  <w:vAlign w:val="center"/>
                </w:tcPr>
                <w:p w14:paraId="0D4CB79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喷漆、烘烤、天然气燃烧</w:t>
                  </w:r>
                </w:p>
              </w:tc>
              <w:tc>
                <w:tcPr>
                  <w:tcW w:w="363" w:type="pct"/>
                  <w:vAlign w:val="center"/>
                </w:tcPr>
                <w:p w14:paraId="532AB899">
                  <w:pPr>
                    <w:widowControl/>
                    <w:jc w:val="center"/>
                    <w:textAlignment w:val="center"/>
                    <w:rPr>
                      <w:color w:val="auto"/>
                      <w:kern w:val="0"/>
                      <w:szCs w:val="21"/>
                      <w:lang w:bidi="ar"/>
                    </w:rPr>
                  </w:pPr>
                  <w:r>
                    <w:rPr>
                      <w:rFonts w:hint="eastAsia"/>
                      <w:color w:val="auto"/>
                      <w:kern w:val="0"/>
                      <w:szCs w:val="21"/>
                      <w:lang w:bidi="ar"/>
                    </w:rPr>
                    <w:t>颗粒物</w:t>
                  </w:r>
                </w:p>
              </w:tc>
              <w:tc>
                <w:tcPr>
                  <w:tcW w:w="329" w:type="pct"/>
                  <w:vAlign w:val="center"/>
                </w:tcPr>
                <w:p w14:paraId="28F8A2A5">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系数法、物料衡算法</w:t>
                  </w:r>
                </w:p>
              </w:tc>
              <w:tc>
                <w:tcPr>
                  <w:tcW w:w="977" w:type="dxa"/>
                  <w:vAlign w:val="center"/>
                </w:tcPr>
                <w:p w14:paraId="65845E58">
                  <w:pPr>
                    <w:widowControl/>
                    <w:jc w:val="center"/>
                    <w:textAlignment w:val="center"/>
                    <w:rPr>
                      <w:color w:val="auto"/>
                      <w:kern w:val="0"/>
                      <w:szCs w:val="21"/>
                      <w:lang w:bidi="ar"/>
                    </w:rPr>
                  </w:pPr>
                  <w:r>
                    <w:rPr>
                      <w:color w:val="auto"/>
                      <w:kern w:val="0"/>
                      <w:szCs w:val="21"/>
                      <w:lang w:bidi="ar"/>
                    </w:rPr>
                    <w:t>1.243</w:t>
                  </w:r>
                </w:p>
              </w:tc>
              <w:tc>
                <w:tcPr>
                  <w:tcW w:w="969" w:type="dxa"/>
                  <w:vAlign w:val="center"/>
                </w:tcPr>
                <w:p w14:paraId="22243DF9">
                  <w:pPr>
                    <w:widowControl/>
                    <w:jc w:val="center"/>
                    <w:textAlignment w:val="center"/>
                    <w:rPr>
                      <w:color w:val="auto"/>
                      <w:kern w:val="0"/>
                      <w:szCs w:val="21"/>
                      <w:lang w:bidi="ar"/>
                    </w:rPr>
                  </w:pPr>
                  <w:r>
                    <w:rPr>
                      <w:color w:val="auto"/>
                      <w:kern w:val="0"/>
                      <w:szCs w:val="21"/>
                      <w:lang w:bidi="ar"/>
                    </w:rPr>
                    <w:t>0.4137</w:t>
                  </w:r>
                </w:p>
              </w:tc>
              <w:tc>
                <w:tcPr>
                  <w:tcW w:w="967" w:type="dxa"/>
                  <w:vAlign w:val="center"/>
                </w:tcPr>
                <w:p w14:paraId="636A316D">
                  <w:pPr>
                    <w:widowControl/>
                    <w:jc w:val="center"/>
                    <w:textAlignment w:val="center"/>
                    <w:rPr>
                      <w:color w:val="auto"/>
                      <w:kern w:val="0"/>
                      <w:szCs w:val="21"/>
                      <w:lang w:bidi="ar"/>
                    </w:rPr>
                  </w:pPr>
                  <w:r>
                    <w:rPr>
                      <w:color w:val="auto"/>
                      <w:kern w:val="0"/>
                      <w:szCs w:val="21"/>
                      <w:lang w:bidi="ar"/>
                    </w:rPr>
                    <w:t>27.58</w:t>
                  </w:r>
                </w:p>
              </w:tc>
              <w:tc>
                <w:tcPr>
                  <w:tcW w:w="382" w:type="pct"/>
                  <w:vMerge w:val="restart"/>
                  <w:vAlign w:val="center"/>
                </w:tcPr>
                <w:p w14:paraId="7BF716BC">
                  <w:pPr>
                    <w:pStyle w:val="70"/>
                    <w:spacing w:beforeLines="0" w:afterLines="0" w:line="240" w:lineRule="auto"/>
                    <w:ind w:firstLine="0"/>
                    <w:rPr>
                      <w:color w:val="auto"/>
                      <w:sz w:val="21"/>
                      <w:szCs w:val="21"/>
                    </w:rPr>
                  </w:pPr>
                  <w:r>
                    <w:rPr>
                      <w:rFonts w:hint="eastAsia"/>
                      <w:color w:val="auto"/>
                      <w:sz w:val="21"/>
                      <w:szCs w:val="21"/>
                    </w:rPr>
                    <w:t>水帘柜+喷淋塔+除湿装置+二级活性炭吸附装置</w:t>
                  </w:r>
                </w:p>
              </w:tc>
              <w:tc>
                <w:tcPr>
                  <w:tcW w:w="241" w:type="pct"/>
                  <w:vAlign w:val="center"/>
                </w:tcPr>
                <w:p w14:paraId="513018F7">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90%/95%</w:t>
                  </w:r>
                </w:p>
              </w:tc>
              <w:tc>
                <w:tcPr>
                  <w:tcW w:w="224" w:type="pct"/>
                  <w:vAlign w:val="center"/>
                </w:tcPr>
                <w:p w14:paraId="3D3AA082">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98%</w:t>
                  </w:r>
                </w:p>
              </w:tc>
              <w:tc>
                <w:tcPr>
                  <w:tcW w:w="370" w:type="pct"/>
                  <w:vAlign w:val="center"/>
                </w:tcPr>
                <w:p w14:paraId="0D2C80D5">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7F572A8A">
                  <w:pPr>
                    <w:widowControl/>
                    <w:jc w:val="center"/>
                    <w:textAlignment w:val="center"/>
                    <w:rPr>
                      <w:color w:val="auto"/>
                      <w:kern w:val="0"/>
                      <w:szCs w:val="21"/>
                      <w:lang w:bidi="ar"/>
                    </w:rPr>
                  </w:pPr>
                  <w:r>
                    <w:rPr>
                      <w:color w:val="auto"/>
                      <w:kern w:val="0"/>
                      <w:szCs w:val="21"/>
                      <w:lang w:bidi="ar"/>
                    </w:rPr>
                    <w:t>0.0249</w:t>
                  </w:r>
                </w:p>
              </w:tc>
              <w:tc>
                <w:tcPr>
                  <w:tcW w:w="930" w:type="dxa"/>
                  <w:vAlign w:val="center"/>
                </w:tcPr>
                <w:p w14:paraId="4E07F50E">
                  <w:pPr>
                    <w:widowControl/>
                    <w:jc w:val="center"/>
                    <w:textAlignment w:val="center"/>
                    <w:rPr>
                      <w:color w:val="auto"/>
                      <w:kern w:val="0"/>
                      <w:szCs w:val="21"/>
                      <w:lang w:bidi="ar"/>
                    </w:rPr>
                  </w:pPr>
                  <w:r>
                    <w:rPr>
                      <w:color w:val="auto"/>
                      <w:kern w:val="0"/>
                      <w:szCs w:val="21"/>
                      <w:lang w:bidi="ar"/>
                    </w:rPr>
                    <w:t>0.0083</w:t>
                  </w:r>
                </w:p>
              </w:tc>
              <w:tc>
                <w:tcPr>
                  <w:tcW w:w="934" w:type="dxa"/>
                  <w:vAlign w:val="center"/>
                </w:tcPr>
                <w:p w14:paraId="2250FCEB">
                  <w:pPr>
                    <w:widowControl/>
                    <w:jc w:val="center"/>
                    <w:textAlignment w:val="center"/>
                    <w:rPr>
                      <w:color w:val="auto"/>
                      <w:kern w:val="0"/>
                      <w:szCs w:val="21"/>
                      <w:lang w:bidi="ar"/>
                    </w:rPr>
                  </w:pPr>
                  <w:r>
                    <w:rPr>
                      <w:color w:val="auto"/>
                      <w:kern w:val="0"/>
                      <w:szCs w:val="21"/>
                      <w:lang w:bidi="ar"/>
                    </w:rPr>
                    <w:t>0.552</w:t>
                  </w:r>
                </w:p>
              </w:tc>
              <w:tc>
                <w:tcPr>
                  <w:tcW w:w="243" w:type="pct"/>
                  <w:vMerge w:val="restart"/>
                  <w:vAlign w:val="center"/>
                </w:tcPr>
                <w:p w14:paraId="18038D41">
                  <w:pPr>
                    <w:pStyle w:val="77"/>
                    <w:jc w:val="center"/>
                    <w:rPr>
                      <w:color w:val="auto"/>
                      <w:szCs w:val="21"/>
                    </w:rPr>
                  </w:pPr>
                  <w:r>
                    <w:rPr>
                      <w:rFonts w:hint="eastAsia"/>
                      <w:color w:val="auto"/>
                      <w:szCs w:val="21"/>
                    </w:rPr>
                    <w:t>3000</w:t>
                  </w:r>
                </w:p>
              </w:tc>
            </w:tr>
            <w:tr w14:paraId="01FDF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746FBF8F">
                  <w:pPr>
                    <w:pStyle w:val="70"/>
                    <w:spacing w:beforeLines="0" w:afterLines="0" w:line="240" w:lineRule="auto"/>
                    <w:ind w:firstLine="0"/>
                    <w:rPr>
                      <w:rFonts w:ascii="Times New Roman"/>
                      <w:color w:val="auto"/>
                      <w:sz w:val="21"/>
                      <w:szCs w:val="21"/>
                    </w:rPr>
                  </w:pPr>
                </w:p>
              </w:tc>
              <w:tc>
                <w:tcPr>
                  <w:tcW w:w="299" w:type="pct"/>
                  <w:vMerge w:val="continue"/>
                  <w:vAlign w:val="center"/>
                </w:tcPr>
                <w:p w14:paraId="7E14C276">
                  <w:pPr>
                    <w:pStyle w:val="70"/>
                    <w:spacing w:beforeLines="0" w:afterLines="0" w:line="240" w:lineRule="auto"/>
                    <w:ind w:firstLine="0"/>
                    <w:rPr>
                      <w:rFonts w:ascii="Times New Roman"/>
                      <w:color w:val="auto"/>
                      <w:sz w:val="21"/>
                      <w:szCs w:val="21"/>
                    </w:rPr>
                  </w:pPr>
                </w:p>
              </w:tc>
              <w:tc>
                <w:tcPr>
                  <w:tcW w:w="431" w:type="pct"/>
                  <w:vMerge w:val="continue"/>
                  <w:vAlign w:val="center"/>
                </w:tcPr>
                <w:p w14:paraId="7D753042">
                  <w:pPr>
                    <w:pStyle w:val="70"/>
                    <w:spacing w:beforeLines="0" w:afterLines="0" w:line="240" w:lineRule="auto"/>
                    <w:ind w:firstLine="0"/>
                    <w:rPr>
                      <w:rFonts w:ascii="Times New Roman"/>
                      <w:color w:val="auto"/>
                      <w:sz w:val="21"/>
                      <w:szCs w:val="21"/>
                    </w:rPr>
                  </w:pPr>
                </w:p>
              </w:tc>
              <w:tc>
                <w:tcPr>
                  <w:tcW w:w="363" w:type="pct"/>
                  <w:vAlign w:val="center"/>
                </w:tcPr>
                <w:p w14:paraId="13C95CE0">
                  <w:pPr>
                    <w:widowControl/>
                    <w:jc w:val="center"/>
                    <w:textAlignment w:val="center"/>
                    <w:rPr>
                      <w:color w:val="auto"/>
                      <w:kern w:val="0"/>
                      <w:szCs w:val="21"/>
                      <w:lang w:bidi="ar"/>
                    </w:rPr>
                  </w:pPr>
                  <w:r>
                    <w:rPr>
                      <w:rFonts w:hint="eastAsia"/>
                      <w:color w:val="auto"/>
                      <w:kern w:val="0"/>
                      <w:szCs w:val="21"/>
                      <w:lang w:bidi="ar"/>
                    </w:rPr>
                    <w:t>TVOC</w:t>
                  </w:r>
                </w:p>
              </w:tc>
              <w:tc>
                <w:tcPr>
                  <w:tcW w:w="329" w:type="pct"/>
                  <w:vAlign w:val="center"/>
                </w:tcPr>
                <w:p w14:paraId="2EFCAB75">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2E4A762E">
                  <w:pPr>
                    <w:widowControl/>
                    <w:jc w:val="center"/>
                    <w:textAlignment w:val="center"/>
                    <w:rPr>
                      <w:color w:val="auto"/>
                      <w:kern w:val="0"/>
                      <w:szCs w:val="21"/>
                      <w:lang w:bidi="ar"/>
                    </w:rPr>
                  </w:pPr>
                  <w:r>
                    <w:rPr>
                      <w:color w:val="auto"/>
                      <w:kern w:val="0"/>
                      <w:szCs w:val="21"/>
                      <w:lang w:bidi="ar"/>
                    </w:rPr>
                    <w:t>0.159</w:t>
                  </w:r>
                </w:p>
              </w:tc>
              <w:tc>
                <w:tcPr>
                  <w:tcW w:w="969" w:type="dxa"/>
                  <w:vAlign w:val="center"/>
                </w:tcPr>
                <w:p w14:paraId="79A491E8">
                  <w:pPr>
                    <w:widowControl/>
                    <w:jc w:val="center"/>
                    <w:textAlignment w:val="center"/>
                    <w:rPr>
                      <w:color w:val="auto"/>
                      <w:kern w:val="0"/>
                      <w:szCs w:val="21"/>
                      <w:lang w:bidi="ar"/>
                    </w:rPr>
                  </w:pPr>
                  <w:r>
                    <w:rPr>
                      <w:color w:val="auto"/>
                      <w:kern w:val="0"/>
                      <w:szCs w:val="21"/>
                      <w:lang w:bidi="ar"/>
                    </w:rPr>
                    <w:t>0.0531</w:t>
                  </w:r>
                </w:p>
              </w:tc>
              <w:tc>
                <w:tcPr>
                  <w:tcW w:w="967" w:type="dxa"/>
                  <w:vAlign w:val="center"/>
                </w:tcPr>
                <w:p w14:paraId="397E7142">
                  <w:pPr>
                    <w:widowControl/>
                    <w:jc w:val="center"/>
                    <w:textAlignment w:val="center"/>
                    <w:rPr>
                      <w:color w:val="auto"/>
                      <w:kern w:val="0"/>
                      <w:szCs w:val="21"/>
                      <w:lang w:bidi="ar"/>
                    </w:rPr>
                  </w:pPr>
                  <w:r>
                    <w:rPr>
                      <w:color w:val="auto"/>
                      <w:kern w:val="0"/>
                      <w:szCs w:val="21"/>
                      <w:lang w:bidi="ar"/>
                    </w:rPr>
                    <w:t>3.5</w:t>
                  </w:r>
                </w:p>
              </w:tc>
              <w:tc>
                <w:tcPr>
                  <w:tcW w:w="382" w:type="pct"/>
                  <w:vMerge w:val="continue"/>
                  <w:vAlign w:val="center"/>
                </w:tcPr>
                <w:p w14:paraId="42CBD41B">
                  <w:pPr>
                    <w:pStyle w:val="70"/>
                    <w:spacing w:beforeLines="0" w:afterLines="0" w:line="240" w:lineRule="auto"/>
                    <w:ind w:firstLine="0"/>
                    <w:rPr>
                      <w:color w:val="auto"/>
                      <w:sz w:val="21"/>
                      <w:szCs w:val="21"/>
                    </w:rPr>
                  </w:pPr>
                </w:p>
              </w:tc>
              <w:tc>
                <w:tcPr>
                  <w:tcW w:w="241" w:type="pct"/>
                  <w:vAlign w:val="center"/>
                </w:tcPr>
                <w:p w14:paraId="2094F59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90%/95%</w:t>
                  </w:r>
                </w:p>
              </w:tc>
              <w:tc>
                <w:tcPr>
                  <w:tcW w:w="224" w:type="pct"/>
                  <w:vAlign w:val="center"/>
                </w:tcPr>
                <w:p w14:paraId="0D9D626B">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70%</w:t>
                  </w:r>
                </w:p>
              </w:tc>
              <w:tc>
                <w:tcPr>
                  <w:tcW w:w="370" w:type="pct"/>
                  <w:vAlign w:val="center"/>
                </w:tcPr>
                <w:p w14:paraId="69D552D3">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37D74C15">
                  <w:pPr>
                    <w:widowControl/>
                    <w:jc w:val="center"/>
                    <w:textAlignment w:val="center"/>
                    <w:rPr>
                      <w:color w:val="auto"/>
                      <w:kern w:val="0"/>
                      <w:szCs w:val="21"/>
                      <w:lang w:bidi="ar"/>
                    </w:rPr>
                  </w:pPr>
                  <w:r>
                    <w:rPr>
                      <w:color w:val="auto"/>
                      <w:kern w:val="0"/>
                      <w:szCs w:val="21"/>
                      <w:lang w:bidi="ar"/>
                    </w:rPr>
                    <w:t>0.0477</w:t>
                  </w:r>
                </w:p>
              </w:tc>
              <w:tc>
                <w:tcPr>
                  <w:tcW w:w="930" w:type="dxa"/>
                  <w:vAlign w:val="center"/>
                </w:tcPr>
                <w:p w14:paraId="598E9CE4">
                  <w:pPr>
                    <w:widowControl/>
                    <w:jc w:val="center"/>
                    <w:textAlignment w:val="center"/>
                    <w:rPr>
                      <w:color w:val="auto"/>
                      <w:kern w:val="0"/>
                      <w:szCs w:val="21"/>
                      <w:lang w:bidi="ar"/>
                    </w:rPr>
                  </w:pPr>
                  <w:r>
                    <w:rPr>
                      <w:color w:val="auto"/>
                      <w:kern w:val="0"/>
                      <w:szCs w:val="21"/>
                      <w:lang w:bidi="ar"/>
                    </w:rPr>
                    <w:t>0.0159</w:t>
                  </w:r>
                </w:p>
              </w:tc>
              <w:tc>
                <w:tcPr>
                  <w:tcW w:w="934" w:type="dxa"/>
                  <w:vAlign w:val="center"/>
                </w:tcPr>
                <w:p w14:paraId="4F25B9CF">
                  <w:pPr>
                    <w:widowControl/>
                    <w:jc w:val="center"/>
                    <w:textAlignment w:val="center"/>
                    <w:rPr>
                      <w:color w:val="auto"/>
                      <w:kern w:val="0"/>
                      <w:szCs w:val="21"/>
                      <w:lang w:bidi="ar"/>
                    </w:rPr>
                  </w:pPr>
                  <w:r>
                    <w:rPr>
                      <w:color w:val="auto"/>
                      <w:kern w:val="0"/>
                      <w:szCs w:val="21"/>
                      <w:lang w:bidi="ar"/>
                    </w:rPr>
                    <w:t>1.06</w:t>
                  </w:r>
                </w:p>
              </w:tc>
              <w:tc>
                <w:tcPr>
                  <w:tcW w:w="243" w:type="pct"/>
                  <w:vMerge w:val="continue"/>
                  <w:vAlign w:val="center"/>
                </w:tcPr>
                <w:p w14:paraId="75561203">
                  <w:pPr>
                    <w:pStyle w:val="77"/>
                    <w:jc w:val="center"/>
                    <w:rPr>
                      <w:color w:val="auto"/>
                      <w:szCs w:val="21"/>
                    </w:rPr>
                  </w:pPr>
                </w:p>
              </w:tc>
            </w:tr>
            <w:tr w14:paraId="75982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073E7FC2">
                  <w:pPr>
                    <w:pStyle w:val="70"/>
                    <w:spacing w:beforeLines="0" w:afterLines="0" w:line="240" w:lineRule="auto"/>
                    <w:ind w:firstLine="0"/>
                    <w:rPr>
                      <w:rFonts w:ascii="Times New Roman"/>
                      <w:color w:val="auto"/>
                      <w:sz w:val="21"/>
                      <w:szCs w:val="21"/>
                    </w:rPr>
                  </w:pPr>
                </w:p>
              </w:tc>
              <w:tc>
                <w:tcPr>
                  <w:tcW w:w="299" w:type="pct"/>
                  <w:vMerge w:val="continue"/>
                  <w:vAlign w:val="center"/>
                </w:tcPr>
                <w:p w14:paraId="03B7DA33">
                  <w:pPr>
                    <w:pStyle w:val="70"/>
                    <w:spacing w:beforeLines="0" w:afterLines="0" w:line="240" w:lineRule="auto"/>
                    <w:ind w:firstLine="0"/>
                    <w:rPr>
                      <w:rFonts w:ascii="Times New Roman"/>
                      <w:color w:val="auto"/>
                      <w:sz w:val="21"/>
                      <w:szCs w:val="21"/>
                    </w:rPr>
                  </w:pPr>
                </w:p>
              </w:tc>
              <w:tc>
                <w:tcPr>
                  <w:tcW w:w="431" w:type="pct"/>
                  <w:vMerge w:val="continue"/>
                  <w:vAlign w:val="center"/>
                </w:tcPr>
                <w:p w14:paraId="3F3A7AC9">
                  <w:pPr>
                    <w:pStyle w:val="70"/>
                    <w:spacing w:beforeLines="0" w:afterLines="0" w:line="240" w:lineRule="auto"/>
                    <w:ind w:firstLine="0"/>
                    <w:rPr>
                      <w:rFonts w:ascii="Times New Roman"/>
                      <w:color w:val="auto"/>
                      <w:sz w:val="21"/>
                      <w:szCs w:val="21"/>
                    </w:rPr>
                  </w:pPr>
                </w:p>
              </w:tc>
              <w:tc>
                <w:tcPr>
                  <w:tcW w:w="363" w:type="pct"/>
                  <w:vAlign w:val="center"/>
                </w:tcPr>
                <w:p w14:paraId="4185384E">
                  <w:pPr>
                    <w:widowControl/>
                    <w:jc w:val="center"/>
                    <w:textAlignment w:val="center"/>
                    <w:rPr>
                      <w:color w:val="auto"/>
                      <w:kern w:val="0"/>
                      <w:szCs w:val="21"/>
                      <w:lang w:bidi="ar"/>
                    </w:rPr>
                  </w:pPr>
                  <w:r>
                    <w:rPr>
                      <w:rFonts w:hint="eastAsia"/>
                      <w:color w:val="auto"/>
                      <w:kern w:val="0"/>
                      <w:szCs w:val="21"/>
                      <w:lang w:bidi="ar"/>
                    </w:rPr>
                    <w:t>氮氧化物</w:t>
                  </w:r>
                </w:p>
              </w:tc>
              <w:tc>
                <w:tcPr>
                  <w:tcW w:w="329" w:type="pct"/>
                  <w:vAlign w:val="center"/>
                </w:tcPr>
                <w:p w14:paraId="2ECDDFA1">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2B08EE6B">
                  <w:pPr>
                    <w:widowControl/>
                    <w:jc w:val="center"/>
                    <w:textAlignment w:val="center"/>
                    <w:rPr>
                      <w:color w:val="auto"/>
                      <w:kern w:val="0"/>
                      <w:szCs w:val="21"/>
                      <w:lang w:bidi="ar"/>
                    </w:rPr>
                  </w:pPr>
                  <w:r>
                    <w:rPr>
                      <w:color w:val="auto"/>
                      <w:kern w:val="0"/>
                      <w:szCs w:val="21"/>
                      <w:lang w:bidi="ar"/>
                    </w:rPr>
                    <w:t xml:space="preserve">0.0752 </w:t>
                  </w:r>
                </w:p>
              </w:tc>
              <w:tc>
                <w:tcPr>
                  <w:tcW w:w="969" w:type="dxa"/>
                  <w:vAlign w:val="center"/>
                </w:tcPr>
                <w:p w14:paraId="10AF4AED">
                  <w:pPr>
                    <w:widowControl/>
                    <w:jc w:val="center"/>
                    <w:textAlignment w:val="center"/>
                    <w:rPr>
                      <w:color w:val="auto"/>
                      <w:kern w:val="0"/>
                      <w:szCs w:val="21"/>
                      <w:lang w:bidi="ar"/>
                    </w:rPr>
                  </w:pPr>
                  <w:r>
                    <w:rPr>
                      <w:color w:val="auto"/>
                      <w:kern w:val="0"/>
                      <w:szCs w:val="21"/>
                      <w:lang w:bidi="ar"/>
                    </w:rPr>
                    <w:t xml:space="preserve">0.0251 </w:t>
                  </w:r>
                </w:p>
              </w:tc>
              <w:tc>
                <w:tcPr>
                  <w:tcW w:w="967" w:type="dxa"/>
                  <w:vAlign w:val="center"/>
                </w:tcPr>
                <w:p w14:paraId="2FDA2796">
                  <w:pPr>
                    <w:widowControl/>
                    <w:jc w:val="center"/>
                    <w:textAlignment w:val="center"/>
                    <w:rPr>
                      <w:color w:val="auto"/>
                      <w:kern w:val="0"/>
                      <w:szCs w:val="21"/>
                      <w:lang w:bidi="ar"/>
                    </w:rPr>
                  </w:pPr>
                  <w:r>
                    <w:rPr>
                      <w:color w:val="auto"/>
                      <w:kern w:val="0"/>
                      <w:szCs w:val="21"/>
                      <w:lang w:bidi="ar"/>
                    </w:rPr>
                    <w:t xml:space="preserve">1.67 </w:t>
                  </w:r>
                </w:p>
              </w:tc>
              <w:tc>
                <w:tcPr>
                  <w:tcW w:w="382" w:type="pct"/>
                  <w:vMerge w:val="continue"/>
                  <w:vAlign w:val="center"/>
                </w:tcPr>
                <w:p w14:paraId="5F2D75E3">
                  <w:pPr>
                    <w:pStyle w:val="70"/>
                    <w:spacing w:beforeLines="0" w:afterLines="0" w:line="240" w:lineRule="auto"/>
                    <w:ind w:firstLine="0"/>
                    <w:rPr>
                      <w:color w:val="auto"/>
                      <w:sz w:val="21"/>
                      <w:szCs w:val="21"/>
                    </w:rPr>
                  </w:pPr>
                </w:p>
              </w:tc>
              <w:tc>
                <w:tcPr>
                  <w:tcW w:w="241" w:type="pct"/>
                  <w:vAlign w:val="center"/>
                </w:tcPr>
                <w:p w14:paraId="6E1081D8">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4" w:type="pct"/>
                  <w:vAlign w:val="center"/>
                </w:tcPr>
                <w:p w14:paraId="0A522964">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0D0AA6CA">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6CAD5578">
                  <w:pPr>
                    <w:widowControl/>
                    <w:jc w:val="center"/>
                    <w:textAlignment w:val="center"/>
                    <w:rPr>
                      <w:color w:val="auto"/>
                      <w:kern w:val="0"/>
                      <w:szCs w:val="21"/>
                      <w:lang w:bidi="ar"/>
                    </w:rPr>
                  </w:pPr>
                  <w:r>
                    <w:rPr>
                      <w:color w:val="auto"/>
                      <w:kern w:val="0"/>
                      <w:szCs w:val="21"/>
                      <w:lang w:bidi="ar"/>
                    </w:rPr>
                    <w:t xml:space="preserve">0.0752 </w:t>
                  </w:r>
                </w:p>
              </w:tc>
              <w:tc>
                <w:tcPr>
                  <w:tcW w:w="930" w:type="dxa"/>
                  <w:vAlign w:val="center"/>
                </w:tcPr>
                <w:p w14:paraId="50B4BE60">
                  <w:pPr>
                    <w:widowControl/>
                    <w:jc w:val="center"/>
                    <w:textAlignment w:val="center"/>
                    <w:rPr>
                      <w:color w:val="auto"/>
                      <w:kern w:val="0"/>
                      <w:szCs w:val="21"/>
                      <w:lang w:bidi="ar"/>
                    </w:rPr>
                  </w:pPr>
                  <w:r>
                    <w:rPr>
                      <w:color w:val="auto"/>
                      <w:kern w:val="0"/>
                      <w:szCs w:val="21"/>
                      <w:lang w:bidi="ar"/>
                    </w:rPr>
                    <w:t xml:space="preserve">0.0251 </w:t>
                  </w:r>
                </w:p>
              </w:tc>
              <w:tc>
                <w:tcPr>
                  <w:tcW w:w="934" w:type="dxa"/>
                  <w:vAlign w:val="center"/>
                </w:tcPr>
                <w:p w14:paraId="40F8445D">
                  <w:pPr>
                    <w:widowControl/>
                    <w:jc w:val="center"/>
                    <w:textAlignment w:val="center"/>
                    <w:rPr>
                      <w:color w:val="auto"/>
                      <w:kern w:val="0"/>
                      <w:szCs w:val="21"/>
                      <w:lang w:bidi="ar"/>
                    </w:rPr>
                  </w:pPr>
                  <w:r>
                    <w:rPr>
                      <w:color w:val="auto"/>
                      <w:kern w:val="0"/>
                      <w:szCs w:val="21"/>
                      <w:lang w:bidi="ar"/>
                    </w:rPr>
                    <w:t xml:space="preserve">1.67 </w:t>
                  </w:r>
                </w:p>
              </w:tc>
              <w:tc>
                <w:tcPr>
                  <w:tcW w:w="243" w:type="pct"/>
                  <w:vMerge w:val="continue"/>
                  <w:vAlign w:val="center"/>
                </w:tcPr>
                <w:p w14:paraId="0F63754F">
                  <w:pPr>
                    <w:pStyle w:val="77"/>
                    <w:jc w:val="center"/>
                    <w:rPr>
                      <w:color w:val="auto"/>
                      <w:szCs w:val="21"/>
                    </w:rPr>
                  </w:pPr>
                </w:p>
              </w:tc>
            </w:tr>
            <w:tr w14:paraId="671E7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688965A2">
                  <w:pPr>
                    <w:pStyle w:val="70"/>
                    <w:spacing w:beforeLines="0" w:afterLines="0" w:line="240" w:lineRule="auto"/>
                    <w:ind w:firstLine="0"/>
                    <w:rPr>
                      <w:rFonts w:ascii="Times New Roman"/>
                      <w:color w:val="auto"/>
                      <w:sz w:val="21"/>
                      <w:szCs w:val="21"/>
                    </w:rPr>
                  </w:pPr>
                </w:p>
              </w:tc>
              <w:tc>
                <w:tcPr>
                  <w:tcW w:w="299" w:type="pct"/>
                  <w:vMerge w:val="continue"/>
                  <w:vAlign w:val="center"/>
                </w:tcPr>
                <w:p w14:paraId="7A0CE95D">
                  <w:pPr>
                    <w:pStyle w:val="70"/>
                    <w:spacing w:beforeLines="0" w:afterLines="0" w:line="240" w:lineRule="auto"/>
                    <w:ind w:firstLine="0"/>
                    <w:rPr>
                      <w:rFonts w:ascii="Times New Roman"/>
                      <w:color w:val="auto"/>
                      <w:sz w:val="21"/>
                      <w:szCs w:val="21"/>
                    </w:rPr>
                  </w:pPr>
                </w:p>
              </w:tc>
              <w:tc>
                <w:tcPr>
                  <w:tcW w:w="431" w:type="pct"/>
                  <w:vMerge w:val="continue"/>
                  <w:vAlign w:val="center"/>
                </w:tcPr>
                <w:p w14:paraId="5C619C1B">
                  <w:pPr>
                    <w:pStyle w:val="70"/>
                    <w:spacing w:beforeLines="0" w:afterLines="0" w:line="240" w:lineRule="auto"/>
                    <w:ind w:firstLine="0"/>
                    <w:rPr>
                      <w:rFonts w:ascii="Times New Roman"/>
                      <w:color w:val="auto"/>
                      <w:sz w:val="21"/>
                      <w:szCs w:val="21"/>
                    </w:rPr>
                  </w:pPr>
                </w:p>
              </w:tc>
              <w:tc>
                <w:tcPr>
                  <w:tcW w:w="363" w:type="pct"/>
                  <w:vAlign w:val="center"/>
                </w:tcPr>
                <w:p w14:paraId="27AE9373">
                  <w:pPr>
                    <w:widowControl/>
                    <w:jc w:val="center"/>
                    <w:textAlignment w:val="center"/>
                    <w:rPr>
                      <w:color w:val="auto"/>
                      <w:kern w:val="0"/>
                      <w:szCs w:val="21"/>
                      <w:lang w:bidi="ar"/>
                    </w:rPr>
                  </w:pPr>
                  <w:r>
                    <w:rPr>
                      <w:rFonts w:hint="eastAsia"/>
                      <w:color w:val="auto"/>
                      <w:kern w:val="0"/>
                      <w:szCs w:val="21"/>
                      <w:lang w:bidi="ar"/>
                    </w:rPr>
                    <w:t>二氧化硫</w:t>
                  </w:r>
                </w:p>
              </w:tc>
              <w:tc>
                <w:tcPr>
                  <w:tcW w:w="329" w:type="pct"/>
                  <w:vAlign w:val="center"/>
                </w:tcPr>
                <w:p w14:paraId="6F5B5BDF">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1EE06397">
                  <w:pPr>
                    <w:widowControl/>
                    <w:jc w:val="center"/>
                    <w:textAlignment w:val="center"/>
                    <w:rPr>
                      <w:color w:val="auto"/>
                      <w:kern w:val="0"/>
                      <w:szCs w:val="21"/>
                      <w:lang w:bidi="ar"/>
                    </w:rPr>
                  </w:pPr>
                  <w:r>
                    <w:rPr>
                      <w:color w:val="auto"/>
                      <w:kern w:val="0"/>
                      <w:szCs w:val="21"/>
                      <w:lang w:bidi="ar"/>
                    </w:rPr>
                    <w:t xml:space="preserve">0.0161 </w:t>
                  </w:r>
                </w:p>
              </w:tc>
              <w:tc>
                <w:tcPr>
                  <w:tcW w:w="969" w:type="dxa"/>
                  <w:vAlign w:val="center"/>
                </w:tcPr>
                <w:p w14:paraId="215948C9">
                  <w:pPr>
                    <w:widowControl/>
                    <w:jc w:val="center"/>
                    <w:textAlignment w:val="center"/>
                    <w:rPr>
                      <w:color w:val="auto"/>
                      <w:kern w:val="0"/>
                      <w:szCs w:val="21"/>
                      <w:lang w:bidi="ar"/>
                    </w:rPr>
                  </w:pPr>
                  <w:r>
                    <w:rPr>
                      <w:color w:val="auto"/>
                      <w:kern w:val="0"/>
                      <w:szCs w:val="21"/>
                      <w:lang w:bidi="ar"/>
                    </w:rPr>
                    <w:t xml:space="preserve">0.0053 </w:t>
                  </w:r>
                </w:p>
              </w:tc>
              <w:tc>
                <w:tcPr>
                  <w:tcW w:w="967" w:type="dxa"/>
                  <w:vAlign w:val="center"/>
                </w:tcPr>
                <w:p w14:paraId="794A11F2">
                  <w:pPr>
                    <w:widowControl/>
                    <w:jc w:val="center"/>
                    <w:textAlignment w:val="center"/>
                    <w:rPr>
                      <w:color w:val="auto"/>
                      <w:kern w:val="0"/>
                      <w:szCs w:val="21"/>
                      <w:lang w:bidi="ar"/>
                    </w:rPr>
                  </w:pPr>
                  <w:r>
                    <w:rPr>
                      <w:color w:val="auto"/>
                      <w:kern w:val="0"/>
                      <w:szCs w:val="21"/>
                      <w:lang w:bidi="ar"/>
                    </w:rPr>
                    <w:t xml:space="preserve">0.353 </w:t>
                  </w:r>
                </w:p>
              </w:tc>
              <w:tc>
                <w:tcPr>
                  <w:tcW w:w="382" w:type="pct"/>
                  <w:vMerge w:val="continue"/>
                  <w:vAlign w:val="center"/>
                </w:tcPr>
                <w:p w14:paraId="299F6355">
                  <w:pPr>
                    <w:pStyle w:val="70"/>
                    <w:spacing w:beforeLines="0" w:afterLines="0" w:line="240" w:lineRule="auto"/>
                    <w:ind w:firstLine="0"/>
                    <w:rPr>
                      <w:color w:val="auto"/>
                      <w:sz w:val="21"/>
                      <w:szCs w:val="21"/>
                    </w:rPr>
                  </w:pPr>
                </w:p>
              </w:tc>
              <w:tc>
                <w:tcPr>
                  <w:tcW w:w="241" w:type="pct"/>
                  <w:vAlign w:val="center"/>
                </w:tcPr>
                <w:p w14:paraId="62B2757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3" w:type="pct"/>
                  <w:vAlign w:val="center"/>
                </w:tcPr>
                <w:p w14:paraId="7350476A">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69D0A5C4">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04743E94">
                  <w:pPr>
                    <w:widowControl/>
                    <w:jc w:val="center"/>
                    <w:textAlignment w:val="center"/>
                    <w:rPr>
                      <w:color w:val="auto"/>
                      <w:kern w:val="0"/>
                      <w:szCs w:val="21"/>
                      <w:lang w:bidi="ar"/>
                    </w:rPr>
                  </w:pPr>
                  <w:r>
                    <w:rPr>
                      <w:color w:val="auto"/>
                      <w:kern w:val="0"/>
                      <w:szCs w:val="21"/>
                      <w:lang w:bidi="ar"/>
                    </w:rPr>
                    <w:t xml:space="preserve">0.0161 </w:t>
                  </w:r>
                </w:p>
              </w:tc>
              <w:tc>
                <w:tcPr>
                  <w:tcW w:w="930" w:type="dxa"/>
                  <w:vAlign w:val="center"/>
                </w:tcPr>
                <w:p w14:paraId="7A91563B">
                  <w:pPr>
                    <w:widowControl/>
                    <w:jc w:val="center"/>
                    <w:textAlignment w:val="center"/>
                    <w:rPr>
                      <w:color w:val="auto"/>
                      <w:kern w:val="0"/>
                      <w:szCs w:val="21"/>
                      <w:lang w:bidi="ar"/>
                    </w:rPr>
                  </w:pPr>
                  <w:r>
                    <w:rPr>
                      <w:color w:val="auto"/>
                      <w:kern w:val="0"/>
                      <w:szCs w:val="21"/>
                      <w:lang w:bidi="ar"/>
                    </w:rPr>
                    <w:t xml:space="preserve">0.0053 </w:t>
                  </w:r>
                </w:p>
              </w:tc>
              <w:tc>
                <w:tcPr>
                  <w:tcW w:w="934" w:type="dxa"/>
                  <w:vAlign w:val="center"/>
                </w:tcPr>
                <w:p w14:paraId="34A6048E">
                  <w:pPr>
                    <w:widowControl/>
                    <w:jc w:val="center"/>
                    <w:textAlignment w:val="center"/>
                    <w:rPr>
                      <w:color w:val="auto"/>
                      <w:kern w:val="0"/>
                      <w:szCs w:val="21"/>
                      <w:lang w:bidi="ar"/>
                    </w:rPr>
                  </w:pPr>
                  <w:r>
                    <w:rPr>
                      <w:color w:val="auto"/>
                      <w:kern w:val="0"/>
                      <w:szCs w:val="21"/>
                      <w:lang w:bidi="ar"/>
                    </w:rPr>
                    <w:t xml:space="preserve">0.353 </w:t>
                  </w:r>
                </w:p>
              </w:tc>
              <w:tc>
                <w:tcPr>
                  <w:tcW w:w="243" w:type="pct"/>
                  <w:vMerge w:val="continue"/>
                  <w:vAlign w:val="center"/>
                </w:tcPr>
                <w:p w14:paraId="60097D72">
                  <w:pPr>
                    <w:pStyle w:val="77"/>
                    <w:jc w:val="center"/>
                    <w:rPr>
                      <w:color w:val="auto"/>
                      <w:szCs w:val="21"/>
                    </w:rPr>
                  </w:pPr>
                </w:p>
              </w:tc>
            </w:tr>
            <w:tr w14:paraId="5B495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15FAFB72">
                  <w:pPr>
                    <w:pStyle w:val="70"/>
                    <w:spacing w:beforeLines="0" w:afterLines="0" w:line="240" w:lineRule="auto"/>
                    <w:ind w:firstLine="0"/>
                    <w:rPr>
                      <w:rFonts w:ascii="Times New Roman"/>
                      <w:color w:val="auto"/>
                      <w:sz w:val="21"/>
                      <w:szCs w:val="21"/>
                    </w:rPr>
                  </w:pPr>
                </w:p>
              </w:tc>
              <w:tc>
                <w:tcPr>
                  <w:tcW w:w="299" w:type="pct"/>
                  <w:vMerge w:val="restart"/>
                  <w:vAlign w:val="center"/>
                </w:tcPr>
                <w:p w14:paraId="588D0DD8">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DA005</w:t>
                  </w:r>
                </w:p>
              </w:tc>
              <w:tc>
                <w:tcPr>
                  <w:tcW w:w="431" w:type="pct"/>
                  <w:vMerge w:val="restart"/>
                  <w:vAlign w:val="center"/>
                </w:tcPr>
                <w:p w14:paraId="3658F19C">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返工检修、天然气燃烧</w:t>
                  </w:r>
                </w:p>
              </w:tc>
              <w:tc>
                <w:tcPr>
                  <w:tcW w:w="363" w:type="pct"/>
                  <w:vAlign w:val="center"/>
                </w:tcPr>
                <w:p w14:paraId="0D39B4DB">
                  <w:pPr>
                    <w:widowControl/>
                    <w:jc w:val="center"/>
                    <w:textAlignment w:val="center"/>
                    <w:rPr>
                      <w:color w:val="auto"/>
                      <w:kern w:val="0"/>
                      <w:szCs w:val="21"/>
                      <w:lang w:bidi="ar"/>
                    </w:rPr>
                  </w:pPr>
                  <w:r>
                    <w:rPr>
                      <w:rFonts w:hint="eastAsia"/>
                      <w:color w:val="auto"/>
                      <w:kern w:val="0"/>
                      <w:szCs w:val="21"/>
                      <w:lang w:bidi="ar"/>
                    </w:rPr>
                    <w:t>颗粒物</w:t>
                  </w:r>
                </w:p>
              </w:tc>
              <w:tc>
                <w:tcPr>
                  <w:tcW w:w="329" w:type="pct"/>
                  <w:vAlign w:val="center"/>
                </w:tcPr>
                <w:p w14:paraId="79DBFE76">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系数法、物料衡算法</w:t>
                  </w:r>
                </w:p>
              </w:tc>
              <w:tc>
                <w:tcPr>
                  <w:tcW w:w="977" w:type="dxa"/>
                  <w:vAlign w:val="center"/>
                </w:tcPr>
                <w:p w14:paraId="07BDEAF5">
                  <w:pPr>
                    <w:widowControl/>
                    <w:jc w:val="center"/>
                    <w:textAlignment w:val="center"/>
                    <w:rPr>
                      <w:color w:val="auto"/>
                      <w:kern w:val="0"/>
                      <w:szCs w:val="21"/>
                      <w:lang w:bidi="ar"/>
                    </w:rPr>
                  </w:pPr>
                  <w:r>
                    <w:rPr>
                      <w:color w:val="auto"/>
                      <w:kern w:val="0"/>
                      <w:szCs w:val="21"/>
                      <w:lang w:bidi="ar"/>
                    </w:rPr>
                    <w:t>0.04668</w:t>
                  </w:r>
                </w:p>
              </w:tc>
              <w:tc>
                <w:tcPr>
                  <w:tcW w:w="969" w:type="dxa"/>
                  <w:vAlign w:val="center"/>
                </w:tcPr>
                <w:p w14:paraId="1BEB76AC">
                  <w:pPr>
                    <w:widowControl/>
                    <w:jc w:val="center"/>
                    <w:textAlignment w:val="center"/>
                    <w:rPr>
                      <w:color w:val="auto"/>
                      <w:kern w:val="0"/>
                      <w:szCs w:val="21"/>
                      <w:lang w:bidi="ar"/>
                    </w:rPr>
                  </w:pPr>
                  <w:r>
                    <w:rPr>
                      <w:color w:val="auto"/>
                      <w:kern w:val="0"/>
                      <w:szCs w:val="21"/>
                      <w:lang w:bidi="ar"/>
                    </w:rPr>
                    <w:t>0.07776</w:t>
                  </w:r>
                </w:p>
              </w:tc>
              <w:tc>
                <w:tcPr>
                  <w:tcW w:w="967" w:type="dxa"/>
                  <w:vAlign w:val="center"/>
                </w:tcPr>
                <w:p w14:paraId="33346AC5">
                  <w:pPr>
                    <w:widowControl/>
                    <w:jc w:val="center"/>
                    <w:textAlignment w:val="center"/>
                    <w:rPr>
                      <w:color w:val="auto"/>
                      <w:kern w:val="0"/>
                      <w:szCs w:val="21"/>
                      <w:lang w:bidi="ar"/>
                    </w:rPr>
                  </w:pPr>
                  <w:r>
                    <w:rPr>
                      <w:color w:val="auto"/>
                      <w:kern w:val="0"/>
                      <w:szCs w:val="21"/>
                      <w:lang w:bidi="ar"/>
                    </w:rPr>
                    <w:t>7.78</w:t>
                  </w:r>
                </w:p>
              </w:tc>
              <w:tc>
                <w:tcPr>
                  <w:tcW w:w="382" w:type="pct"/>
                  <w:vMerge w:val="restart"/>
                  <w:vAlign w:val="center"/>
                </w:tcPr>
                <w:p w14:paraId="7CF0C993">
                  <w:pPr>
                    <w:pStyle w:val="70"/>
                    <w:spacing w:beforeLines="0" w:afterLines="0" w:line="240" w:lineRule="auto"/>
                    <w:ind w:firstLine="0"/>
                    <w:rPr>
                      <w:color w:val="auto"/>
                      <w:sz w:val="21"/>
                      <w:szCs w:val="21"/>
                    </w:rPr>
                  </w:pPr>
                  <w:r>
                    <w:rPr>
                      <w:rFonts w:hint="eastAsia"/>
                      <w:color w:val="auto"/>
                      <w:sz w:val="21"/>
                      <w:szCs w:val="21"/>
                    </w:rPr>
                    <w:t>水帘柜+喷淋塔+除湿装置+二级活性炭吸附装置</w:t>
                  </w:r>
                </w:p>
              </w:tc>
              <w:tc>
                <w:tcPr>
                  <w:tcW w:w="241" w:type="pct"/>
                  <w:vAlign w:val="center"/>
                </w:tcPr>
                <w:p w14:paraId="3C720D94">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90%/95%</w:t>
                  </w:r>
                </w:p>
              </w:tc>
              <w:tc>
                <w:tcPr>
                  <w:tcW w:w="224" w:type="pct"/>
                  <w:vAlign w:val="center"/>
                </w:tcPr>
                <w:p w14:paraId="7E7FC64C">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98%</w:t>
                  </w:r>
                </w:p>
              </w:tc>
              <w:tc>
                <w:tcPr>
                  <w:tcW w:w="370" w:type="pct"/>
                  <w:vAlign w:val="center"/>
                </w:tcPr>
                <w:p w14:paraId="06E74228">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70E1A569">
                  <w:pPr>
                    <w:widowControl/>
                    <w:jc w:val="center"/>
                    <w:textAlignment w:val="center"/>
                    <w:rPr>
                      <w:color w:val="auto"/>
                      <w:kern w:val="0"/>
                      <w:szCs w:val="21"/>
                      <w:lang w:bidi="ar"/>
                    </w:rPr>
                  </w:pPr>
                  <w:r>
                    <w:rPr>
                      <w:color w:val="auto"/>
                      <w:kern w:val="0"/>
                      <w:szCs w:val="21"/>
                      <w:lang w:bidi="ar"/>
                    </w:rPr>
                    <w:t>0.0009</w:t>
                  </w:r>
                </w:p>
              </w:tc>
              <w:tc>
                <w:tcPr>
                  <w:tcW w:w="930" w:type="dxa"/>
                  <w:vAlign w:val="center"/>
                </w:tcPr>
                <w:p w14:paraId="1B93A5C8">
                  <w:pPr>
                    <w:widowControl/>
                    <w:jc w:val="center"/>
                    <w:textAlignment w:val="center"/>
                    <w:rPr>
                      <w:color w:val="auto"/>
                      <w:kern w:val="0"/>
                      <w:szCs w:val="21"/>
                      <w:lang w:bidi="ar"/>
                    </w:rPr>
                  </w:pPr>
                  <w:r>
                    <w:rPr>
                      <w:color w:val="auto"/>
                      <w:kern w:val="0"/>
                      <w:szCs w:val="21"/>
                      <w:lang w:bidi="ar"/>
                    </w:rPr>
                    <w:t>0.0016</w:t>
                  </w:r>
                </w:p>
              </w:tc>
              <w:tc>
                <w:tcPr>
                  <w:tcW w:w="934" w:type="dxa"/>
                  <w:vAlign w:val="center"/>
                </w:tcPr>
                <w:p w14:paraId="0A4BAE38">
                  <w:pPr>
                    <w:widowControl/>
                    <w:jc w:val="center"/>
                    <w:textAlignment w:val="center"/>
                    <w:rPr>
                      <w:color w:val="auto"/>
                      <w:kern w:val="0"/>
                      <w:szCs w:val="21"/>
                      <w:lang w:bidi="ar"/>
                    </w:rPr>
                  </w:pPr>
                  <w:r>
                    <w:rPr>
                      <w:color w:val="auto"/>
                      <w:kern w:val="0"/>
                      <w:szCs w:val="21"/>
                      <w:lang w:bidi="ar"/>
                    </w:rPr>
                    <w:t>0.156</w:t>
                  </w:r>
                </w:p>
              </w:tc>
              <w:tc>
                <w:tcPr>
                  <w:tcW w:w="243" w:type="pct"/>
                  <w:vMerge w:val="restart"/>
                  <w:vAlign w:val="center"/>
                </w:tcPr>
                <w:p w14:paraId="1467558A">
                  <w:pPr>
                    <w:pStyle w:val="77"/>
                    <w:jc w:val="center"/>
                    <w:rPr>
                      <w:color w:val="auto"/>
                      <w:szCs w:val="21"/>
                    </w:rPr>
                  </w:pPr>
                  <w:r>
                    <w:rPr>
                      <w:rFonts w:hint="eastAsia"/>
                      <w:color w:val="auto"/>
                      <w:szCs w:val="21"/>
                    </w:rPr>
                    <w:t>600</w:t>
                  </w:r>
                </w:p>
              </w:tc>
            </w:tr>
            <w:tr w14:paraId="208E5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27674B7F">
                  <w:pPr>
                    <w:pStyle w:val="70"/>
                    <w:spacing w:beforeLines="0" w:afterLines="0" w:line="240" w:lineRule="auto"/>
                    <w:ind w:firstLine="0"/>
                    <w:rPr>
                      <w:rFonts w:ascii="Times New Roman"/>
                      <w:color w:val="auto"/>
                      <w:sz w:val="21"/>
                      <w:szCs w:val="21"/>
                    </w:rPr>
                  </w:pPr>
                </w:p>
              </w:tc>
              <w:tc>
                <w:tcPr>
                  <w:tcW w:w="299" w:type="pct"/>
                  <w:vMerge w:val="continue"/>
                  <w:vAlign w:val="center"/>
                </w:tcPr>
                <w:p w14:paraId="40C81596">
                  <w:pPr>
                    <w:pStyle w:val="70"/>
                    <w:spacing w:beforeLines="0" w:afterLines="0" w:line="240" w:lineRule="auto"/>
                    <w:ind w:firstLine="0"/>
                    <w:rPr>
                      <w:rFonts w:ascii="Times New Roman"/>
                      <w:color w:val="auto"/>
                      <w:sz w:val="21"/>
                      <w:szCs w:val="21"/>
                    </w:rPr>
                  </w:pPr>
                </w:p>
              </w:tc>
              <w:tc>
                <w:tcPr>
                  <w:tcW w:w="431" w:type="pct"/>
                  <w:vMerge w:val="continue"/>
                  <w:vAlign w:val="center"/>
                </w:tcPr>
                <w:p w14:paraId="56F0FC26">
                  <w:pPr>
                    <w:pStyle w:val="70"/>
                    <w:spacing w:beforeLines="0" w:afterLines="0" w:line="240" w:lineRule="auto"/>
                    <w:ind w:firstLine="0"/>
                    <w:rPr>
                      <w:rFonts w:ascii="Times New Roman"/>
                      <w:color w:val="auto"/>
                      <w:sz w:val="21"/>
                      <w:szCs w:val="21"/>
                    </w:rPr>
                  </w:pPr>
                </w:p>
              </w:tc>
              <w:tc>
                <w:tcPr>
                  <w:tcW w:w="363" w:type="pct"/>
                  <w:vAlign w:val="center"/>
                </w:tcPr>
                <w:p w14:paraId="760623C7">
                  <w:pPr>
                    <w:widowControl/>
                    <w:jc w:val="center"/>
                    <w:textAlignment w:val="center"/>
                    <w:rPr>
                      <w:color w:val="auto"/>
                      <w:kern w:val="0"/>
                      <w:szCs w:val="21"/>
                      <w:lang w:bidi="ar"/>
                    </w:rPr>
                  </w:pPr>
                  <w:r>
                    <w:rPr>
                      <w:rFonts w:hint="eastAsia"/>
                      <w:color w:val="auto"/>
                      <w:kern w:val="0"/>
                      <w:szCs w:val="21"/>
                      <w:lang w:bidi="ar"/>
                    </w:rPr>
                    <w:t>TVOC</w:t>
                  </w:r>
                </w:p>
              </w:tc>
              <w:tc>
                <w:tcPr>
                  <w:tcW w:w="329" w:type="pct"/>
                  <w:vAlign w:val="center"/>
                </w:tcPr>
                <w:p w14:paraId="649791A9">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25BBF0B7">
                  <w:pPr>
                    <w:widowControl/>
                    <w:jc w:val="center"/>
                    <w:textAlignment w:val="center"/>
                    <w:rPr>
                      <w:color w:val="auto"/>
                      <w:kern w:val="0"/>
                      <w:szCs w:val="21"/>
                      <w:lang w:bidi="ar"/>
                    </w:rPr>
                  </w:pPr>
                  <w:r>
                    <w:rPr>
                      <w:color w:val="auto"/>
                      <w:kern w:val="0"/>
                      <w:szCs w:val="21"/>
                      <w:lang w:bidi="ar"/>
                    </w:rPr>
                    <w:t>0.0056</w:t>
                  </w:r>
                </w:p>
              </w:tc>
              <w:tc>
                <w:tcPr>
                  <w:tcW w:w="969" w:type="dxa"/>
                  <w:vAlign w:val="center"/>
                </w:tcPr>
                <w:p w14:paraId="360E5AAC">
                  <w:pPr>
                    <w:widowControl/>
                    <w:jc w:val="center"/>
                    <w:textAlignment w:val="center"/>
                    <w:rPr>
                      <w:color w:val="auto"/>
                      <w:kern w:val="0"/>
                      <w:szCs w:val="21"/>
                      <w:lang w:bidi="ar"/>
                    </w:rPr>
                  </w:pPr>
                  <w:r>
                    <w:rPr>
                      <w:color w:val="auto"/>
                      <w:kern w:val="0"/>
                      <w:szCs w:val="21"/>
                      <w:lang w:bidi="ar"/>
                    </w:rPr>
                    <w:t>0.0094</w:t>
                  </w:r>
                </w:p>
              </w:tc>
              <w:tc>
                <w:tcPr>
                  <w:tcW w:w="967" w:type="dxa"/>
                  <w:vAlign w:val="center"/>
                </w:tcPr>
                <w:p w14:paraId="5FB9492E">
                  <w:pPr>
                    <w:widowControl/>
                    <w:jc w:val="center"/>
                    <w:textAlignment w:val="center"/>
                    <w:rPr>
                      <w:color w:val="auto"/>
                      <w:kern w:val="0"/>
                      <w:szCs w:val="21"/>
                      <w:lang w:bidi="ar"/>
                    </w:rPr>
                  </w:pPr>
                  <w:r>
                    <w:rPr>
                      <w:color w:val="auto"/>
                      <w:kern w:val="0"/>
                      <w:szCs w:val="21"/>
                      <w:lang w:bidi="ar"/>
                    </w:rPr>
                    <w:t>0.94</w:t>
                  </w:r>
                </w:p>
              </w:tc>
              <w:tc>
                <w:tcPr>
                  <w:tcW w:w="382" w:type="pct"/>
                  <w:vMerge w:val="continue"/>
                  <w:vAlign w:val="center"/>
                </w:tcPr>
                <w:p w14:paraId="62395B9A">
                  <w:pPr>
                    <w:pStyle w:val="70"/>
                    <w:spacing w:beforeLines="0" w:afterLines="0" w:line="240" w:lineRule="auto"/>
                    <w:ind w:firstLine="0"/>
                    <w:rPr>
                      <w:color w:val="auto"/>
                      <w:sz w:val="21"/>
                      <w:szCs w:val="21"/>
                    </w:rPr>
                  </w:pPr>
                </w:p>
              </w:tc>
              <w:tc>
                <w:tcPr>
                  <w:tcW w:w="241" w:type="pct"/>
                  <w:vAlign w:val="center"/>
                </w:tcPr>
                <w:p w14:paraId="4D7C0061">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90%/95%</w:t>
                  </w:r>
                </w:p>
              </w:tc>
              <w:tc>
                <w:tcPr>
                  <w:tcW w:w="224" w:type="pct"/>
                  <w:vAlign w:val="center"/>
                </w:tcPr>
                <w:p w14:paraId="2927767C">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70%</w:t>
                  </w:r>
                </w:p>
              </w:tc>
              <w:tc>
                <w:tcPr>
                  <w:tcW w:w="370" w:type="pct"/>
                  <w:vAlign w:val="center"/>
                </w:tcPr>
                <w:p w14:paraId="69F94671">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1B103D43">
                  <w:pPr>
                    <w:widowControl/>
                    <w:jc w:val="center"/>
                    <w:textAlignment w:val="center"/>
                    <w:rPr>
                      <w:color w:val="auto"/>
                      <w:kern w:val="0"/>
                      <w:szCs w:val="21"/>
                      <w:lang w:bidi="ar"/>
                    </w:rPr>
                  </w:pPr>
                  <w:r>
                    <w:rPr>
                      <w:color w:val="auto"/>
                      <w:kern w:val="0"/>
                      <w:szCs w:val="21"/>
                      <w:lang w:bidi="ar"/>
                    </w:rPr>
                    <w:t>0.0017</w:t>
                  </w:r>
                </w:p>
              </w:tc>
              <w:tc>
                <w:tcPr>
                  <w:tcW w:w="930" w:type="dxa"/>
                  <w:vAlign w:val="center"/>
                </w:tcPr>
                <w:p w14:paraId="590AEF82">
                  <w:pPr>
                    <w:widowControl/>
                    <w:jc w:val="center"/>
                    <w:textAlignment w:val="center"/>
                    <w:rPr>
                      <w:color w:val="auto"/>
                      <w:kern w:val="0"/>
                      <w:szCs w:val="21"/>
                      <w:lang w:bidi="ar"/>
                    </w:rPr>
                  </w:pPr>
                  <w:r>
                    <w:rPr>
                      <w:color w:val="auto"/>
                      <w:kern w:val="0"/>
                      <w:szCs w:val="21"/>
                      <w:lang w:bidi="ar"/>
                    </w:rPr>
                    <w:t>0.0028</w:t>
                  </w:r>
                </w:p>
              </w:tc>
              <w:tc>
                <w:tcPr>
                  <w:tcW w:w="934" w:type="dxa"/>
                  <w:vAlign w:val="center"/>
                </w:tcPr>
                <w:p w14:paraId="13932299">
                  <w:pPr>
                    <w:widowControl/>
                    <w:jc w:val="center"/>
                    <w:textAlignment w:val="center"/>
                    <w:rPr>
                      <w:color w:val="auto"/>
                      <w:kern w:val="0"/>
                      <w:szCs w:val="21"/>
                      <w:lang w:bidi="ar"/>
                    </w:rPr>
                  </w:pPr>
                  <w:r>
                    <w:rPr>
                      <w:color w:val="auto"/>
                      <w:kern w:val="0"/>
                      <w:szCs w:val="21"/>
                      <w:lang w:bidi="ar"/>
                    </w:rPr>
                    <w:t>0.282</w:t>
                  </w:r>
                </w:p>
              </w:tc>
              <w:tc>
                <w:tcPr>
                  <w:tcW w:w="243" w:type="pct"/>
                  <w:vMerge w:val="continue"/>
                  <w:vAlign w:val="center"/>
                </w:tcPr>
                <w:p w14:paraId="0EA30F4B">
                  <w:pPr>
                    <w:pStyle w:val="77"/>
                    <w:jc w:val="center"/>
                    <w:rPr>
                      <w:color w:val="auto"/>
                      <w:szCs w:val="21"/>
                    </w:rPr>
                  </w:pPr>
                </w:p>
              </w:tc>
            </w:tr>
            <w:tr w14:paraId="18F85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109A6D22">
                  <w:pPr>
                    <w:pStyle w:val="70"/>
                    <w:spacing w:beforeLines="0" w:afterLines="0" w:line="240" w:lineRule="auto"/>
                    <w:ind w:firstLine="0"/>
                    <w:rPr>
                      <w:rFonts w:ascii="Times New Roman"/>
                      <w:color w:val="auto"/>
                      <w:sz w:val="21"/>
                      <w:szCs w:val="21"/>
                    </w:rPr>
                  </w:pPr>
                </w:p>
              </w:tc>
              <w:tc>
                <w:tcPr>
                  <w:tcW w:w="299" w:type="pct"/>
                  <w:vMerge w:val="continue"/>
                  <w:vAlign w:val="center"/>
                </w:tcPr>
                <w:p w14:paraId="0F5971A5">
                  <w:pPr>
                    <w:pStyle w:val="70"/>
                    <w:spacing w:beforeLines="0" w:afterLines="0" w:line="240" w:lineRule="auto"/>
                    <w:ind w:firstLine="0"/>
                    <w:rPr>
                      <w:rFonts w:ascii="Times New Roman"/>
                      <w:color w:val="auto"/>
                      <w:sz w:val="21"/>
                      <w:szCs w:val="21"/>
                    </w:rPr>
                  </w:pPr>
                </w:p>
              </w:tc>
              <w:tc>
                <w:tcPr>
                  <w:tcW w:w="431" w:type="pct"/>
                  <w:vMerge w:val="continue"/>
                  <w:vAlign w:val="center"/>
                </w:tcPr>
                <w:p w14:paraId="75697492">
                  <w:pPr>
                    <w:pStyle w:val="70"/>
                    <w:spacing w:beforeLines="0" w:afterLines="0" w:line="240" w:lineRule="auto"/>
                    <w:ind w:firstLine="0"/>
                    <w:rPr>
                      <w:rFonts w:ascii="Times New Roman"/>
                      <w:color w:val="auto"/>
                      <w:sz w:val="21"/>
                      <w:szCs w:val="21"/>
                    </w:rPr>
                  </w:pPr>
                </w:p>
              </w:tc>
              <w:tc>
                <w:tcPr>
                  <w:tcW w:w="363" w:type="pct"/>
                  <w:vAlign w:val="center"/>
                </w:tcPr>
                <w:p w14:paraId="69A9F6A1">
                  <w:pPr>
                    <w:widowControl/>
                    <w:jc w:val="center"/>
                    <w:textAlignment w:val="center"/>
                    <w:rPr>
                      <w:color w:val="auto"/>
                      <w:kern w:val="0"/>
                      <w:szCs w:val="21"/>
                      <w:lang w:bidi="ar"/>
                    </w:rPr>
                  </w:pPr>
                  <w:r>
                    <w:rPr>
                      <w:rFonts w:hint="eastAsia"/>
                      <w:color w:val="auto"/>
                      <w:kern w:val="0"/>
                      <w:szCs w:val="21"/>
                      <w:lang w:bidi="ar"/>
                    </w:rPr>
                    <w:t>氮氧化物</w:t>
                  </w:r>
                </w:p>
              </w:tc>
              <w:tc>
                <w:tcPr>
                  <w:tcW w:w="329" w:type="pct"/>
                  <w:vAlign w:val="center"/>
                </w:tcPr>
                <w:p w14:paraId="3867666A">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71D0C7DF">
                  <w:pPr>
                    <w:widowControl/>
                    <w:jc w:val="center"/>
                    <w:textAlignment w:val="center"/>
                    <w:rPr>
                      <w:color w:val="auto"/>
                      <w:kern w:val="0"/>
                      <w:szCs w:val="21"/>
                      <w:lang w:bidi="ar"/>
                    </w:rPr>
                  </w:pPr>
                  <w:r>
                    <w:rPr>
                      <w:color w:val="auto"/>
                      <w:kern w:val="0"/>
                      <w:szCs w:val="21"/>
                      <w:lang w:bidi="ar"/>
                    </w:rPr>
                    <w:t xml:space="preserve">0.0015 </w:t>
                  </w:r>
                </w:p>
              </w:tc>
              <w:tc>
                <w:tcPr>
                  <w:tcW w:w="969" w:type="dxa"/>
                  <w:vAlign w:val="center"/>
                </w:tcPr>
                <w:p w14:paraId="7190AE45">
                  <w:pPr>
                    <w:widowControl/>
                    <w:jc w:val="center"/>
                    <w:textAlignment w:val="center"/>
                    <w:rPr>
                      <w:color w:val="auto"/>
                      <w:kern w:val="0"/>
                      <w:szCs w:val="21"/>
                      <w:lang w:bidi="ar"/>
                    </w:rPr>
                  </w:pPr>
                  <w:r>
                    <w:rPr>
                      <w:color w:val="auto"/>
                      <w:kern w:val="0"/>
                      <w:szCs w:val="21"/>
                      <w:lang w:bidi="ar"/>
                    </w:rPr>
                    <w:t xml:space="preserve">0.0026 </w:t>
                  </w:r>
                </w:p>
              </w:tc>
              <w:tc>
                <w:tcPr>
                  <w:tcW w:w="967" w:type="dxa"/>
                  <w:vAlign w:val="center"/>
                </w:tcPr>
                <w:p w14:paraId="567A7B6F">
                  <w:pPr>
                    <w:widowControl/>
                    <w:jc w:val="center"/>
                    <w:textAlignment w:val="center"/>
                    <w:rPr>
                      <w:color w:val="auto"/>
                      <w:kern w:val="0"/>
                      <w:szCs w:val="21"/>
                      <w:lang w:bidi="ar"/>
                    </w:rPr>
                  </w:pPr>
                  <w:r>
                    <w:rPr>
                      <w:color w:val="auto"/>
                      <w:kern w:val="0"/>
                      <w:szCs w:val="21"/>
                      <w:lang w:bidi="ar"/>
                    </w:rPr>
                    <w:t xml:space="preserve">0.3 </w:t>
                  </w:r>
                </w:p>
              </w:tc>
              <w:tc>
                <w:tcPr>
                  <w:tcW w:w="382" w:type="pct"/>
                  <w:vMerge w:val="continue"/>
                  <w:vAlign w:val="center"/>
                </w:tcPr>
                <w:p w14:paraId="33DE4098">
                  <w:pPr>
                    <w:pStyle w:val="70"/>
                    <w:spacing w:beforeLines="0" w:afterLines="0" w:line="240" w:lineRule="auto"/>
                    <w:ind w:firstLine="0"/>
                    <w:rPr>
                      <w:color w:val="auto"/>
                      <w:sz w:val="21"/>
                      <w:szCs w:val="21"/>
                    </w:rPr>
                  </w:pPr>
                </w:p>
              </w:tc>
              <w:tc>
                <w:tcPr>
                  <w:tcW w:w="241" w:type="pct"/>
                  <w:vAlign w:val="center"/>
                </w:tcPr>
                <w:p w14:paraId="7060D6F1">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4" w:type="pct"/>
                  <w:vAlign w:val="center"/>
                </w:tcPr>
                <w:p w14:paraId="4E22BF94">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261C7D7D">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2E06ED64">
                  <w:pPr>
                    <w:widowControl/>
                    <w:jc w:val="center"/>
                    <w:textAlignment w:val="center"/>
                    <w:rPr>
                      <w:color w:val="auto"/>
                      <w:kern w:val="0"/>
                      <w:szCs w:val="21"/>
                      <w:lang w:bidi="ar"/>
                    </w:rPr>
                  </w:pPr>
                  <w:r>
                    <w:rPr>
                      <w:color w:val="auto"/>
                      <w:kern w:val="0"/>
                      <w:szCs w:val="21"/>
                      <w:lang w:bidi="ar"/>
                    </w:rPr>
                    <w:t xml:space="preserve">0.0015 </w:t>
                  </w:r>
                </w:p>
              </w:tc>
              <w:tc>
                <w:tcPr>
                  <w:tcW w:w="930" w:type="dxa"/>
                  <w:vAlign w:val="center"/>
                </w:tcPr>
                <w:p w14:paraId="5ACDEC05">
                  <w:pPr>
                    <w:widowControl/>
                    <w:jc w:val="center"/>
                    <w:textAlignment w:val="center"/>
                    <w:rPr>
                      <w:color w:val="auto"/>
                      <w:kern w:val="0"/>
                      <w:szCs w:val="21"/>
                      <w:lang w:bidi="ar"/>
                    </w:rPr>
                  </w:pPr>
                  <w:r>
                    <w:rPr>
                      <w:color w:val="auto"/>
                      <w:kern w:val="0"/>
                      <w:szCs w:val="21"/>
                      <w:lang w:bidi="ar"/>
                    </w:rPr>
                    <w:t xml:space="preserve">0.0026 </w:t>
                  </w:r>
                </w:p>
              </w:tc>
              <w:tc>
                <w:tcPr>
                  <w:tcW w:w="934" w:type="dxa"/>
                  <w:vAlign w:val="center"/>
                </w:tcPr>
                <w:p w14:paraId="28E45BBA">
                  <w:pPr>
                    <w:widowControl/>
                    <w:jc w:val="center"/>
                    <w:textAlignment w:val="center"/>
                    <w:rPr>
                      <w:color w:val="auto"/>
                      <w:kern w:val="0"/>
                      <w:szCs w:val="21"/>
                      <w:lang w:bidi="ar"/>
                    </w:rPr>
                  </w:pPr>
                  <w:r>
                    <w:rPr>
                      <w:color w:val="auto"/>
                      <w:kern w:val="0"/>
                      <w:szCs w:val="21"/>
                      <w:lang w:bidi="ar"/>
                    </w:rPr>
                    <w:t xml:space="preserve">0.3 </w:t>
                  </w:r>
                </w:p>
              </w:tc>
              <w:tc>
                <w:tcPr>
                  <w:tcW w:w="243" w:type="pct"/>
                  <w:vMerge w:val="continue"/>
                  <w:vAlign w:val="center"/>
                </w:tcPr>
                <w:p w14:paraId="5B9FB53A">
                  <w:pPr>
                    <w:pStyle w:val="77"/>
                    <w:jc w:val="center"/>
                    <w:rPr>
                      <w:color w:val="auto"/>
                      <w:szCs w:val="21"/>
                    </w:rPr>
                  </w:pPr>
                </w:p>
              </w:tc>
            </w:tr>
            <w:tr w14:paraId="54795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0A2B884F">
                  <w:pPr>
                    <w:pStyle w:val="70"/>
                    <w:spacing w:beforeLines="0" w:afterLines="0" w:line="240" w:lineRule="auto"/>
                    <w:ind w:firstLine="0"/>
                    <w:rPr>
                      <w:rFonts w:ascii="Times New Roman"/>
                      <w:color w:val="auto"/>
                      <w:sz w:val="21"/>
                      <w:szCs w:val="21"/>
                    </w:rPr>
                  </w:pPr>
                </w:p>
              </w:tc>
              <w:tc>
                <w:tcPr>
                  <w:tcW w:w="299" w:type="pct"/>
                  <w:vMerge w:val="continue"/>
                  <w:vAlign w:val="center"/>
                </w:tcPr>
                <w:p w14:paraId="4318F9BE">
                  <w:pPr>
                    <w:pStyle w:val="70"/>
                    <w:spacing w:beforeLines="0" w:afterLines="0" w:line="240" w:lineRule="auto"/>
                    <w:ind w:firstLine="0"/>
                    <w:rPr>
                      <w:rFonts w:ascii="Times New Roman"/>
                      <w:color w:val="auto"/>
                      <w:sz w:val="21"/>
                      <w:szCs w:val="21"/>
                    </w:rPr>
                  </w:pPr>
                </w:p>
              </w:tc>
              <w:tc>
                <w:tcPr>
                  <w:tcW w:w="431" w:type="pct"/>
                  <w:vMerge w:val="continue"/>
                  <w:vAlign w:val="center"/>
                </w:tcPr>
                <w:p w14:paraId="3031CCF5">
                  <w:pPr>
                    <w:pStyle w:val="70"/>
                    <w:spacing w:beforeLines="0" w:afterLines="0" w:line="240" w:lineRule="auto"/>
                    <w:ind w:firstLine="0"/>
                    <w:rPr>
                      <w:rFonts w:ascii="Times New Roman"/>
                      <w:color w:val="auto"/>
                      <w:sz w:val="21"/>
                      <w:szCs w:val="21"/>
                    </w:rPr>
                  </w:pPr>
                </w:p>
              </w:tc>
              <w:tc>
                <w:tcPr>
                  <w:tcW w:w="363" w:type="pct"/>
                  <w:vAlign w:val="center"/>
                </w:tcPr>
                <w:p w14:paraId="0190B22B">
                  <w:pPr>
                    <w:widowControl/>
                    <w:jc w:val="center"/>
                    <w:textAlignment w:val="center"/>
                    <w:rPr>
                      <w:color w:val="auto"/>
                      <w:kern w:val="0"/>
                      <w:szCs w:val="21"/>
                      <w:lang w:bidi="ar"/>
                    </w:rPr>
                  </w:pPr>
                  <w:r>
                    <w:rPr>
                      <w:rFonts w:hint="eastAsia"/>
                      <w:color w:val="auto"/>
                      <w:kern w:val="0"/>
                      <w:szCs w:val="21"/>
                      <w:lang w:bidi="ar"/>
                    </w:rPr>
                    <w:t>二氧化硫</w:t>
                  </w:r>
                </w:p>
              </w:tc>
              <w:tc>
                <w:tcPr>
                  <w:tcW w:w="329" w:type="pct"/>
                  <w:vAlign w:val="center"/>
                </w:tcPr>
                <w:p w14:paraId="270FC2F6">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22B718B5">
                  <w:pPr>
                    <w:widowControl/>
                    <w:jc w:val="center"/>
                    <w:textAlignment w:val="center"/>
                    <w:rPr>
                      <w:color w:val="auto"/>
                      <w:kern w:val="0"/>
                      <w:szCs w:val="21"/>
                      <w:lang w:bidi="ar"/>
                    </w:rPr>
                  </w:pPr>
                  <w:r>
                    <w:rPr>
                      <w:color w:val="auto"/>
                      <w:kern w:val="0"/>
                      <w:szCs w:val="21"/>
                      <w:lang w:bidi="ar"/>
                    </w:rPr>
                    <w:t>0.00029</w:t>
                  </w:r>
                </w:p>
              </w:tc>
              <w:tc>
                <w:tcPr>
                  <w:tcW w:w="969" w:type="dxa"/>
                  <w:vAlign w:val="center"/>
                </w:tcPr>
                <w:p w14:paraId="653BA5B7">
                  <w:pPr>
                    <w:widowControl/>
                    <w:jc w:val="center"/>
                    <w:textAlignment w:val="center"/>
                    <w:rPr>
                      <w:color w:val="auto"/>
                      <w:kern w:val="0"/>
                      <w:szCs w:val="21"/>
                      <w:lang w:bidi="ar"/>
                    </w:rPr>
                  </w:pPr>
                  <w:r>
                    <w:rPr>
                      <w:color w:val="auto"/>
                      <w:kern w:val="0"/>
                      <w:szCs w:val="21"/>
                      <w:lang w:bidi="ar"/>
                    </w:rPr>
                    <w:t>0.00048</w:t>
                  </w:r>
                </w:p>
              </w:tc>
              <w:tc>
                <w:tcPr>
                  <w:tcW w:w="967" w:type="dxa"/>
                  <w:vAlign w:val="center"/>
                </w:tcPr>
                <w:p w14:paraId="3C514A64">
                  <w:pPr>
                    <w:widowControl/>
                    <w:jc w:val="center"/>
                    <w:textAlignment w:val="center"/>
                    <w:rPr>
                      <w:color w:val="auto"/>
                      <w:kern w:val="0"/>
                      <w:szCs w:val="21"/>
                      <w:lang w:bidi="ar"/>
                    </w:rPr>
                  </w:pPr>
                  <w:r>
                    <w:rPr>
                      <w:color w:val="auto"/>
                      <w:kern w:val="0"/>
                      <w:szCs w:val="21"/>
                      <w:lang w:bidi="ar"/>
                    </w:rPr>
                    <w:t xml:space="preserve">0.048 </w:t>
                  </w:r>
                </w:p>
              </w:tc>
              <w:tc>
                <w:tcPr>
                  <w:tcW w:w="382" w:type="pct"/>
                  <w:vMerge w:val="continue"/>
                  <w:vAlign w:val="center"/>
                </w:tcPr>
                <w:p w14:paraId="159FA583">
                  <w:pPr>
                    <w:pStyle w:val="70"/>
                    <w:spacing w:beforeLines="0" w:afterLines="0" w:line="240" w:lineRule="auto"/>
                    <w:ind w:firstLine="0"/>
                    <w:rPr>
                      <w:color w:val="auto"/>
                      <w:sz w:val="21"/>
                      <w:szCs w:val="21"/>
                    </w:rPr>
                  </w:pPr>
                </w:p>
              </w:tc>
              <w:tc>
                <w:tcPr>
                  <w:tcW w:w="241" w:type="pct"/>
                  <w:vAlign w:val="center"/>
                </w:tcPr>
                <w:p w14:paraId="289D5B7F">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3" w:type="pct"/>
                  <w:vAlign w:val="center"/>
                </w:tcPr>
                <w:p w14:paraId="37CBE6DC">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246469F4">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3B417BED">
                  <w:pPr>
                    <w:widowControl/>
                    <w:jc w:val="center"/>
                    <w:textAlignment w:val="center"/>
                    <w:rPr>
                      <w:color w:val="auto"/>
                      <w:kern w:val="0"/>
                      <w:szCs w:val="21"/>
                      <w:lang w:bidi="ar"/>
                    </w:rPr>
                  </w:pPr>
                  <w:r>
                    <w:rPr>
                      <w:color w:val="auto"/>
                      <w:kern w:val="0"/>
                      <w:szCs w:val="21"/>
                      <w:lang w:bidi="ar"/>
                    </w:rPr>
                    <w:t>0.00029</w:t>
                  </w:r>
                </w:p>
              </w:tc>
              <w:tc>
                <w:tcPr>
                  <w:tcW w:w="930" w:type="dxa"/>
                  <w:vAlign w:val="center"/>
                </w:tcPr>
                <w:p w14:paraId="5A3BF51C">
                  <w:pPr>
                    <w:widowControl/>
                    <w:jc w:val="center"/>
                    <w:textAlignment w:val="center"/>
                    <w:rPr>
                      <w:color w:val="auto"/>
                      <w:kern w:val="0"/>
                      <w:szCs w:val="21"/>
                      <w:lang w:bidi="ar"/>
                    </w:rPr>
                  </w:pPr>
                  <w:r>
                    <w:rPr>
                      <w:color w:val="auto"/>
                      <w:kern w:val="0"/>
                      <w:szCs w:val="21"/>
                      <w:lang w:bidi="ar"/>
                    </w:rPr>
                    <w:t>0.00048</w:t>
                  </w:r>
                </w:p>
              </w:tc>
              <w:tc>
                <w:tcPr>
                  <w:tcW w:w="934" w:type="dxa"/>
                  <w:vAlign w:val="center"/>
                </w:tcPr>
                <w:p w14:paraId="49370DFC">
                  <w:pPr>
                    <w:widowControl/>
                    <w:jc w:val="center"/>
                    <w:textAlignment w:val="center"/>
                    <w:rPr>
                      <w:color w:val="auto"/>
                      <w:kern w:val="0"/>
                      <w:szCs w:val="21"/>
                      <w:lang w:bidi="ar"/>
                    </w:rPr>
                  </w:pPr>
                  <w:r>
                    <w:rPr>
                      <w:color w:val="auto"/>
                      <w:kern w:val="0"/>
                      <w:szCs w:val="21"/>
                      <w:lang w:bidi="ar"/>
                    </w:rPr>
                    <w:t xml:space="preserve">0.048 </w:t>
                  </w:r>
                </w:p>
              </w:tc>
              <w:tc>
                <w:tcPr>
                  <w:tcW w:w="243" w:type="pct"/>
                  <w:vMerge w:val="continue"/>
                  <w:vAlign w:val="center"/>
                </w:tcPr>
                <w:p w14:paraId="60205C14">
                  <w:pPr>
                    <w:pStyle w:val="77"/>
                    <w:jc w:val="center"/>
                    <w:rPr>
                      <w:color w:val="auto"/>
                      <w:szCs w:val="21"/>
                    </w:rPr>
                  </w:pPr>
                </w:p>
              </w:tc>
            </w:tr>
            <w:tr w14:paraId="0702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4EC3E74B">
                  <w:pPr>
                    <w:pStyle w:val="70"/>
                    <w:spacing w:beforeLines="0" w:afterLines="0" w:line="240" w:lineRule="auto"/>
                    <w:ind w:firstLine="0"/>
                    <w:rPr>
                      <w:rFonts w:ascii="Times New Roman"/>
                      <w:color w:val="auto"/>
                      <w:sz w:val="21"/>
                      <w:szCs w:val="21"/>
                    </w:rPr>
                  </w:pPr>
                </w:p>
              </w:tc>
              <w:tc>
                <w:tcPr>
                  <w:tcW w:w="299" w:type="pct"/>
                  <w:vMerge w:val="restart"/>
                  <w:vAlign w:val="center"/>
                </w:tcPr>
                <w:p w14:paraId="4C8D12F2">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DA006</w:t>
                  </w:r>
                </w:p>
              </w:tc>
              <w:tc>
                <w:tcPr>
                  <w:tcW w:w="431" w:type="pct"/>
                  <w:vMerge w:val="restart"/>
                  <w:vAlign w:val="center"/>
                </w:tcPr>
                <w:p w14:paraId="5B1C9A9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除锈、天然气燃烧</w:t>
                  </w:r>
                </w:p>
              </w:tc>
              <w:tc>
                <w:tcPr>
                  <w:tcW w:w="363" w:type="pct"/>
                  <w:vAlign w:val="center"/>
                </w:tcPr>
                <w:p w14:paraId="73627F8B">
                  <w:pPr>
                    <w:widowControl/>
                    <w:jc w:val="center"/>
                    <w:textAlignment w:val="center"/>
                    <w:rPr>
                      <w:color w:val="auto"/>
                      <w:kern w:val="0"/>
                      <w:szCs w:val="21"/>
                      <w:lang w:bidi="ar"/>
                    </w:rPr>
                  </w:pPr>
                  <w:r>
                    <w:rPr>
                      <w:rFonts w:hint="eastAsia"/>
                      <w:color w:val="auto"/>
                      <w:kern w:val="0"/>
                      <w:szCs w:val="21"/>
                      <w:lang w:bidi="ar"/>
                    </w:rPr>
                    <w:t>硫酸雾</w:t>
                  </w:r>
                </w:p>
              </w:tc>
              <w:tc>
                <w:tcPr>
                  <w:tcW w:w="329" w:type="pct"/>
                  <w:vAlign w:val="center"/>
                </w:tcPr>
                <w:p w14:paraId="24C3F3A7">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系数法</w:t>
                  </w:r>
                </w:p>
              </w:tc>
              <w:tc>
                <w:tcPr>
                  <w:tcW w:w="977" w:type="dxa"/>
                  <w:vAlign w:val="center"/>
                </w:tcPr>
                <w:p w14:paraId="0C6726C3">
                  <w:pPr>
                    <w:widowControl/>
                    <w:jc w:val="center"/>
                    <w:textAlignment w:val="center"/>
                    <w:rPr>
                      <w:color w:val="auto"/>
                      <w:kern w:val="0"/>
                      <w:szCs w:val="21"/>
                      <w:lang w:bidi="ar"/>
                    </w:rPr>
                  </w:pPr>
                  <w:r>
                    <w:rPr>
                      <w:color w:val="auto"/>
                      <w:kern w:val="0"/>
                      <w:szCs w:val="21"/>
                      <w:lang w:bidi="ar"/>
                    </w:rPr>
                    <w:t>0.142</w:t>
                  </w:r>
                </w:p>
              </w:tc>
              <w:tc>
                <w:tcPr>
                  <w:tcW w:w="969" w:type="dxa"/>
                  <w:vAlign w:val="center"/>
                </w:tcPr>
                <w:p w14:paraId="6C46B930">
                  <w:pPr>
                    <w:widowControl/>
                    <w:jc w:val="center"/>
                    <w:textAlignment w:val="center"/>
                    <w:rPr>
                      <w:color w:val="auto"/>
                      <w:kern w:val="0"/>
                      <w:szCs w:val="21"/>
                      <w:lang w:bidi="ar"/>
                    </w:rPr>
                  </w:pPr>
                  <w:r>
                    <w:rPr>
                      <w:color w:val="auto"/>
                      <w:kern w:val="0"/>
                      <w:szCs w:val="21"/>
                      <w:lang w:bidi="ar"/>
                    </w:rPr>
                    <w:t>0.678</w:t>
                  </w:r>
                </w:p>
              </w:tc>
              <w:tc>
                <w:tcPr>
                  <w:tcW w:w="967" w:type="dxa"/>
                  <w:vAlign w:val="center"/>
                </w:tcPr>
                <w:p w14:paraId="703B6909">
                  <w:pPr>
                    <w:widowControl/>
                    <w:jc w:val="center"/>
                    <w:textAlignment w:val="center"/>
                    <w:rPr>
                      <w:color w:val="auto"/>
                      <w:kern w:val="0"/>
                      <w:szCs w:val="21"/>
                      <w:lang w:bidi="ar"/>
                    </w:rPr>
                  </w:pPr>
                  <w:r>
                    <w:rPr>
                      <w:color w:val="auto"/>
                      <w:kern w:val="0"/>
                      <w:szCs w:val="21"/>
                      <w:lang w:bidi="ar"/>
                    </w:rPr>
                    <w:t xml:space="preserve">96.86 </w:t>
                  </w:r>
                </w:p>
              </w:tc>
              <w:tc>
                <w:tcPr>
                  <w:tcW w:w="382" w:type="pct"/>
                  <w:vMerge w:val="restart"/>
                  <w:vAlign w:val="center"/>
                </w:tcPr>
                <w:p w14:paraId="32396F30">
                  <w:pPr>
                    <w:pStyle w:val="70"/>
                    <w:spacing w:beforeLines="0" w:afterLines="0" w:line="240" w:lineRule="auto"/>
                    <w:ind w:firstLine="0"/>
                    <w:rPr>
                      <w:color w:val="auto"/>
                      <w:sz w:val="21"/>
                      <w:szCs w:val="21"/>
                    </w:rPr>
                  </w:pPr>
                  <w:r>
                    <w:rPr>
                      <w:rFonts w:hint="eastAsia"/>
                      <w:color w:val="auto"/>
                      <w:sz w:val="21"/>
                      <w:szCs w:val="21"/>
                    </w:rPr>
                    <w:t>碱液喷淋塔</w:t>
                  </w:r>
                </w:p>
              </w:tc>
              <w:tc>
                <w:tcPr>
                  <w:tcW w:w="241" w:type="pct"/>
                  <w:vAlign w:val="center"/>
                </w:tcPr>
                <w:p w14:paraId="606B5416">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85%</w:t>
                  </w:r>
                </w:p>
              </w:tc>
              <w:tc>
                <w:tcPr>
                  <w:tcW w:w="224" w:type="pct"/>
                  <w:vAlign w:val="center"/>
                </w:tcPr>
                <w:p w14:paraId="1085AD0E">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90%</w:t>
                  </w:r>
                </w:p>
              </w:tc>
              <w:tc>
                <w:tcPr>
                  <w:tcW w:w="370" w:type="pct"/>
                  <w:vAlign w:val="center"/>
                </w:tcPr>
                <w:p w14:paraId="734CBC7D">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61E7EF69">
                  <w:pPr>
                    <w:widowControl/>
                    <w:jc w:val="center"/>
                    <w:textAlignment w:val="center"/>
                    <w:rPr>
                      <w:color w:val="auto"/>
                      <w:kern w:val="0"/>
                      <w:szCs w:val="21"/>
                      <w:lang w:bidi="ar"/>
                    </w:rPr>
                  </w:pPr>
                  <w:r>
                    <w:rPr>
                      <w:color w:val="auto"/>
                      <w:kern w:val="0"/>
                      <w:szCs w:val="21"/>
                      <w:lang w:bidi="ar"/>
                    </w:rPr>
                    <w:t>0.0142</w:t>
                  </w:r>
                </w:p>
              </w:tc>
              <w:tc>
                <w:tcPr>
                  <w:tcW w:w="930" w:type="dxa"/>
                  <w:vAlign w:val="center"/>
                </w:tcPr>
                <w:p w14:paraId="19D86D7B">
                  <w:pPr>
                    <w:widowControl/>
                    <w:jc w:val="center"/>
                    <w:textAlignment w:val="center"/>
                    <w:rPr>
                      <w:color w:val="auto"/>
                      <w:kern w:val="0"/>
                      <w:szCs w:val="21"/>
                      <w:lang w:bidi="ar"/>
                    </w:rPr>
                  </w:pPr>
                  <w:r>
                    <w:rPr>
                      <w:color w:val="auto"/>
                      <w:kern w:val="0"/>
                      <w:szCs w:val="21"/>
                      <w:lang w:bidi="ar"/>
                    </w:rPr>
                    <w:t>0.0678</w:t>
                  </w:r>
                </w:p>
              </w:tc>
              <w:tc>
                <w:tcPr>
                  <w:tcW w:w="934" w:type="dxa"/>
                  <w:vAlign w:val="center"/>
                </w:tcPr>
                <w:p w14:paraId="1EECD576">
                  <w:pPr>
                    <w:widowControl/>
                    <w:jc w:val="center"/>
                    <w:textAlignment w:val="center"/>
                    <w:rPr>
                      <w:color w:val="auto"/>
                      <w:kern w:val="0"/>
                      <w:szCs w:val="21"/>
                      <w:lang w:bidi="ar"/>
                    </w:rPr>
                  </w:pPr>
                  <w:r>
                    <w:rPr>
                      <w:color w:val="auto"/>
                      <w:kern w:val="0"/>
                      <w:szCs w:val="21"/>
                      <w:lang w:bidi="ar"/>
                    </w:rPr>
                    <w:t>9.7</w:t>
                  </w:r>
                </w:p>
              </w:tc>
              <w:tc>
                <w:tcPr>
                  <w:tcW w:w="243" w:type="pct"/>
                  <w:vMerge w:val="restart"/>
                  <w:vAlign w:val="center"/>
                </w:tcPr>
                <w:p w14:paraId="7EC5D82B">
                  <w:pPr>
                    <w:pStyle w:val="77"/>
                    <w:jc w:val="center"/>
                    <w:rPr>
                      <w:color w:val="auto"/>
                      <w:szCs w:val="21"/>
                    </w:rPr>
                  </w:pPr>
                  <w:r>
                    <w:rPr>
                      <w:rFonts w:hint="eastAsia"/>
                      <w:color w:val="auto"/>
                      <w:szCs w:val="21"/>
                    </w:rPr>
                    <w:t>3000</w:t>
                  </w:r>
                </w:p>
              </w:tc>
            </w:tr>
            <w:tr w14:paraId="1D5E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1771E293">
                  <w:pPr>
                    <w:pStyle w:val="70"/>
                    <w:spacing w:beforeLines="0" w:afterLines="0" w:line="240" w:lineRule="auto"/>
                    <w:ind w:firstLine="0"/>
                    <w:rPr>
                      <w:rFonts w:ascii="Times New Roman"/>
                      <w:color w:val="auto"/>
                      <w:sz w:val="21"/>
                      <w:szCs w:val="21"/>
                    </w:rPr>
                  </w:pPr>
                </w:p>
              </w:tc>
              <w:tc>
                <w:tcPr>
                  <w:tcW w:w="299" w:type="pct"/>
                  <w:vMerge w:val="continue"/>
                  <w:vAlign w:val="center"/>
                </w:tcPr>
                <w:p w14:paraId="070DE4B1">
                  <w:pPr>
                    <w:pStyle w:val="70"/>
                    <w:spacing w:beforeLines="0" w:afterLines="0" w:line="240" w:lineRule="auto"/>
                    <w:ind w:firstLine="0"/>
                    <w:rPr>
                      <w:rFonts w:ascii="Times New Roman"/>
                      <w:color w:val="auto"/>
                      <w:sz w:val="21"/>
                      <w:szCs w:val="21"/>
                    </w:rPr>
                  </w:pPr>
                </w:p>
              </w:tc>
              <w:tc>
                <w:tcPr>
                  <w:tcW w:w="431" w:type="pct"/>
                  <w:vMerge w:val="continue"/>
                  <w:vAlign w:val="center"/>
                </w:tcPr>
                <w:p w14:paraId="3B0B121F">
                  <w:pPr>
                    <w:pStyle w:val="70"/>
                    <w:spacing w:beforeLines="0" w:afterLines="0" w:line="240" w:lineRule="auto"/>
                    <w:ind w:firstLine="0"/>
                    <w:rPr>
                      <w:rFonts w:ascii="Times New Roman"/>
                      <w:color w:val="auto"/>
                      <w:sz w:val="21"/>
                      <w:szCs w:val="21"/>
                    </w:rPr>
                  </w:pPr>
                </w:p>
              </w:tc>
              <w:tc>
                <w:tcPr>
                  <w:tcW w:w="363" w:type="pct"/>
                  <w:vAlign w:val="center"/>
                </w:tcPr>
                <w:p w14:paraId="32C31577">
                  <w:pPr>
                    <w:widowControl/>
                    <w:jc w:val="center"/>
                    <w:textAlignment w:val="center"/>
                    <w:rPr>
                      <w:color w:val="auto"/>
                      <w:kern w:val="0"/>
                      <w:szCs w:val="21"/>
                      <w:lang w:bidi="ar"/>
                    </w:rPr>
                  </w:pPr>
                  <w:r>
                    <w:rPr>
                      <w:rFonts w:hint="eastAsia"/>
                      <w:color w:val="auto"/>
                      <w:kern w:val="0"/>
                      <w:szCs w:val="21"/>
                      <w:lang w:bidi="ar"/>
                    </w:rPr>
                    <w:t>颗粒物</w:t>
                  </w:r>
                </w:p>
              </w:tc>
              <w:tc>
                <w:tcPr>
                  <w:tcW w:w="329" w:type="pct"/>
                  <w:vAlign w:val="center"/>
                </w:tcPr>
                <w:p w14:paraId="011B46C8">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0E772440">
                  <w:pPr>
                    <w:widowControl/>
                    <w:jc w:val="center"/>
                    <w:textAlignment w:val="center"/>
                    <w:rPr>
                      <w:color w:val="auto"/>
                      <w:kern w:val="0"/>
                      <w:szCs w:val="21"/>
                      <w:lang w:bidi="ar"/>
                    </w:rPr>
                  </w:pPr>
                  <w:r>
                    <w:rPr>
                      <w:color w:val="auto"/>
                      <w:kern w:val="0"/>
                      <w:szCs w:val="21"/>
                      <w:lang w:bidi="ar"/>
                    </w:rPr>
                    <w:t>0.0046</w:t>
                  </w:r>
                </w:p>
              </w:tc>
              <w:tc>
                <w:tcPr>
                  <w:tcW w:w="969" w:type="dxa"/>
                  <w:vAlign w:val="center"/>
                </w:tcPr>
                <w:p w14:paraId="0BB66A92">
                  <w:pPr>
                    <w:widowControl/>
                    <w:jc w:val="center"/>
                    <w:textAlignment w:val="center"/>
                    <w:rPr>
                      <w:color w:val="auto"/>
                      <w:kern w:val="0"/>
                      <w:szCs w:val="21"/>
                      <w:lang w:bidi="ar"/>
                    </w:rPr>
                  </w:pPr>
                  <w:r>
                    <w:rPr>
                      <w:color w:val="auto"/>
                      <w:kern w:val="0"/>
                      <w:szCs w:val="21"/>
                      <w:lang w:bidi="ar"/>
                    </w:rPr>
                    <w:t>0.0015</w:t>
                  </w:r>
                </w:p>
              </w:tc>
              <w:tc>
                <w:tcPr>
                  <w:tcW w:w="967" w:type="dxa"/>
                  <w:vAlign w:val="center"/>
                </w:tcPr>
                <w:p w14:paraId="70230E4F">
                  <w:pPr>
                    <w:widowControl/>
                    <w:jc w:val="center"/>
                    <w:textAlignment w:val="center"/>
                    <w:rPr>
                      <w:color w:val="auto"/>
                      <w:kern w:val="0"/>
                      <w:szCs w:val="21"/>
                      <w:lang w:bidi="ar"/>
                    </w:rPr>
                  </w:pPr>
                  <w:r>
                    <w:rPr>
                      <w:color w:val="auto"/>
                      <w:kern w:val="0"/>
                      <w:szCs w:val="21"/>
                      <w:lang w:bidi="ar"/>
                    </w:rPr>
                    <w:t xml:space="preserve">0.214 </w:t>
                  </w:r>
                </w:p>
              </w:tc>
              <w:tc>
                <w:tcPr>
                  <w:tcW w:w="382" w:type="pct"/>
                  <w:vMerge w:val="continue"/>
                  <w:vAlign w:val="center"/>
                </w:tcPr>
                <w:p w14:paraId="0BE8D5CA">
                  <w:pPr>
                    <w:pStyle w:val="70"/>
                    <w:spacing w:beforeLines="0" w:afterLines="0" w:line="240" w:lineRule="auto"/>
                    <w:ind w:firstLine="0"/>
                    <w:rPr>
                      <w:color w:val="auto"/>
                      <w:sz w:val="21"/>
                      <w:szCs w:val="21"/>
                    </w:rPr>
                  </w:pPr>
                </w:p>
              </w:tc>
              <w:tc>
                <w:tcPr>
                  <w:tcW w:w="241" w:type="pct"/>
                  <w:vAlign w:val="center"/>
                </w:tcPr>
                <w:p w14:paraId="7E5E6399">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4" w:type="pct"/>
                  <w:vAlign w:val="center"/>
                </w:tcPr>
                <w:p w14:paraId="061FCDC9">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80%</w:t>
                  </w:r>
                </w:p>
              </w:tc>
              <w:tc>
                <w:tcPr>
                  <w:tcW w:w="370" w:type="pct"/>
                  <w:vAlign w:val="center"/>
                </w:tcPr>
                <w:p w14:paraId="0D264C66">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114D9743">
                  <w:pPr>
                    <w:widowControl/>
                    <w:jc w:val="center"/>
                    <w:textAlignment w:val="center"/>
                    <w:rPr>
                      <w:color w:val="auto"/>
                      <w:kern w:val="0"/>
                      <w:szCs w:val="21"/>
                      <w:lang w:bidi="ar"/>
                    </w:rPr>
                  </w:pPr>
                  <w:r>
                    <w:rPr>
                      <w:color w:val="auto"/>
                      <w:kern w:val="0"/>
                      <w:szCs w:val="21"/>
                      <w:lang w:bidi="ar"/>
                    </w:rPr>
                    <w:t>0.0009</w:t>
                  </w:r>
                </w:p>
              </w:tc>
              <w:tc>
                <w:tcPr>
                  <w:tcW w:w="930" w:type="dxa"/>
                  <w:vAlign w:val="center"/>
                </w:tcPr>
                <w:p w14:paraId="68B08D46">
                  <w:pPr>
                    <w:widowControl/>
                    <w:jc w:val="center"/>
                    <w:textAlignment w:val="center"/>
                    <w:rPr>
                      <w:color w:val="auto"/>
                      <w:kern w:val="0"/>
                      <w:szCs w:val="21"/>
                      <w:lang w:bidi="ar"/>
                    </w:rPr>
                  </w:pPr>
                  <w:r>
                    <w:rPr>
                      <w:color w:val="auto"/>
                      <w:kern w:val="0"/>
                      <w:szCs w:val="21"/>
                      <w:lang w:bidi="ar"/>
                    </w:rPr>
                    <w:t>0.0003</w:t>
                  </w:r>
                </w:p>
              </w:tc>
              <w:tc>
                <w:tcPr>
                  <w:tcW w:w="934" w:type="dxa"/>
                  <w:vAlign w:val="center"/>
                </w:tcPr>
                <w:p w14:paraId="5828AF83">
                  <w:pPr>
                    <w:widowControl/>
                    <w:jc w:val="center"/>
                    <w:textAlignment w:val="center"/>
                    <w:rPr>
                      <w:color w:val="auto"/>
                      <w:kern w:val="0"/>
                      <w:szCs w:val="21"/>
                      <w:lang w:bidi="ar"/>
                    </w:rPr>
                  </w:pPr>
                  <w:r>
                    <w:rPr>
                      <w:color w:val="auto"/>
                      <w:kern w:val="0"/>
                      <w:szCs w:val="21"/>
                      <w:lang w:bidi="ar"/>
                    </w:rPr>
                    <w:t>0.0429</w:t>
                  </w:r>
                </w:p>
              </w:tc>
              <w:tc>
                <w:tcPr>
                  <w:tcW w:w="243" w:type="pct"/>
                  <w:vMerge w:val="continue"/>
                  <w:vAlign w:val="center"/>
                </w:tcPr>
                <w:p w14:paraId="2BE222D0">
                  <w:pPr>
                    <w:pStyle w:val="77"/>
                    <w:jc w:val="center"/>
                    <w:rPr>
                      <w:color w:val="auto"/>
                      <w:szCs w:val="21"/>
                    </w:rPr>
                  </w:pPr>
                </w:p>
              </w:tc>
            </w:tr>
            <w:tr w14:paraId="756E6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43DB9980">
                  <w:pPr>
                    <w:pStyle w:val="70"/>
                    <w:spacing w:beforeLines="0" w:afterLines="0" w:line="240" w:lineRule="auto"/>
                    <w:ind w:firstLine="0"/>
                    <w:rPr>
                      <w:rFonts w:ascii="Times New Roman"/>
                      <w:color w:val="auto"/>
                      <w:sz w:val="21"/>
                      <w:szCs w:val="21"/>
                    </w:rPr>
                  </w:pPr>
                </w:p>
              </w:tc>
              <w:tc>
                <w:tcPr>
                  <w:tcW w:w="299" w:type="pct"/>
                  <w:vMerge w:val="continue"/>
                  <w:vAlign w:val="center"/>
                </w:tcPr>
                <w:p w14:paraId="5A9CAAE6">
                  <w:pPr>
                    <w:pStyle w:val="70"/>
                    <w:spacing w:beforeLines="0" w:afterLines="0" w:line="240" w:lineRule="auto"/>
                    <w:ind w:firstLine="0"/>
                    <w:rPr>
                      <w:rFonts w:ascii="Times New Roman"/>
                      <w:color w:val="auto"/>
                      <w:sz w:val="21"/>
                      <w:szCs w:val="21"/>
                    </w:rPr>
                  </w:pPr>
                </w:p>
              </w:tc>
              <w:tc>
                <w:tcPr>
                  <w:tcW w:w="431" w:type="pct"/>
                  <w:vMerge w:val="continue"/>
                  <w:vAlign w:val="center"/>
                </w:tcPr>
                <w:p w14:paraId="47552CDF">
                  <w:pPr>
                    <w:pStyle w:val="70"/>
                    <w:spacing w:beforeLines="0" w:afterLines="0" w:line="240" w:lineRule="auto"/>
                    <w:ind w:firstLine="0"/>
                    <w:rPr>
                      <w:rFonts w:ascii="Times New Roman"/>
                      <w:color w:val="auto"/>
                      <w:sz w:val="21"/>
                      <w:szCs w:val="21"/>
                    </w:rPr>
                  </w:pPr>
                </w:p>
              </w:tc>
              <w:tc>
                <w:tcPr>
                  <w:tcW w:w="363" w:type="pct"/>
                  <w:vAlign w:val="center"/>
                </w:tcPr>
                <w:p w14:paraId="29A72F65">
                  <w:pPr>
                    <w:widowControl/>
                    <w:jc w:val="center"/>
                    <w:textAlignment w:val="center"/>
                    <w:rPr>
                      <w:color w:val="auto"/>
                      <w:kern w:val="0"/>
                      <w:szCs w:val="21"/>
                      <w:lang w:bidi="ar"/>
                    </w:rPr>
                  </w:pPr>
                  <w:r>
                    <w:rPr>
                      <w:rFonts w:hint="eastAsia"/>
                      <w:color w:val="auto"/>
                      <w:kern w:val="0"/>
                      <w:szCs w:val="21"/>
                      <w:lang w:bidi="ar"/>
                    </w:rPr>
                    <w:t>氮氧化物</w:t>
                  </w:r>
                </w:p>
              </w:tc>
              <w:tc>
                <w:tcPr>
                  <w:tcW w:w="329" w:type="pct"/>
                  <w:vAlign w:val="center"/>
                </w:tcPr>
                <w:p w14:paraId="0DD1FB01">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4B970983">
                  <w:pPr>
                    <w:widowControl/>
                    <w:jc w:val="center"/>
                    <w:textAlignment w:val="center"/>
                    <w:rPr>
                      <w:color w:val="auto"/>
                      <w:kern w:val="0"/>
                      <w:szCs w:val="21"/>
                      <w:lang w:bidi="ar"/>
                    </w:rPr>
                  </w:pPr>
                  <w:r>
                    <w:rPr>
                      <w:color w:val="auto"/>
                      <w:kern w:val="0"/>
                      <w:szCs w:val="21"/>
                      <w:lang w:bidi="ar"/>
                    </w:rPr>
                    <w:t>0.0150</w:t>
                  </w:r>
                </w:p>
              </w:tc>
              <w:tc>
                <w:tcPr>
                  <w:tcW w:w="969" w:type="dxa"/>
                  <w:vAlign w:val="center"/>
                </w:tcPr>
                <w:p w14:paraId="7C54D09C">
                  <w:pPr>
                    <w:widowControl/>
                    <w:jc w:val="center"/>
                    <w:textAlignment w:val="center"/>
                    <w:rPr>
                      <w:color w:val="auto"/>
                      <w:kern w:val="0"/>
                      <w:szCs w:val="21"/>
                      <w:lang w:bidi="ar"/>
                    </w:rPr>
                  </w:pPr>
                  <w:r>
                    <w:rPr>
                      <w:color w:val="auto"/>
                      <w:kern w:val="0"/>
                      <w:szCs w:val="21"/>
                      <w:lang w:bidi="ar"/>
                    </w:rPr>
                    <w:t>0.0050</w:t>
                  </w:r>
                </w:p>
              </w:tc>
              <w:tc>
                <w:tcPr>
                  <w:tcW w:w="967" w:type="dxa"/>
                  <w:vAlign w:val="center"/>
                </w:tcPr>
                <w:p w14:paraId="5CD3F1B2">
                  <w:pPr>
                    <w:widowControl/>
                    <w:jc w:val="center"/>
                    <w:textAlignment w:val="center"/>
                    <w:rPr>
                      <w:color w:val="auto"/>
                      <w:kern w:val="0"/>
                      <w:szCs w:val="21"/>
                      <w:lang w:bidi="ar"/>
                    </w:rPr>
                  </w:pPr>
                  <w:r>
                    <w:rPr>
                      <w:color w:val="auto"/>
                      <w:kern w:val="0"/>
                      <w:szCs w:val="21"/>
                      <w:lang w:bidi="ar"/>
                    </w:rPr>
                    <w:t>0.714</w:t>
                  </w:r>
                </w:p>
              </w:tc>
              <w:tc>
                <w:tcPr>
                  <w:tcW w:w="382" w:type="pct"/>
                  <w:vMerge w:val="continue"/>
                  <w:vAlign w:val="center"/>
                </w:tcPr>
                <w:p w14:paraId="49EC31C6">
                  <w:pPr>
                    <w:pStyle w:val="70"/>
                    <w:spacing w:beforeLines="0" w:afterLines="0" w:line="240" w:lineRule="auto"/>
                    <w:ind w:firstLine="0"/>
                    <w:rPr>
                      <w:color w:val="auto"/>
                      <w:sz w:val="21"/>
                      <w:szCs w:val="21"/>
                    </w:rPr>
                  </w:pPr>
                </w:p>
              </w:tc>
              <w:tc>
                <w:tcPr>
                  <w:tcW w:w="241" w:type="pct"/>
                  <w:vAlign w:val="center"/>
                </w:tcPr>
                <w:p w14:paraId="053E594B">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4" w:type="pct"/>
                  <w:vAlign w:val="center"/>
                </w:tcPr>
                <w:p w14:paraId="43F435FD">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0AC7F70A">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345D0317">
                  <w:pPr>
                    <w:widowControl/>
                    <w:jc w:val="center"/>
                    <w:textAlignment w:val="center"/>
                    <w:rPr>
                      <w:color w:val="auto"/>
                      <w:kern w:val="0"/>
                      <w:szCs w:val="21"/>
                      <w:lang w:bidi="ar"/>
                    </w:rPr>
                  </w:pPr>
                  <w:r>
                    <w:rPr>
                      <w:color w:val="auto"/>
                      <w:kern w:val="0"/>
                      <w:szCs w:val="21"/>
                      <w:lang w:bidi="ar"/>
                    </w:rPr>
                    <w:t>0.0150</w:t>
                  </w:r>
                </w:p>
              </w:tc>
              <w:tc>
                <w:tcPr>
                  <w:tcW w:w="930" w:type="dxa"/>
                  <w:vAlign w:val="center"/>
                </w:tcPr>
                <w:p w14:paraId="6F4C55A1">
                  <w:pPr>
                    <w:widowControl/>
                    <w:jc w:val="center"/>
                    <w:textAlignment w:val="center"/>
                    <w:rPr>
                      <w:color w:val="auto"/>
                      <w:kern w:val="0"/>
                      <w:szCs w:val="21"/>
                      <w:lang w:bidi="ar"/>
                    </w:rPr>
                  </w:pPr>
                  <w:r>
                    <w:rPr>
                      <w:color w:val="auto"/>
                      <w:kern w:val="0"/>
                      <w:szCs w:val="21"/>
                      <w:lang w:bidi="ar"/>
                    </w:rPr>
                    <w:t>0.0050</w:t>
                  </w:r>
                </w:p>
              </w:tc>
              <w:tc>
                <w:tcPr>
                  <w:tcW w:w="934" w:type="dxa"/>
                  <w:vAlign w:val="center"/>
                </w:tcPr>
                <w:p w14:paraId="5E7DFE3E">
                  <w:pPr>
                    <w:widowControl/>
                    <w:jc w:val="center"/>
                    <w:textAlignment w:val="center"/>
                    <w:rPr>
                      <w:color w:val="auto"/>
                      <w:kern w:val="0"/>
                      <w:szCs w:val="21"/>
                      <w:lang w:bidi="ar"/>
                    </w:rPr>
                  </w:pPr>
                  <w:r>
                    <w:rPr>
                      <w:color w:val="auto"/>
                      <w:kern w:val="0"/>
                      <w:szCs w:val="21"/>
                      <w:lang w:bidi="ar"/>
                    </w:rPr>
                    <w:t>0.714</w:t>
                  </w:r>
                </w:p>
              </w:tc>
              <w:tc>
                <w:tcPr>
                  <w:tcW w:w="243" w:type="pct"/>
                  <w:vMerge w:val="continue"/>
                  <w:vAlign w:val="center"/>
                </w:tcPr>
                <w:p w14:paraId="228F7B00">
                  <w:pPr>
                    <w:pStyle w:val="77"/>
                    <w:jc w:val="center"/>
                    <w:rPr>
                      <w:color w:val="auto"/>
                      <w:szCs w:val="21"/>
                    </w:rPr>
                  </w:pPr>
                </w:p>
              </w:tc>
            </w:tr>
            <w:tr w14:paraId="1613F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27688C9F">
                  <w:pPr>
                    <w:pStyle w:val="70"/>
                    <w:spacing w:beforeLines="0" w:afterLines="0" w:line="240" w:lineRule="auto"/>
                    <w:ind w:firstLine="0"/>
                    <w:rPr>
                      <w:rFonts w:ascii="Times New Roman"/>
                      <w:color w:val="auto"/>
                      <w:sz w:val="21"/>
                      <w:szCs w:val="21"/>
                    </w:rPr>
                  </w:pPr>
                </w:p>
              </w:tc>
              <w:tc>
                <w:tcPr>
                  <w:tcW w:w="299" w:type="pct"/>
                  <w:vMerge w:val="continue"/>
                  <w:vAlign w:val="center"/>
                </w:tcPr>
                <w:p w14:paraId="70E78481">
                  <w:pPr>
                    <w:pStyle w:val="70"/>
                    <w:spacing w:beforeLines="0" w:afterLines="0" w:line="240" w:lineRule="auto"/>
                    <w:ind w:firstLine="0"/>
                    <w:rPr>
                      <w:rFonts w:ascii="Times New Roman"/>
                      <w:color w:val="auto"/>
                      <w:sz w:val="21"/>
                      <w:szCs w:val="21"/>
                    </w:rPr>
                  </w:pPr>
                </w:p>
              </w:tc>
              <w:tc>
                <w:tcPr>
                  <w:tcW w:w="431" w:type="pct"/>
                  <w:vMerge w:val="continue"/>
                  <w:vAlign w:val="center"/>
                </w:tcPr>
                <w:p w14:paraId="7CD33368">
                  <w:pPr>
                    <w:pStyle w:val="70"/>
                    <w:spacing w:beforeLines="0" w:afterLines="0" w:line="240" w:lineRule="auto"/>
                    <w:ind w:firstLine="0"/>
                    <w:rPr>
                      <w:rFonts w:ascii="Times New Roman"/>
                      <w:color w:val="auto"/>
                      <w:sz w:val="21"/>
                      <w:szCs w:val="21"/>
                    </w:rPr>
                  </w:pPr>
                </w:p>
              </w:tc>
              <w:tc>
                <w:tcPr>
                  <w:tcW w:w="363" w:type="pct"/>
                  <w:vAlign w:val="center"/>
                </w:tcPr>
                <w:p w14:paraId="4D68285F">
                  <w:pPr>
                    <w:widowControl/>
                    <w:jc w:val="center"/>
                    <w:textAlignment w:val="center"/>
                    <w:rPr>
                      <w:color w:val="auto"/>
                      <w:kern w:val="0"/>
                      <w:szCs w:val="21"/>
                      <w:lang w:bidi="ar"/>
                    </w:rPr>
                  </w:pPr>
                  <w:r>
                    <w:rPr>
                      <w:rFonts w:hint="eastAsia"/>
                      <w:color w:val="auto"/>
                      <w:kern w:val="0"/>
                      <w:szCs w:val="21"/>
                      <w:lang w:bidi="ar"/>
                    </w:rPr>
                    <w:t>二氧化硫</w:t>
                  </w:r>
                </w:p>
              </w:tc>
              <w:tc>
                <w:tcPr>
                  <w:tcW w:w="329" w:type="pct"/>
                  <w:vAlign w:val="center"/>
                </w:tcPr>
                <w:p w14:paraId="2FE1ADA3">
                  <w:pPr>
                    <w:pStyle w:val="70"/>
                    <w:spacing w:beforeLines="0" w:afterLines="0" w:line="240" w:lineRule="auto"/>
                    <w:ind w:firstLine="0"/>
                    <w:rPr>
                      <w:rFonts w:ascii="Times New Roman"/>
                      <w:color w:val="auto"/>
                      <w:sz w:val="21"/>
                      <w:szCs w:val="21"/>
                    </w:rPr>
                  </w:pPr>
                  <w:r>
                    <w:rPr>
                      <w:rFonts w:ascii="Times New Roman"/>
                      <w:color w:val="auto"/>
                      <w:sz w:val="21"/>
                      <w:szCs w:val="21"/>
                    </w:rPr>
                    <w:t>系数法</w:t>
                  </w:r>
                </w:p>
              </w:tc>
              <w:tc>
                <w:tcPr>
                  <w:tcW w:w="977" w:type="dxa"/>
                  <w:vAlign w:val="center"/>
                </w:tcPr>
                <w:p w14:paraId="7FCF19FB">
                  <w:pPr>
                    <w:widowControl/>
                    <w:jc w:val="center"/>
                    <w:textAlignment w:val="center"/>
                    <w:rPr>
                      <w:color w:val="auto"/>
                      <w:kern w:val="0"/>
                      <w:szCs w:val="21"/>
                      <w:lang w:bidi="ar"/>
                    </w:rPr>
                  </w:pPr>
                  <w:r>
                    <w:rPr>
                      <w:color w:val="auto"/>
                      <w:kern w:val="0"/>
                      <w:szCs w:val="21"/>
                      <w:lang w:bidi="ar"/>
                    </w:rPr>
                    <w:t>0.0032</w:t>
                  </w:r>
                </w:p>
              </w:tc>
              <w:tc>
                <w:tcPr>
                  <w:tcW w:w="969" w:type="dxa"/>
                  <w:vAlign w:val="center"/>
                </w:tcPr>
                <w:p w14:paraId="4724B53C">
                  <w:pPr>
                    <w:widowControl/>
                    <w:jc w:val="center"/>
                    <w:textAlignment w:val="center"/>
                    <w:rPr>
                      <w:color w:val="auto"/>
                      <w:kern w:val="0"/>
                      <w:szCs w:val="21"/>
                      <w:lang w:bidi="ar"/>
                    </w:rPr>
                  </w:pPr>
                  <w:r>
                    <w:rPr>
                      <w:color w:val="auto"/>
                      <w:kern w:val="0"/>
                      <w:szCs w:val="21"/>
                      <w:lang w:bidi="ar"/>
                    </w:rPr>
                    <w:t>0.001</w:t>
                  </w:r>
                </w:p>
              </w:tc>
              <w:tc>
                <w:tcPr>
                  <w:tcW w:w="967" w:type="dxa"/>
                  <w:vAlign w:val="center"/>
                </w:tcPr>
                <w:p w14:paraId="66498CCC">
                  <w:pPr>
                    <w:widowControl/>
                    <w:jc w:val="center"/>
                    <w:textAlignment w:val="center"/>
                    <w:rPr>
                      <w:color w:val="auto"/>
                      <w:kern w:val="0"/>
                      <w:szCs w:val="21"/>
                      <w:lang w:bidi="ar"/>
                    </w:rPr>
                  </w:pPr>
                  <w:r>
                    <w:rPr>
                      <w:color w:val="auto"/>
                      <w:kern w:val="0"/>
                      <w:szCs w:val="21"/>
                      <w:lang w:bidi="ar"/>
                    </w:rPr>
                    <w:t xml:space="preserve">0.143 </w:t>
                  </w:r>
                </w:p>
              </w:tc>
              <w:tc>
                <w:tcPr>
                  <w:tcW w:w="382" w:type="pct"/>
                  <w:vMerge w:val="continue"/>
                  <w:vAlign w:val="center"/>
                </w:tcPr>
                <w:p w14:paraId="2EAB4B52">
                  <w:pPr>
                    <w:pStyle w:val="70"/>
                    <w:spacing w:beforeLines="0" w:afterLines="0" w:line="240" w:lineRule="auto"/>
                    <w:ind w:firstLine="0"/>
                    <w:rPr>
                      <w:color w:val="auto"/>
                      <w:sz w:val="21"/>
                      <w:szCs w:val="21"/>
                    </w:rPr>
                  </w:pPr>
                </w:p>
              </w:tc>
              <w:tc>
                <w:tcPr>
                  <w:tcW w:w="241" w:type="pct"/>
                  <w:vAlign w:val="center"/>
                </w:tcPr>
                <w:p w14:paraId="7C75612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95%</w:t>
                  </w:r>
                </w:p>
              </w:tc>
              <w:tc>
                <w:tcPr>
                  <w:tcW w:w="223" w:type="pct"/>
                  <w:vAlign w:val="center"/>
                </w:tcPr>
                <w:p w14:paraId="3E1C0EBF">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0</w:t>
                  </w:r>
                </w:p>
              </w:tc>
              <w:tc>
                <w:tcPr>
                  <w:tcW w:w="370" w:type="pct"/>
                  <w:vAlign w:val="center"/>
                </w:tcPr>
                <w:p w14:paraId="556E949F">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是</w:t>
                  </w:r>
                </w:p>
              </w:tc>
              <w:tc>
                <w:tcPr>
                  <w:tcW w:w="1000" w:type="dxa"/>
                  <w:vAlign w:val="center"/>
                </w:tcPr>
                <w:p w14:paraId="0E486C6F">
                  <w:pPr>
                    <w:widowControl/>
                    <w:jc w:val="center"/>
                    <w:textAlignment w:val="center"/>
                    <w:rPr>
                      <w:color w:val="auto"/>
                      <w:kern w:val="0"/>
                      <w:szCs w:val="21"/>
                      <w:lang w:bidi="ar"/>
                    </w:rPr>
                  </w:pPr>
                  <w:r>
                    <w:rPr>
                      <w:color w:val="auto"/>
                      <w:kern w:val="0"/>
                      <w:szCs w:val="21"/>
                      <w:lang w:bidi="ar"/>
                    </w:rPr>
                    <w:t>0.0032</w:t>
                  </w:r>
                </w:p>
              </w:tc>
              <w:tc>
                <w:tcPr>
                  <w:tcW w:w="930" w:type="dxa"/>
                  <w:vAlign w:val="center"/>
                </w:tcPr>
                <w:p w14:paraId="0B749B8B">
                  <w:pPr>
                    <w:widowControl/>
                    <w:jc w:val="center"/>
                    <w:textAlignment w:val="center"/>
                    <w:rPr>
                      <w:color w:val="auto"/>
                      <w:kern w:val="0"/>
                      <w:szCs w:val="21"/>
                      <w:lang w:bidi="ar"/>
                    </w:rPr>
                  </w:pPr>
                  <w:r>
                    <w:rPr>
                      <w:color w:val="auto"/>
                      <w:kern w:val="0"/>
                      <w:szCs w:val="21"/>
                      <w:lang w:bidi="ar"/>
                    </w:rPr>
                    <w:t>0.001</w:t>
                  </w:r>
                </w:p>
              </w:tc>
              <w:tc>
                <w:tcPr>
                  <w:tcW w:w="934" w:type="dxa"/>
                  <w:vAlign w:val="center"/>
                </w:tcPr>
                <w:p w14:paraId="137FE656">
                  <w:pPr>
                    <w:widowControl/>
                    <w:jc w:val="center"/>
                    <w:textAlignment w:val="center"/>
                    <w:rPr>
                      <w:color w:val="auto"/>
                      <w:kern w:val="0"/>
                      <w:szCs w:val="21"/>
                      <w:lang w:bidi="ar"/>
                    </w:rPr>
                  </w:pPr>
                  <w:r>
                    <w:rPr>
                      <w:color w:val="auto"/>
                      <w:kern w:val="0"/>
                      <w:szCs w:val="21"/>
                      <w:lang w:bidi="ar"/>
                    </w:rPr>
                    <w:t>0.143</w:t>
                  </w:r>
                </w:p>
              </w:tc>
              <w:tc>
                <w:tcPr>
                  <w:tcW w:w="243" w:type="pct"/>
                  <w:vMerge w:val="continue"/>
                  <w:vAlign w:val="center"/>
                </w:tcPr>
                <w:p w14:paraId="2CB4259E">
                  <w:pPr>
                    <w:pStyle w:val="77"/>
                    <w:jc w:val="center"/>
                    <w:rPr>
                      <w:color w:val="auto"/>
                      <w:szCs w:val="21"/>
                    </w:rPr>
                  </w:pPr>
                </w:p>
              </w:tc>
            </w:tr>
            <w:tr w14:paraId="2E7A0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restart"/>
                  <w:vAlign w:val="center"/>
                </w:tcPr>
                <w:p w14:paraId="16F63009">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无组织</w:t>
                  </w:r>
                </w:p>
              </w:tc>
              <w:tc>
                <w:tcPr>
                  <w:tcW w:w="299" w:type="pct"/>
                  <w:vMerge w:val="restart"/>
                  <w:vAlign w:val="center"/>
                </w:tcPr>
                <w:p w14:paraId="7D9D75A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w:t>
                  </w:r>
                </w:p>
              </w:tc>
              <w:tc>
                <w:tcPr>
                  <w:tcW w:w="431" w:type="pct"/>
                  <w:vMerge w:val="restart"/>
                  <w:vAlign w:val="center"/>
                </w:tcPr>
                <w:p w14:paraId="1CB66959">
                  <w:pPr>
                    <w:widowControl/>
                    <w:jc w:val="center"/>
                    <w:textAlignment w:val="center"/>
                    <w:rPr>
                      <w:color w:val="auto"/>
                      <w:kern w:val="0"/>
                      <w:szCs w:val="21"/>
                      <w:lang w:bidi="ar"/>
                    </w:rPr>
                  </w:pPr>
                  <w:r>
                    <w:rPr>
                      <w:rFonts w:hint="eastAsia"/>
                      <w:bCs/>
                      <w:color w:val="auto"/>
                      <w:kern w:val="0"/>
                      <w:szCs w:val="21"/>
                      <w:lang w:bidi="ar"/>
                    </w:rPr>
                    <w:t>四楼</w:t>
                  </w:r>
                </w:p>
              </w:tc>
              <w:tc>
                <w:tcPr>
                  <w:tcW w:w="363" w:type="pct"/>
                  <w:vAlign w:val="center"/>
                </w:tcPr>
                <w:p w14:paraId="1CF4364E">
                  <w:pPr>
                    <w:widowControl/>
                    <w:jc w:val="center"/>
                    <w:textAlignment w:val="center"/>
                    <w:rPr>
                      <w:color w:val="auto"/>
                      <w:kern w:val="0"/>
                      <w:szCs w:val="21"/>
                      <w:lang w:bidi="ar"/>
                    </w:rPr>
                  </w:pPr>
                  <w:r>
                    <w:rPr>
                      <w:rFonts w:hint="eastAsia"/>
                      <w:color w:val="auto"/>
                      <w:kern w:val="0"/>
                      <w:szCs w:val="21"/>
                      <w:lang w:bidi="ar"/>
                    </w:rPr>
                    <w:t>颗粒物</w:t>
                  </w:r>
                </w:p>
              </w:tc>
              <w:tc>
                <w:tcPr>
                  <w:tcW w:w="329" w:type="pct"/>
                  <w:vAlign w:val="center"/>
                </w:tcPr>
                <w:p w14:paraId="5FD3FFF0">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w:t>
                  </w:r>
                </w:p>
              </w:tc>
              <w:tc>
                <w:tcPr>
                  <w:tcW w:w="977" w:type="dxa"/>
                  <w:vAlign w:val="center"/>
                </w:tcPr>
                <w:p w14:paraId="630E7D77">
                  <w:pPr>
                    <w:widowControl/>
                    <w:jc w:val="center"/>
                    <w:textAlignment w:val="center"/>
                    <w:rPr>
                      <w:color w:val="auto"/>
                      <w:kern w:val="0"/>
                      <w:szCs w:val="21"/>
                      <w:lang w:bidi="ar"/>
                    </w:rPr>
                  </w:pPr>
                  <w:r>
                    <w:rPr>
                      <w:color w:val="auto"/>
                      <w:kern w:val="0"/>
                      <w:szCs w:val="21"/>
                      <w:lang w:bidi="ar"/>
                    </w:rPr>
                    <w:t>0.76512</w:t>
                  </w:r>
                </w:p>
              </w:tc>
              <w:tc>
                <w:tcPr>
                  <w:tcW w:w="969" w:type="dxa"/>
                  <w:vAlign w:val="center"/>
                </w:tcPr>
                <w:p w14:paraId="3DF031EC">
                  <w:pPr>
                    <w:widowControl/>
                    <w:jc w:val="center"/>
                    <w:textAlignment w:val="center"/>
                    <w:rPr>
                      <w:color w:val="auto"/>
                      <w:kern w:val="0"/>
                      <w:szCs w:val="21"/>
                      <w:lang w:bidi="ar"/>
                    </w:rPr>
                  </w:pPr>
                  <w:r>
                    <w:rPr>
                      <w:color w:val="auto"/>
                      <w:kern w:val="0"/>
                      <w:szCs w:val="21"/>
                      <w:lang w:bidi="ar"/>
                    </w:rPr>
                    <w:t>0.26454</w:t>
                  </w:r>
                </w:p>
              </w:tc>
              <w:tc>
                <w:tcPr>
                  <w:tcW w:w="328" w:type="pct"/>
                  <w:vAlign w:val="center"/>
                </w:tcPr>
                <w:p w14:paraId="42B7EF98">
                  <w:pPr>
                    <w:widowControl/>
                    <w:jc w:val="center"/>
                    <w:textAlignment w:val="center"/>
                    <w:rPr>
                      <w:color w:val="auto"/>
                      <w:kern w:val="0"/>
                      <w:szCs w:val="21"/>
                      <w:lang w:bidi="ar"/>
                    </w:rPr>
                  </w:pPr>
                  <w:r>
                    <w:rPr>
                      <w:color w:val="auto"/>
                      <w:kern w:val="0"/>
                      <w:szCs w:val="21"/>
                      <w:lang w:bidi="ar"/>
                    </w:rPr>
                    <w:t>/</w:t>
                  </w:r>
                </w:p>
              </w:tc>
              <w:tc>
                <w:tcPr>
                  <w:tcW w:w="382" w:type="pct"/>
                  <w:vMerge w:val="restart"/>
                  <w:vAlign w:val="center"/>
                </w:tcPr>
                <w:p w14:paraId="256F714A">
                  <w:pPr>
                    <w:widowControl/>
                    <w:jc w:val="center"/>
                    <w:textAlignment w:val="center"/>
                    <w:rPr>
                      <w:color w:val="auto"/>
                      <w:kern w:val="0"/>
                      <w:szCs w:val="21"/>
                      <w:lang w:bidi="ar"/>
                    </w:rPr>
                  </w:pPr>
                  <w:r>
                    <w:rPr>
                      <w:rFonts w:hint="eastAsia"/>
                      <w:color w:val="auto"/>
                      <w:kern w:val="0"/>
                      <w:szCs w:val="21"/>
                      <w:lang w:bidi="ar"/>
                    </w:rPr>
                    <w:t>加强车间内通风换气</w:t>
                  </w:r>
                </w:p>
              </w:tc>
              <w:tc>
                <w:tcPr>
                  <w:tcW w:w="241" w:type="pct"/>
                  <w:vMerge w:val="restart"/>
                  <w:vAlign w:val="center"/>
                </w:tcPr>
                <w:p w14:paraId="3F59D9E8">
                  <w:pPr>
                    <w:widowControl/>
                    <w:jc w:val="center"/>
                    <w:textAlignment w:val="center"/>
                    <w:rPr>
                      <w:color w:val="auto"/>
                      <w:kern w:val="0"/>
                      <w:szCs w:val="21"/>
                      <w:lang w:bidi="ar"/>
                    </w:rPr>
                  </w:pPr>
                  <w:r>
                    <w:rPr>
                      <w:rFonts w:hint="eastAsia"/>
                      <w:color w:val="auto"/>
                      <w:kern w:val="0"/>
                      <w:szCs w:val="21"/>
                      <w:lang w:bidi="ar"/>
                    </w:rPr>
                    <w:t>/</w:t>
                  </w:r>
                </w:p>
              </w:tc>
              <w:tc>
                <w:tcPr>
                  <w:tcW w:w="224" w:type="pct"/>
                  <w:vMerge w:val="restart"/>
                  <w:vAlign w:val="center"/>
                </w:tcPr>
                <w:p w14:paraId="750971B2">
                  <w:pPr>
                    <w:widowControl/>
                    <w:jc w:val="center"/>
                    <w:textAlignment w:val="center"/>
                    <w:rPr>
                      <w:color w:val="auto"/>
                      <w:kern w:val="0"/>
                      <w:szCs w:val="21"/>
                      <w:lang w:bidi="ar"/>
                    </w:rPr>
                  </w:pPr>
                  <w:r>
                    <w:rPr>
                      <w:rFonts w:hint="eastAsia"/>
                      <w:color w:val="auto"/>
                      <w:kern w:val="0"/>
                      <w:szCs w:val="21"/>
                      <w:lang w:bidi="ar"/>
                    </w:rPr>
                    <w:t>/</w:t>
                  </w:r>
                </w:p>
              </w:tc>
              <w:tc>
                <w:tcPr>
                  <w:tcW w:w="370" w:type="pct"/>
                  <w:vMerge w:val="restart"/>
                  <w:vAlign w:val="center"/>
                </w:tcPr>
                <w:p w14:paraId="065BA065">
                  <w:pPr>
                    <w:widowControl/>
                    <w:jc w:val="center"/>
                    <w:textAlignment w:val="center"/>
                    <w:rPr>
                      <w:color w:val="auto"/>
                      <w:kern w:val="0"/>
                      <w:szCs w:val="21"/>
                      <w:lang w:bidi="ar"/>
                    </w:rPr>
                  </w:pPr>
                  <w:r>
                    <w:rPr>
                      <w:rFonts w:hint="eastAsia"/>
                      <w:color w:val="auto"/>
                      <w:kern w:val="0"/>
                      <w:szCs w:val="21"/>
                      <w:lang w:bidi="ar"/>
                    </w:rPr>
                    <w:t>/</w:t>
                  </w:r>
                </w:p>
              </w:tc>
              <w:tc>
                <w:tcPr>
                  <w:tcW w:w="1000" w:type="dxa"/>
                  <w:vAlign w:val="center"/>
                </w:tcPr>
                <w:p w14:paraId="0424F75F">
                  <w:pPr>
                    <w:widowControl/>
                    <w:jc w:val="center"/>
                    <w:textAlignment w:val="center"/>
                    <w:rPr>
                      <w:color w:val="auto"/>
                      <w:kern w:val="0"/>
                      <w:szCs w:val="21"/>
                      <w:lang w:bidi="ar"/>
                    </w:rPr>
                  </w:pPr>
                  <w:r>
                    <w:rPr>
                      <w:color w:val="auto"/>
                      <w:kern w:val="0"/>
                      <w:szCs w:val="21"/>
                      <w:lang w:bidi="ar"/>
                    </w:rPr>
                    <w:t>0.76512</w:t>
                  </w:r>
                </w:p>
              </w:tc>
              <w:tc>
                <w:tcPr>
                  <w:tcW w:w="930" w:type="dxa"/>
                  <w:vAlign w:val="center"/>
                </w:tcPr>
                <w:p w14:paraId="19329F3A">
                  <w:pPr>
                    <w:widowControl/>
                    <w:jc w:val="center"/>
                    <w:textAlignment w:val="center"/>
                    <w:rPr>
                      <w:color w:val="auto"/>
                      <w:kern w:val="0"/>
                      <w:szCs w:val="21"/>
                      <w:lang w:bidi="ar"/>
                    </w:rPr>
                  </w:pPr>
                  <w:r>
                    <w:rPr>
                      <w:color w:val="auto"/>
                      <w:kern w:val="0"/>
                      <w:szCs w:val="21"/>
                      <w:lang w:bidi="ar"/>
                    </w:rPr>
                    <w:t>0.26454</w:t>
                  </w:r>
                </w:p>
              </w:tc>
              <w:tc>
                <w:tcPr>
                  <w:tcW w:w="317" w:type="pct"/>
                  <w:vAlign w:val="center"/>
                </w:tcPr>
                <w:p w14:paraId="461331E3">
                  <w:pPr>
                    <w:widowControl/>
                    <w:jc w:val="center"/>
                    <w:textAlignment w:val="center"/>
                    <w:rPr>
                      <w:color w:val="auto"/>
                      <w:kern w:val="0"/>
                      <w:szCs w:val="21"/>
                      <w:lang w:bidi="ar"/>
                    </w:rPr>
                  </w:pPr>
                  <w:r>
                    <w:rPr>
                      <w:color w:val="auto"/>
                      <w:kern w:val="0"/>
                      <w:szCs w:val="21"/>
                      <w:lang w:bidi="ar"/>
                    </w:rPr>
                    <w:t>/</w:t>
                  </w:r>
                </w:p>
              </w:tc>
              <w:tc>
                <w:tcPr>
                  <w:tcW w:w="243" w:type="pct"/>
                  <w:vMerge w:val="restart"/>
                  <w:vAlign w:val="center"/>
                </w:tcPr>
                <w:p w14:paraId="696DA5AF">
                  <w:pPr>
                    <w:pStyle w:val="77"/>
                    <w:jc w:val="center"/>
                    <w:rPr>
                      <w:color w:val="auto"/>
                      <w:szCs w:val="21"/>
                    </w:rPr>
                  </w:pPr>
                  <w:r>
                    <w:rPr>
                      <w:rFonts w:hint="eastAsia"/>
                      <w:color w:val="auto"/>
                      <w:szCs w:val="21"/>
                    </w:rPr>
                    <w:t>3000</w:t>
                  </w:r>
                </w:p>
              </w:tc>
            </w:tr>
            <w:tr w14:paraId="3C644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1AF99D52">
                  <w:pPr>
                    <w:widowControl/>
                    <w:jc w:val="center"/>
                    <w:textAlignment w:val="center"/>
                    <w:rPr>
                      <w:color w:val="auto"/>
                    </w:rPr>
                  </w:pPr>
                </w:p>
              </w:tc>
              <w:tc>
                <w:tcPr>
                  <w:tcW w:w="299" w:type="pct"/>
                  <w:vMerge w:val="continue"/>
                  <w:vAlign w:val="center"/>
                </w:tcPr>
                <w:p w14:paraId="751504EA">
                  <w:pPr>
                    <w:widowControl/>
                    <w:jc w:val="center"/>
                    <w:textAlignment w:val="center"/>
                    <w:rPr>
                      <w:color w:val="auto"/>
                    </w:rPr>
                  </w:pPr>
                </w:p>
              </w:tc>
              <w:tc>
                <w:tcPr>
                  <w:tcW w:w="431" w:type="pct"/>
                  <w:vMerge w:val="continue"/>
                  <w:vAlign w:val="center"/>
                </w:tcPr>
                <w:p w14:paraId="426A72B4">
                  <w:pPr>
                    <w:widowControl/>
                    <w:jc w:val="center"/>
                    <w:textAlignment w:val="center"/>
                    <w:rPr>
                      <w:color w:val="auto"/>
                    </w:rPr>
                  </w:pPr>
                </w:p>
              </w:tc>
              <w:tc>
                <w:tcPr>
                  <w:tcW w:w="363" w:type="pct"/>
                  <w:vAlign w:val="center"/>
                </w:tcPr>
                <w:p w14:paraId="08BF3A3C">
                  <w:pPr>
                    <w:widowControl/>
                    <w:jc w:val="center"/>
                    <w:textAlignment w:val="center"/>
                    <w:rPr>
                      <w:color w:val="auto"/>
                      <w:kern w:val="0"/>
                      <w:szCs w:val="21"/>
                      <w:lang w:bidi="ar"/>
                    </w:rPr>
                  </w:pPr>
                  <w:r>
                    <w:rPr>
                      <w:rFonts w:hint="eastAsia"/>
                      <w:color w:val="auto"/>
                      <w:kern w:val="0"/>
                      <w:szCs w:val="21"/>
                      <w:lang w:bidi="ar"/>
                    </w:rPr>
                    <w:t>TVOC</w:t>
                  </w:r>
                </w:p>
              </w:tc>
              <w:tc>
                <w:tcPr>
                  <w:tcW w:w="329" w:type="pct"/>
                  <w:vAlign w:val="center"/>
                </w:tcPr>
                <w:p w14:paraId="2B29D748">
                  <w:pPr>
                    <w:widowControl/>
                    <w:jc w:val="center"/>
                    <w:textAlignment w:val="center"/>
                    <w:rPr>
                      <w:color w:val="auto"/>
                      <w:kern w:val="0"/>
                      <w:szCs w:val="21"/>
                      <w:lang w:bidi="ar"/>
                    </w:rPr>
                  </w:pPr>
                  <w:r>
                    <w:rPr>
                      <w:rFonts w:hint="eastAsia"/>
                      <w:color w:val="auto"/>
                      <w:kern w:val="0"/>
                      <w:szCs w:val="21"/>
                      <w:lang w:bidi="ar"/>
                    </w:rPr>
                    <w:t>/</w:t>
                  </w:r>
                </w:p>
              </w:tc>
              <w:tc>
                <w:tcPr>
                  <w:tcW w:w="977" w:type="dxa"/>
                  <w:vAlign w:val="center"/>
                </w:tcPr>
                <w:p w14:paraId="7F34A391">
                  <w:pPr>
                    <w:widowControl/>
                    <w:jc w:val="center"/>
                    <w:textAlignment w:val="center"/>
                    <w:rPr>
                      <w:color w:val="auto"/>
                      <w:kern w:val="0"/>
                      <w:szCs w:val="21"/>
                      <w:lang w:bidi="ar"/>
                    </w:rPr>
                  </w:pPr>
                  <w:r>
                    <w:rPr>
                      <w:color w:val="auto"/>
                      <w:kern w:val="0"/>
                      <w:szCs w:val="21"/>
                      <w:lang w:bidi="ar"/>
                    </w:rPr>
                    <w:t>0.0535</w:t>
                  </w:r>
                </w:p>
              </w:tc>
              <w:tc>
                <w:tcPr>
                  <w:tcW w:w="969" w:type="dxa"/>
                  <w:vAlign w:val="center"/>
                </w:tcPr>
                <w:p w14:paraId="2173FDA5">
                  <w:pPr>
                    <w:widowControl/>
                    <w:jc w:val="center"/>
                    <w:textAlignment w:val="center"/>
                    <w:rPr>
                      <w:color w:val="auto"/>
                      <w:kern w:val="0"/>
                      <w:szCs w:val="21"/>
                      <w:lang w:bidi="ar"/>
                    </w:rPr>
                  </w:pPr>
                  <w:r>
                    <w:rPr>
                      <w:color w:val="auto"/>
                      <w:kern w:val="0"/>
                      <w:szCs w:val="21"/>
                      <w:lang w:bidi="ar"/>
                    </w:rPr>
                    <w:t>0.0189</w:t>
                  </w:r>
                </w:p>
              </w:tc>
              <w:tc>
                <w:tcPr>
                  <w:tcW w:w="328" w:type="pct"/>
                  <w:vAlign w:val="center"/>
                </w:tcPr>
                <w:p w14:paraId="79D6621A">
                  <w:pPr>
                    <w:widowControl/>
                    <w:jc w:val="center"/>
                    <w:textAlignment w:val="center"/>
                    <w:rPr>
                      <w:color w:val="auto"/>
                      <w:kern w:val="0"/>
                      <w:szCs w:val="21"/>
                      <w:lang w:bidi="ar"/>
                    </w:rPr>
                  </w:pPr>
                  <w:r>
                    <w:rPr>
                      <w:color w:val="auto"/>
                      <w:kern w:val="0"/>
                      <w:szCs w:val="21"/>
                      <w:lang w:bidi="ar"/>
                    </w:rPr>
                    <w:t>/</w:t>
                  </w:r>
                </w:p>
              </w:tc>
              <w:tc>
                <w:tcPr>
                  <w:tcW w:w="382" w:type="pct"/>
                  <w:vMerge w:val="continue"/>
                  <w:vAlign w:val="center"/>
                </w:tcPr>
                <w:p w14:paraId="307E845F">
                  <w:pPr>
                    <w:widowControl/>
                    <w:jc w:val="center"/>
                    <w:textAlignment w:val="center"/>
                    <w:rPr>
                      <w:color w:val="auto"/>
                      <w:kern w:val="0"/>
                      <w:szCs w:val="21"/>
                      <w:lang w:bidi="ar"/>
                    </w:rPr>
                  </w:pPr>
                </w:p>
              </w:tc>
              <w:tc>
                <w:tcPr>
                  <w:tcW w:w="241" w:type="pct"/>
                  <w:vMerge w:val="continue"/>
                  <w:vAlign w:val="center"/>
                </w:tcPr>
                <w:p w14:paraId="00A8ECFC">
                  <w:pPr>
                    <w:widowControl/>
                    <w:jc w:val="center"/>
                    <w:textAlignment w:val="center"/>
                    <w:rPr>
                      <w:color w:val="auto"/>
                      <w:kern w:val="0"/>
                      <w:szCs w:val="21"/>
                      <w:lang w:bidi="ar"/>
                    </w:rPr>
                  </w:pPr>
                </w:p>
              </w:tc>
              <w:tc>
                <w:tcPr>
                  <w:tcW w:w="224" w:type="pct"/>
                  <w:vMerge w:val="continue"/>
                  <w:vAlign w:val="center"/>
                </w:tcPr>
                <w:p w14:paraId="6B982310">
                  <w:pPr>
                    <w:widowControl/>
                    <w:jc w:val="center"/>
                    <w:textAlignment w:val="center"/>
                    <w:rPr>
                      <w:color w:val="auto"/>
                      <w:kern w:val="0"/>
                      <w:szCs w:val="21"/>
                      <w:lang w:bidi="ar"/>
                    </w:rPr>
                  </w:pPr>
                </w:p>
              </w:tc>
              <w:tc>
                <w:tcPr>
                  <w:tcW w:w="370" w:type="pct"/>
                  <w:vMerge w:val="continue"/>
                  <w:vAlign w:val="center"/>
                </w:tcPr>
                <w:p w14:paraId="4685FA66">
                  <w:pPr>
                    <w:widowControl/>
                    <w:jc w:val="center"/>
                    <w:textAlignment w:val="center"/>
                    <w:rPr>
                      <w:color w:val="auto"/>
                      <w:kern w:val="0"/>
                      <w:szCs w:val="21"/>
                      <w:lang w:bidi="ar"/>
                    </w:rPr>
                  </w:pPr>
                </w:p>
              </w:tc>
              <w:tc>
                <w:tcPr>
                  <w:tcW w:w="1000" w:type="dxa"/>
                  <w:vAlign w:val="center"/>
                </w:tcPr>
                <w:p w14:paraId="1CE3FB7D">
                  <w:pPr>
                    <w:widowControl/>
                    <w:jc w:val="center"/>
                    <w:textAlignment w:val="center"/>
                    <w:rPr>
                      <w:color w:val="auto"/>
                      <w:kern w:val="0"/>
                      <w:szCs w:val="21"/>
                      <w:lang w:bidi="ar"/>
                    </w:rPr>
                  </w:pPr>
                  <w:r>
                    <w:rPr>
                      <w:color w:val="auto"/>
                      <w:kern w:val="0"/>
                      <w:szCs w:val="21"/>
                      <w:lang w:bidi="ar"/>
                    </w:rPr>
                    <w:t>0.0535</w:t>
                  </w:r>
                </w:p>
              </w:tc>
              <w:tc>
                <w:tcPr>
                  <w:tcW w:w="930" w:type="dxa"/>
                  <w:vAlign w:val="center"/>
                </w:tcPr>
                <w:p w14:paraId="7133BB7B">
                  <w:pPr>
                    <w:widowControl/>
                    <w:jc w:val="center"/>
                    <w:textAlignment w:val="center"/>
                    <w:rPr>
                      <w:color w:val="auto"/>
                      <w:kern w:val="0"/>
                      <w:szCs w:val="21"/>
                      <w:lang w:bidi="ar"/>
                    </w:rPr>
                  </w:pPr>
                  <w:r>
                    <w:rPr>
                      <w:color w:val="auto"/>
                      <w:kern w:val="0"/>
                      <w:szCs w:val="21"/>
                      <w:lang w:bidi="ar"/>
                    </w:rPr>
                    <w:t>0.0189</w:t>
                  </w:r>
                </w:p>
              </w:tc>
              <w:tc>
                <w:tcPr>
                  <w:tcW w:w="317" w:type="pct"/>
                  <w:vAlign w:val="center"/>
                </w:tcPr>
                <w:p w14:paraId="68AC4C0D">
                  <w:pPr>
                    <w:widowControl/>
                    <w:jc w:val="center"/>
                    <w:textAlignment w:val="center"/>
                    <w:rPr>
                      <w:color w:val="auto"/>
                      <w:kern w:val="0"/>
                      <w:szCs w:val="21"/>
                      <w:lang w:bidi="ar"/>
                    </w:rPr>
                  </w:pPr>
                  <w:r>
                    <w:rPr>
                      <w:color w:val="auto"/>
                      <w:kern w:val="0"/>
                      <w:szCs w:val="21"/>
                      <w:lang w:bidi="ar"/>
                    </w:rPr>
                    <w:t>/</w:t>
                  </w:r>
                </w:p>
              </w:tc>
              <w:tc>
                <w:tcPr>
                  <w:tcW w:w="243" w:type="pct"/>
                  <w:vMerge w:val="continue"/>
                  <w:vAlign w:val="center"/>
                </w:tcPr>
                <w:p w14:paraId="34EE7DFE">
                  <w:pPr>
                    <w:widowControl/>
                    <w:jc w:val="center"/>
                    <w:textAlignment w:val="center"/>
                    <w:rPr>
                      <w:color w:val="auto"/>
                      <w:kern w:val="0"/>
                      <w:szCs w:val="21"/>
                      <w:lang w:bidi="ar"/>
                    </w:rPr>
                  </w:pPr>
                </w:p>
              </w:tc>
            </w:tr>
            <w:tr w14:paraId="409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6E5142AA">
                  <w:pPr>
                    <w:widowControl/>
                    <w:jc w:val="center"/>
                    <w:textAlignment w:val="center"/>
                    <w:rPr>
                      <w:color w:val="auto"/>
                      <w:kern w:val="0"/>
                      <w:szCs w:val="21"/>
                      <w:lang w:bidi="ar"/>
                    </w:rPr>
                  </w:pPr>
                </w:p>
              </w:tc>
              <w:tc>
                <w:tcPr>
                  <w:tcW w:w="299" w:type="pct"/>
                  <w:vMerge w:val="continue"/>
                  <w:vAlign w:val="center"/>
                </w:tcPr>
                <w:p w14:paraId="3E776067">
                  <w:pPr>
                    <w:widowControl/>
                    <w:jc w:val="center"/>
                    <w:textAlignment w:val="center"/>
                    <w:rPr>
                      <w:color w:val="auto"/>
                      <w:kern w:val="0"/>
                      <w:szCs w:val="21"/>
                      <w:lang w:bidi="ar"/>
                    </w:rPr>
                  </w:pPr>
                </w:p>
              </w:tc>
              <w:tc>
                <w:tcPr>
                  <w:tcW w:w="431" w:type="pct"/>
                  <w:vMerge w:val="continue"/>
                  <w:vAlign w:val="center"/>
                </w:tcPr>
                <w:p w14:paraId="04BA37F2">
                  <w:pPr>
                    <w:widowControl/>
                    <w:jc w:val="center"/>
                    <w:textAlignment w:val="center"/>
                    <w:rPr>
                      <w:color w:val="auto"/>
                      <w:kern w:val="0"/>
                      <w:szCs w:val="21"/>
                      <w:lang w:bidi="ar"/>
                    </w:rPr>
                  </w:pPr>
                </w:p>
              </w:tc>
              <w:tc>
                <w:tcPr>
                  <w:tcW w:w="363" w:type="pct"/>
                  <w:vAlign w:val="center"/>
                </w:tcPr>
                <w:p w14:paraId="7701014C">
                  <w:pPr>
                    <w:widowControl/>
                    <w:jc w:val="center"/>
                    <w:textAlignment w:val="center"/>
                    <w:rPr>
                      <w:color w:val="auto"/>
                      <w:kern w:val="0"/>
                      <w:szCs w:val="21"/>
                      <w:lang w:bidi="ar"/>
                    </w:rPr>
                  </w:pPr>
                  <w:r>
                    <w:rPr>
                      <w:rFonts w:hint="eastAsia"/>
                      <w:color w:val="auto"/>
                      <w:kern w:val="0"/>
                      <w:szCs w:val="21"/>
                      <w:lang w:bidi="ar"/>
                    </w:rPr>
                    <w:t>氮氧化物</w:t>
                  </w:r>
                </w:p>
              </w:tc>
              <w:tc>
                <w:tcPr>
                  <w:tcW w:w="329" w:type="pct"/>
                  <w:vAlign w:val="center"/>
                </w:tcPr>
                <w:p w14:paraId="7C9BBE43">
                  <w:pPr>
                    <w:widowControl/>
                    <w:jc w:val="center"/>
                    <w:textAlignment w:val="center"/>
                    <w:rPr>
                      <w:color w:val="auto"/>
                      <w:kern w:val="0"/>
                      <w:szCs w:val="21"/>
                      <w:lang w:bidi="ar"/>
                    </w:rPr>
                  </w:pPr>
                  <w:r>
                    <w:rPr>
                      <w:rFonts w:hint="eastAsia"/>
                      <w:color w:val="auto"/>
                      <w:kern w:val="0"/>
                      <w:szCs w:val="21"/>
                      <w:lang w:bidi="ar"/>
                    </w:rPr>
                    <w:t>/</w:t>
                  </w:r>
                </w:p>
              </w:tc>
              <w:tc>
                <w:tcPr>
                  <w:tcW w:w="977" w:type="dxa"/>
                  <w:vAlign w:val="center"/>
                </w:tcPr>
                <w:p w14:paraId="7DDF01B4">
                  <w:pPr>
                    <w:widowControl/>
                    <w:jc w:val="center"/>
                    <w:textAlignment w:val="center"/>
                    <w:rPr>
                      <w:color w:val="auto"/>
                      <w:kern w:val="0"/>
                      <w:szCs w:val="21"/>
                      <w:lang w:bidi="ar"/>
                    </w:rPr>
                  </w:pPr>
                  <w:r>
                    <w:rPr>
                      <w:color w:val="auto"/>
                      <w:kern w:val="0"/>
                      <w:szCs w:val="21"/>
                      <w:lang w:bidi="ar"/>
                    </w:rPr>
                    <w:t>0.0001</w:t>
                  </w:r>
                </w:p>
              </w:tc>
              <w:tc>
                <w:tcPr>
                  <w:tcW w:w="969" w:type="dxa"/>
                  <w:vAlign w:val="center"/>
                </w:tcPr>
                <w:p w14:paraId="6F514FD9">
                  <w:pPr>
                    <w:widowControl/>
                    <w:jc w:val="center"/>
                    <w:textAlignment w:val="center"/>
                    <w:rPr>
                      <w:color w:val="auto"/>
                      <w:kern w:val="0"/>
                      <w:szCs w:val="21"/>
                      <w:lang w:bidi="ar"/>
                    </w:rPr>
                  </w:pPr>
                  <w:r>
                    <w:rPr>
                      <w:color w:val="auto"/>
                      <w:kern w:val="0"/>
                      <w:szCs w:val="21"/>
                      <w:lang w:bidi="ar"/>
                    </w:rPr>
                    <w:t>0.0001</w:t>
                  </w:r>
                </w:p>
              </w:tc>
              <w:tc>
                <w:tcPr>
                  <w:tcW w:w="328" w:type="pct"/>
                  <w:vAlign w:val="center"/>
                </w:tcPr>
                <w:p w14:paraId="1D71229B">
                  <w:pPr>
                    <w:widowControl/>
                    <w:jc w:val="center"/>
                    <w:textAlignment w:val="center"/>
                    <w:rPr>
                      <w:color w:val="auto"/>
                      <w:kern w:val="0"/>
                      <w:szCs w:val="21"/>
                      <w:lang w:bidi="ar"/>
                    </w:rPr>
                  </w:pPr>
                  <w:r>
                    <w:rPr>
                      <w:color w:val="auto"/>
                      <w:kern w:val="0"/>
                      <w:szCs w:val="21"/>
                      <w:lang w:bidi="ar"/>
                    </w:rPr>
                    <w:t>/</w:t>
                  </w:r>
                </w:p>
              </w:tc>
              <w:tc>
                <w:tcPr>
                  <w:tcW w:w="382" w:type="pct"/>
                  <w:vMerge w:val="continue"/>
                  <w:vAlign w:val="center"/>
                </w:tcPr>
                <w:p w14:paraId="18496802">
                  <w:pPr>
                    <w:widowControl/>
                    <w:jc w:val="center"/>
                    <w:textAlignment w:val="center"/>
                    <w:rPr>
                      <w:color w:val="auto"/>
                      <w:kern w:val="0"/>
                      <w:szCs w:val="21"/>
                      <w:lang w:bidi="ar"/>
                    </w:rPr>
                  </w:pPr>
                </w:p>
              </w:tc>
              <w:tc>
                <w:tcPr>
                  <w:tcW w:w="241" w:type="pct"/>
                  <w:vMerge w:val="continue"/>
                  <w:vAlign w:val="center"/>
                </w:tcPr>
                <w:p w14:paraId="5327C415">
                  <w:pPr>
                    <w:widowControl/>
                    <w:jc w:val="center"/>
                    <w:textAlignment w:val="center"/>
                    <w:rPr>
                      <w:color w:val="auto"/>
                      <w:kern w:val="0"/>
                      <w:szCs w:val="21"/>
                      <w:lang w:bidi="ar"/>
                    </w:rPr>
                  </w:pPr>
                </w:p>
              </w:tc>
              <w:tc>
                <w:tcPr>
                  <w:tcW w:w="224" w:type="pct"/>
                  <w:vMerge w:val="continue"/>
                  <w:vAlign w:val="center"/>
                </w:tcPr>
                <w:p w14:paraId="379A2BAD">
                  <w:pPr>
                    <w:widowControl/>
                    <w:jc w:val="center"/>
                    <w:textAlignment w:val="center"/>
                    <w:rPr>
                      <w:color w:val="auto"/>
                      <w:kern w:val="0"/>
                      <w:szCs w:val="21"/>
                      <w:lang w:bidi="ar"/>
                    </w:rPr>
                  </w:pPr>
                </w:p>
              </w:tc>
              <w:tc>
                <w:tcPr>
                  <w:tcW w:w="370" w:type="pct"/>
                  <w:vMerge w:val="continue"/>
                  <w:vAlign w:val="center"/>
                </w:tcPr>
                <w:p w14:paraId="308A61B7">
                  <w:pPr>
                    <w:widowControl/>
                    <w:jc w:val="center"/>
                    <w:textAlignment w:val="center"/>
                    <w:rPr>
                      <w:color w:val="auto"/>
                      <w:kern w:val="0"/>
                      <w:szCs w:val="21"/>
                      <w:lang w:bidi="ar"/>
                    </w:rPr>
                  </w:pPr>
                </w:p>
              </w:tc>
              <w:tc>
                <w:tcPr>
                  <w:tcW w:w="1000" w:type="dxa"/>
                  <w:vAlign w:val="center"/>
                </w:tcPr>
                <w:p w14:paraId="47D38977">
                  <w:pPr>
                    <w:widowControl/>
                    <w:jc w:val="center"/>
                    <w:textAlignment w:val="center"/>
                    <w:rPr>
                      <w:color w:val="auto"/>
                      <w:kern w:val="0"/>
                      <w:szCs w:val="21"/>
                      <w:lang w:bidi="ar"/>
                    </w:rPr>
                  </w:pPr>
                  <w:r>
                    <w:rPr>
                      <w:color w:val="auto"/>
                      <w:kern w:val="0"/>
                      <w:szCs w:val="21"/>
                      <w:lang w:bidi="ar"/>
                    </w:rPr>
                    <w:t>0.0001</w:t>
                  </w:r>
                </w:p>
              </w:tc>
              <w:tc>
                <w:tcPr>
                  <w:tcW w:w="930" w:type="dxa"/>
                  <w:vAlign w:val="center"/>
                </w:tcPr>
                <w:p w14:paraId="194D67DC">
                  <w:pPr>
                    <w:widowControl/>
                    <w:jc w:val="center"/>
                    <w:textAlignment w:val="center"/>
                    <w:rPr>
                      <w:color w:val="auto"/>
                      <w:kern w:val="0"/>
                      <w:szCs w:val="21"/>
                      <w:lang w:bidi="ar"/>
                    </w:rPr>
                  </w:pPr>
                  <w:r>
                    <w:rPr>
                      <w:color w:val="auto"/>
                      <w:kern w:val="0"/>
                      <w:szCs w:val="21"/>
                      <w:lang w:bidi="ar"/>
                    </w:rPr>
                    <w:t>0.0001</w:t>
                  </w:r>
                </w:p>
              </w:tc>
              <w:tc>
                <w:tcPr>
                  <w:tcW w:w="317" w:type="pct"/>
                  <w:vAlign w:val="center"/>
                </w:tcPr>
                <w:p w14:paraId="49961D4A">
                  <w:pPr>
                    <w:widowControl/>
                    <w:jc w:val="center"/>
                    <w:textAlignment w:val="center"/>
                    <w:rPr>
                      <w:color w:val="auto"/>
                      <w:kern w:val="0"/>
                      <w:szCs w:val="21"/>
                      <w:lang w:bidi="ar"/>
                    </w:rPr>
                  </w:pPr>
                  <w:r>
                    <w:rPr>
                      <w:color w:val="auto"/>
                      <w:kern w:val="0"/>
                      <w:szCs w:val="21"/>
                      <w:lang w:bidi="ar"/>
                    </w:rPr>
                    <w:t>/</w:t>
                  </w:r>
                </w:p>
              </w:tc>
              <w:tc>
                <w:tcPr>
                  <w:tcW w:w="243" w:type="pct"/>
                  <w:vMerge w:val="continue"/>
                  <w:vAlign w:val="center"/>
                </w:tcPr>
                <w:p w14:paraId="1EEE8CD5">
                  <w:pPr>
                    <w:widowControl/>
                    <w:jc w:val="center"/>
                    <w:textAlignment w:val="center"/>
                    <w:rPr>
                      <w:color w:val="auto"/>
                      <w:kern w:val="0"/>
                      <w:szCs w:val="21"/>
                      <w:lang w:bidi="ar"/>
                    </w:rPr>
                  </w:pPr>
                </w:p>
              </w:tc>
            </w:tr>
            <w:tr w14:paraId="036B2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751A2E3E">
                  <w:pPr>
                    <w:widowControl/>
                    <w:jc w:val="center"/>
                    <w:textAlignment w:val="center"/>
                    <w:rPr>
                      <w:color w:val="auto"/>
                      <w:kern w:val="0"/>
                      <w:szCs w:val="21"/>
                      <w:lang w:bidi="ar"/>
                    </w:rPr>
                  </w:pPr>
                </w:p>
              </w:tc>
              <w:tc>
                <w:tcPr>
                  <w:tcW w:w="299" w:type="pct"/>
                  <w:vMerge w:val="continue"/>
                  <w:vAlign w:val="center"/>
                </w:tcPr>
                <w:p w14:paraId="086D07EC">
                  <w:pPr>
                    <w:widowControl/>
                    <w:jc w:val="center"/>
                    <w:textAlignment w:val="center"/>
                    <w:rPr>
                      <w:color w:val="auto"/>
                      <w:kern w:val="0"/>
                      <w:szCs w:val="21"/>
                      <w:lang w:bidi="ar"/>
                    </w:rPr>
                  </w:pPr>
                </w:p>
              </w:tc>
              <w:tc>
                <w:tcPr>
                  <w:tcW w:w="431" w:type="pct"/>
                  <w:vMerge w:val="continue"/>
                  <w:vAlign w:val="center"/>
                </w:tcPr>
                <w:p w14:paraId="59D5A4E7">
                  <w:pPr>
                    <w:widowControl/>
                    <w:jc w:val="center"/>
                    <w:textAlignment w:val="center"/>
                    <w:rPr>
                      <w:color w:val="auto"/>
                      <w:kern w:val="0"/>
                      <w:szCs w:val="21"/>
                      <w:lang w:bidi="ar"/>
                    </w:rPr>
                  </w:pPr>
                </w:p>
              </w:tc>
              <w:tc>
                <w:tcPr>
                  <w:tcW w:w="363" w:type="pct"/>
                  <w:vAlign w:val="center"/>
                </w:tcPr>
                <w:p w14:paraId="74240649">
                  <w:pPr>
                    <w:widowControl/>
                    <w:jc w:val="center"/>
                    <w:textAlignment w:val="center"/>
                    <w:rPr>
                      <w:color w:val="auto"/>
                      <w:kern w:val="0"/>
                      <w:szCs w:val="21"/>
                      <w:lang w:bidi="ar"/>
                    </w:rPr>
                  </w:pPr>
                  <w:r>
                    <w:rPr>
                      <w:rFonts w:hint="eastAsia"/>
                      <w:color w:val="auto"/>
                      <w:kern w:val="0"/>
                      <w:szCs w:val="21"/>
                      <w:lang w:bidi="ar"/>
                    </w:rPr>
                    <w:t>二氧化硫</w:t>
                  </w:r>
                </w:p>
              </w:tc>
              <w:tc>
                <w:tcPr>
                  <w:tcW w:w="329" w:type="pct"/>
                  <w:vAlign w:val="center"/>
                </w:tcPr>
                <w:p w14:paraId="25120C97">
                  <w:pPr>
                    <w:widowControl/>
                    <w:jc w:val="center"/>
                    <w:textAlignment w:val="center"/>
                    <w:rPr>
                      <w:color w:val="auto"/>
                      <w:kern w:val="0"/>
                      <w:szCs w:val="21"/>
                      <w:lang w:bidi="ar"/>
                    </w:rPr>
                  </w:pPr>
                  <w:r>
                    <w:rPr>
                      <w:rFonts w:hint="eastAsia"/>
                      <w:color w:val="auto"/>
                      <w:kern w:val="0"/>
                      <w:szCs w:val="21"/>
                      <w:lang w:bidi="ar"/>
                    </w:rPr>
                    <w:t>/</w:t>
                  </w:r>
                </w:p>
              </w:tc>
              <w:tc>
                <w:tcPr>
                  <w:tcW w:w="977" w:type="dxa"/>
                  <w:vAlign w:val="center"/>
                </w:tcPr>
                <w:p w14:paraId="4079D040">
                  <w:pPr>
                    <w:widowControl/>
                    <w:jc w:val="center"/>
                    <w:textAlignment w:val="center"/>
                    <w:rPr>
                      <w:color w:val="auto"/>
                      <w:kern w:val="0"/>
                      <w:szCs w:val="21"/>
                      <w:lang w:bidi="ar"/>
                    </w:rPr>
                  </w:pPr>
                  <w:r>
                    <w:rPr>
                      <w:color w:val="auto"/>
                      <w:kern w:val="0"/>
                      <w:szCs w:val="21"/>
                      <w:lang w:bidi="ar"/>
                    </w:rPr>
                    <w:t>0.00001</w:t>
                  </w:r>
                </w:p>
              </w:tc>
              <w:tc>
                <w:tcPr>
                  <w:tcW w:w="969" w:type="dxa"/>
                  <w:vAlign w:val="center"/>
                </w:tcPr>
                <w:p w14:paraId="1C370776">
                  <w:pPr>
                    <w:widowControl/>
                    <w:jc w:val="center"/>
                    <w:textAlignment w:val="center"/>
                    <w:rPr>
                      <w:color w:val="auto"/>
                      <w:kern w:val="0"/>
                      <w:szCs w:val="21"/>
                      <w:lang w:bidi="ar"/>
                    </w:rPr>
                  </w:pPr>
                  <w:r>
                    <w:rPr>
                      <w:color w:val="auto"/>
                      <w:kern w:val="0"/>
                      <w:szCs w:val="21"/>
                      <w:lang w:bidi="ar"/>
                    </w:rPr>
                    <w:t>0.00002</w:t>
                  </w:r>
                </w:p>
              </w:tc>
              <w:tc>
                <w:tcPr>
                  <w:tcW w:w="328" w:type="pct"/>
                  <w:vAlign w:val="center"/>
                </w:tcPr>
                <w:p w14:paraId="0625F60A">
                  <w:pPr>
                    <w:widowControl/>
                    <w:jc w:val="center"/>
                    <w:textAlignment w:val="center"/>
                    <w:rPr>
                      <w:color w:val="auto"/>
                      <w:kern w:val="0"/>
                      <w:szCs w:val="21"/>
                      <w:lang w:bidi="ar"/>
                    </w:rPr>
                  </w:pPr>
                  <w:r>
                    <w:rPr>
                      <w:color w:val="auto"/>
                      <w:kern w:val="0"/>
                      <w:szCs w:val="21"/>
                      <w:lang w:bidi="ar"/>
                    </w:rPr>
                    <w:t>/</w:t>
                  </w:r>
                </w:p>
              </w:tc>
              <w:tc>
                <w:tcPr>
                  <w:tcW w:w="382" w:type="pct"/>
                  <w:vMerge w:val="continue"/>
                  <w:vAlign w:val="center"/>
                </w:tcPr>
                <w:p w14:paraId="795C8BA3">
                  <w:pPr>
                    <w:widowControl/>
                    <w:jc w:val="center"/>
                    <w:textAlignment w:val="center"/>
                    <w:rPr>
                      <w:color w:val="auto"/>
                      <w:kern w:val="0"/>
                      <w:szCs w:val="21"/>
                      <w:lang w:bidi="ar"/>
                    </w:rPr>
                  </w:pPr>
                </w:p>
              </w:tc>
              <w:tc>
                <w:tcPr>
                  <w:tcW w:w="241" w:type="pct"/>
                  <w:vMerge w:val="continue"/>
                  <w:vAlign w:val="center"/>
                </w:tcPr>
                <w:p w14:paraId="6E65DA48">
                  <w:pPr>
                    <w:widowControl/>
                    <w:jc w:val="center"/>
                    <w:textAlignment w:val="center"/>
                    <w:rPr>
                      <w:color w:val="auto"/>
                      <w:kern w:val="0"/>
                      <w:szCs w:val="21"/>
                      <w:lang w:bidi="ar"/>
                    </w:rPr>
                  </w:pPr>
                </w:p>
              </w:tc>
              <w:tc>
                <w:tcPr>
                  <w:tcW w:w="224" w:type="pct"/>
                  <w:vMerge w:val="continue"/>
                  <w:vAlign w:val="center"/>
                </w:tcPr>
                <w:p w14:paraId="5473F5EA">
                  <w:pPr>
                    <w:widowControl/>
                    <w:jc w:val="center"/>
                    <w:textAlignment w:val="center"/>
                    <w:rPr>
                      <w:color w:val="auto"/>
                      <w:kern w:val="0"/>
                      <w:szCs w:val="21"/>
                      <w:lang w:bidi="ar"/>
                    </w:rPr>
                  </w:pPr>
                </w:p>
              </w:tc>
              <w:tc>
                <w:tcPr>
                  <w:tcW w:w="370" w:type="pct"/>
                  <w:vMerge w:val="continue"/>
                  <w:vAlign w:val="center"/>
                </w:tcPr>
                <w:p w14:paraId="7FADF249">
                  <w:pPr>
                    <w:widowControl/>
                    <w:jc w:val="center"/>
                    <w:textAlignment w:val="center"/>
                    <w:rPr>
                      <w:color w:val="auto"/>
                      <w:kern w:val="0"/>
                      <w:szCs w:val="21"/>
                      <w:lang w:bidi="ar"/>
                    </w:rPr>
                  </w:pPr>
                </w:p>
              </w:tc>
              <w:tc>
                <w:tcPr>
                  <w:tcW w:w="1000" w:type="dxa"/>
                  <w:vAlign w:val="center"/>
                </w:tcPr>
                <w:p w14:paraId="4F34EA62">
                  <w:pPr>
                    <w:widowControl/>
                    <w:jc w:val="center"/>
                    <w:textAlignment w:val="center"/>
                    <w:rPr>
                      <w:color w:val="auto"/>
                      <w:kern w:val="0"/>
                      <w:szCs w:val="21"/>
                      <w:lang w:bidi="ar"/>
                    </w:rPr>
                  </w:pPr>
                  <w:r>
                    <w:rPr>
                      <w:color w:val="auto"/>
                      <w:kern w:val="0"/>
                      <w:szCs w:val="21"/>
                      <w:lang w:bidi="ar"/>
                    </w:rPr>
                    <w:t>0.00001</w:t>
                  </w:r>
                </w:p>
              </w:tc>
              <w:tc>
                <w:tcPr>
                  <w:tcW w:w="930" w:type="dxa"/>
                  <w:vAlign w:val="center"/>
                </w:tcPr>
                <w:p w14:paraId="3C1081DA">
                  <w:pPr>
                    <w:widowControl/>
                    <w:jc w:val="center"/>
                    <w:textAlignment w:val="center"/>
                    <w:rPr>
                      <w:color w:val="auto"/>
                      <w:kern w:val="0"/>
                      <w:szCs w:val="21"/>
                      <w:lang w:bidi="ar"/>
                    </w:rPr>
                  </w:pPr>
                  <w:r>
                    <w:rPr>
                      <w:color w:val="auto"/>
                      <w:kern w:val="0"/>
                      <w:szCs w:val="21"/>
                      <w:lang w:bidi="ar"/>
                    </w:rPr>
                    <w:t>0.00002</w:t>
                  </w:r>
                </w:p>
              </w:tc>
              <w:tc>
                <w:tcPr>
                  <w:tcW w:w="317" w:type="pct"/>
                  <w:vAlign w:val="center"/>
                </w:tcPr>
                <w:p w14:paraId="60525046">
                  <w:pPr>
                    <w:widowControl/>
                    <w:jc w:val="center"/>
                    <w:textAlignment w:val="center"/>
                    <w:rPr>
                      <w:color w:val="auto"/>
                      <w:kern w:val="0"/>
                      <w:szCs w:val="21"/>
                      <w:lang w:bidi="ar"/>
                    </w:rPr>
                  </w:pPr>
                  <w:r>
                    <w:rPr>
                      <w:color w:val="auto"/>
                      <w:kern w:val="0"/>
                      <w:szCs w:val="21"/>
                      <w:lang w:bidi="ar"/>
                    </w:rPr>
                    <w:t>/</w:t>
                  </w:r>
                </w:p>
              </w:tc>
              <w:tc>
                <w:tcPr>
                  <w:tcW w:w="243" w:type="pct"/>
                  <w:vMerge w:val="continue"/>
                  <w:vAlign w:val="center"/>
                </w:tcPr>
                <w:p w14:paraId="50DE8397">
                  <w:pPr>
                    <w:widowControl/>
                    <w:jc w:val="center"/>
                    <w:textAlignment w:val="center"/>
                    <w:rPr>
                      <w:color w:val="auto"/>
                      <w:kern w:val="0"/>
                      <w:szCs w:val="21"/>
                      <w:lang w:bidi="ar"/>
                    </w:rPr>
                  </w:pPr>
                </w:p>
              </w:tc>
            </w:tr>
            <w:tr w14:paraId="76B7B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4024EDB8">
                  <w:pPr>
                    <w:pStyle w:val="70"/>
                    <w:spacing w:beforeLines="0" w:afterLines="0" w:line="240" w:lineRule="auto"/>
                    <w:ind w:firstLine="0"/>
                    <w:rPr>
                      <w:rFonts w:ascii="Times New Roman"/>
                      <w:color w:val="auto"/>
                      <w:sz w:val="21"/>
                      <w:szCs w:val="21"/>
                    </w:rPr>
                  </w:pPr>
                </w:p>
              </w:tc>
              <w:tc>
                <w:tcPr>
                  <w:tcW w:w="299" w:type="pct"/>
                  <w:vMerge w:val="continue"/>
                  <w:vAlign w:val="center"/>
                </w:tcPr>
                <w:p w14:paraId="63C09497">
                  <w:pPr>
                    <w:pStyle w:val="70"/>
                    <w:spacing w:beforeLines="0" w:afterLines="0" w:line="240" w:lineRule="auto"/>
                    <w:ind w:firstLine="0"/>
                    <w:rPr>
                      <w:rFonts w:ascii="Times New Roman"/>
                      <w:color w:val="auto"/>
                      <w:sz w:val="21"/>
                      <w:szCs w:val="21"/>
                    </w:rPr>
                  </w:pPr>
                </w:p>
              </w:tc>
              <w:tc>
                <w:tcPr>
                  <w:tcW w:w="431" w:type="pct"/>
                  <w:vMerge w:val="restart"/>
                  <w:vAlign w:val="center"/>
                </w:tcPr>
                <w:p w14:paraId="6E116282">
                  <w:pPr>
                    <w:widowControl/>
                    <w:jc w:val="center"/>
                    <w:textAlignment w:val="center"/>
                    <w:rPr>
                      <w:color w:val="auto"/>
                      <w:kern w:val="0"/>
                      <w:szCs w:val="21"/>
                      <w:lang w:bidi="ar"/>
                    </w:rPr>
                  </w:pPr>
                  <w:r>
                    <w:rPr>
                      <w:rFonts w:hint="eastAsia"/>
                      <w:bCs/>
                      <w:color w:val="auto"/>
                      <w:kern w:val="0"/>
                      <w:szCs w:val="21"/>
                      <w:lang w:bidi="ar"/>
                    </w:rPr>
                    <w:t>五楼</w:t>
                  </w:r>
                </w:p>
              </w:tc>
              <w:tc>
                <w:tcPr>
                  <w:tcW w:w="363" w:type="pct"/>
                  <w:vAlign w:val="center"/>
                </w:tcPr>
                <w:p w14:paraId="2BFD0685">
                  <w:pPr>
                    <w:widowControl/>
                    <w:jc w:val="center"/>
                    <w:textAlignment w:val="center"/>
                    <w:rPr>
                      <w:color w:val="auto"/>
                      <w:kern w:val="0"/>
                      <w:szCs w:val="21"/>
                      <w:lang w:bidi="ar"/>
                    </w:rPr>
                  </w:pPr>
                  <w:r>
                    <w:rPr>
                      <w:rFonts w:hint="eastAsia"/>
                      <w:color w:val="auto"/>
                      <w:kern w:val="0"/>
                      <w:szCs w:val="21"/>
                      <w:lang w:bidi="ar"/>
                    </w:rPr>
                    <w:t>TVOC</w:t>
                  </w:r>
                </w:p>
              </w:tc>
              <w:tc>
                <w:tcPr>
                  <w:tcW w:w="329" w:type="pct"/>
                  <w:vAlign w:val="center"/>
                </w:tcPr>
                <w:p w14:paraId="24EFE85F">
                  <w:pPr>
                    <w:pStyle w:val="70"/>
                    <w:spacing w:beforeLines="0" w:afterLines="0" w:line="240" w:lineRule="auto"/>
                    <w:ind w:firstLine="0"/>
                    <w:rPr>
                      <w:rFonts w:ascii="Times New Roman"/>
                      <w:color w:val="auto"/>
                      <w:sz w:val="21"/>
                      <w:szCs w:val="21"/>
                    </w:rPr>
                  </w:pPr>
                  <w:r>
                    <w:rPr>
                      <w:rFonts w:hint="eastAsia" w:ascii="Times New Roman"/>
                      <w:color w:val="auto"/>
                      <w:sz w:val="21"/>
                      <w:szCs w:val="21"/>
                    </w:rPr>
                    <w:t>/</w:t>
                  </w:r>
                </w:p>
              </w:tc>
              <w:tc>
                <w:tcPr>
                  <w:tcW w:w="977" w:type="dxa"/>
                  <w:vAlign w:val="center"/>
                </w:tcPr>
                <w:p w14:paraId="22B24600">
                  <w:pPr>
                    <w:widowControl/>
                    <w:jc w:val="center"/>
                    <w:textAlignment w:val="center"/>
                    <w:rPr>
                      <w:color w:val="auto"/>
                      <w:kern w:val="0"/>
                      <w:szCs w:val="21"/>
                      <w:lang w:bidi="ar"/>
                    </w:rPr>
                  </w:pPr>
                  <w:r>
                    <w:rPr>
                      <w:color w:val="auto"/>
                      <w:kern w:val="0"/>
                      <w:szCs w:val="21"/>
                      <w:lang w:bidi="ar"/>
                    </w:rPr>
                    <w:t>0.00673</w:t>
                  </w:r>
                </w:p>
              </w:tc>
              <w:tc>
                <w:tcPr>
                  <w:tcW w:w="969" w:type="dxa"/>
                  <w:vAlign w:val="center"/>
                </w:tcPr>
                <w:p w14:paraId="2C343E66">
                  <w:pPr>
                    <w:widowControl/>
                    <w:jc w:val="center"/>
                    <w:textAlignment w:val="center"/>
                    <w:rPr>
                      <w:color w:val="auto"/>
                      <w:kern w:val="0"/>
                      <w:szCs w:val="21"/>
                      <w:lang w:bidi="ar"/>
                    </w:rPr>
                  </w:pPr>
                  <w:r>
                    <w:rPr>
                      <w:color w:val="auto"/>
                      <w:kern w:val="0"/>
                      <w:szCs w:val="21"/>
                      <w:lang w:bidi="ar"/>
                    </w:rPr>
                    <w:t>0.00224</w:t>
                  </w:r>
                </w:p>
              </w:tc>
              <w:tc>
                <w:tcPr>
                  <w:tcW w:w="328" w:type="pct"/>
                  <w:vAlign w:val="center"/>
                </w:tcPr>
                <w:p w14:paraId="6B4AA512">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29AB9176">
                  <w:pPr>
                    <w:widowControl/>
                    <w:jc w:val="center"/>
                    <w:textAlignment w:val="center"/>
                    <w:rPr>
                      <w:color w:val="auto"/>
                      <w:kern w:val="0"/>
                      <w:szCs w:val="21"/>
                      <w:lang w:bidi="ar"/>
                    </w:rPr>
                  </w:pPr>
                </w:p>
              </w:tc>
              <w:tc>
                <w:tcPr>
                  <w:tcW w:w="241" w:type="pct"/>
                  <w:vMerge w:val="restart"/>
                  <w:vAlign w:val="center"/>
                </w:tcPr>
                <w:p w14:paraId="35F82154">
                  <w:pPr>
                    <w:widowControl/>
                    <w:jc w:val="center"/>
                    <w:textAlignment w:val="center"/>
                    <w:rPr>
                      <w:color w:val="auto"/>
                      <w:kern w:val="0"/>
                      <w:szCs w:val="21"/>
                      <w:lang w:bidi="ar"/>
                    </w:rPr>
                  </w:pPr>
                  <w:r>
                    <w:rPr>
                      <w:rFonts w:hint="eastAsia"/>
                      <w:color w:val="auto"/>
                      <w:kern w:val="0"/>
                      <w:szCs w:val="21"/>
                      <w:lang w:bidi="ar"/>
                    </w:rPr>
                    <w:t>/</w:t>
                  </w:r>
                </w:p>
              </w:tc>
              <w:tc>
                <w:tcPr>
                  <w:tcW w:w="224" w:type="pct"/>
                  <w:vMerge w:val="restart"/>
                  <w:vAlign w:val="center"/>
                </w:tcPr>
                <w:p w14:paraId="0B23559B">
                  <w:pPr>
                    <w:widowControl/>
                    <w:jc w:val="center"/>
                    <w:textAlignment w:val="center"/>
                    <w:rPr>
                      <w:color w:val="auto"/>
                      <w:kern w:val="0"/>
                      <w:szCs w:val="21"/>
                      <w:lang w:bidi="ar"/>
                    </w:rPr>
                  </w:pPr>
                  <w:r>
                    <w:rPr>
                      <w:rFonts w:hint="eastAsia"/>
                      <w:color w:val="auto"/>
                      <w:kern w:val="0"/>
                      <w:szCs w:val="21"/>
                      <w:lang w:bidi="ar"/>
                    </w:rPr>
                    <w:t>/</w:t>
                  </w:r>
                </w:p>
              </w:tc>
              <w:tc>
                <w:tcPr>
                  <w:tcW w:w="370" w:type="pct"/>
                  <w:vMerge w:val="restart"/>
                  <w:vAlign w:val="center"/>
                </w:tcPr>
                <w:p w14:paraId="6597D6BA">
                  <w:pPr>
                    <w:widowControl/>
                    <w:jc w:val="center"/>
                    <w:textAlignment w:val="center"/>
                    <w:rPr>
                      <w:color w:val="auto"/>
                      <w:kern w:val="0"/>
                      <w:szCs w:val="21"/>
                      <w:lang w:bidi="ar"/>
                    </w:rPr>
                  </w:pPr>
                  <w:r>
                    <w:rPr>
                      <w:rFonts w:hint="eastAsia"/>
                      <w:color w:val="auto"/>
                      <w:kern w:val="0"/>
                      <w:szCs w:val="21"/>
                      <w:lang w:bidi="ar"/>
                    </w:rPr>
                    <w:t>/</w:t>
                  </w:r>
                </w:p>
              </w:tc>
              <w:tc>
                <w:tcPr>
                  <w:tcW w:w="1000" w:type="dxa"/>
                  <w:vAlign w:val="center"/>
                </w:tcPr>
                <w:p w14:paraId="0D1578FC">
                  <w:pPr>
                    <w:widowControl/>
                    <w:jc w:val="center"/>
                    <w:textAlignment w:val="center"/>
                    <w:rPr>
                      <w:color w:val="auto"/>
                      <w:kern w:val="0"/>
                      <w:szCs w:val="21"/>
                      <w:lang w:bidi="ar"/>
                    </w:rPr>
                  </w:pPr>
                  <w:r>
                    <w:rPr>
                      <w:color w:val="auto"/>
                      <w:kern w:val="0"/>
                      <w:szCs w:val="21"/>
                      <w:lang w:bidi="ar"/>
                    </w:rPr>
                    <w:t>0.00673</w:t>
                  </w:r>
                </w:p>
              </w:tc>
              <w:tc>
                <w:tcPr>
                  <w:tcW w:w="930" w:type="dxa"/>
                  <w:vAlign w:val="center"/>
                </w:tcPr>
                <w:p w14:paraId="0BCF261B">
                  <w:pPr>
                    <w:widowControl/>
                    <w:jc w:val="center"/>
                    <w:textAlignment w:val="center"/>
                    <w:rPr>
                      <w:color w:val="auto"/>
                      <w:kern w:val="0"/>
                      <w:szCs w:val="21"/>
                      <w:lang w:bidi="ar"/>
                    </w:rPr>
                  </w:pPr>
                  <w:r>
                    <w:rPr>
                      <w:color w:val="auto"/>
                      <w:kern w:val="0"/>
                      <w:szCs w:val="21"/>
                      <w:lang w:bidi="ar"/>
                    </w:rPr>
                    <w:t>0.00224</w:t>
                  </w:r>
                </w:p>
              </w:tc>
              <w:tc>
                <w:tcPr>
                  <w:tcW w:w="317" w:type="pct"/>
                  <w:vAlign w:val="center"/>
                </w:tcPr>
                <w:p w14:paraId="24F58305">
                  <w:pPr>
                    <w:widowControl/>
                    <w:jc w:val="center"/>
                    <w:textAlignment w:val="center"/>
                    <w:rPr>
                      <w:color w:val="auto"/>
                      <w:kern w:val="0"/>
                      <w:szCs w:val="21"/>
                      <w:lang w:bidi="ar"/>
                    </w:rPr>
                  </w:pPr>
                  <w:r>
                    <w:rPr>
                      <w:rFonts w:hint="eastAsia"/>
                      <w:color w:val="auto"/>
                      <w:kern w:val="0"/>
                      <w:szCs w:val="21"/>
                      <w:lang w:bidi="ar"/>
                    </w:rPr>
                    <w:t>/</w:t>
                  </w:r>
                </w:p>
              </w:tc>
              <w:tc>
                <w:tcPr>
                  <w:tcW w:w="243" w:type="pct"/>
                  <w:vMerge w:val="restart"/>
                  <w:vAlign w:val="center"/>
                </w:tcPr>
                <w:p w14:paraId="79B02CE8">
                  <w:pPr>
                    <w:pStyle w:val="77"/>
                    <w:jc w:val="center"/>
                    <w:rPr>
                      <w:color w:val="auto"/>
                      <w:szCs w:val="21"/>
                    </w:rPr>
                  </w:pPr>
                  <w:r>
                    <w:rPr>
                      <w:rFonts w:hint="eastAsia"/>
                      <w:color w:val="auto"/>
                      <w:szCs w:val="21"/>
                    </w:rPr>
                    <w:t>3000</w:t>
                  </w:r>
                </w:p>
              </w:tc>
            </w:tr>
            <w:tr w14:paraId="004CB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00AE1A40">
                  <w:pPr>
                    <w:pStyle w:val="70"/>
                    <w:spacing w:beforeLines="0" w:afterLines="0" w:line="240" w:lineRule="auto"/>
                    <w:ind w:firstLine="0"/>
                    <w:rPr>
                      <w:rFonts w:ascii="Times New Roman"/>
                      <w:color w:val="auto"/>
                      <w:sz w:val="21"/>
                      <w:szCs w:val="21"/>
                    </w:rPr>
                  </w:pPr>
                </w:p>
              </w:tc>
              <w:tc>
                <w:tcPr>
                  <w:tcW w:w="299" w:type="pct"/>
                  <w:vMerge w:val="continue"/>
                  <w:vAlign w:val="center"/>
                </w:tcPr>
                <w:p w14:paraId="3231C4D2">
                  <w:pPr>
                    <w:pStyle w:val="70"/>
                    <w:spacing w:beforeLines="0" w:afterLines="0" w:line="240" w:lineRule="auto"/>
                    <w:ind w:firstLine="0"/>
                    <w:rPr>
                      <w:rFonts w:ascii="Times New Roman"/>
                      <w:color w:val="auto"/>
                      <w:sz w:val="21"/>
                      <w:szCs w:val="21"/>
                    </w:rPr>
                  </w:pPr>
                </w:p>
              </w:tc>
              <w:tc>
                <w:tcPr>
                  <w:tcW w:w="431" w:type="pct"/>
                  <w:vMerge w:val="continue"/>
                  <w:vAlign w:val="center"/>
                </w:tcPr>
                <w:p w14:paraId="3A586F47">
                  <w:pPr>
                    <w:widowControl/>
                    <w:jc w:val="center"/>
                    <w:textAlignment w:val="center"/>
                    <w:rPr>
                      <w:color w:val="auto"/>
                      <w:szCs w:val="21"/>
                    </w:rPr>
                  </w:pPr>
                </w:p>
              </w:tc>
              <w:tc>
                <w:tcPr>
                  <w:tcW w:w="363" w:type="pct"/>
                  <w:vAlign w:val="center"/>
                </w:tcPr>
                <w:p w14:paraId="6DB1C49B">
                  <w:pPr>
                    <w:widowControl/>
                    <w:jc w:val="center"/>
                    <w:textAlignment w:val="center"/>
                    <w:rPr>
                      <w:color w:val="auto"/>
                      <w:kern w:val="0"/>
                      <w:szCs w:val="21"/>
                      <w:lang w:bidi="ar"/>
                    </w:rPr>
                  </w:pPr>
                  <w:r>
                    <w:rPr>
                      <w:rFonts w:hint="eastAsia"/>
                      <w:color w:val="auto"/>
                      <w:kern w:val="0"/>
                      <w:szCs w:val="21"/>
                      <w:lang w:bidi="ar"/>
                    </w:rPr>
                    <w:t>颗粒物</w:t>
                  </w:r>
                </w:p>
              </w:tc>
              <w:tc>
                <w:tcPr>
                  <w:tcW w:w="329" w:type="pct"/>
                  <w:vAlign w:val="center"/>
                </w:tcPr>
                <w:p w14:paraId="57D04D51">
                  <w:pPr>
                    <w:widowControl/>
                    <w:jc w:val="center"/>
                    <w:textAlignment w:val="center"/>
                    <w:rPr>
                      <w:color w:val="auto"/>
                      <w:szCs w:val="21"/>
                    </w:rPr>
                  </w:pPr>
                  <w:r>
                    <w:rPr>
                      <w:rFonts w:hint="eastAsia"/>
                      <w:color w:val="auto"/>
                      <w:kern w:val="0"/>
                      <w:szCs w:val="21"/>
                      <w:lang w:bidi="ar"/>
                    </w:rPr>
                    <w:t>/</w:t>
                  </w:r>
                </w:p>
              </w:tc>
              <w:tc>
                <w:tcPr>
                  <w:tcW w:w="977" w:type="dxa"/>
                  <w:vAlign w:val="center"/>
                </w:tcPr>
                <w:p w14:paraId="6D33028D">
                  <w:pPr>
                    <w:widowControl/>
                    <w:jc w:val="center"/>
                    <w:textAlignment w:val="center"/>
                    <w:rPr>
                      <w:color w:val="auto"/>
                      <w:kern w:val="0"/>
                      <w:szCs w:val="21"/>
                      <w:lang w:bidi="ar"/>
                    </w:rPr>
                  </w:pPr>
                  <w:r>
                    <w:rPr>
                      <w:color w:val="auto"/>
                      <w:kern w:val="0"/>
                      <w:szCs w:val="21"/>
                      <w:lang w:bidi="ar"/>
                    </w:rPr>
                    <w:t>0.0036</w:t>
                  </w:r>
                </w:p>
              </w:tc>
              <w:tc>
                <w:tcPr>
                  <w:tcW w:w="969" w:type="dxa"/>
                  <w:vAlign w:val="center"/>
                </w:tcPr>
                <w:p w14:paraId="58F5CB2A">
                  <w:pPr>
                    <w:widowControl/>
                    <w:jc w:val="center"/>
                    <w:textAlignment w:val="center"/>
                    <w:rPr>
                      <w:color w:val="auto"/>
                      <w:kern w:val="0"/>
                      <w:szCs w:val="21"/>
                      <w:lang w:bidi="ar"/>
                    </w:rPr>
                  </w:pPr>
                  <w:r>
                    <w:rPr>
                      <w:color w:val="auto"/>
                      <w:kern w:val="0"/>
                      <w:szCs w:val="21"/>
                      <w:lang w:bidi="ar"/>
                    </w:rPr>
                    <w:t>0.0012</w:t>
                  </w:r>
                </w:p>
              </w:tc>
              <w:tc>
                <w:tcPr>
                  <w:tcW w:w="328" w:type="pct"/>
                  <w:vAlign w:val="center"/>
                </w:tcPr>
                <w:p w14:paraId="687FF27B">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0F864BED">
                  <w:pPr>
                    <w:widowControl/>
                    <w:jc w:val="center"/>
                    <w:textAlignment w:val="center"/>
                    <w:rPr>
                      <w:color w:val="auto"/>
                      <w:kern w:val="0"/>
                      <w:szCs w:val="21"/>
                      <w:lang w:bidi="ar"/>
                    </w:rPr>
                  </w:pPr>
                </w:p>
              </w:tc>
              <w:tc>
                <w:tcPr>
                  <w:tcW w:w="241" w:type="pct"/>
                  <w:vMerge w:val="continue"/>
                  <w:vAlign w:val="center"/>
                </w:tcPr>
                <w:p w14:paraId="2E1B8483">
                  <w:pPr>
                    <w:widowControl/>
                    <w:jc w:val="center"/>
                    <w:textAlignment w:val="center"/>
                    <w:rPr>
                      <w:color w:val="auto"/>
                      <w:kern w:val="0"/>
                      <w:szCs w:val="21"/>
                      <w:lang w:bidi="ar"/>
                    </w:rPr>
                  </w:pPr>
                </w:p>
              </w:tc>
              <w:tc>
                <w:tcPr>
                  <w:tcW w:w="224" w:type="pct"/>
                  <w:vMerge w:val="continue"/>
                  <w:vAlign w:val="center"/>
                </w:tcPr>
                <w:p w14:paraId="70B75F04">
                  <w:pPr>
                    <w:widowControl/>
                    <w:jc w:val="center"/>
                    <w:textAlignment w:val="center"/>
                    <w:rPr>
                      <w:color w:val="auto"/>
                      <w:kern w:val="0"/>
                      <w:szCs w:val="21"/>
                      <w:lang w:bidi="ar"/>
                    </w:rPr>
                  </w:pPr>
                </w:p>
              </w:tc>
              <w:tc>
                <w:tcPr>
                  <w:tcW w:w="370" w:type="pct"/>
                  <w:vMerge w:val="continue"/>
                  <w:vAlign w:val="center"/>
                </w:tcPr>
                <w:p w14:paraId="45C51CF5">
                  <w:pPr>
                    <w:widowControl/>
                    <w:jc w:val="center"/>
                    <w:textAlignment w:val="center"/>
                    <w:rPr>
                      <w:color w:val="auto"/>
                      <w:kern w:val="0"/>
                      <w:szCs w:val="21"/>
                      <w:lang w:bidi="ar"/>
                    </w:rPr>
                  </w:pPr>
                </w:p>
              </w:tc>
              <w:tc>
                <w:tcPr>
                  <w:tcW w:w="1000" w:type="dxa"/>
                  <w:vAlign w:val="center"/>
                </w:tcPr>
                <w:p w14:paraId="35F4AA43">
                  <w:pPr>
                    <w:widowControl/>
                    <w:jc w:val="center"/>
                    <w:textAlignment w:val="center"/>
                    <w:rPr>
                      <w:color w:val="auto"/>
                      <w:kern w:val="0"/>
                      <w:szCs w:val="21"/>
                      <w:lang w:bidi="ar"/>
                    </w:rPr>
                  </w:pPr>
                  <w:r>
                    <w:rPr>
                      <w:color w:val="auto"/>
                      <w:kern w:val="0"/>
                      <w:szCs w:val="21"/>
                      <w:lang w:bidi="ar"/>
                    </w:rPr>
                    <w:t>0.0036</w:t>
                  </w:r>
                </w:p>
              </w:tc>
              <w:tc>
                <w:tcPr>
                  <w:tcW w:w="930" w:type="dxa"/>
                  <w:vAlign w:val="center"/>
                </w:tcPr>
                <w:p w14:paraId="06349C38">
                  <w:pPr>
                    <w:widowControl/>
                    <w:jc w:val="center"/>
                    <w:textAlignment w:val="center"/>
                    <w:rPr>
                      <w:color w:val="auto"/>
                      <w:kern w:val="0"/>
                      <w:szCs w:val="21"/>
                      <w:lang w:bidi="ar"/>
                    </w:rPr>
                  </w:pPr>
                  <w:r>
                    <w:rPr>
                      <w:color w:val="auto"/>
                      <w:kern w:val="0"/>
                      <w:szCs w:val="21"/>
                      <w:lang w:bidi="ar"/>
                    </w:rPr>
                    <w:t>0.0012</w:t>
                  </w:r>
                </w:p>
              </w:tc>
              <w:tc>
                <w:tcPr>
                  <w:tcW w:w="317" w:type="pct"/>
                  <w:vAlign w:val="center"/>
                </w:tcPr>
                <w:p w14:paraId="2B59B596">
                  <w:pPr>
                    <w:widowControl/>
                    <w:jc w:val="center"/>
                    <w:textAlignment w:val="center"/>
                    <w:rPr>
                      <w:color w:val="auto"/>
                      <w:kern w:val="0"/>
                      <w:szCs w:val="21"/>
                      <w:lang w:bidi="ar"/>
                    </w:rPr>
                  </w:pPr>
                  <w:r>
                    <w:rPr>
                      <w:rFonts w:hint="eastAsia"/>
                      <w:color w:val="auto"/>
                      <w:kern w:val="0"/>
                      <w:szCs w:val="21"/>
                      <w:lang w:bidi="ar"/>
                    </w:rPr>
                    <w:t>/</w:t>
                  </w:r>
                </w:p>
              </w:tc>
              <w:tc>
                <w:tcPr>
                  <w:tcW w:w="243" w:type="pct"/>
                  <w:vMerge w:val="continue"/>
                  <w:vAlign w:val="center"/>
                </w:tcPr>
                <w:p w14:paraId="2B97F989">
                  <w:pPr>
                    <w:pStyle w:val="77"/>
                    <w:jc w:val="center"/>
                    <w:rPr>
                      <w:color w:val="auto"/>
                      <w:szCs w:val="21"/>
                    </w:rPr>
                  </w:pPr>
                </w:p>
              </w:tc>
            </w:tr>
            <w:tr w14:paraId="7DB1A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1B5C982E">
                  <w:pPr>
                    <w:pStyle w:val="70"/>
                    <w:spacing w:beforeLines="0" w:afterLines="0" w:line="240" w:lineRule="auto"/>
                    <w:ind w:firstLine="0"/>
                    <w:rPr>
                      <w:rFonts w:ascii="Times New Roman"/>
                      <w:color w:val="auto"/>
                      <w:sz w:val="21"/>
                      <w:szCs w:val="21"/>
                    </w:rPr>
                  </w:pPr>
                </w:p>
              </w:tc>
              <w:tc>
                <w:tcPr>
                  <w:tcW w:w="299" w:type="pct"/>
                  <w:vMerge w:val="continue"/>
                  <w:vAlign w:val="center"/>
                </w:tcPr>
                <w:p w14:paraId="4A46D309">
                  <w:pPr>
                    <w:pStyle w:val="70"/>
                    <w:spacing w:beforeLines="0" w:afterLines="0" w:line="240" w:lineRule="auto"/>
                    <w:ind w:firstLine="0"/>
                    <w:rPr>
                      <w:rFonts w:ascii="Times New Roman"/>
                      <w:color w:val="auto"/>
                      <w:sz w:val="21"/>
                      <w:szCs w:val="21"/>
                    </w:rPr>
                  </w:pPr>
                </w:p>
              </w:tc>
              <w:tc>
                <w:tcPr>
                  <w:tcW w:w="431" w:type="pct"/>
                  <w:vMerge w:val="continue"/>
                  <w:vAlign w:val="center"/>
                </w:tcPr>
                <w:p w14:paraId="1A1ADC95">
                  <w:pPr>
                    <w:widowControl/>
                    <w:jc w:val="center"/>
                    <w:textAlignment w:val="center"/>
                    <w:rPr>
                      <w:color w:val="auto"/>
                      <w:szCs w:val="21"/>
                    </w:rPr>
                  </w:pPr>
                </w:p>
              </w:tc>
              <w:tc>
                <w:tcPr>
                  <w:tcW w:w="363" w:type="pct"/>
                  <w:vAlign w:val="center"/>
                </w:tcPr>
                <w:p w14:paraId="138D1194">
                  <w:pPr>
                    <w:widowControl/>
                    <w:jc w:val="center"/>
                    <w:textAlignment w:val="center"/>
                    <w:rPr>
                      <w:color w:val="auto"/>
                      <w:kern w:val="0"/>
                      <w:szCs w:val="21"/>
                      <w:lang w:bidi="ar"/>
                    </w:rPr>
                  </w:pPr>
                  <w:r>
                    <w:rPr>
                      <w:rFonts w:hint="eastAsia"/>
                      <w:color w:val="auto"/>
                      <w:kern w:val="0"/>
                      <w:szCs w:val="21"/>
                      <w:lang w:bidi="ar"/>
                    </w:rPr>
                    <w:t>氮氧化物</w:t>
                  </w:r>
                </w:p>
              </w:tc>
              <w:tc>
                <w:tcPr>
                  <w:tcW w:w="329" w:type="pct"/>
                  <w:vAlign w:val="center"/>
                </w:tcPr>
                <w:p w14:paraId="25E81F41">
                  <w:pPr>
                    <w:widowControl/>
                    <w:jc w:val="center"/>
                    <w:textAlignment w:val="center"/>
                    <w:rPr>
                      <w:color w:val="auto"/>
                      <w:szCs w:val="21"/>
                    </w:rPr>
                  </w:pPr>
                  <w:r>
                    <w:rPr>
                      <w:rFonts w:hint="eastAsia"/>
                      <w:color w:val="auto"/>
                      <w:kern w:val="0"/>
                      <w:szCs w:val="21"/>
                      <w:lang w:bidi="ar"/>
                    </w:rPr>
                    <w:t>/</w:t>
                  </w:r>
                </w:p>
              </w:tc>
              <w:tc>
                <w:tcPr>
                  <w:tcW w:w="977" w:type="dxa"/>
                  <w:vAlign w:val="center"/>
                </w:tcPr>
                <w:p w14:paraId="5503B4D6">
                  <w:pPr>
                    <w:widowControl/>
                    <w:jc w:val="center"/>
                    <w:textAlignment w:val="center"/>
                    <w:rPr>
                      <w:color w:val="auto"/>
                      <w:kern w:val="0"/>
                      <w:szCs w:val="21"/>
                      <w:lang w:bidi="ar"/>
                    </w:rPr>
                  </w:pPr>
                  <w:r>
                    <w:rPr>
                      <w:color w:val="auto"/>
                      <w:kern w:val="0"/>
                      <w:szCs w:val="21"/>
                      <w:lang w:bidi="ar"/>
                    </w:rPr>
                    <w:t>0.0124</w:t>
                  </w:r>
                </w:p>
              </w:tc>
              <w:tc>
                <w:tcPr>
                  <w:tcW w:w="969" w:type="dxa"/>
                  <w:vAlign w:val="center"/>
                </w:tcPr>
                <w:p w14:paraId="0A3D66BD">
                  <w:pPr>
                    <w:widowControl/>
                    <w:jc w:val="center"/>
                    <w:textAlignment w:val="center"/>
                    <w:rPr>
                      <w:color w:val="auto"/>
                      <w:kern w:val="0"/>
                      <w:szCs w:val="21"/>
                      <w:lang w:bidi="ar"/>
                    </w:rPr>
                  </w:pPr>
                  <w:r>
                    <w:rPr>
                      <w:color w:val="auto"/>
                      <w:kern w:val="0"/>
                      <w:szCs w:val="21"/>
                      <w:lang w:bidi="ar"/>
                    </w:rPr>
                    <w:t>0.0039</w:t>
                  </w:r>
                </w:p>
              </w:tc>
              <w:tc>
                <w:tcPr>
                  <w:tcW w:w="328" w:type="pct"/>
                  <w:vAlign w:val="center"/>
                </w:tcPr>
                <w:p w14:paraId="709B10D6">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07E1DA15">
                  <w:pPr>
                    <w:widowControl/>
                    <w:jc w:val="center"/>
                    <w:textAlignment w:val="center"/>
                    <w:rPr>
                      <w:color w:val="auto"/>
                      <w:kern w:val="0"/>
                      <w:szCs w:val="21"/>
                      <w:lang w:bidi="ar"/>
                    </w:rPr>
                  </w:pPr>
                </w:p>
              </w:tc>
              <w:tc>
                <w:tcPr>
                  <w:tcW w:w="241" w:type="pct"/>
                  <w:vMerge w:val="continue"/>
                  <w:vAlign w:val="center"/>
                </w:tcPr>
                <w:p w14:paraId="7E780050">
                  <w:pPr>
                    <w:widowControl/>
                    <w:jc w:val="center"/>
                    <w:textAlignment w:val="center"/>
                    <w:rPr>
                      <w:color w:val="auto"/>
                      <w:kern w:val="0"/>
                      <w:szCs w:val="21"/>
                      <w:lang w:bidi="ar"/>
                    </w:rPr>
                  </w:pPr>
                </w:p>
              </w:tc>
              <w:tc>
                <w:tcPr>
                  <w:tcW w:w="224" w:type="pct"/>
                  <w:vMerge w:val="continue"/>
                  <w:vAlign w:val="center"/>
                </w:tcPr>
                <w:p w14:paraId="5CB0EF1A">
                  <w:pPr>
                    <w:widowControl/>
                    <w:jc w:val="center"/>
                    <w:textAlignment w:val="center"/>
                    <w:rPr>
                      <w:color w:val="auto"/>
                      <w:kern w:val="0"/>
                      <w:szCs w:val="21"/>
                      <w:lang w:bidi="ar"/>
                    </w:rPr>
                  </w:pPr>
                </w:p>
              </w:tc>
              <w:tc>
                <w:tcPr>
                  <w:tcW w:w="370" w:type="pct"/>
                  <w:vMerge w:val="continue"/>
                  <w:vAlign w:val="center"/>
                </w:tcPr>
                <w:p w14:paraId="0AD1A3F9">
                  <w:pPr>
                    <w:widowControl/>
                    <w:jc w:val="center"/>
                    <w:textAlignment w:val="center"/>
                    <w:rPr>
                      <w:color w:val="auto"/>
                      <w:kern w:val="0"/>
                      <w:szCs w:val="21"/>
                      <w:lang w:bidi="ar"/>
                    </w:rPr>
                  </w:pPr>
                </w:p>
              </w:tc>
              <w:tc>
                <w:tcPr>
                  <w:tcW w:w="1000" w:type="dxa"/>
                  <w:vAlign w:val="center"/>
                </w:tcPr>
                <w:p w14:paraId="278C2DAC">
                  <w:pPr>
                    <w:widowControl/>
                    <w:jc w:val="center"/>
                    <w:textAlignment w:val="center"/>
                    <w:rPr>
                      <w:color w:val="auto"/>
                      <w:kern w:val="0"/>
                      <w:szCs w:val="21"/>
                      <w:lang w:bidi="ar"/>
                    </w:rPr>
                  </w:pPr>
                  <w:r>
                    <w:rPr>
                      <w:color w:val="auto"/>
                      <w:kern w:val="0"/>
                      <w:szCs w:val="21"/>
                      <w:lang w:bidi="ar"/>
                    </w:rPr>
                    <w:t>0.0124</w:t>
                  </w:r>
                </w:p>
              </w:tc>
              <w:tc>
                <w:tcPr>
                  <w:tcW w:w="930" w:type="dxa"/>
                  <w:vAlign w:val="center"/>
                </w:tcPr>
                <w:p w14:paraId="47C0EB63">
                  <w:pPr>
                    <w:widowControl/>
                    <w:jc w:val="center"/>
                    <w:textAlignment w:val="center"/>
                    <w:rPr>
                      <w:color w:val="auto"/>
                      <w:kern w:val="0"/>
                      <w:szCs w:val="21"/>
                      <w:lang w:bidi="ar"/>
                    </w:rPr>
                  </w:pPr>
                  <w:r>
                    <w:rPr>
                      <w:color w:val="auto"/>
                      <w:kern w:val="0"/>
                      <w:szCs w:val="21"/>
                      <w:lang w:bidi="ar"/>
                    </w:rPr>
                    <w:t>0.0039</w:t>
                  </w:r>
                </w:p>
              </w:tc>
              <w:tc>
                <w:tcPr>
                  <w:tcW w:w="317" w:type="pct"/>
                  <w:vAlign w:val="center"/>
                </w:tcPr>
                <w:p w14:paraId="4F130EE1">
                  <w:pPr>
                    <w:widowControl/>
                    <w:jc w:val="center"/>
                    <w:textAlignment w:val="center"/>
                    <w:rPr>
                      <w:color w:val="auto"/>
                      <w:kern w:val="0"/>
                      <w:szCs w:val="21"/>
                      <w:lang w:bidi="ar"/>
                    </w:rPr>
                  </w:pPr>
                  <w:r>
                    <w:rPr>
                      <w:rFonts w:hint="eastAsia"/>
                      <w:color w:val="auto"/>
                      <w:kern w:val="0"/>
                      <w:szCs w:val="21"/>
                      <w:lang w:bidi="ar"/>
                    </w:rPr>
                    <w:t>/</w:t>
                  </w:r>
                </w:p>
              </w:tc>
              <w:tc>
                <w:tcPr>
                  <w:tcW w:w="243" w:type="pct"/>
                  <w:vMerge w:val="continue"/>
                  <w:vAlign w:val="center"/>
                </w:tcPr>
                <w:p w14:paraId="292EA661">
                  <w:pPr>
                    <w:pStyle w:val="77"/>
                    <w:jc w:val="center"/>
                    <w:rPr>
                      <w:color w:val="auto"/>
                      <w:szCs w:val="21"/>
                    </w:rPr>
                  </w:pPr>
                </w:p>
              </w:tc>
            </w:tr>
            <w:tr w14:paraId="221A5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2433C5D4">
                  <w:pPr>
                    <w:widowControl/>
                    <w:jc w:val="center"/>
                    <w:textAlignment w:val="center"/>
                    <w:rPr>
                      <w:color w:val="auto"/>
                    </w:rPr>
                  </w:pPr>
                </w:p>
              </w:tc>
              <w:tc>
                <w:tcPr>
                  <w:tcW w:w="299" w:type="pct"/>
                  <w:vMerge w:val="continue"/>
                  <w:vAlign w:val="center"/>
                </w:tcPr>
                <w:p w14:paraId="71391E52">
                  <w:pPr>
                    <w:widowControl/>
                    <w:jc w:val="center"/>
                    <w:textAlignment w:val="center"/>
                    <w:rPr>
                      <w:color w:val="auto"/>
                    </w:rPr>
                  </w:pPr>
                </w:p>
              </w:tc>
              <w:tc>
                <w:tcPr>
                  <w:tcW w:w="431" w:type="pct"/>
                  <w:vMerge w:val="continue"/>
                  <w:vAlign w:val="center"/>
                </w:tcPr>
                <w:p w14:paraId="374D147E">
                  <w:pPr>
                    <w:widowControl/>
                    <w:jc w:val="center"/>
                    <w:textAlignment w:val="center"/>
                    <w:rPr>
                      <w:color w:val="auto"/>
                    </w:rPr>
                  </w:pPr>
                </w:p>
              </w:tc>
              <w:tc>
                <w:tcPr>
                  <w:tcW w:w="363" w:type="pct"/>
                  <w:vAlign w:val="center"/>
                </w:tcPr>
                <w:p w14:paraId="23180469">
                  <w:pPr>
                    <w:widowControl/>
                    <w:jc w:val="center"/>
                    <w:textAlignment w:val="center"/>
                    <w:rPr>
                      <w:color w:val="auto"/>
                      <w:kern w:val="0"/>
                      <w:szCs w:val="21"/>
                      <w:lang w:bidi="ar"/>
                    </w:rPr>
                  </w:pPr>
                  <w:r>
                    <w:rPr>
                      <w:rFonts w:hint="eastAsia"/>
                      <w:color w:val="auto"/>
                      <w:kern w:val="0"/>
                      <w:szCs w:val="21"/>
                      <w:lang w:bidi="ar"/>
                    </w:rPr>
                    <w:t>二氧化硫</w:t>
                  </w:r>
                </w:p>
              </w:tc>
              <w:tc>
                <w:tcPr>
                  <w:tcW w:w="329" w:type="pct"/>
                  <w:vAlign w:val="center"/>
                </w:tcPr>
                <w:p w14:paraId="6B6DF36E">
                  <w:pPr>
                    <w:widowControl/>
                    <w:jc w:val="center"/>
                    <w:textAlignment w:val="center"/>
                    <w:rPr>
                      <w:color w:val="auto"/>
                      <w:kern w:val="0"/>
                      <w:szCs w:val="21"/>
                      <w:lang w:bidi="ar"/>
                    </w:rPr>
                  </w:pPr>
                  <w:r>
                    <w:rPr>
                      <w:rFonts w:hint="eastAsia"/>
                      <w:color w:val="auto"/>
                      <w:kern w:val="0"/>
                      <w:szCs w:val="21"/>
                      <w:lang w:bidi="ar"/>
                    </w:rPr>
                    <w:t>/</w:t>
                  </w:r>
                </w:p>
              </w:tc>
              <w:tc>
                <w:tcPr>
                  <w:tcW w:w="977" w:type="dxa"/>
                  <w:vAlign w:val="center"/>
                </w:tcPr>
                <w:p w14:paraId="7420A125">
                  <w:pPr>
                    <w:widowControl/>
                    <w:jc w:val="center"/>
                    <w:textAlignment w:val="center"/>
                    <w:rPr>
                      <w:color w:val="auto"/>
                      <w:kern w:val="0"/>
                      <w:szCs w:val="21"/>
                      <w:lang w:bidi="ar"/>
                    </w:rPr>
                  </w:pPr>
                  <w:r>
                    <w:rPr>
                      <w:color w:val="auto"/>
                      <w:kern w:val="0"/>
                      <w:szCs w:val="21"/>
                      <w:lang w:bidi="ar"/>
                    </w:rPr>
                    <w:t>0.0025</w:t>
                  </w:r>
                </w:p>
              </w:tc>
              <w:tc>
                <w:tcPr>
                  <w:tcW w:w="969" w:type="dxa"/>
                  <w:vAlign w:val="center"/>
                </w:tcPr>
                <w:p w14:paraId="22D2EEB8">
                  <w:pPr>
                    <w:widowControl/>
                    <w:jc w:val="center"/>
                    <w:textAlignment w:val="center"/>
                    <w:rPr>
                      <w:color w:val="auto"/>
                      <w:kern w:val="0"/>
                      <w:szCs w:val="21"/>
                      <w:lang w:bidi="ar"/>
                    </w:rPr>
                  </w:pPr>
                  <w:r>
                    <w:rPr>
                      <w:color w:val="auto"/>
                      <w:kern w:val="0"/>
                      <w:szCs w:val="21"/>
                      <w:lang w:bidi="ar"/>
                    </w:rPr>
                    <w:t>0.0009</w:t>
                  </w:r>
                </w:p>
              </w:tc>
              <w:tc>
                <w:tcPr>
                  <w:tcW w:w="328" w:type="pct"/>
                  <w:vAlign w:val="center"/>
                </w:tcPr>
                <w:p w14:paraId="111CE070">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1BDAE921">
                  <w:pPr>
                    <w:widowControl/>
                    <w:jc w:val="center"/>
                    <w:textAlignment w:val="center"/>
                    <w:rPr>
                      <w:color w:val="auto"/>
                      <w:kern w:val="0"/>
                      <w:szCs w:val="21"/>
                      <w:lang w:bidi="ar"/>
                    </w:rPr>
                  </w:pPr>
                </w:p>
              </w:tc>
              <w:tc>
                <w:tcPr>
                  <w:tcW w:w="241" w:type="pct"/>
                  <w:vMerge w:val="continue"/>
                  <w:vAlign w:val="center"/>
                </w:tcPr>
                <w:p w14:paraId="382E528F">
                  <w:pPr>
                    <w:widowControl/>
                    <w:jc w:val="center"/>
                    <w:textAlignment w:val="center"/>
                    <w:rPr>
                      <w:color w:val="auto"/>
                      <w:kern w:val="0"/>
                      <w:szCs w:val="21"/>
                      <w:lang w:bidi="ar"/>
                    </w:rPr>
                  </w:pPr>
                </w:p>
              </w:tc>
              <w:tc>
                <w:tcPr>
                  <w:tcW w:w="224" w:type="pct"/>
                  <w:vMerge w:val="continue"/>
                  <w:vAlign w:val="center"/>
                </w:tcPr>
                <w:p w14:paraId="6421FAEF">
                  <w:pPr>
                    <w:widowControl/>
                    <w:jc w:val="center"/>
                    <w:textAlignment w:val="center"/>
                    <w:rPr>
                      <w:color w:val="auto"/>
                      <w:kern w:val="0"/>
                      <w:szCs w:val="21"/>
                      <w:lang w:bidi="ar"/>
                    </w:rPr>
                  </w:pPr>
                </w:p>
              </w:tc>
              <w:tc>
                <w:tcPr>
                  <w:tcW w:w="370" w:type="pct"/>
                  <w:vMerge w:val="continue"/>
                  <w:vAlign w:val="center"/>
                </w:tcPr>
                <w:p w14:paraId="06A48B81">
                  <w:pPr>
                    <w:widowControl/>
                    <w:jc w:val="center"/>
                    <w:textAlignment w:val="center"/>
                    <w:rPr>
                      <w:color w:val="auto"/>
                      <w:kern w:val="0"/>
                      <w:szCs w:val="21"/>
                      <w:lang w:bidi="ar"/>
                    </w:rPr>
                  </w:pPr>
                </w:p>
              </w:tc>
              <w:tc>
                <w:tcPr>
                  <w:tcW w:w="1000" w:type="dxa"/>
                  <w:vAlign w:val="center"/>
                </w:tcPr>
                <w:p w14:paraId="71887DD2">
                  <w:pPr>
                    <w:widowControl/>
                    <w:jc w:val="center"/>
                    <w:textAlignment w:val="center"/>
                    <w:rPr>
                      <w:color w:val="auto"/>
                      <w:kern w:val="0"/>
                      <w:szCs w:val="21"/>
                      <w:lang w:bidi="ar"/>
                    </w:rPr>
                  </w:pPr>
                  <w:r>
                    <w:rPr>
                      <w:color w:val="auto"/>
                      <w:kern w:val="0"/>
                      <w:szCs w:val="21"/>
                      <w:lang w:bidi="ar"/>
                    </w:rPr>
                    <w:t>0.0025</w:t>
                  </w:r>
                </w:p>
              </w:tc>
              <w:tc>
                <w:tcPr>
                  <w:tcW w:w="930" w:type="dxa"/>
                  <w:vAlign w:val="center"/>
                </w:tcPr>
                <w:p w14:paraId="1C4FD6B4">
                  <w:pPr>
                    <w:widowControl/>
                    <w:jc w:val="center"/>
                    <w:textAlignment w:val="center"/>
                    <w:rPr>
                      <w:color w:val="auto"/>
                      <w:kern w:val="0"/>
                      <w:szCs w:val="21"/>
                      <w:lang w:bidi="ar"/>
                    </w:rPr>
                  </w:pPr>
                  <w:r>
                    <w:rPr>
                      <w:color w:val="auto"/>
                      <w:kern w:val="0"/>
                      <w:szCs w:val="21"/>
                      <w:lang w:bidi="ar"/>
                    </w:rPr>
                    <w:t>0.0009</w:t>
                  </w:r>
                </w:p>
              </w:tc>
              <w:tc>
                <w:tcPr>
                  <w:tcW w:w="317" w:type="pct"/>
                  <w:vAlign w:val="center"/>
                </w:tcPr>
                <w:p w14:paraId="3DEC8325">
                  <w:pPr>
                    <w:widowControl/>
                    <w:jc w:val="center"/>
                    <w:textAlignment w:val="center"/>
                    <w:rPr>
                      <w:color w:val="auto"/>
                      <w:kern w:val="0"/>
                      <w:szCs w:val="21"/>
                      <w:lang w:bidi="ar"/>
                    </w:rPr>
                  </w:pPr>
                  <w:r>
                    <w:rPr>
                      <w:rFonts w:hint="eastAsia"/>
                      <w:color w:val="auto"/>
                      <w:kern w:val="0"/>
                      <w:szCs w:val="21"/>
                      <w:lang w:bidi="ar"/>
                    </w:rPr>
                    <w:t>/</w:t>
                  </w:r>
                </w:p>
              </w:tc>
              <w:tc>
                <w:tcPr>
                  <w:tcW w:w="243" w:type="pct"/>
                  <w:vMerge w:val="continue"/>
                  <w:vAlign w:val="center"/>
                </w:tcPr>
                <w:p w14:paraId="356FEE6B">
                  <w:pPr>
                    <w:widowControl/>
                    <w:jc w:val="center"/>
                    <w:textAlignment w:val="center"/>
                    <w:rPr>
                      <w:color w:val="auto"/>
                      <w:kern w:val="0"/>
                      <w:szCs w:val="21"/>
                      <w:lang w:bidi="ar"/>
                    </w:rPr>
                  </w:pPr>
                </w:p>
              </w:tc>
            </w:tr>
            <w:tr w14:paraId="672B5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68D843A1">
                  <w:pPr>
                    <w:pStyle w:val="70"/>
                    <w:spacing w:beforeLines="0" w:afterLines="0" w:line="240" w:lineRule="auto"/>
                    <w:ind w:firstLine="0"/>
                    <w:rPr>
                      <w:rFonts w:ascii="Times New Roman"/>
                      <w:color w:val="auto"/>
                      <w:sz w:val="21"/>
                      <w:szCs w:val="21"/>
                    </w:rPr>
                  </w:pPr>
                </w:p>
              </w:tc>
              <w:tc>
                <w:tcPr>
                  <w:tcW w:w="299" w:type="pct"/>
                  <w:vMerge w:val="continue"/>
                  <w:vAlign w:val="center"/>
                </w:tcPr>
                <w:p w14:paraId="4BA7737F">
                  <w:pPr>
                    <w:pStyle w:val="70"/>
                    <w:spacing w:beforeLines="0" w:afterLines="0" w:line="240" w:lineRule="auto"/>
                    <w:ind w:firstLine="0"/>
                    <w:rPr>
                      <w:rFonts w:ascii="Times New Roman"/>
                      <w:color w:val="auto"/>
                      <w:sz w:val="21"/>
                      <w:szCs w:val="21"/>
                    </w:rPr>
                  </w:pPr>
                </w:p>
              </w:tc>
              <w:tc>
                <w:tcPr>
                  <w:tcW w:w="431" w:type="pct"/>
                  <w:vMerge w:val="restart"/>
                  <w:vAlign w:val="center"/>
                </w:tcPr>
                <w:p w14:paraId="72069A36">
                  <w:pPr>
                    <w:widowControl/>
                    <w:jc w:val="center"/>
                    <w:textAlignment w:val="center"/>
                    <w:rPr>
                      <w:color w:val="auto"/>
                      <w:kern w:val="0"/>
                      <w:szCs w:val="21"/>
                      <w:lang w:bidi="ar"/>
                    </w:rPr>
                  </w:pPr>
                  <w:r>
                    <w:rPr>
                      <w:rFonts w:hint="eastAsia"/>
                      <w:bCs/>
                      <w:color w:val="auto"/>
                      <w:kern w:val="0"/>
                      <w:szCs w:val="21"/>
                      <w:lang w:bidi="ar"/>
                    </w:rPr>
                    <w:t>六楼</w:t>
                  </w:r>
                </w:p>
              </w:tc>
              <w:tc>
                <w:tcPr>
                  <w:tcW w:w="363" w:type="pct"/>
                  <w:vAlign w:val="center"/>
                </w:tcPr>
                <w:p w14:paraId="025709F9">
                  <w:pPr>
                    <w:widowControl/>
                    <w:jc w:val="center"/>
                    <w:textAlignment w:val="center"/>
                    <w:rPr>
                      <w:color w:val="auto"/>
                      <w:kern w:val="0"/>
                      <w:szCs w:val="21"/>
                      <w:lang w:bidi="ar"/>
                    </w:rPr>
                  </w:pPr>
                  <w:r>
                    <w:rPr>
                      <w:rFonts w:hint="eastAsia"/>
                      <w:color w:val="auto"/>
                      <w:kern w:val="0"/>
                      <w:szCs w:val="21"/>
                      <w:lang w:bidi="ar"/>
                    </w:rPr>
                    <w:t>硫酸雾</w:t>
                  </w:r>
                </w:p>
              </w:tc>
              <w:tc>
                <w:tcPr>
                  <w:tcW w:w="329" w:type="pct"/>
                  <w:vAlign w:val="center"/>
                </w:tcPr>
                <w:p w14:paraId="60264EC7">
                  <w:pPr>
                    <w:widowControl/>
                    <w:jc w:val="center"/>
                    <w:textAlignment w:val="center"/>
                    <w:rPr>
                      <w:color w:val="auto"/>
                      <w:szCs w:val="21"/>
                    </w:rPr>
                  </w:pPr>
                  <w:r>
                    <w:rPr>
                      <w:rFonts w:hint="eastAsia"/>
                      <w:color w:val="auto"/>
                      <w:kern w:val="0"/>
                      <w:szCs w:val="21"/>
                      <w:lang w:bidi="ar"/>
                    </w:rPr>
                    <w:t>/</w:t>
                  </w:r>
                </w:p>
              </w:tc>
              <w:tc>
                <w:tcPr>
                  <w:tcW w:w="977" w:type="dxa"/>
                  <w:vAlign w:val="center"/>
                </w:tcPr>
                <w:p w14:paraId="38A90069">
                  <w:pPr>
                    <w:widowControl/>
                    <w:jc w:val="center"/>
                    <w:textAlignment w:val="center"/>
                    <w:rPr>
                      <w:color w:val="auto"/>
                      <w:kern w:val="0"/>
                      <w:szCs w:val="21"/>
                      <w:lang w:bidi="ar"/>
                    </w:rPr>
                  </w:pPr>
                  <w:r>
                    <w:rPr>
                      <w:color w:val="auto"/>
                      <w:kern w:val="0"/>
                      <w:szCs w:val="21"/>
                      <w:lang w:bidi="ar"/>
                    </w:rPr>
                    <w:t>0.036</w:t>
                  </w:r>
                </w:p>
              </w:tc>
              <w:tc>
                <w:tcPr>
                  <w:tcW w:w="969" w:type="dxa"/>
                  <w:vAlign w:val="center"/>
                </w:tcPr>
                <w:p w14:paraId="46819E00">
                  <w:pPr>
                    <w:widowControl/>
                    <w:jc w:val="center"/>
                    <w:textAlignment w:val="center"/>
                    <w:rPr>
                      <w:color w:val="auto"/>
                      <w:kern w:val="0"/>
                      <w:szCs w:val="21"/>
                      <w:lang w:bidi="ar"/>
                    </w:rPr>
                  </w:pPr>
                  <w:r>
                    <w:rPr>
                      <w:color w:val="auto"/>
                      <w:kern w:val="0"/>
                      <w:szCs w:val="21"/>
                      <w:lang w:bidi="ar"/>
                    </w:rPr>
                    <w:t>0.17</w:t>
                  </w:r>
                </w:p>
              </w:tc>
              <w:tc>
                <w:tcPr>
                  <w:tcW w:w="328" w:type="pct"/>
                  <w:vAlign w:val="center"/>
                </w:tcPr>
                <w:p w14:paraId="75974861">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47C09E09">
                  <w:pPr>
                    <w:widowControl/>
                    <w:jc w:val="center"/>
                    <w:textAlignment w:val="center"/>
                    <w:rPr>
                      <w:color w:val="auto"/>
                      <w:kern w:val="0"/>
                      <w:szCs w:val="21"/>
                      <w:lang w:bidi="ar"/>
                    </w:rPr>
                  </w:pPr>
                </w:p>
              </w:tc>
              <w:tc>
                <w:tcPr>
                  <w:tcW w:w="241" w:type="pct"/>
                  <w:vMerge w:val="restart"/>
                  <w:vAlign w:val="center"/>
                </w:tcPr>
                <w:p w14:paraId="437B8F38">
                  <w:pPr>
                    <w:widowControl/>
                    <w:jc w:val="center"/>
                    <w:textAlignment w:val="center"/>
                    <w:rPr>
                      <w:color w:val="auto"/>
                      <w:kern w:val="0"/>
                      <w:szCs w:val="21"/>
                      <w:lang w:bidi="ar"/>
                    </w:rPr>
                  </w:pPr>
                  <w:r>
                    <w:rPr>
                      <w:rFonts w:hint="eastAsia"/>
                      <w:color w:val="auto"/>
                      <w:kern w:val="0"/>
                      <w:szCs w:val="21"/>
                      <w:lang w:bidi="ar"/>
                    </w:rPr>
                    <w:t>/</w:t>
                  </w:r>
                </w:p>
              </w:tc>
              <w:tc>
                <w:tcPr>
                  <w:tcW w:w="224" w:type="pct"/>
                  <w:vMerge w:val="restart"/>
                  <w:vAlign w:val="center"/>
                </w:tcPr>
                <w:p w14:paraId="763229E9">
                  <w:pPr>
                    <w:widowControl/>
                    <w:jc w:val="center"/>
                    <w:textAlignment w:val="center"/>
                    <w:rPr>
                      <w:color w:val="auto"/>
                      <w:kern w:val="0"/>
                      <w:szCs w:val="21"/>
                      <w:lang w:bidi="ar"/>
                    </w:rPr>
                  </w:pPr>
                  <w:r>
                    <w:rPr>
                      <w:rFonts w:hint="eastAsia"/>
                      <w:color w:val="auto"/>
                      <w:kern w:val="0"/>
                      <w:szCs w:val="21"/>
                      <w:lang w:bidi="ar"/>
                    </w:rPr>
                    <w:t>/</w:t>
                  </w:r>
                </w:p>
              </w:tc>
              <w:tc>
                <w:tcPr>
                  <w:tcW w:w="370" w:type="pct"/>
                  <w:vMerge w:val="restart"/>
                  <w:vAlign w:val="center"/>
                </w:tcPr>
                <w:p w14:paraId="7D7ED64A">
                  <w:pPr>
                    <w:widowControl/>
                    <w:jc w:val="center"/>
                    <w:textAlignment w:val="center"/>
                    <w:rPr>
                      <w:color w:val="auto"/>
                      <w:kern w:val="0"/>
                      <w:szCs w:val="21"/>
                      <w:lang w:bidi="ar"/>
                    </w:rPr>
                  </w:pPr>
                  <w:r>
                    <w:rPr>
                      <w:rFonts w:hint="eastAsia"/>
                      <w:color w:val="auto"/>
                      <w:kern w:val="0"/>
                      <w:szCs w:val="21"/>
                      <w:lang w:bidi="ar"/>
                    </w:rPr>
                    <w:t>/</w:t>
                  </w:r>
                </w:p>
              </w:tc>
              <w:tc>
                <w:tcPr>
                  <w:tcW w:w="1000" w:type="dxa"/>
                  <w:vAlign w:val="center"/>
                </w:tcPr>
                <w:p w14:paraId="05EFBE76">
                  <w:pPr>
                    <w:widowControl/>
                    <w:jc w:val="center"/>
                    <w:textAlignment w:val="center"/>
                    <w:rPr>
                      <w:color w:val="auto"/>
                      <w:kern w:val="0"/>
                      <w:szCs w:val="21"/>
                      <w:lang w:bidi="ar"/>
                    </w:rPr>
                  </w:pPr>
                  <w:r>
                    <w:rPr>
                      <w:color w:val="auto"/>
                      <w:kern w:val="0"/>
                      <w:szCs w:val="21"/>
                      <w:lang w:bidi="ar"/>
                    </w:rPr>
                    <w:t>0.036</w:t>
                  </w:r>
                </w:p>
              </w:tc>
              <w:tc>
                <w:tcPr>
                  <w:tcW w:w="930" w:type="dxa"/>
                  <w:vAlign w:val="center"/>
                </w:tcPr>
                <w:p w14:paraId="596A65CB">
                  <w:pPr>
                    <w:widowControl/>
                    <w:jc w:val="center"/>
                    <w:textAlignment w:val="center"/>
                    <w:rPr>
                      <w:color w:val="auto"/>
                      <w:kern w:val="0"/>
                      <w:szCs w:val="21"/>
                      <w:lang w:bidi="ar"/>
                    </w:rPr>
                  </w:pPr>
                  <w:r>
                    <w:rPr>
                      <w:color w:val="auto"/>
                      <w:kern w:val="0"/>
                      <w:szCs w:val="21"/>
                      <w:lang w:bidi="ar"/>
                    </w:rPr>
                    <w:t>0.17</w:t>
                  </w:r>
                </w:p>
              </w:tc>
              <w:tc>
                <w:tcPr>
                  <w:tcW w:w="317" w:type="pct"/>
                  <w:vAlign w:val="center"/>
                </w:tcPr>
                <w:p w14:paraId="61D00E09">
                  <w:pPr>
                    <w:widowControl/>
                    <w:jc w:val="center"/>
                    <w:textAlignment w:val="center"/>
                    <w:rPr>
                      <w:color w:val="auto"/>
                      <w:kern w:val="0"/>
                      <w:szCs w:val="21"/>
                      <w:lang w:bidi="ar"/>
                    </w:rPr>
                  </w:pPr>
                  <w:r>
                    <w:rPr>
                      <w:rFonts w:hint="eastAsia"/>
                      <w:color w:val="auto"/>
                      <w:kern w:val="0"/>
                      <w:szCs w:val="21"/>
                      <w:lang w:bidi="ar"/>
                    </w:rPr>
                    <w:t>/</w:t>
                  </w:r>
                </w:p>
              </w:tc>
              <w:tc>
                <w:tcPr>
                  <w:tcW w:w="243" w:type="pct"/>
                  <w:vMerge w:val="restart"/>
                  <w:vAlign w:val="center"/>
                </w:tcPr>
                <w:p w14:paraId="05B761B0">
                  <w:pPr>
                    <w:pStyle w:val="77"/>
                    <w:jc w:val="center"/>
                    <w:rPr>
                      <w:color w:val="auto"/>
                      <w:szCs w:val="21"/>
                    </w:rPr>
                  </w:pPr>
                  <w:r>
                    <w:rPr>
                      <w:rFonts w:hint="eastAsia"/>
                      <w:color w:val="auto"/>
                      <w:szCs w:val="21"/>
                    </w:rPr>
                    <w:t>3000</w:t>
                  </w:r>
                </w:p>
              </w:tc>
            </w:tr>
            <w:tr w14:paraId="74F51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05D24C00">
                  <w:pPr>
                    <w:pStyle w:val="70"/>
                    <w:spacing w:beforeLines="0" w:afterLines="0" w:line="240" w:lineRule="auto"/>
                    <w:ind w:firstLine="0"/>
                    <w:rPr>
                      <w:rFonts w:ascii="Times New Roman"/>
                      <w:color w:val="auto"/>
                      <w:sz w:val="21"/>
                      <w:szCs w:val="21"/>
                    </w:rPr>
                  </w:pPr>
                </w:p>
              </w:tc>
              <w:tc>
                <w:tcPr>
                  <w:tcW w:w="299" w:type="pct"/>
                  <w:vMerge w:val="continue"/>
                  <w:vAlign w:val="center"/>
                </w:tcPr>
                <w:p w14:paraId="6FBA4BA7">
                  <w:pPr>
                    <w:pStyle w:val="70"/>
                    <w:spacing w:beforeLines="0" w:afterLines="0" w:line="240" w:lineRule="auto"/>
                    <w:ind w:firstLine="0"/>
                    <w:rPr>
                      <w:rFonts w:ascii="Times New Roman"/>
                      <w:color w:val="auto"/>
                      <w:sz w:val="21"/>
                      <w:szCs w:val="21"/>
                    </w:rPr>
                  </w:pPr>
                </w:p>
              </w:tc>
              <w:tc>
                <w:tcPr>
                  <w:tcW w:w="431" w:type="pct"/>
                  <w:vMerge w:val="continue"/>
                  <w:vAlign w:val="center"/>
                </w:tcPr>
                <w:p w14:paraId="58F53396">
                  <w:pPr>
                    <w:widowControl/>
                    <w:jc w:val="center"/>
                    <w:textAlignment w:val="center"/>
                    <w:rPr>
                      <w:color w:val="auto"/>
                      <w:szCs w:val="21"/>
                    </w:rPr>
                  </w:pPr>
                </w:p>
              </w:tc>
              <w:tc>
                <w:tcPr>
                  <w:tcW w:w="363" w:type="pct"/>
                  <w:vAlign w:val="center"/>
                </w:tcPr>
                <w:p w14:paraId="51C8ED50">
                  <w:pPr>
                    <w:widowControl/>
                    <w:jc w:val="center"/>
                    <w:textAlignment w:val="center"/>
                    <w:rPr>
                      <w:color w:val="auto"/>
                      <w:kern w:val="0"/>
                      <w:szCs w:val="21"/>
                      <w:lang w:bidi="ar"/>
                    </w:rPr>
                  </w:pPr>
                  <w:r>
                    <w:rPr>
                      <w:rFonts w:hint="eastAsia"/>
                      <w:color w:val="auto"/>
                      <w:kern w:val="0"/>
                      <w:szCs w:val="21"/>
                      <w:lang w:bidi="ar"/>
                    </w:rPr>
                    <w:t>颗粒物</w:t>
                  </w:r>
                </w:p>
              </w:tc>
              <w:tc>
                <w:tcPr>
                  <w:tcW w:w="329" w:type="pct"/>
                  <w:vAlign w:val="center"/>
                </w:tcPr>
                <w:p w14:paraId="2444FE84">
                  <w:pPr>
                    <w:widowControl/>
                    <w:jc w:val="center"/>
                    <w:textAlignment w:val="center"/>
                    <w:rPr>
                      <w:color w:val="auto"/>
                      <w:szCs w:val="21"/>
                    </w:rPr>
                  </w:pPr>
                  <w:r>
                    <w:rPr>
                      <w:rFonts w:hint="eastAsia"/>
                      <w:color w:val="auto"/>
                      <w:kern w:val="0"/>
                      <w:szCs w:val="21"/>
                      <w:lang w:bidi="ar"/>
                    </w:rPr>
                    <w:t>/</w:t>
                  </w:r>
                </w:p>
              </w:tc>
              <w:tc>
                <w:tcPr>
                  <w:tcW w:w="977" w:type="dxa"/>
                  <w:vAlign w:val="center"/>
                </w:tcPr>
                <w:p w14:paraId="05E4C960">
                  <w:pPr>
                    <w:widowControl/>
                    <w:jc w:val="center"/>
                    <w:textAlignment w:val="center"/>
                    <w:rPr>
                      <w:color w:val="auto"/>
                      <w:kern w:val="0"/>
                      <w:szCs w:val="21"/>
                      <w:lang w:bidi="ar"/>
                    </w:rPr>
                  </w:pPr>
                  <w:r>
                    <w:rPr>
                      <w:color w:val="auto"/>
                      <w:kern w:val="0"/>
                      <w:szCs w:val="21"/>
                      <w:lang w:bidi="ar"/>
                    </w:rPr>
                    <w:t>0.0002</w:t>
                  </w:r>
                </w:p>
              </w:tc>
              <w:tc>
                <w:tcPr>
                  <w:tcW w:w="969" w:type="dxa"/>
                  <w:vAlign w:val="center"/>
                </w:tcPr>
                <w:p w14:paraId="350E1CED">
                  <w:pPr>
                    <w:widowControl/>
                    <w:jc w:val="center"/>
                    <w:textAlignment w:val="center"/>
                    <w:rPr>
                      <w:color w:val="auto"/>
                      <w:kern w:val="0"/>
                      <w:szCs w:val="21"/>
                      <w:lang w:bidi="ar"/>
                    </w:rPr>
                  </w:pPr>
                  <w:r>
                    <w:rPr>
                      <w:color w:val="auto"/>
                      <w:kern w:val="0"/>
                      <w:szCs w:val="21"/>
                      <w:lang w:bidi="ar"/>
                    </w:rPr>
                    <w:t>0.0001</w:t>
                  </w:r>
                </w:p>
              </w:tc>
              <w:tc>
                <w:tcPr>
                  <w:tcW w:w="328" w:type="pct"/>
                  <w:vAlign w:val="center"/>
                </w:tcPr>
                <w:p w14:paraId="79787AA6">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1E06283F">
                  <w:pPr>
                    <w:widowControl/>
                    <w:jc w:val="center"/>
                    <w:textAlignment w:val="center"/>
                    <w:rPr>
                      <w:color w:val="auto"/>
                      <w:kern w:val="0"/>
                      <w:szCs w:val="21"/>
                      <w:lang w:bidi="ar"/>
                    </w:rPr>
                  </w:pPr>
                </w:p>
              </w:tc>
              <w:tc>
                <w:tcPr>
                  <w:tcW w:w="241" w:type="pct"/>
                  <w:vMerge w:val="continue"/>
                  <w:vAlign w:val="center"/>
                </w:tcPr>
                <w:p w14:paraId="6D42A8C3">
                  <w:pPr>
                    <w:widowControl/>
                    <w:jc w:val="center"/>
                    <w:textAlignment w:val="center"/>
                    <w:rPr>
                      <w:color w:val="auto"/>
                      <w:kern w:val="0"/>
                      <w:szCs w:val="21"/>
                      <w:lang w:bidi="ar"/>
                    </w:rPr>
                  </w:pPr>
                </w:p>
              </w:tc>
              <w:tc>
                <w:tcPr>
                  <w:tcW w:w="224" w:type="pct"/>
                  <w:vMerge w:val="continue"/>
                  <w:vAlign w:val="center"/>
                </w:tcPr>
                <w:p w14:paraId="315143AA">
                  <w:pPr>
                    <w:widowControl/>
                    <w:jc w:val="center"/>
                    <w:textAlignment w:val="center"/>
                    <w:rPr>
                      <w:color w:val="auto"/>
                      <w:kern w:val="0"/>
                      <w:szCs w:val="21"/>
                      <w:lang w:bidi="ar"/>
                    </w:rPr>
                  </w:pPr>
                </w:p>
              </w:tc>
              <w:tc>
                <w:tcPr>
                  <w:tcW w:w="370" w:type="pct"/>
                  <w:vMerge w:val="continue"/>
                  <w:vAlign w:val="center"/>
                </w:tcPr>
                <w:p w14:paraId="159DB04B">
                  <w:pPr>
                    <w:widowControl/>
                    <w:jc w:val="center"/>
                    <w:textAlignment w:val="center"/>
                    <w:rPr>
                      <w:color w:val="auto"/>
                      <w:kern w:val="0"/>
                      <w:szCs w:val="21"/>
                      <w:lang w:bidi="ar"/>
                    </w:rPr>
                  </w:pPr>
                </w:p>
              </w:tc>
              <w:tc>
                <w:tcPr>
                  <w:tcW w:w="1000" w:type="dxa"/>
                  <w:vAlign w:val="center"/>
                </w:tcPr>
                <w:p w14:paraId="5D80F76C">
                  <w:pPr>
                    <w:widowControl/>
                    <w:jc w:val="center"/>
                    <w:textAlignment w:val="center"/>
                    <w:rPr>
                      <w:color w:val="auto"/>
                      <w:kern w:val="0"/>
                      <w:szCs w:val="21"/>
                      <w:lang w:bidi="ar"/>
                    </w:rPr>
                  </w:pPr>
                  <w:r>
                    <w:rPr>
                      <w:color w:val="auto"/>
                      <w:kern w:val="0"/>
                      <w:szCs w:val="21"/>
                      <w:lang w:bidi="ar"/>
                    </w:rPr>
                    <w:t>0.0002</w:t>
                  </w:r>
                </w:p>
              </w:tc>
              <w:tc>
                <w:tcPr>
                  <w:tcW w:w="930" w:type="dxa"/>
                  <w:vAlign w:val="center"/>
                </w:tcPr>
                <w:p w14:paraId="37A0E3B2">
                  <w:pPr>
                    <w:widowControl/>
                    <w:jc w:val="center"/>
                    <w:textAlignment w:val="center"/>
                    <w:rPr>
                      <w:color w:val="auto"/>
                      <w:kern w:val="0"/>
                      <w:szCs w:val="21"/>
                      <w:lang w:bidi="ar"/>
                    </w:rPr>
                  </w:pPr>
                  <w:r>
                    <w:rPr>
                      <w:color w:val="auto"/>
                      <w:kern w:val="0"/>
                      <w:szCs w:val="21"/>
                      <w:lang w:bidi="ar"/>
                    </w:rPr>
                    <w:t>0.0001</w:t>
                  </w:r>
                </w:p>
              </w:tc>
              <w:tc>
                <w:tcPr>
                  <w:tcW w:w="317" w:type="pct"/>
                  <w:vAlign w:val="center"/>
                </w:tcPr>
                <w:p w14:paraId="324BE800">
                  <w:pPr>
                    <w:widowControl/>
                    <w:jc w:val="center"/>
                    <w:textAlignment w:val="center"/>
                    <w:rPr>
                      <w:color w:val="auto"/>
                      <w:kern w:val="0"/>
                      <w:szCs w:val="21"/>
                      <w:lang w:bidi="ar"/>
                    </w:rPr>
                  </w:pPr>
                  <w:r>
                    <w:rPr>
                      <w:rFonts w:hint="eastAsia"/>
                      <w:color w:val="auto"/>
                      <w:kern w:val="0"/>
                      <w:szCs w:val="21"/>
                      <w:lang w:bidi="ar"/>
                    </w:rPr>
                    <w:t>/</w:t>
                  </w:r>
                </w:p>
              </w:tc>
              <w:tc>
                <w:tcPr>
                  <w:tcW w:w="243" w:type="pct"/>
                  <w:vMerge w:val="continue"/>
                  <w:vAlign w:val="center"/>
                </w:tcPr>
                <w:p w14:paraId="251014A7">
                  <w:pPr>
                    <w:pStyle w:val="77"/>
                    <w:jc w:val="center"/>
                    <w:rPr>
                      <w:color w:val="auto"/>
                      <w:szCs w:val="21"/>
                    </w:rPr>
                  </w:pPr>
                </w:p>
              </w:tc>
            </w:tr>
            <w:tr w14:paraId="6C8F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7A7B0CEC">
                  <w:pPr>
                    <w:pStyle w:val="70"/>
                    <w:spacing w:beforeLines="0" w:afterLines="0" w:line="240" w:lineRule="auto"/>
                    <w:ind w:firstLine="0"/>
                    <w:rPr>
                      <w:rFonts w:ascii="Times New Roman"/>
                      <w:color w:val="auto"/>
                      <w:sz w:val="21"/>
                      <w:szCs w:val="21"/>
                    </w:rPr>
                  </w:pPr>
                </w:p>
              </w:tc>
              <w:tc>
                <w:tcPr>
                  <w:tcW w:w="299" w:type="pct"/>
                  <w:vMerge w:val="continue"/>
                  <w:vAlign w:val="center"/>
                </w:tcPr>
                <w:p w14:paraId="5DABB930">
                  <w:pPr>
                    <w:pStyle w:val="70"/>
                    <w:spacing w:beforeLines="0" w:afterLines="0" w:line="240" w:lineRule="auto"/>
                    <w:ind w:firstLine="0"/>
                    <w:rPr>
                      <w:rFonts w:ascii="Times New Roman"/>
                      <w:color w:val="auto"/>
                      <w:sz w:val="21"/>
                      <w:szCs w:val="21"/>
                    </w:rPr>
                  </w:pPr>
                </w:p>
              </w:tc>
              <w:tc>
                <w:tcPr>
                  <w:tcW w:w="431" w:type="pct"/>
                  <w:vMerge w:val="continue"/>
                  <w:vAlign w:val="center"/>
                </w:tcPr>
                <w:p w14:paraId="1FEC3F3B">
                  <w:pPr>
                    <w:widowControl/>
                    <w:jc w:val="center"/>
                    <w:textAlignment w:val="center"/>
                    <w:rPr>
                      <w:color w:val="auto"/>
                      <w:szCs w:val="21"/>
                    </w:rPr>
                  </w:pPr>
                </w:p>
              </w:tc>
              <w:tc>
                <w:tcPr>
                  <w:tcW w:w="363" w:type="pct"/>
                  <w:vAlign w:val="center"/>
                </w:tcPr>
                <w:p w14:paraId="45427746">
                  <w:pPr>
                    <w:widowControl/>
                    <w:jc w:val="center"/>
                    <w:textAlignment w:val="center"/>
                    <w:rPr>
                      <w:color w:val="auto"/>
                      <w:kern w:val="0"/>
                      <w:szCs w:val="21"/>
                      <w:lang w:bidi="ar"/>
                    </w:rPr>
                  </w:pPr>
                  <w:r>
                    <w:rPr>
                      <w:rFonts w:hint="eastAsia"/>
                      <w:color w:val="auto"/>
                      <w:kern w:val="0"/>
                      <w:szCs w:val="21"/>
                      <w:lang w:bidi="ar"/>
                    </w:rPr>
                    <w:t>氮氧化物</w:t>
                  </w:r>
                </w:p>
              </w:tc>
              <w:tc>
                <w:tcPr>
                  <w:tcW w:w="329" w:type="pct"/>
                  <w:vAlign w:val="center"/>
                </w:tcPr>
                <w:p w14:paraId="21E6A527">
                  <w:pPr>
                    <w:widowControl/>
                    <w:jc w:val="center"/>
                    <w:textAlignment w:val="center"/>
                    <w:rPr>
                      <w:color w:val="auto"/>
                      <w:szCs w:val="21"/>
                    </w:rPr>
                  </w:pPr>
                  <w:r>
                    <w:rPr>
                      <w:rFonts w:hint="eastAsia"/>
                      <w:color w:val="auto"/>
                      <w:kern w:val="0"/>
                      <w:szCs w:val="21"/>
                      <w:lang w:bidi="ar"/>
                    </w:rPr>
                    <w:t>/</w:t>
                  </w:r>
                </w:p>
              </w:tc>
              <w:tc>
                <w:tcPr>
                  <w:tcW w:w="977" w:type="dxa"/>
                  <w:vAlign w:val="center"/>
                </w:tcPr>
                <w:p w14:paraId="285A9226">
                  <w:pPr>
                    <w:widowControl/>
                    <w:jc w:val="center"/>
                    <w:textAlignment w:val="center"/>
                    <w:rPr>
                      <w:color w:val="auto"/>
                      <w:kern w:val="0"/>
                      <w:szCs w:val="21"/>
                      <w:lang w:bidi="ar"/>
                    </w:rPr>
                  </w:pPr>
                  <w:r>
                    <w:rPr>
                      <w:color w:val="auto"/>
                      <w:kern w:val="0"/>
                      <w:szCs w:val="21"/>
                      <w:lang w:bidi="ar"/>
                    </w:rPr>
                    <w:t>0.0008</w:t>
                  </w:r>
                </w:p>
              </w:tc>
              <w:tc>
                <w:tcPr>
                  <w:tcW w:w="969" w:type="dxa"/>
                  <w:vAlign w:val="center"/>
                </w:tcPr>
                <w:p w14:paraId="35A5927F">
                  <w:pPr>
                    <w:widowControl/>
                    <w:jc w:val="center"/>
                    <w:textAlignment w:val="center"/>
                    <w:rPr>
                      <w:color w:val="auto"/>
                      <w:kern w:val="0"/>
                      <w:szCs w:val="21"/>
                      <w:lang w:bidi="ar"/>
                    </w:rPr>
                  </w:pPr>
                  <w:r>
                    <w:rPr>
                      <w:color w:val="auto"/>
                      <w:kern w:val="0"/>
                      <w:szCs w:val="21"/>
                      <w:lang w:bidi="ar"/>
                    </w:rPr>
                    <w:t>0.0003</w:t>
                  </w:r>
                </w:p>
              </w:tc>
              <w:tc>
                <w:tcPr>
                  <w:tcW w:w="328" w:type="pct"/>
                  <w:vAlign w:val="center"/>
                </w:tcPr>
                <w:p w14:paraId="2BF1F20C">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7BDF7D03">
                  <w:pPr>
                    <w:widowControl/>
                    <w:jc w:val="center"/>
                    <w:textAlignment w:val="center"/>
                    <w:rPr>
                      <w:color w:val="auto"/>
                      <w:kern w:val="0"/>
                      <w:szCs w:val="21"/>
                      <w:lang w:bidi="ar"/>
                    </w:rPr>
                  </w:pPr>
                </w:p>
              </w:tc>
              <w:tc>
                <w:tcPr>
                  <w:tcW w:w="241" w:type="pct"/>
                  <w:vMerge w:val="continue"/>
                  <w:vAlign w:val="center"/>
                </w:tcPr>
                <w:p w14:paraId="47CBE74E">
                  <w:pPr>
                    <w:widowControl/>
                    <w:jc w:val="center"/>
                    <w:textAlignment w:val="center"/>
                    <w:rPr>
                      <w:color w:val="auto"/>
                      <w:kern w:val="0"/>
                      <w:szCs w:val="21"/>
                      <w:lang w:bidi="ar"/>
                    </w:rPr>
                  </w:pPr>
                </w:p>
              </w:tc>
              <w:tc>
                <w:tcPr>
                  <w:tcW w:w="224" w:type="pct"/>
                  <w:vMerge w:val="continue"/>
                  <w:vAlign w:val="center"/>
                </w:tcPr>
                <w:p w14:paraId="7475880E">
                  <w:pPr>
                    <w:widowControl/>
                    <w:jc w:val="center"/>
                    <w:textAlignment w:val="center"/>
                    <w:rPr>
                      <w:color w:val="auto"/>
                      <w:kern w:val="0"/>
                      <w:szCs w:val="21"/>
                      <w:lang w:bidi="ar"/>
                    </w:rPr>
                  </w:pPr>
                </w:p>
              </w:tc>
              <w:tc>
                <w:tcPr>
                  <w:tcW w:w="370" w:type="pct"/>
                  <w:vMerge w:val="continue"/>
                  <w:vAlign w:val="center"/>
                </w:tcPr>
                <w:p w14:paraId="5BF1706E">
                  <w:pPr>
                    <w:widowControl/>
                    <w:jc w:val="center"/>
                    <w:textAlignment w:val="center"/>
                    <w:rPr>
                      <w:color w:val="auto"/>
                      <w:kern w:val="0"/>
                      <w:szCs w:val="21"/>
                      <w:lang w:bidi="ar"/>
                    </w:rPr>
                  </w:pPr>
                </w:p>
              </w:tc>
              <w:tc>
                <w:tcPr>
                  <w:tcW w:w="1000" w:type="dxa"/>
                  <w:vAlign w:val="center"/>
                </w:tcPr>
                <w:p w14:paraId="587302CD">
                  <w:pPr>
                    <w:widowControl/>
                    <w:jc w:val="center"/>
                    <w:textAlignment w:val="center"/>
                    <w:rPr>
                      <w:color w:val="auto"/>
                      <w:kern w:val="0"/>
                      <w:szCs w:val="21"/>
                      <w:lang w:bidi="ar"/>
                    </w:rPr>
                  </w:pPr>
                  <w:r>
                    <w:rPr>
                      <w:color w:val="auto"/>
                      <w:kern w:val="0"/>
                      <w:szCs w:val="21"/>
                      <w:lang w:bidi="ar"/>
                    </w:rPr>
                    <w:t>0.0008</w:t>
                  </w:r>
                </w:p>
              </w:tc>
              <w:tc>
                <w:tcPr>
                  <w:tcW w:w="930" w:type="dxa"/>
                  <w:vAlign w:val="center"/>
                </w:tcPr>
                <w:p w14:paraId="4F3F6051">
                  <w:pPr>
                    <w:widowControl/>
                    <w:jc w:val="center"/>
                    <w:textAlignment w:val="center"/>
                    <w:rPr>
                      <w:color w:val="auto"/>
                      <w:kern w:val="0"/>
                      <w:szCs w:val="21"/>
                      <w:lang w:bidi="ar"/>
                    </w:rPr>
                  </w:pPr>
                  <w:r>
                    <w:rPr>
                      <w:color w:val="auto"/>
                      <w:kern w:val="0"/>
                      <w:szCs w:val="21"/>
                      <w:lang w:bidi="ar"/>
                    </w:rPr>
                    <w:t>0.0003</w:t>
                  </w:r>
                </w:p>
              </w:tc>
              <w:tc>
                <w:tcPr>
                  <w:tcW w:w="317" w:type="pct"/>
                  <w:vAlign w:val="center"/>
                </w:tcPr>
                <w:p w14:paraId="4D5EE834">
                  <w:pPr>
                    <w:widowControl/>
                    <w:jc w:val="center"/>
                    <w:textAlignment w:val="center"/>
                    <w:rPr>
                      <w:color w:val="auto"/>
                      <w:kern w:val="0"/>
                      <w:szCs w:val="21"/>
                      <w:lang w:bidi="ar"/>
                    </w:rPr>
                  </w:pPr>
                  <w:r>
                    <w:rPr>
                      <w:rFonts w:hint="eastAsia"/>
                      <w:color w:val="auto"/>
                      <w:kern w:val="0"/>
                      <w:szCs w:val="21"/>
                      <w:lang w:bidi="ar"/>
                    </w:rPr>
                    <w:t>/</w:t>
                  </w:r>
                </w:p>
              </w:tc>
              <w:tc>
                <w:tcPr>
                  <w:tcW w:w="243" w:type="pct"/>
                  <w:vMerge w:val="continue"/>
                  <w:vAlign w:val="center"/>
                </w:tcPr>
                <w:p w14:paraId="4CFEF87E">
                  <w:pPr>
                    <w:pStyle w:val="77"/>
                    <w:jc w:val="center"/>
                    <w:rPr>
                      <w:color w:val="auto"/>
                      <w:szCs w:val="21"/>
                    </w:rPr>
                  </w:pPr>
                </w:p>
              </w:tc>
            </w:tr>
            <w:tr w14:paraId="5E633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0" w:type="pct"/>
                  <w:vMerge w:val="continue"/>
                  <w:vAlign w:val="center"/>
                </w:tcPr>
                <w:p w14:paraId="66766B88">
                  <w:pPr>
                    <w:widowControl/>
                    <w:jc w:val="center"/>
                    <w:textAlignment w:val="center"/>
                    <w:rPr>
                      <w:color w:val="auto"/>
                    </w:rPr>
                  </w:pPr>
                </w:p>
              </w:tc>
              <w:tc>
                <w:tcPr>
                  <w:tcW w:w="299" w:type="pct"/>
                  <w:vMerge w:val="continue"/>
                  <w:vAlign w:val="center"/>
                </w:tcPr>
                <w:p w14:paraId="6808233C">
                  <w:pPr>
                    <w:widowControl/>
                    <w:jc w:val="center"/>
                    <w:textAlignment w:val="center"/>
                    <w:rPr>
                      <w:color w:val="auto"/>
                    </w:rPr>
                  </w:pPr>
                </w:p>
              </w:tc>
              <w:tc>
                <w:tcPr>
                  <w:tcW w:w="431" w:type="pct"/>
                  <w:vMerge w:val="continue"/>
                  <w:vAlign w:val="center"/>
                </w:tcPr>
                <w:p w14:paraId="1B3CA50B">
                  <w:pPr>
                    <w:widowControl/>
                    <w:jc w:val="center"/>
                    <w:textAlignment w:val="center"/>
                    <w:rPr>
                      <w:color w:val="auto"/>
                    </w:rPr>
                  </w:pPr>
                </w:p>
              </w:tc>
              <w:tc>
                <w:tcPr>
                  <w:tcW w:w="363" w:type="pct"/>
                  <w:vAlign w:val="center"/>
                </w:tcPr>
                <w:p w14:paraId="00944E39">
                  <w:pPr>
                    <w:widowControl/>
                    <w:jc w:val="center"/>
                    <w:textAlignment w:val="center"/>
                    <w:rPr>
                      <w:color w:val="auto"/>
                      <w:kern w:val="0"/>
                      <w:szCs w:val="21"/>
                      <w:lang w:bidi="ar"/>
                    </w:rPr>
                  </w:pPr>
                  <w:r>
                    <w:rPr>
                      <w:rFonts w:hint="eastAsia"/>
                      <w:color w:val="auto"/>
                      <w:kern w:val="0"/>
                      <w:szCs w:val="21"/>
                      <w:lang w:bidi="ar"/>
                    </w:rPr>
                    <w:t>二氧化硫</w:t>
                  </w:r>
                </w:p>
              </w:tc>
              <w:tc>
                <w:tcPr>
                  <w:tcW w:w="329" w:type="pct"/>
                  <w:vAlign w:val="center"/>
                </w:tcPr>
                <w:p w14:paraId="54898F29">
                  <w:pPr>
                    <w:widowControl/>
                    <w:jc w:val="center"/>
                    <w:textAlignment w:val="center"/>
                    <w:rPr>
                      <w:color w:val="auto"/>
                      <w:kern w:val="0"/>
                      <w:szCs w:val="21"/>
                      <w:lang w:bidi="ar"/>
                    </w:rPr>
                  </w:pPr>
                  <w:r>
                    <w:rPr>
                      <w:rFonts w:hint="eastAsia"/>
                      <w:color w:val="auto"/>
                      <w:kern w:val="0"/>
                      <w:szCs w:val="21"/>
                      <w:lang w:bidi="ar"/>
                    </w:rPr>
                    <w:t>/</w:t>
                  </w:r>
                </w:p>
              </w:tc>
              <w:tc>
                <w:tcPr>
                  <w:tcW w:w="977" w:type="dxa"/>
                  <w:vAlign w:val="center"/>
                </w:tcPr>
                <w:p w14:paraId="3C46096A">
                  <w:pPr>
                    <w:widowControl/>
                    <w:jc w:val="center"/>
                    <w:textAlignment w:val="center"/>
                    <w:rPr>
                      <w:color w:val="auto"/>
                      <w:kern w:val="0"/>
                      <w:szCs w:val="21"/>
                      <w:lang w:bidi="ar"/>
                    </w:rPr>
                  </w:pPr>
                  <w:r>
                    <w:rPr>
                      <w:color w:val="auto"/>
                      <w:kern w:val="0"/>
                      <w:szCs w:val="21"/>
                      <w:lang w:bidi="ar"/>
                    </w:rPr>
                    <w:t>0.0002</w:t>
                  </w:r>
                </w:p>
              </w:tc>
              <w:tc>
                <w:tcPr>
                  <w:tcW w:w="969" w:type="dxa"/>
                  <w:vAlign w:val="center"/>
                </w:tcPr>
                <w:p w14:paraId="65E3ED90">
                  <w:pPr>
                    <w:widowControl/>
                    <w:jc w:val="center"/>
                    <w:textAlignment w:val="center"/>
                    <w:rPr>
                      <w:color w:val="auto"/>
                      <w:kern w:val="0"/>
                      <w:szCs w:val="21"/>
                      <w:lang w:bidi="ar"/>
                    </w:rPr>
                  </w:pPr>
                  <w:r>
                    <w:rPr>
                      <w:color w:val="auto"/>
                      <w:kern w:val="0"/>
                      <w:szCs w:val="21"/>
                      <w:lang w:bidi="ar"/>
                    </w:rPr>
                    <w:t>0.0001</w:t>
                  </w:r>
                </w:p>
              </w:tc>
              <w:tc>
                <w:tcPr>
                  <w:tcW w:w="328" w:type="pct"/>
                  <w:vAlign w:val="center"/>
                </w:tcPr>
                <w:p w14:paraId="741DA725">
                  <w:pPr>
                    <w:widowControl/>
                    <w:jc w:val="center"/>
                    <w:textAlignment w:val="center"/>
                    <w:rPr>
                      <w:color w:val="auto"/>
                      <w:kern w:val="0"/>
                      <w:szCs w:val="21"/>
                      <w:lang w:bidi="ar"/>
                    </w:rPr>
                  </w:pPr>
                  <w:r>
                    <w:rPr>
                      <w:rFonts w:hint="eastAsia"/>
                      <w:color w:val="auto"/>
                      <w:kern w:val="0"/>
                      <w:szCs w:val="21"/>
                      <w:lang w:bidi="ar"/>
                    </w:rPr>
                    <w:t>/</w:t>
                  </w:r>
                </w:p>
              </w:tc>
              <w:tc>
                <w:tcPr>
                  <w:tcW w:w="382" w:type="pct"/>
                  <w:vMerge w:val="continue"/>
                  <w:vAlign w:val="center"/>
                </w:tcPr>
                <w:p w14:paraId="30A21D9E">
                  <w:pPr>
                    <w:widowControl/>
                    <w:jc w:val="center"/>
                    <w:textAlignment w:val="center"/>
                    <w:rPr>
                      <w:color w:val="auto"/>
                      <w:kern w:val="0"/>
                      <w:szCs w:val="21"/>
                      <w:lang w:bidi="ar"/>
                    </w:rPr>
                  </w:pPr>
                </w:p>
              </w:tc>
              <w:tc>
                <w:tcPr>
                  <w:tcW w:w="241" w:type="pct"/>
                  <w:vMerge w:val="continue"/>
                  <w:vAlign w:val="center"/>
                </w:tcPr>
                <w:p w14:paraId="565714E2">
                  <w:pPr>
                    <w:widowControl/>
                    <w:jc w:val="center"/>
                    <w:textAlignment w:val="center"/>
                    <w:rPr>
                      <w:color w:val="auto"/>
                      <w:kern w:val="0"/>
                      <w:szCs w:val="21"/>
                      <w:lang w:bidi="ar"/>
                    </w:rPr>
                  </w:pPr>
                </w:p>
              </w:tc>
              <w:tc>
                <w:tcPr>
                  <w:tcW w:w="224" w:type="pct"/>
                  <w:vMerge w:val="continue"/>
                  <w:vAlign w:val="center"/>
                </w:tcPr>
                <w:p w14:paraId="65C8FDD0">
                  <w:pPr>
                    <w:widowControl/>
                    <w:jc w:val="center"/>
                    <w:textAlignment w:val="center"/>
                    <w:rPr>
                      <w:color w:val="auto"/>
                      <w:kern w:val="0"/>
                      <w:szCs w:val="21"/>
                      <w:lang w:bidi="ar"/>
                    </w:rPr>
                  </w:pPr>
                </w:p>
              </w:tc>
              <w:tc>
                <w:tcPr>
                  <w:tcW w:w="370" w:type="pct"/>
                  <w:vMerge w:val="continue"/>
                  <w:vAlign w:val="center"/>
                </w:tcPr>
                <w:p w14:paraId="6ABDFAFD">
                  <w:pPr>
                    <w:widowControl/>
                    <w:jc w:val="center"/>
                    <w:textAlignment w:val="center"/>
                    <w:rPr>
                      <w:color w:val="auto"/>
                      <w:kern w:val="0"/>
                      <w:szCs w:val="21"/>
                      <w:lang w:bidi="ar"/>
                    </w:rPr>
                  </w:pPr>
                </w:p>
              </w:tc>
              <w:tc>
                <w:tcPr>
                  <w:tcW w:w="1000" w:type="dxa"/>
                  <w:vAlign w:val="center"/>
                </w:tcPr>
                <w:p w14:paraId="1552A15E">
                  <w:pPr>
                    <w:widowControl/>
                    <w:jc w:val="center"/>
                    <w:textAlignment w:val="center"/>
                    <w:rPr>
                      <w:color w:val="auto"/>
                      <w:kern w:val="0"/>
                      <w:szCs w:val="21"/>
                      <w:lang w:bidi="ar"/>
                    </w:rPr>
                  </w:pPr>
                  <w:r>
                    <w:rPr>
                      <w:color w:val="auto"/>
                      <w:kern w:val="0"/>
                      <w:szCs w:val="21"/>
                      <w:lang w:bidi="ar"/>
                    </w:rPr>
                    <w:t>0.0002</w:t>
                  </w:r>
                </w:p>
              </w:tc>
              <w:tc>
                <w:tcPr>
                  <w:tcW w:w="930" w:type="dxa"/>
                  <w:vAlign w:val="center"/>
                </w:tcPr>
                <w:p w14:paraId="1E054461">
                  <w:pPr>
                    <w:widowControl/>
                    <w:jc w:val="center"/>
                    <w:textAlignment w:val="center"/>
                    <w:rPr>
                      <w:color w:val="auto"/>
                      <w:kern w:val="0"/>
                      <w:szCs w:val="21"/>
                      <w:lang w:bidi="ar"/>
                    </w:rPr>
                  </w:pPr>
                  <w:r>
                    <w:rPr>
                      <w:color w:val="auto"/>
                      <w:kern w:val="0"/>
                      <w:szCs w:val="21"/>
                      <w:lang w:bidi="ar"/>
                    </w:rPr>
                    <w:t>0.0001</w:t>
                  </w:r>
                </w:p>
              </w:tc>
              <w:tc>
                <w:tcPr>
                  <w:tcW w:w="317" w:type="pct"/>
                  <w:vAlign w:val="center"/>
                </w:tcPr>
                <w:p w14:paraId="4B1CFDAD">
                  <w:pPr>
                    <w:widowControl/>
                    <w:jc w:val="center"/>
                    <w:textAlignment w:val="center"/>
                    <w:rPr>
                      <w:color w:val="auto"/>
                      <w:kern w:val="0"/>
                      <w:szCs w:val="21"/>
                      <w:lang w:bidi="ar"/>
                    </w:rPr>
                  </w:pPr>
                  <w:r>
                    <w:rPr>
                      <w:rFonts w:hint="eastAsia"/>
                      <w:color w:val="auto"/>
                      <w:kern w:val="0"/>
                      <w:szCs w:val="21"/>
                      <w:lang w:bidi="ar"/>
                    </w:rPr>
                    <w:t>/</w:t>
                  </w:r>
                </w:p>
              </w:tc>
              <w:tc>
                <w:tcPr>
                  <w:tcW w:w="243" w:type="pct"/>
                  <w:vMerge w:val="continue"/>
                  <w:vAlign w:val="center"/>
                </w:tcPr>
                <w:p w14:paraId="323CB7C8">
                  <w:pPr>
                    <w:widowControl/>
                    <w:jc w:val="center"/>
                    <w:textAlignment w:val="center"/>
                    <w:rPr>
                      <w:color w:val="auto"/>
                      <w:kern w:val="0"/>
                      <w:szCs w:val="21"/>
                      <w:lang w:bidi="ar"/>
                    </w:rPr>
                  </w:pPr>
                </w:p>
              </w:tc>
            </w:tr>
          </w:tbl>
          <w:p w14:paraId="1F341A41">
            <w:pPr>
              <w:adjustRightInd w:val="0"/>
              <w:snapToGrid w:val="0"/>
              <w:jc w:val="center"/>
              <w:rPr>
                <w:bCs/>
                <w:color w:val="auto"/>
                <w:sz w:val="24"/>
              </w:rPr>
            </w:pPr>
          </w:p>
          <w:p w14:paraId="2CDFFFF0">
            <w:pPr>
              <w:adjustRightInd w:val="0"/>
              <w:snapToGrid w:val="0"/>
              <w:jc w:val="center"/>
              <w:rPr>
                <w:bCs/>
                <w:color w:val="auto"/>
                <w:sz w:val="24"/>
              </w:rPr>
            </w:pPr>
          </w:p>
          <w:p w14:paraId="286A693D">
            <w:pPr>
              <w:adjustRightInd w:val="0"/>
              <w:snapToGrid w:val="0"/>
              <w:jc w:val="center"/>
              <w:rPr>
                <w:bCs/>
                <w:color w:val="auto"/>
                <w:sz w:val="24"/>
              </w:rPr>
            </w:pPr>
          </w:p>
          <w:p w14:paraId="155414D7">
            <w:pPr>
              <w:adjustRightInd w:val="0"/>
              <w:snapToGrid w:val="0"/>
              <w:jc w:val="center"/>
              <w:rPr>
                <w:bCs/>
                <w:color w:val="auto"/>
                <w:sz w:val="24"/>
              </w:rPr>
            </w:pPr>
          </w:p>
        </w:tc>
      </w:tr>
    </w:tbl>
    <w:p w14:paraId="65BEDA89">
      <w:pPr>
        <w:adjustRightInd w:val="0"/>
        <w:snapToGrid w:val="0"/>
        <w:jc w:val="center"/>
        <w:rPr>
          <w:bCs/>
          <w:sz w:val="24"/>
        </w:rPr>
        <w:sectPr>
          <w:pgSz w:w="16840" w:h="11907" w:orient="landscape"/>
          <w:pgMar w:top="1440" w:right="1083" w:bottom="1440" w:left="1083" w:header="851" w:footer="851" w:gutter="0"/>
          <w:cols w:space="720" w:num="1"/>
          <w:docGrid w:linePitch="312" w:charSpace="0"/>
        </w:sectPr>
      </w:pPr>
    </w:p>
    <w:tbl>
      <w:tblPr>
        <w:tblStyle w:val="35"/>
        <w:tblW w:w="1015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10919"/>
      </w:tblGrid>
      <w:tr w14:paraId="13835A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82" w:hRule="atLeast"/>
          <w:jc w:val="center"/>
        </w:trPr>
        <w:tc>
          <w:tcPr>
            <w:tcW w:w="296" w:type="dxa"/>
            <w:tcMar>
              <w:left w:w="28" w:type="dxa"/>
              <w:right w:w="28" w:type="dxa"/>
            </w:tcMar>
            <w:vAlign w:val="center"/>
          </w:tcPr>
          <w:p w14:paraId="65D2B446">
            <w:pPr>
              <w:adjustRightInd w:val="0"/>
              <w:snapToGrid w:val="0"/>
              <w:jc w:val="center"/>
              <w:rPr>
                <w:bCs/>
                <w:color w:val="auto"/>
                <w:sz w:val="24"/>
              </w:rPr>
            </w:pPr>
            <w:r>
              <w:rPr>
                <w:bCs/>
                <w:color w:val="auto"/>
                <w:sz w:val="24"/>
              </w:rPr>
              <w:t>运营</w:t>
            </w:r>
          </w:p>
          <w:p w14:paraId="5F5AE0F5">
            <w:pPr>
              <w:adjustRightInd w:val="0"/>
              <w:snapToGrid w:val="0"/>
              <w:jc w:val="center"/>
              <w:rPr>
                <w:bCs/>
                <w:color w:val="auto"/>
                <w:sz w:val="24"/>
              </w:rPr>
            </w:pPr>
            <w:r>
              <w:rPr>
                <w:bCs/>
                <w:color w:val="auto"/>
                <w:sz w:val="24"/>
              </w:rPr>
              <w:t>期环</w:t>
            </w:r>
          </w:p>
          <w:p w14:paraId="3C74F6B0">
            <w:pPr>
              <w:adjustRightInd w:val="0"/>
              <w:snapToGrid w:val="0"/>
              <w:jc w:val="center"/>
              <w:rPr>
                <w:bCs/>
                <w:color w:val="auto"/>
                <w:sz w:val="24"/>
              </w:rPr>
            </w:pPr>
            <w:r>
              <w:rPr>
                <w:bCs/>
                <w:color w:val="auto"/>
                <w:sz w:val="24"/>
              </w:rPr>
              <w:t>境影</w:t>
            </w:r>
          </w:p>
          <w:p w14:paraId="6E28960D">
            <w:pPr>
              <w:adjustRightInd w:val="0"/>
              <w:snapToGrid w:val="0"/>
              <w:jc w:val="center"/>
              <w:rPr>
                <w:bCs/>
                <w:color w:val="auto"/>
                <w:sz w:val="24"/>
              </w:rPr>
            </w:pPr>
            <w:r>
              <w:rPr>
                <w:bCs/>
                <w:color w:val="auto"/>
                <w:sz w:val="24"/>
              </w:rPr>
              <w:t>响和</w:t>
            </w:r>
          </w:p>
          <w:p w14:paraId="261161F1">
            <w:pPr>
              <w:adjustRightInd w:val="0"/>
              <w:snapToGrid w:val="0"/>
              <w:jc w:val="center"/>
              <w:rPr>
                <w:bCs/>
                <w:color w:val="auto"/>
                <w:sz w:val="24"/>
              </w:rPr>
            </w:pPr>
            <w:r>
              <w:rPr>
                <w:bCs/>
                <w:color w:val="auto"/>
                <w:sz w:val="24"/>
              </w:rPr>
              <w:t>保护</w:t>
            </w:r>
          </w:p>
          <w:p w14:paraId="03E71FB7">
            <w:pPr>
              <w:adjustRightInd w:val="0"/>
              <w:snapToGrid w:val="0"/>
              <w:jc w:val="center"/>
              <w:rPr>
                <w:bCs/>
                <w:color w:val="auto"/>
                <w:sz w:val="24"/>
              </w:rPr>
            </w:pPr>
            <w:r>
              <w:rPr>
                <w:bCs/>
                <w:color w:val="auto"/>
                <w:sz w:val="24"/>
              </w:rPr>
              <w:t>措施</w:t>
            </w:r>
          </w:p>
        </w:tc>
        <w:tc>
          <w:tcPr>
            <w:tcW w:w="9854" w:type="dxa"/>
          </w:tcPr>
          <w:p w14:paraId="54B855B1">
            <w:pPr>
              <w:pStyle w:val="43"/>
              <w:jc w:val="left"/>
              <w:rPr>
                <w:color w:val="auto"/>
              </w:rPr>
            </w:pPr>
            <w:r>
              <w:rPr>
                <w:rFonts w:hint="eastAsia"/>
                <w:color w:val="auto"/>
              </w:rPr>
              <w:t>项目废气产污环节、污染物项目、排放形式及污染防治设施见下表。</w:t>
            </w:r>
          </w:p>
          <w:p w14:paraId="3EBC5991">
            <w:pPr>
              <w:pStyle w:val="77"/>
              <w:numPr>
                <w:ilvl w:val="0"/>
                <w:numId w:val="18"/>
              </w:numPr>
              <w:adjustRightInd w:val="0"/>
              <w:snapToGrid w:val="0"/>
              <w:jc w:val="center"/>
              <w:rPr>
                <w:b/>
                <w:color w:val="auto"/>
                <w:szCs w:val="21"/>
              </w:rPr>
            </w:pPr>
            <w:r>
              <w:rPr>
                <w:rFonts w:hint="eastAsia"/>
                <w:b/>
                <w:color w:val="auto"/>
                <w:szCs w:val="21"/>
              </w:rPr>
              <w:t>项目废气产污环节、污染物项目、排放形式及污染防治设施一览表</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016"/>
              <w:gridCol w:w="1606"/>
              <w:gridCol w:w="875"/>
              <w:gridCol w:w="1733"/>
              <w:gridCol w:w="853"/>
              <w:gridCol w:w="1647"/>
              <w:gridCol w:w="1296"/>
              <w:gridCol w:w="844"/>
            </w:tblGrid>
            <w:tr w14:paraId="3F559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3" w:type="pct"/>
                  <w:vMerge w:val="restart"/>
                  <w:vAlign w:val="center"/>
                </w:tcPr>
                <w:p w14:paraId="5AC4E997">
                  <w:pPr>
                    <w:pStyle w:val="87"/>
                    <w:rPr>
                      <w:rFonts w:hint="eastAsia"/>
                      <w:bCs/>
                      <w:color w:val="auto"/>
                      <w:kern w:val="11"/>
                    </w:rPr>
                  </w:pPr>
                  <w:r>
                    <w:rPr>
                      <w:rFonts w:hint="eastAsia"/>
                      <w:bCs/>
                      <w:color w:val="auto"/>
                      <w:kern w:val="11"/>
                    </w:rPr>
                    <w:t>行业</w:t>
                  </w:r>
                </w:p>
                <w:p w14:paraId="4F421E7F">
                  <w:pPr>
                    <w:pStyle w:val="87"/>
                    <w:rPr>
                      <w:rFonts w:hint="eastAsia"/>
                      <w:bCs/>
                      <w:color w:val="auto"/>
                      <w:kern w:val="11"/>
                    </w:rPr>
                  </w:pPr>
                  <w:r>
                    <w:rPr>
                      <w:rFonts w:hint="eastAsia"/>
                      <w:bCs/>
                      <w:color w:val="auto"/>
                      <w:kern w:val="11"/>
                    </w:rPr>
                    <w:t>类别</w:t>
                  </w:r>
                </w:p>
              </w:tc>
              <w:tc>
                <w:tcPr>
                  <w:tcW w:w="475" w:type="pct"/>
                  <w:vMerge w:val="restart"/>
                  <w:vAlign w:val="center"/>
                </w:tcPr>
                <w:p w14:paraId="3698C368">
                  <w:pPr>
                    <w:pStyle w:val="87"/>
                    <w:rPr>
                      <w:rFonts w:hint="eastAsia"/>
                      <w:bCs/>
                      <w:color w:val="auto"/>
                      <w:kern w:val="11"/>
                    </w:rPr>
                  </w:pPr>
                  <w:r>
                    <w:rPr>
                      <w:rFonts w:hint="eastAsia"/>
                      <w:bCs/>
                      <w:color w:val="auto"/>
                      <w:kern w:val="11"/>
                    </w:rPr>
                    <w:t>主要生产单元</w:t>
                  </w:r>
                </w:p>
              </w:tc>
              <w:tc>
                <w:tcPr>
                  <w:tcW w:w="751" w:type="pct"/>
                  <w:vMerge w:val="restart"/>
                  <w:vAlign w:val="center"/>
                </w:tcPr>
                <w:p w14:paraId="1D8D3B62">
                  <w:pPr>
                    <w:pStyle w:val="87"/>
                    <w:rPr>
                      <w:rFonts w:hint="eastAsia"/>
                      <w:bCs/>
                      <w:color w:val="auto"/>
                      <w:kern w:val="11"/>
                    </w:rPr>
                  </w:pPr>
                  <w:r>
                    <w:rPr>
                      <w:rFonts w:hint="eastAsia"/>
                      <w:bCs/>
                      <w:color w:val="auto"/>
                      <w:kern w:val="11"/>
                    </w:rPr>
                    <w:t>生产</w:t>
                  </w:r>
                </w:p>
                <w:p w14:paraId="4E2BE6D5">
                  <w:pPr>
                    <w:pStyle w:val="87"/>
                    <w:rPr>
                      <w:rFonts w:hint="eastAsia"/>
                      <w:bCs/>
                      <w:color w:val="auto"/>
                      <w:kern w:val="11"/>
                    </w:rPr>
                  </w:pPr>
                  <w:r>
                    <w:rPr>
                      <w:rFonts w:hint="eastAsia"/>
                      <w:bCs/>
                      <w:color w:val="auto"/>
                      <w:kern w:val="11"/>
                    </w:rPr>
                    <w:t>设施</w:t>
                  </w:r>
                </w:p>
              </w:tc>
              <w:tc>
                <w:tcPr>
                  <w:tcW w:w="409" w:type="pct"/>
                  <w:vMerge w:val="restart"/>
                  <w:vAlign w:val="center"/>
                </w:tcPr>
                <w:p w14:paraId="0543571E">
                  <w:pPr>
                    <w:pStyle w:val="87"/>
                    <w:rPr>
                      <w:rFonts w:hint="eastAsia"/>
                      <w:bCs/>
                      <w:color w:val="auto"/>
                      <w:kern w:val="11"/>
                    </w:rPr>
                  </w:pPr>
                  <w:r>
                    <w:rPr>
                      <w:rFonts w:hint="eastAsia"/>
                      <w:bCs/>
                      <w:color w:val="auto"/>
                      <w:kern w:val="11"/>
                    </w:rPr>
                    <w:t>废气产污环节</w:t>
                  </w:r>
                </w:p>
              </w:tc>
              <w:tc>
                <w:tcPr>
                  <w:tcW w:w="810" w:type="pct"/>
                  <w:vMerge w:val="restart"/>
                  <w:vAlign w:val="center"/>
                </w:tcPr>
                <w:p w14:paraId="0371D64B">
                  <w:pPr>
                    <w:pStyle w:val="87"/>
                    <w:rPr>
                      <w:rFonts w:hint="eastAsia"/>
                      <w:bCs/>
                      <w:color w:val="auto"/>
                      <w:kern w:val="11"/>
                    </w:rPr>
                  </w:pPr>
                  <w:r>
                    <w:rPr>
                      <w:rFonts w:hint="eastAsia"/>
                      <w:bCs/>
                      <w:color w:val="auto"/>
                      <w:kern w:val="11"/>
                    </w:rPr>
                    <w:t>污染物项目</w:t>
                  </w:r>
                </w:p>
              </w:tc>
              <w:tc>
                <w:tcPr>
                  <w:tcW w:w="399" w:type="pct"/>
                  <w:vMerge w:val="restart"/>
                  <w:vAlign w:val="center"/>
                </w:tcPr>
                <w:p w14:paraId="4136BE28">
                  <w:pPr>
                    <w:pStyle w:val="87"/>
                    <w:rPr>
                      <w:rFonts w:hint="eastAsia"/>
                      <w:bCs/>
                      <w:color w:val="auto"/>
                      <w:kern w:val="11"/>
                    </w:rPr>
                  </w:pPr>
                  <w:r>
                    <w:rPr>
                      <w:rFonts w:hint="eastAsia"/>
                      <w:bCs/>
                      <w:color w:val="auto"/>
                      <w:kern w:val="11"/>
                    </w:rPr>
                    <w:t>排放</w:t>
                  </w:r>
                </w:p>
                <w:p w14:paraId="6C29E63C">
                  <w:pPr>
                    <w:pStyle w:val="87"/>
                    <w:rPr>
                      <w:rFonts w:hint="eastAsia"/>
                      <w:bCs/>
                      <w:color w:val="auto"/>
                      <w:kern w:val="11"/>
                    </w:rPr>
                  </w:pPr>
                  <w:r>
                    <w:rPr>
                      <w:rFonts w:hint="eastAsia"/>
                      <w:bCs/>
                      <w:color w:val="auto"/>
                      <w:kern w:val="11"/>
                    </w:rPr>
                    <w:t>形式</w:t>
                  </w:r>
                </w:p>
              </w:tc>
              <w:tc>
                <w:tcPr>
                  <w:tcW w:w="1376" w:type="pct"/>
                  <w:gridSpan w:val="2"/>
                  <w:vAlign w:val="center"/>
                </w:tcPr>
                <w:p w14:paraId="1E72869B">
                  <w:pPr>
                    <w:pStyle w:val="87"/>
                    <w:rPr>
                      <w:rFonts w:hint="eastAsia"/>
                      <w:bCs/>
                      <w:color w:val="auto"/>
                      <w:kern w:val="11"/>
                    </w:rPr>
                  </w:pPr>
                  <w:r>
                    <w:rPr>
                      <w:rFonts w:hint="eastAsia"/>
                      <w:bCs/>
                      <w:color w:val="auto"/>
                      <w:kern w:val="11"/>
                    </w:rPr>
                    <w:t>污染防治设施</w:t>
                  </w:r>
                </w:p>
              </w:tc>
              <w:tc>
                <w:tcPr>
                  <w:tcW w:w="394" w:type="pct"/>
                  <w:vMerge w:val="restart"/>
                  <w:vAlign w:val="center"/>
                </w:tcPr>
                <w:p w14:paraId="2AA2B70F">
                  <w:pPr>
                    <w:pStyle w:val="87"/>
                    <w:rPr>
                      <w:rFonts w:hint="eastAsia"/>
                      <w:bCs/>
                      <w:color w:val="auto"/>
                      <w:kern w:val="11"/>
                    </w:rPr>
                  </w:pPr>
                  <w:r>
                    <w:rPr>
                      <w:rFonts w:hint="eastAsia"/>
                      <w:bCs/>
                      <w:color w:val="auto"/>
                      <w:kern w:val="11"/>
                    </w:rPr>
                    <w:t>排放口类型</w:t>
                  </w:r>
                </w:p>
              </w:tc>
            </w:tr>
            <w:tr w14:paraId="1467D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3" w:type="pct"/>
                  <w:vMerge w:val="continue"/>
                  <w:vAlign w:val="center"/>
                </w:tcPr>
                <w:p w14:paraId="5099D2E4">
                  <w:pPr>
                    <w:pStyle w:val="87"/>
                    <w:rPr>
                      <w:rFonts w:hint="eastAsia"/>
                      <w:bCs/>
                      <w:color w:val="auto"/>
                      <w:kern w:val="11"/>
                    </w:rPr>
                  </w:pPr>
                </w:p>
              </w:tc>
              <w:tc>
                <w:tcPr>
                  <w:tcW w:w="475" w:type="pct"/>
                  <w:vMerge w:val="continue"/>
                  <w:vAlign w:val="center"/>
                </w:tcPr>
                <w:p w14:paraId="383C5855">
                  <w:pPr>
                    <w:pStyle w:val="87"/>
                    <w:rPr>
                      <w:rFonts w:hint="eastAsia"/>
                      <w:bCs/>
                      <w:color w:val="auto"/>
                      <w:kern w:val="11"/>
                    </w:rPr>
                  </w:pPr>
                </w:p>
              </w:tc>
              <w:tc>
                <w:tcPr>
                  <w:tcW w:w="751" w:type="pct"/>
                  <w:vMerge w:val="continue"/>
                  <w:vAlign w:val="center"/>
                </w:tcPr>
                <w:p w14:paraId="7E15971B">
                  <w:pPr>
                    <w:pStyle w:val="87"/>
                    <w:rPr>
                      <w:rFonts w:hint="eastAsia"/>
                      <w:bCs/>
                      <w:color w:val="auto"/>
                      <w:kern w:val="11"/>
                    </w:rPr>
                  </w:pPr>
                </w:p>
              </w:tc>
              <w:tc>
                <w:tcPr>
                  <w:tcW w:w="409" w:type="pct"/>
                  <w:vMerge w:val="continue"/>
                  <w:vAlign w:val="center"/>
                </w:tcPr>
                <w:p w14:paraId="1D52EC09">
                  <w:pPr>
                    <w:pStyle w:val="87"/>
                    <w:rPr>
                      <w:rFonts w:hint="eastAsia"/>
                      <w:bCs/>
                      <w:color w:val="auto"/>
                      <w:kern w:val="11"/>
                    </w:rPr>
                  </w:pPr>
                </w:p>
              </w:tc>
              <w:tc>
                <w:tcPr>
                  <w:tcW w:w="810" w:type="pct"/>
                  <w:vMerge w:val="continue"/>
                  <w:vAlign w:val="center"/>
                </w:tcPr>
                <w:p w14:paraId="1135C740">
                  <w:pPr>
                    <w:pStyle w:val="87"/>
                    <w:rPr>
                      <w:rFonts w:hint="eastAsia"/>
                      <w:bCs/>
                      <w:color w:val="auto"/>
                      <w:kern w:val="11"/>
                    </w:rPr>
                  </w:pPr>
                </w:p>
              </w:tc>
              <w:tc>
                <w:tcPr>
                  <w:tcW w:w="399" w:type="pct"/>
                  <w:vMerge w:val="continue"/>
                  <w:vAlign w:val="center"/>
                </w:tcPr>
                <w:p w14:paraId="57299BA5">
                  <w:pPr>
                    <w:pStyle w:val="87"/>
                    <w:rPr>
                      <w:rFonts w:hint="eastAsia"/>
                      <w:bCs/>
                      <w:color w:val="auto"/>
                      <w:kern w:val="11"/>
                    </w:rPr>
                  </w:pPr>
                </w:p>
              </w:tc>
              <w:tc>
                <w:tcPr>
                  <w:tcW w:w="770" w:type="pct"/>
                  <w:vAlign w:val="center"/>
                </w:tcPr>
                <w:p w14:paraId="7244E806">
                  <w:pPr>
                    <w:pStyle w:val="87"/>
                    <w:rPr>
                      <w:rFonts w:hint="eastAsia"/>
                      <w:bCs/>
                      <w:color w:val="auto"/>
                      <w:kern w:val="11"/>
                    </w:rPr>
                  </w:pPr>
                  <w:r>
                    <w:rPr>
                      <w:rFonts w:hint="eastAsia"/>
                      <w:bCs/>
                      <w:color w:val="auto"/>
                      <w:kern w:val="11"/>
                    </w:rPr>
                    <w:t>污染防治设施名称及工艺</w:t>
                  </w:r>
                </w:p>
              </w:tc>
              <w:tc>
                <w:tcPr>
                  <w:tcW w:w="606" w:type="pct"/>
                  <w:vAlign w:val="center"/>
                </w:tcPr>
                <w:p w14:paraId="58861B46">
                  <w:pPr>
                    <w:pStyle w:val="87"/>
                    <w:rPr>
                      <w:rFonts w:hint="eastAsia"/>
                      <w:bCs/>
                      <w:color w:val="auto"/>
                      <w:kern w:val="11"/>
                    </w:rPr>
                  </w:pPr>
                  <w:r>
                    <w:rPr>
                      <w:rFonts w:hint="eastAsia"/>
                      <w:bCs/>
                      <w:color w:val="auto"/>
                      <w:kern w:val="11"/>
                    </w:rPr>
                    <w:t>是否为可行性技术</w:t>
                  </w:r>
                </w:p>
              </w:tc>
              <w:tc>
                <w:tcPr>
                  <w:tcW w:w="394" w:type="pct"/>
                  <w:vMerge w:val="continue"/>
                  <w:vAlign w:val="center"/>
                </w:tcPr>
                <w:p w14:paraId="2BD13841">
                  <w:pPr>
                    <w:pStyle w:val="87"/>
                    <w:rPr>
                      <w:rFonts w:hint="eastAsia"/>
                      <w:bCs/>
                      <w:color w:val="auto"/>
                      <w:kern w:val="11"/>
                    </w:rPr>
                  </w:pPr>
                </w:p>
              </w:tc>
            </w:tr>
            <w:tr w14:paraId="3357F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3" w:type="pct"/>
                  <w:vMerge w:val="restart"/>
                  <w:vAlign w:val="center"/>
                </w:tcPr>
                <w:p w14:paraId="6ECACFCE">
                  <w:pPr>
                    <w:widowControl/>
                    <w:jc w:val="center"/>
                    <w:rPr>
                      <w:color w:val="auto"/>
                      <w:szCs w:val="21"/>
                    </w:rPr>
                  </w:pPr>
                  <w:r>
                    <w:rPr>
                      <w:rFonts w:hint="eastAsia"/>
                      <w:color w:val="auto"/>
                      <w:szCs w:val="21"/>
                    </w:rPr>
                    <w:t>金属表面处理及热处理加工</w:t>
                  </w:r>
                </w:p>
              </w:tc>
              <w:tc>
                <w:tcPr>
                  <w:tcW w:w="475" w:type="pct"/>
                  <w:vAlign w:val="center"/>
                </w:tcPr>
                <w:p w14:paraId="7593139C">
                  <w:pPr>
                    <w:pStyle w:val="87"/>
                    <w:rPr>
                      <w:rFonts w:hAnsi="Times New Roman"/>
                      <w:b w:val="0"/>
                      <w:bCs/>
                      <w:color w:val="auto"/>
                      <w:kern w:val="11"/>
                    </w:rPr>
                  </w:pPr>
                  <w:r>
                    <w:rPr>
                      <w:rFonts w:hint="eastAsia"/>
                      <w:b w:val="0"/>
                      <w:bCs/>
                      <w:color w:val="auto"/>
                      <w:kern w:val="11"/>
                    </w:rPr>
                    <w:t>机加工</w:t>
                  </w:r>
                </w:p>
              </w:tc>
              <w:tc>
                <w:tcPr>
                  <w:tcW w:w="751" w:type="pct"/>
                  <w:vAlign w:val="center"/>
                </w:tcPr>
                <w:p w14:paraId="26643897">
                  <w:pPr>
                    <w:pStyle w:val="87"/>
                    <w:rPr>
                      <w:rFonts w:hAnsi="Times New Roman"/>
                      <w:b w:val="0"/>
                      <w:bCs/>
                      <w:color w:val="auto"/>
                      <w:kern w:val="11"/>
                    </w:rPr>
                  </w:pPr>
                  <w:r>
                    <w:rPr>
                      <w:rFonts w:hint="eastAsia"/>
                      <w:b w:val="0"/>
                      <w:bCs/>
                      <w:color w:val="auto"/>
                      <w:kern w:val="11"/>
                    </w:rPr>
                    <w:t>抛丸清理机</w:t>
                  </w:r>
                </w:p>
              </w:tc>
              <w:tc>
                <w:tcPr>
                  <w:tcW w:w="409" w:type="pct"/>
                  <w:vAlign w:val="center"/>
                </w:tcPr>
                <w:p w14:paraId="6DDBC880">
                  <w:pPr>
                    <w:pStyle w:val="87"/>
                    <w:rPr>
                      <w:rFonts w:hAnsi="Times New Roman"/>
                      <w:b w:val="0"/>
                      <w:bCs/>
                      <w:color w:val="auto"/>
                      <w:kern w:val="11"/>
                    </w:rPr>
                  </w:pPr>
                  <w:r>
                    <w:rPr>
                      <w:rFonts w:hint="eastAsia"/>
                      <w:b w:val="0"/>
                      <w:bCs/>
                      <w:color w:val="auto"/>
                      <w:kern w:val="11"/>
                    </w:rPr>
                    <w:t>抛丸</w:t>
                  </w:r>
                </w:p>
              </w:tc>
              <w:tc>
                <w:tcPr>
                  <w:tcW w:w="810" w:type="pct"/>
                  <w:vAlign w:val="center"/>
                </w:tcPr>
                <w:p w14:paraId="23A7D9ED">
                  <w:pPr>
                    <w:pStyle w:val="87"/>
                    <w:rPr>
                      <w:rFonts w:hAnsi="Times New Roman"/>
                      <w:b w:val="0"/>
                      <w:bCs/>
                      <w:color w:val="auto"/>
                      <w:kern w:val="11"/>
                    </w:rPr>
                  </w:pPr>
                  <w:r>
                    <w:rPr>
                      <w:rFonts w:hint="eastAsia"/>
                      <w:b w:val="0"/>
                      <w:bCs/>
                      <w:color w:val="auto"/>
                      <w:kern w:val="11"/>
                    </w:rPr>
                    <w:t>颗粒物</w:t>
                  </w:r>
                </w:p>
              </w:tc>
              <w:tc>
                <w:tcPr>
                  <w:tcW w:w="399" w:type="pct"/>
                  <w:vAlign w:val="center"/>
                </w:tcPr>
                <w:p w14:paraId="796023A6">
                  <w:pPr>
                    <w:pStyle w:val="87"/>
                    <w:rPr>
                      <w:rFonts w:hAnsi="Times New Roman"/>
                      <w:b w:val="0"/>
                      <w:bCs/>
                      <w:color w:val="auto"/>
                      <w:kern w:val="11"/>
                    </w:rPr>
                  </w:pPr>
                  <w:r>
                    <w:rPr>
                      <w:rFonts w:hint="eastAsia"/>
                      <w:b w:val="0"/>
                      <w:bCs/>
                      <w:color w:val="auto"/>
                      <w:kern w:val="11"/>
                    </w:rPr>
                    <w:t>无组织</w:t>
                  </w:r>
                </w:p>
              </w:tc>
              <w:tc>
                <w:tcPr>
                  <w:tcW w:w="770" w:type="pct"/>
                  <w:vAlign w:val="center"/>
                </w:tcPr>
                <w:p w14:paraId="78448D3D">
                  <w:pPr>
                    <w:pStyle w:val="87"/>
                    <w:rPr>
                      <w:rFonts w:hAnsi="Times New Roman"/>
                      <w:b w:val="0"/>
                      <w:bCs/>
                      <w:color w:val="auto"/>
                      <w:kern w:val="11"/>
                    </w:rPr>
                  </w:pPr>
                  <w:r>
                    <w:rPr>
                      <w:rFonts w:hint="eastAsia" w:hAnsi="Times New Roman"/>
                      <w:b w:val="0"/>
                      <w:bCs/>
                      <w:color w:val="auto"/>
                      <w:kern w:val="11"/>
                    </w:rPr>
                    <w:t>设备密闭</w:t>
                  </w:r>
                </w:p>
              </w:tc>
              <w:tc>
                <w:tcPr>
                  <w:tcW w:w="606" w:type="pct"/>
                  <w:vAlign w:val="center"/>
                </w:tcPr>
                <w:p w14:paraId="78EB59C3">
                  <w:pPr>
                    <w:pStyle w:val="87"/>
                    <w:rPr>
                      <w:rFonts w:hint="eastAsia"/>
                      <w:b w:val="0"/>
                      <w:bCs/>
                      <w:color w:val="auto"/>
                      <w:kern w:val="11"/>
                    </w:rPr>
                  </w:pPr>
                  <w:r>
                    <w:rPr>
                      <w:b w:val="0"/>
                      <w:bCs/>
                      <w:color w:val="auto"/>
                      <w:kern w:val="11"/>
                    </w:rPr>
                    <w:sym w:font="Wingdings 2" w:char="00A3"/>
                  </w:r>
                  <w:r>
                    <w:rPr>
                      <w:b w:val="0"/>
                      <w:bCs/>
                      <w:color w:val="auto"/>
                      <w:kern w:val="11"/>
                    </w:rPr>
                    <w:t>是</w:t>
                  </w:r>
                </w:p>
                <w:p w14:paraId="77DF90BD">
                  <w:pPr>
                    <w:pStyle w:val="87"/>
                    <w:rPr>
                      <w:rFonts w:hAnsi="Times New Roman"/>
                      <w:b w:val="0"/>
                      <w:bCs/>
                      <w:color w:val="auto"/>
                      <w:kern w:val="11"/>
                    </w:rPr>
                  </w:pPr>
                  <w:r>
                    <w:rPr>
                      <w:b w:val="0"/>
                      <w:bCs/>
                      <w:color w:val="auto"/>
                      <w:kern w:val="11"/>
                    </w:rPr>
                    <w:sym w:font="Wingdings 2" w:char="00A3"/>
                  </w:r>
                  <w:r>
                    <w:rPr>
                      <w:rFonts w:hint="eastAsia"/>
                      <w:b w:val="0"/>
                      <w:bCs/>
                      <w:color w:val="auto"/>
                      <w:kern w:val="11"/>
                    </w:rPr>
                    <w:t>否</w:t>
                  </w:r>
                </w:p>
              </w:tc>
              <w:tc>
                <w:tcPr>
                  <w:tcW w:w="394" w:type="pct"/>
                  <w:vAlign w:val="center"/>
                </w:tcPr>
                <w:p w14:paraId="56C08916">
                  <w:pPr>
                    <w:pStyle w:val="87"/>
                    <w:rPr>
                      <w:rFonts w:hAnsi="Times New Roman"/>
                      <w:b w:val="0"/>
                      <w:bCs/>
                      <w:color w:val="auto"/>
                      <w:kern w:val="11"/>
                    </w:rPr>
                  </w:pPr>
                  <w:r>
                    <w:rPr>
                      <w:rFonts w:hint="eastAsia"/>
                      <w:b w:val="0"/>
                      <w:bCs/>
                      <w:color w:val="auto"/>
                      <w:kern w:val="11"/>
                    </w:rPr>
                    <w:t>/</w:t>
                  </w:r>
                </w:p>
              </w:tc>
            </w:tr>
            <w:tr w14:paraId="1E553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3" w:type="pct"/>
                  <w:vMerge w:val="continue"/>
                  <w:vAlign w:val="center"/>
                </w:tcPr>
                <w:p w14:paraId="50992AE0">
                  <w:pPr>
                    <w:widowControl/>
                    <w:jc w:val="center"/>
                    <w:rPr>
                      <w:rFonts w:hint="eastAsia" w:ascii="宋体" w:hAnsi="宋体" w:cs="宋体"/>
                      <w:color w:val="auto"/>
                      <w:kern w:val="0"/>
                      <w:szCs w:val="21"/>
                      <w:lang w:bidi="ar"/>
                    </w:rPr>
                  </w:pPr>
                </w:p>
              </w:tc>
              <w:tc>
                <w:tcPr>
                  <w:tcW w:w="475" w:type="pct"/>
                  <w:vMerge w:val="restart"/>
                  <w:vAlign w:val="center"/>
                </w:tcPr>
                <w:p w14:paraId="1F0EB60F">
                  <w:pPr>
                    <w:pStyle w:val="87"/>
                    <w:rPr>
                      <w:rFonts w:hint="eastAsia"/>
                      <w:b w:val="0"/>
                      <w:bCs/>
                      <w:color w:val="auto"/>
                      <w:kern w:val="11"/>
                    </w:rPr>
                  </w:pPr>
                  <w:r>
                    <w:rPr>
                      <w:rFonts w:hint="eastAsia"/>
                      <w:b w:val="0"/>
                      <w:bCs/>
                      <w:color w:val="auto"/>
                      <w:kern w:val="11"/>
                    </w:rPr>
                    <w:t>前处理</w:t>
                  </w:r>
                </w:p>
              </w:tc>
              <w:tc>
                <w:tcPr>
                  <w:tcW w:w="751" w:type="pct"/>
                  <w:vAlign w:val="center"/>
                </w:tcPr>
                <w:p w14:paraId="126B1965">
                  <w:pPr>
                    <w:pStyle w:val="87"/>
                    <w:rPr>
                      <w:rFonts w:hint="eastAsia"/>
                      <w:b w:val="0"/>
                      <w:bCs/>
                      <w:color w:val="auto"/>
                      <w:kern w:val="11"/>
                    </w:rPr>
                  </w:pPr>
                  <w:r>
                    <w:rPr>
                      <w:rFonts w:hint="eastAsia"/>
                      <w:b w:val="0"/>
                      <w:bCs/>
                      <w:color w:val="auto"/>
                    </w:rPr>
                    <w:t>除锈槽</w:t>
                  </w:r>
                </w:p>
              </w:tc>
              <w:tc>
                <w:tcPr>
                  <w:tcW w:w="409" w:type="pct"/>
                  <w:vAlign w:val="center"/>
                </w:tcPr>
                <w:p w14:paraId="31B9F728">
                  <w:pPr>
                    <w:pStyle w:val="87"/>
                    <w:rPr>
                      <w:rFonts w:hint="eastAsia"/>
                      <w:b w:val="0"/>
                      <w:bCs/>
                      <w:color w:val="auto"/>
                      <w:kern w:val="11"/>
                    </w:rPr>
                  </w:pPr>
                  <w:r>
                    <w:rPr>
                      <w:rFonts w:hint="eastAsia"/>
                      <w:b w:val="0"/>
                      <w:bCs/>
                      <w:color w:val="auto"/>
                      <w:kern w:val="11"/>
                    </w:rPr>
                    <w:t>除锈</w:t>
                  </w:r>
                </w:p>
              </w:tc>
              <w:tc>
                <w:tcPr>
                  <w:tcW w:w="810" w:type="pct"/>
                  <w:vAlign w:val="center"/>
                </w:tcPr>
                <w:p w14:paraId="464B8D9A">
                  <w:pPr>
                    <w:pStyle w:val="87"/>
                    <w:rPr>
                      <w:rFonts w:hint="eastAsia"/>
                      <w:b w:val="0"/>
                      <w:bCs/>
                      <w:color w:val="auto"/>
                      <w:kern w:val="11"/>
                    </w:rPr>
                  </w:pPr>
                  <w:r>
                    <w:rPr>
                      <w:rFonts w:hint="eastAsia"/>
                      <w:b w:val="0"/>
                      <w:bCs/>
                      <w:color w:val="auto"/>
                      <w:kern w:val="11"/>
                    </w:rPr>
                    <w:t>硫酸雾</w:t>
                  </w:r>
                </w:p>
              </w:tc>
              <w:tc>
                <w:tcPr>
                  <w:tcW w:w="399" w:type="pct"/>
                  <w:vMerge w:val="restart"/>
                  <w:vAlign w:val="center"/>
                </w:tcPr>
                <w:p w14:paraId="5B841F24">
                  <w:pPr>
                    <w:pStyle w:val="87"/>
                    <w:rPr>
                      <w:rFonts w:hint="eastAsia"/>
                      <w:b w:val="0"/>
                      <w:bCs/>
                      <w:color w:val="auto"/>
                      <w:kern w:val="11"/>
                    </w:rPr>
                  </w:pPr>
                  <w:r>
                    <w:rPr>
                      <w:rFonts w:hint="eastAsia"/>
                      <w:b w:val="0"/>
                      <w:bCs/>
                      <w:color w:val="auto"/>
                      <w:kern w:val="11"/>
                    </w:rPr>
                    <w:t>有组织</w:t>
                  </w:r>
                </w:p>
              </w:tc>
              <w:tc>
                <w:tcPr>
                  <w:tcW w:w="770" w:type="pct"/>
                  <w:vAlign w:val="center"/>
                </w:tcPr>
                <w:p w14:paraId="76AB8BE1">
                  <w:pPr>
                    <w:pStyle w:val="87"/>
                    <w:rPr>
                      <w:rFonts w:hint="eastAsia"/>
                      <w:b w:val="0"/>
                      <w:bCs/>
                      <w:color w:val="auto"/>
                      <w:kern w:val="11"/>
                    </w:rPr>
                  </w:pPr>
                  <w:r>
                    <w:rPr>
                      <w:rFonts w:hint="eastAsia"/>
                      <w:b w:val="0"/>
                      <w:bCs/>
                      <w:color w:val="auto"/>
                      <w:kern w:val="11"/>
                    </w:rPr>
                    <w:t>碱液喷淋塔</w:t>
                  </w:r>
                </w:p>
              </w:tc>
              <w:tc>
                <w:tcPr>
                  <w:tcW w:w="606" w:type="pct"/>
                  <w:vAlign w:val="center"/>
                </w:tcPr>
                <w:p w14:paraId="2E2234D8">
                  <w:pPr>
                    <w:pStyle w:val="87"/>
                    <w:rPr>
                      <w:rFonts w:hint="eastAsia"/>
                      <w:b w:val="0"/>
                      <w:bCs/>
                      <w:color w:val="auto"/>
                      <w:kern w:val="11"/>
                    </w:rPr>
                  </w:pPr>
                  <w:r>
                    <w:rPr>
                      <w:b w:val="0"/>
                      <w:bCs/>
                      <w:color w:val="auto"/>
                      <w:kern w:val="11"/>
                    </w:rPr>
                    <w:sym w:font="Wingdings 2" w:char="0052"/>
                  </w:r>
                  <w:r>
                    <w:rPr>
                      <w:b w:val="0"/>
                      <w:bCs/>
                      <w:color w:val="auto"/>
                      <w:kern w:val="11"/>
                    </w:rPr>
                    <w:t>是</w:t>
                  </w:r>
                </w:p>
                <w:p w14:paraId="715210EA">
                  <w:pPr>
                    <w:pStyle w:val="87"/>
                    <w:rPr>
                      <w:rFonts w:hint="eastAsia"/>
                      <w:b w:val="0"/>
                      <w:bCs/>
                      <w:color w:val="auto"/>
                      <w:kern w:val="11"/>
                    </w:rPr>
                  </w:pPr>
                  <w:r>
                    <w:rPr>
                      <w:b w:val="0"/>
                      <w:bCs/>
                      <w:color w:val="auto"/>
                      <w:kern w:val="11"/>
                    </w:rPr>
                    <w:sym w:font="Wingdings 2" w:char="00A3"/>
                  </w:r>
                  <w:r>
                    <w:rPr>
                      <w:rFonts w:hint="eastAsia"/>
                      <w:b w:val="0"/>
                      <w:bCs/>
                      <w:color w:val="auto"/>
                      <w:kern w:val="11"/>
                    </w:rPr>
                    <w:t>否</w:t>
                  </w:r>
                </w:p>
              </w:tc>
              <w:tc>
                <w:tcPr>
                  <w:tcW w:w="394" w:type="pct"/>
                  <w:vMerge w:val="restart"/>
                  <w:vAlign w:val="center"/>
                </w:tcPr>
                <w:p w14:paraId="745FE807">
                  <w:pPr>
                    <w:pStyle w:val="87"/>
                    <w:rPr>
                      <w:rFonts w:hint="eastAsia"/>
                      <w:b w:val="0"/>
                      <w:bCs/>
                      <w:color w:val="auto"/>
                      <w:kern w:val="11"/>
                    </w:rPr>
                  </w:pPr>
                  <w:r>
                    <w:rPr>
                      <w:rFonts w:hint="eastAsia"/>
                      <w:b w:val="0"/>
                      <w:bCs/>
                      <w:color w:val="auto"/>
                      <w:kern w:val="11"/>
                    </w:rPr>
                    <w:t>一般排放口</w:t>
                  </w:r>
                </w:p>
              </w:tc>
            </w:tr>
            <w:tr w14:paraId="529E1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3" w:type="pct"/>
                  <w:vMerge w:val="continue"/>
                  <w:vAlign w:val="center"/>
                </w:tcPr>
                <w:p w14:paraId="46B8A224">
                  <w:pPr>
                    <w:widowControl/>
                    <w:jc w:val="center"/>
                    <w:rPr>
                      <w:rFonts w:hint="eastAsia" w:ascii="宋体" w:hAnsi="宋体" w:cs="宋体"/>
                      <w:color w:val="auto"/>
                      <w:kern w:val="0"/>
                      <w:szCs w:val="21"/>
                      <w:lang w:bidi="ar"/>
                    </w:rPr>
                  </w:pPr>
                </w:p>
              </w:tc>
              <w:tc>
                <w:tcPr>
                  <w:tcW w:w="475" w:type="pct"/>
                  <w:vMerge w:val="continue"/>
                  <w:vAlign w:val="center"/>
                </w:tcPr>
                <w:p w14:paraId="343107C2">
                  <w:pPr>
                    <w:pStyle w:val="87"/>
                    <w:rPr>
                      <w:rFonts w:hint="eastAsia"/>
                      <w:b w:val="0"/>
                      <w:bCs/>
                      <w:color w:val="auto"/>
                      <w:kern w:val="11"/>
                    </w:rPr>
                  </w:pPr>
                </w:p>
              </w:tc>
              <w:tc>
                <w:tcPr>
                  <w:tcW w:w="751" w:type="pct"/>
                  <w:vAlign w:val="center"/>
                </w:tcPr>
                <w:p w14:paraId="58037EA8">
                  <w:pPr>
                    <w:pStyle w:val="87"/>
                    <w:rPr>
                      <w:rFonts w:hint="eastAsia"/>
                      <w:b w:val="0"/>
                      <w:bCs/>
                      <w:color w:val="auto"/>
                    </w:rPr>
                  </w:pPr>
                  <w:r>
                    <w:rPr>
                      <w:rFonts w:hint="eastAsia"/>
                      <w:b w:val="0"/>
                      <w:bCs/>
                      <w:color w:val="auto"/>
                    </w:rPr>
                    <w:t>燃烧机</w:t>
                  </w:r>
                </w:p>
              </w:tc>
              <w:tc>
                <w:tcPr>
                  <w:tcW w:w="409" w:type="pct"/>
                  <w:vAlign w:val="center"/>
                </w:tcPr>
                <w:p w14:paraId="191EE36D">
                  <w:pPr>
                    <w:pStyle w:val="87"/>
                    <w:rPr>
                      <w:rFonts w:hint="eastAsia"/>
                      <w:b w:val="0"/>
                      <w:bCs/>
                      <w:color w:val="auto"/>
                      <w:kern w:val="11"/>
                    </w:rPr>
                  </w:pPr>
                  <w:r>
                    <w:rPr>
                      <w:rFonts w:hint="eastAsia"/>
                      <w:b w:val="0"/>
                      <w:bCs/>
                      <w:color w:val="auto"/>
                    </w:rPr>
                    <w:t>燃烧</w:t>
                  </w:r>
                </w:p>
              </w:tc>
              <w:tc>
                <w:tcPr>
                  <w:tcW w:w="810" w:type="pct"/>
                  <w:vAlign w:val="center"/>
                </w:tcPr>
                <w:p w14:paraId="510791C1">
                  <w:pPr>
                    <w:pStyle w:val="87"/>
                    <w:rPr>
                      <w:rFonts w:hint="eastAsia"/>
                      <w:b w:val="0"/>
                      <w:bCs/>
                      <w:color w:val="auto"/>
                      <w:kern w:val="11"/>
                    </w:rPr>
                  </w:pPr>
                  <w:r>
                    <w:rPr>
                      <w:rFonts w:hint="eastAsia"/>
                      <w:b w:val="0"/>
                      <w:bCs/>
                      <w:color w:val="auto"/>
                      <w:kern w:val="11"/>
                    </w:rPr>
                    <w:t>颗粒物、氮氧化物、二氧化硫</w:t>
                  </w:r>
                </w:p>
              </w:tc>
              <w:tc>
                <w:tcPr>
                  <w:tcW w:w="399" w:type="pct"/>
                  <w:vMerge w:val="continue"/>
                  <w:vAlign w:val="center"/>
                </w:tcPr>
                <w:p w14:paraId="2A6F8C0E">
                  <w:pPr>
                    <w:pStyle w:val="87"/>
                    <w:rPr>
                      <w:rFonts w:hint="eastAsia"/>
                      <w:b w:val="0"/>
                      <w:bCs/>
                      <w:color w:val="auto"/>
                      <w:kern w:val="11"/>
                    </w:rPr>
                  </w:pPr>
                </w:p>
              </w:tc>
              <w:tc>
                <w:tcPr>
                  <w:tcW w:w="770" w:type="pct"/>
                  <w:vAlign w:val="center"/>
                </w:tcPr>
                <w:p w14:paraId="145CC0FE">
                  <w:pPr>
                    <w:pStyle w:val="87"/>
                    <w:rPr>
                      <w:rFonts w:hint="eastAsia"/>
                      <w:b w:val="0"/>
                      <w:bCs/>
                      <w:color w:val="auto"/>
                      <w:kern w:val="11"/>
                    </w:rPr>
                  </w:pPr>
                  <w:r>
                    <w:rPr>
                      <w:rFonts w:hint="eastAsia"/>
                      <w:b w:val="0"/>
                      <w:bCs/>
                      <w:color w:val="auto"/>
                    </w:rPr>
                    <w:t>低氮燃烧器</w:t>
                  </w:r>
                </w:p>
              </w:tc>
              <w:tc>
                <w:tcPr>
                  <w:tcW w:w="606" w:type="pct"/>
                  <w:vAlign w:val="center"/>
                </w:tcPr>
                <w:p w14:paraId="456483D3">
                  <w:pPr>
                    <w:pStyle w:val="87"/>
                    <w:rPr>
                      <w:rFonts w:hint="eastAsia"/>
                      <w:b w:val="0"/>
                      <w:bCs/>
                      <w:color w:val="auto"/>
                      <w:kern w:val="11"/>
                    </w:rPr>
                  </w:pPr>
                  <w:r>
                    <w:rPr>
                      <w:b w:val="0"/>
                      <w:bCs/>
                      <w:color w:val="auto"/>
                      <w:kern w:val="11"/>
                    </w:rPr>
                    <w:sym w:font="Wingdings 2" w:char="0052"/>
                  </w:r>
                  <w:r>
                    <w:rPr>
                      <w:b w:val="0"/>
                      <w:bCs/>
                      <w:color w:val="auto"/>
                      <w:kern w:val="11"/>
                    </w:rPr>
                    <w:t>是</w:t>
                  </w:r>
                </w:p>
                <w:p w14:paraId="3C220E4B">
                  <w:pPr>
                    <w:pStyle w:val="87"/>
                    <w:rPr>
                      <w:rFonts w:hint="eastAsia"/>
                      <w:b w:val="0"/>
                      <w:bCs/>
                      <w:color w:val="auto"/>
                      <w:kern w:val="11"/>
                    </w:rPr>
                  </w:pPr>
                  <w:r>
                    <w:rPr>
                      <w:b w:val="0"/>
                      <w:bCs/>
                      <w:color w:val="auto"/>
                      <w:kern w:val="11"/>
                    </w:rPr>
                    <w:sym w:font="Wingdings 2" w:char="00A3"/>
                  </w:r>
                  <w:r>
                    <w:rPr>
                      <w:rFonts w:hint="eastAsia"/>
                      <w:b w:val="0"/>
                      <w:bCs/>
                      <w:color w:val="auto"/>
                      <w:kern w:val="11"/>
                    </w:rPr>
                    <w:t>否</w:t>
                  </w:r>
                </w:p>
              </w:tc>
              <w:tc>
                <w:tcPr>
                  <w:tcW w:w="394" w:type="pct"/>
                  <w:vMerge w:val="continue"/>
                  <w:vAlign w:val="center"/>
                </w:tcPr>
                <w:p w14:paraId="018B2885">
                  <w:pPr>
                    <w:pStyle w:val="87"/>
                    <w:rPr>
                      <w:rFonts w:hint="eastAsia"/>
                      <w:b w:val="0"/>
                      <w:bCs/>
                      <w:color w:val="auto"/>
                      <w:kern w:val="11"/>
                    </w:rPr>
                  </w:pPr>
                </w:p>
              </w:tc>
            </w:tr>
            <w:tr w14:paraId="25A3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83" w:type="pct"/>
                  <w:vMerge w:val="continue"/>
                  <w:vAlign w:val="center"/>
                </w:tcPr>
                <w:p w14:paraId="1706F5D2">
                  <w:pPr>
                    <w:widowControl/>
                    <w:jc w:val="center"/>
                    <w:rPr>
                      <w:rFonts w:hint="eastAsia" w:ascii="宋体" w:hAnsi="宋体" w:cs="宋体"/>
                      <w:color w:val="auto"/>
                      <w:kern w:val="0"/>
                      <w:szCs w:val="21"/>
                      <w:lang w:bidi="ar"/>
                    </w:rPr>
                  </w:pPr>
                </w:p>
              </w:tc>
              <w:tc>
                <w:tcPr>
                  <w:tcW w:w="475" w:type="pct"/>
                  <w:vMerge w:val="restart"/>
                  <w:vAlign w:val="center"/>
                </w:tcPr>
                <w:p w14:paraId="01113C21">
                  <w:pPr>
                    <w:pStyle w:val="87"/>
                    <w:rPr>
                      <w:rFonts w:hint="eastAsia"/>
                      <w:b w:val="0"/>
                      <w:bCs/>
                      <w:color w:val="auto"/>
                      <w:kern w:val="11"/>
                    </w:rPr>
                  </w:pPr>
                  <w:r>
                    <w:rPr>
                      <w:rFonts w:hint="eastAsia"/>
                      <w:b w:val="0"/>
                      <w:bCs/>
                      <w:color w:val="auto"/>
                      <w:kern w:val="11"/>
                    </w:rPr>
                    <w:t>喷粉</w:t>
                  </w:r>
                </w:p>
              </w:tc>
              <w:tc>
                <w:tcPr>
                  <w:tcW w:w="751" w:type="pct"/>
                  <w:vMerge w:val="restart"/>
                  <w:vAlign w:val="center"/>
                </w:tcPr>
                <w:p w14:paraId="0D3C725E">
                  <w:pPr>
                    <w:pStyle w:val="87"/>
                    <w:rPr>
                      <w:rFonts w:hint="eastAsia"/>
                      <w:b w:val="0"/>
                      <w:bCs/>
                      <w:color w:val="auto"/>
                      <w:kern w:val="11"/>
                    </w:rPr>
                  </w:pPr>
                  <w:r>
                    <w:rPr>
                      <w:rFonts w:hint="eastAsia"/>
                      <w:b w:val="0"/>
                      <w:bCs/>
                      <w:color w:val="auto"/>
                      <w:kern w:val="11"/>
                    </w:rPr>
                    <w:t>喷粉线</w:t>
                  </w:r>
                </w:p>
              </w:tc>
              <w:tc>
                <w:tcPr>
                  <w:tcW w:w="409" w:type="pct"/>
                  <w:vAlign w:val="center"/>
                </w:tcPr>
                <w:p w14:paraId="62FC325A">
                  <w:pPr>
                    <w:pStyle w:val="87"/>
                    <w:rPr>
                      <w:rFonts w:hint="eastAsia"/>
                      <w:b w:val="0"/>
                      <w:bCs/>
                      <w:color w:val="auto"/>
                      <w:kern w:val="11"/>
                    </w:rPr>
                  </w:pPr>
                  <w:r>
                    <w:rPr>
                      <w:rFonts w:hint="eastAsia"/>
                      <w:b w:val="0"/>
                      <w:bCs/>
                      <w:color w:val="auto"/>
                      <w:kern w:val="11"/>
                    </w:rPr>
                    <w:t>打磨</w:t>
                  </w:r>
                </w:p>
              </w:tc>
              <w:tc>
                <w:tcPr>
                  <w:tcW w:w="810" w:type="pct"/>
                  <w:vAlign w:val="center"/>
                </w:tcPr>
                <w:p w14:paraId="00248080">
                  <w:pPr>
                    <w:pStyle w:val="87"/>
                    <w:rPr>
                      <w:rFonts w:hint="eastAsia"/>
                      <w:b w:val="0"/>
                      <w:bCs/>
                      <w:color w:val="auto"/>
                      <w:kern w:val="11"/>
                    </w:rPr>
                  </w:pPr>
                  <w:r>
                    <w:rPr>
                      <w:rFonts w:hint="eastAsia"/>
                      <w:b w:val="0"/>
                      <w:bCs/>
                      <w:color w:val="auto"/>
                      <w:kern w:val="11"/>
                    </w:rPr>
                    <w:t>颗粒物</w:t>
                  </w:r>
                </w:p>
              </w:tc>
              <w:tc>
                <w:tcPr>
                  <w:tcW w:w="399" w:type="pct"/>
                  <w:vAlign w:val="center"/>
                </w:tcPr>
                <w:p w14:paraId="1362698C">
                  <w:pPr>
                    <w:pStyle w:val="87"/>
                    <w:rPr>
                      <w:rFonts w:hint="eastAsia"/>
                      <w:b w:val="0"/>
                      <w:bCs/>
                      <w:color w:val="auto"/>
                      <w:kern w:val="11"/>
                    </w:rPr>
                  </w:pPr>
                  <w:r>
                    <w:rPr>
                      <w:rFonts w:hint="eastAsia"/>
                      <w:b w:val="0"/>
                      <w:bCs/>
                      <w:color w:val="auto"/>
                      <w:kern w:val="11"/>
                    </w:rPr>
                    <w:t>无组织</w:t>
                  </w:r>
                </w:p>
              </w:tc>
              <w:tc>
                <w:tcPr>
                  <w:tcW w:w="770" w:type="pct"/>
                  <w:vAlign w:val="center"/>
                </w:tcPr>
                <w:p w14:paraId="4177D86F">
                  <w:pPr>
                    <w:pStyle w:val="87"/>
                    <w:rPr>
                      <w:rFonts w:hint="eastAsia"/>
                      <w:b w:val="0"/>
                      <w:bCs/>
                      <w:color w:val="auto"/>
                      <w:kern w:val="11"/>
                    </w:rPr>
                  </w:pPr>
                  <w:r>
                    <w:rPr>
                      <w:rFonts w:hint="eastAsia"/>
                      <w:b w:val="0"/>
                      <w:bCs/>
                      <w:color w:val="auto"/>
                      <w:kern w:val="11"/>
                    </w:rPr>
                    <w:t>/</w:t>
                  </w:r>
                </w:p>
              </w:tc>
              <w:tc>
                <w:tcPr>
                  <w:tcW w:w="606" w:type="pct"/>
                  <w:vAlign w:val="center"/>
                </w:tcPr>
                <w:p w14:paraId="2DB6E17D">
                  <w:pPr>
                    <w:pStyle w:val="87"/>
                    <w:rPr>
                      <w:rFonts w:hint="eastAsia"/>
                      <w:b w:val="0"/>
                      <w:bCs/>
                      <w:color w:val="auto"/>
                      <w:kern w:val="11"/>
                    </w:rPr>
                  </w:pPr>
                  <w:r>
                    <w:rPr>
                      <w:b w:val="0"/>
                      <w:bCs/>
                      <w:color w:val="auto"/>
                      <w:kern w:val="11"/>
                    </w:rPr>
                    <w:sym w:font="Wingdings 2" w:char="00A3"/>
                  </w:r>
                  <w:r>
                    <w:rPr>
                      <w:b w:val="0"/>
                      <w:bCs/>
                      <w:color w:val="auto"/>
                      <w:kern w:val="11"/>
                    </w:rPr>
                    <w:t>是</w:t>
                  </w:r>
                </w:p>
                <w:p w14:paraId="5BF5492E">
                  <w:pPr>
                    <w:pStyle w:val="87"/>
                    <w:rPr>
                      <w:rFonts w:hint="eastAsia"/>
                      <w:b w:val="0"/>
                      <w:bCs/>
                      <w:color w:val="auto"/>
                      <w:kern w:val="11"/>
                    </w:rPr>
                  </w:pPr>
                  <w:r>
                    <w:rPr>
                      <w:b w:val="0"/>
                      <w:bCs/>
                      <w:color w:val="auto"/>
                      <w:kern w:val="11"/>
                    </w:rPr>
                    <w:sym w:font="Wingdings 2" w:char="00A3"/>
                  </w:r>
                  <w:r>
                    <w:rPr>
                      <w:rFonts w:hint="eastAsia"/>
                      <w:b w:val="0"/>
                      <w:bCs/>
                      <w:color w:val="auto"/>
                      <w:kern w:val="11"/>
                    </w:rPr>
                    <w:t>否</w:t>
                  </w:r>
                </w:p>
              </w:tc>
              <w:tc>
                <w:tcPr>
                  <w:tcW w:w="394" w:type="pct"/>
                  <w:vAlign w:val="center"/>
                </w:tcPr>
                <w:p w14:paraId="6C056291">
                  <w:pPr>
                    <w:pStyle w:val="87"/>
                    <w:rPr>
                      <w:rFonts w:hint="eastAsia"/>
                      <w:b w:val="0"/>
                      <w:bCs/>
                      <w:color w:val="auto"/>
                      <w:kern w:val="11"/>
                    </w:rPr>
                  </w:pPr>
                  <w:r>
                    <w:rPr>
                      <w:rFonts w:hint="eastAsia"/>
                      <w:b w:val="0"/>
                      <w:bCs/>
                      <w:color w:val="auto"/>
                      <w:kern w:val="11"/>
                    </w:rPr>
                    <w:t>/</w:t>
                  </w:r>
                </w:p>
              </w:tc>
            </w:tr>
            <w:tr w14:paraId="07B97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83" w:type="pct"/>
                  <w:vMerge w:val="continue"/>
                  <w:vAlign w:val="center"/>
                </w:tcPr>
                <w:p w14:paraId="05E7EE52">
                  <w:pPr>
                    <w:pStyle w:val="87"/>
                    <w:rPr>
                      <w:rFonts w:hint="eastAsia"/>
                      <w:color w:val="auto"/>
                    </w:rPr>
                  </w:pPr>
                </w:p>
              </w:tc>
              <w:tc>
                <w:tcPr>
                  <w:tcW w:w="475" w:type="pct"/>
                  <w:vMerge w:val="continue"/>
                  <w:vAlign w:val="center"/>
                </w:tcPr>
                <w:p w14:paraId="2DAE694D">
                  <w:pPr>
                    <w:pStyle w:val="87"/>
                    <w:rPr>
                      <w:rFonts w:hint="eastAsia"/>
                      <w:color w:val="auto"/>
                    </w:rPr>
                  </w:pPr>
                </w:p>
              </w:tc>
              <w:tc>
                <w:tcPr>
                  <w:tcW w:w="751" w:type="pct"/>
                  <w:vMerge w:val="continue"/>
                  <w:vAlign w:val="center"/>
                </w:tcPr>
                <w:p w14:paraId="170A7A94">
                  <w:pPr>
                    <w:pStyle w:val="87"/>
                    <w:rPr>
                      <w:rFonts w:hint="eastAsia"/>
                      <w:color w:val="auto"/>
                    </w:rPr>
                  </w:pPr>
                </w:p>
              </w:tc>
              <w:tc>
                <w:tcPr>
                  <w:tcW w:w="409" w:type="pct"/>
                  <w:vAlign w:val="center"/>
                </w:tcPr>
                <w:p w14:paraId="080D3DCF">
                  <w:pPr>
                    <w:pStyle w:val="87"/>
                    <w:rPr>
                      <w:rFonts w:hint="eastAsia"/>
                      <w:b w:val="0"/>
                      <w:bCs/>
                      <w:color w:val="auto"/>
                      <w:kern w:val="11"/>
                    </w:rPr>
                  </w:pPr>
                  <w:r>
                    <w:rPr>
                      <w:rFonts w:hint="eastAsia"/>
                      <w:b w:val="0"/>
                      <w:bCs/>
                      <w:color w:val="auto"/>
                      <w:kern w:val="11"/>
                    </w:rPr>
                    <w:t>喷粉</w:t>
                  </w:r>
                </w:p>
              </w:tc>
              <w:tc>
                <w:tcPr>
                  <w:tcW w:w="810" w:type="pct"/>
                  <w:vAlign w:val="center"/>
                </w:tcPr>
                <w:p w14:paraId="7F08F0F5">
                  <w:pPr>
                    <w:pStyle w:val="87"/>
                    <w:rPr>
                      <w:rFonts w:hint="eastAsia"/>
                      <w:b w:val="0"/>
                      <w:bCs/>
                      <w:color w:val="auto"/>
                      <w:kern w:val="11"/>
                    </w:rPr>
                  </w:pPr>
                  <w:r>
                    <w:rPr>
                      <w:rFonts w:hint="eastAsia"/>
                      <w:b w:val="0"/>
                      <w:bCs/>
                      <w:color w:val="auto"/>
                      <w:kern w:val="11"/>
                    </w:rPr>
                    <w:t>颗粒物</w:t>
                  </w:r>
                </w:p>
              </w:tc>
              <w:tc>
                <w:tcPr>
                  <w:tcW w:w="399" w:type="pct"/>
                  <w:vAlign w:val="center"/>
                </w:tcPr>
                <w:p w14:paraId="1510E124">
                  <w:pPr>
                    <w:pStyle w:val="87"/>
                    <w:rPr>
                      <w:rFonts w:hint="eastAsia"/>
                      <w:b w:val="0"/>
                      <w:bCs/>
                      <w:color w:val="auto"/>
                      <w:kern w:val="11"/>
                    </w:rPr>
                  </w:pPr>
                  <w:r>
                    <w:rPr>
                      <w:rFonts w:hint="eastAsia"/>
                      <w:b w:val="0"/>
                      <w:bCs/>
                      <w:color w:val="auto"/>
                      <w:kern w:val="11"/>
                    </w:rPr>
                    <w:t>有组织</w:t>
                  </w:r>
                </w:p>
              </w:tc>
              <w:tc>
                <w:tcPr>
                  <w:tcW w:w="770" w:type="pct"/>
                  <w:vAlign w:val="center"/>
                </w:tcPr>
                <w:p w14:paraId="4399D88D">
                  <w:pPr>
                    <w:pStyle w:val="87"/>
                    <w:rPr>
                      <w:rFonts w:hint="eastAsia"/>
                      <w:b w:val="0"/>
                      <w:bCs/>
                      <w:color w:val="auto"/>
                      <w:kern w:val="11"/>
                    </w:rPr>
                  </w:pPr>
                  <w:r>
                    <w:rPr>
                      <w:rFonts w:hint="eastAsia" w:hAnsi="Times New Roman"/>
                      <w:b w:val="0"/>
                      <w:bCs/>
                      <w:color w:val="auto"/>
                      <w:kern w:val="11"/>
                    </w:rPr>
                    <w:t>2套布袋除尘器</w:t>
                  </w:r>
                </w:p>
              </w:tc>
              <w:tc>
                <w:tcPr>
                  <w:tcW w:w="606" w:type="pct"/>
                  <w:vAlign w:val="center"/>
                </w:tcPr>
                <w:p w14:paraId="00157517">
                  <w:pPr>
                    <w:pStyle w:val="87"/>
                    <w:rPr>
                      <w:rFonts w:hint="eastAsia"/>
                      <w:b w:val="0"/>
                      <w:bCs/>
                      <w:color w:val="auto"/>
                      <w:kern w:val="11"/>
                    </w:rPr>
                  </w:pPr>
                  <w:r>
                    <w:rPr>
                      <w:b w:val="0"/>
                      <w:bCs/>
                      <w:color w:val="auto"/>
                      <w:kern w:val="11"/>
                    </w:rPr>
                    <w:sym w:font="Wingdings 2" w:char="0052"/>
                  </w:r>
                  <w:r>
                    <w:rPr>
                      <w:b w:val="0"/>
                      <w:bCs/>
                      <w:color w:val="auto"/>
                      <w:kern w:val="11"/>
                    </w:rPr>
                    <w:t>是</w:t>
                  </w:r>
                </w:p>
                <w:p w14:paraId="52399AFE">
                  <w:pPr>
                    <w:pStyle w:val="87"/>
                    <w:rPr>
                      <w:rFonts w:hint="eastAsia"/>
                      <w:b w:val="0"/>
                      <w:bCs/>
                      <w:color w:val="auto"/>
                      <w:kern w:val="11"/>
                    </w:rPr>
                  </w:pPr>
                  <w:r>
                    <w:rPr>
                      <w:b w:val="0"/>
                      <w:bCs/>
                      <w:color w:val="auto"/>
                      <w:kern w:val="11"/>
                    </w:rPr>
                    <w:sym w:font="Wingdings 2" w:char="00A3"/>
                  </w:r>
                  <w:r>
                    <w:rPr>
                      <w:rFonts w:hint="eastAsia"/>
                      <w:b w:val="0"/>
                      <w:bCs/>
                      <w:color w:val="auto"/>
                      <w:kern w:val="11"/>
                    </w:rPr>
                    <w:t>否</w:t>
                  </w:r>
                </w:p>
              </w:tc>
              <w:tc>
                <w:tcPr>
                  <w:tcW w:w="394" w:type="pct"/>
                  <w:vAlign w:val="center"/>
                </w:tcPr>
                <w:p w14:paraId="06FBDF7D">
                  <w:pPr>
                    <w:pStyle w:val="87"/>
                    <w:rPr>
                      <w:rFonts w:hint="eastAsia"/>
                      <w:b w:val="0"/>
                      <w:bCs/>
                      <w:color w:val="auto"/>
                      <w:kern w:val="11"/>
                    </w:rPr>
                  </w:pPr>
                  <w:r>
                    <w:rPr>
                      <w:rFonts w:hint="eastAsia"/>
                      <w:b w:val="0"/>
                      <w:bCs/>
                      <w:color w:val="auto"/>
                      <w:kern w:val="11"/>
                    </w:rPr>
                    <w:t>一般排放口</w:t>
                  </w:r>
                </w:p>
              </w:tc>
            </w:tr>
            <w:tr w14:paraId="0CFFA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83" w:type="pct"/>
                  <w:vMerge w:val="continue"/>
                  <w:vAlign w:val="center"/>
                </w:tcPr>
                <w:p w14:paraId="72248E2F">
                  <w:pPr>
                    <w:pStyle w:val="87"/>
                    <w:rPr>
                      <w:rFonts w:hint="eastAsia"/>
                      <w:color w:val="auto"/>
                    </w:rPr>
                  </w:pPr>
                </w:p>
              </w:tc>
              <w:tc>
                <w:tcPr>
                  <w:tcW w:w="475" w:type="pct"/>
                  <w:vMerge w:val="continue"/>
                  <w:vAlign w:val="center"/>
                </w:tcPr>
                <w:p w14:paraId="7F6F9163">
                  <w:pPr>
                    <w:pStyle w:val="87"/>
                    <w:rPr>
                      <w:rFonts w:hint="eastAsia"/>
                      <w:color w:val="auto"/>
                    </w:rPr>
                  </w:pPr>
                </w:p>
              </w:tc>
              <w:tc>
                <w:tcPr>
                  <w:tcW w:w="751" w:type="pct"/>
                  <w:vAlign w:val="center"/>
                </w:tcPr>
                <w:p w14:paraId="76298DF4">
                  <w:pPr>
                    <w:pStyle w:val="87"/>
                    <w:rPr>
                      <w:rFonts w:hint="eastAsia"/>
                      <w:color w:val="auto"/>
                    </w:rPr>
                  </w:pPr>
                  <w:r>
                    <w:rPr>
                      <w:rFonts w:hint="eastAsia"/>
                      <w:b w:val="0"/>
                      <w:bCs/>
                      <w:color w:val="auto"/>
                    </w:rPr>
                    <w:t>固化隧道炉</w:t>
                  </w:r>
                </w:p>
              </w:tc>
              <w:tc>
                <w:tcPr>
                  <w:tcW w:w="409" w:type="pct"/>
                  <w:vAlign w:val="center"/>
                </w:tcPr>
                <w:p w14:paraId="3337C7BF">
                  <w:pPr>
                    <w:pStyle w:val="87"/>
                    <w:rPr>
                      <w:rFonts w:hint="eastAsia"/>
                      <w:b w:val="0"/>
                      <w:bCs/>
                      <w:color w:val="auto"/>
                      <w:kern w:val="11"/>
                    </w:rPr>
                  </w:pPr>
                  <w:r>
                    <w:rPr>
                      <w:rFonts w:hint="eastAsia"/>
                      <w:b w:val="0"/>
                      <w:bCs/>
                      <w:color w:val="auto"/>
                      <w:kern w:val="11"/>
                    </w:rPr>
                    <w:t>固化</w:t>
                  </w:r>
                </w:p>
              </w:tc>
              <w:tc>
                <w:tcPr>
                  <w:tcW w:w="810" w:type="pct"/>
                  <w:vAlign w:val="center"/>
                </w:tcPr>
                <w:p w14:paraId="7DF6B8D5">
                  <w:pPr>
                    <w:pStyle w:val="87"/>
                    <w:rPr>
                      <w:rFonts w:hint="eastAsia"/>
                      <w:b w:val="0"/>
                      <w:bCs/>
                      <w:color w:val="auto"/>
                      <w:kern w:val="11"/>
                    </w:rPr>
                  </w:pPr>
                  <w:r>
                    <w:rPr>
                      <w:rFonts w:hint="eastAsia"/>
                      <w:b w:val="0"/>
                      <w:bCs/>
                      <w:color w:val="auto"/>
                      <w:kern w:val="11"/>
                    </w:rPr>
                    <w:t>TVOC</w:t>
                  </w:r>
                </w:p>
              </w:tc>
              <w:tc>
                <w:tcPr>
                  <w:tcW w:w="399" w:type="pct"/>
                  <w:vMerge w:val="restart"/>
                  <w:vAlign w:val="center"/>
                </w:tcPr>
                <w:p w14:paraId="7D1DCA65">
                  <w:pPr>
                    <w:pStyle w:val="87"/>
                    <w:rPr>
                      <w:rFonts w:hint="eastAsia"/>
                      <w:b w:val="0"/>
                      <w:bCs/>
                      <w:color w:val="auto"/>
                      <w:kern w:val="11"/>
                    </w:rPr>
                  </w:pPr>
                </w:p>
              </w:tc>
              <w:tc>
                <w:tcPr>
                  <w:tcW w:w="770" w:type="pct"/>
                  <w:vMerge w:val="restart"/>
                  <w:vAlign w:val="center"/>
                </w:tcPr>
                <w:p w14:paraId="7AEA912E">
                  <w:pPr>
                    <w:pStyle w:val="87"/>
                    <w:rPr>
                      <w:rFonts w:hint="eastAsia"/>
                      <w:b w:val="0"/>
                      <w:bCs/>
                      <w:color w:val="auto"/>
                      <w:kern w:val="11"/>
                    </w:rPr>
                  </w:pPr>
                  <w:r>
                    <w:rPr>
                      <w:rFonts w:hint="eastAsia"/>
                      <w:b w:val="0"/>
                      <w:bCs/>
                      <w:color w:val="auto"/>
                      <w:kern w:val="11"/>
                    </w:rPr>
                    <w:t>水帘柜+喷淋塔+除湿装置+二级活性炭吸附装置</w:t>
                  </w:r>
                </w:p>
              </w:tc>
              <w:tc>
                <w:tcPr>
                  <w:tcW w:w="606" w:type="pct"/>
                  <w:vMerge w:val="restart"/>
                  <w:vAlign w:val="center"/>
                </w:tcPr>
                <w:p w14:paraId="13D081BB">
                  <w:pPr>
                    <w:pStyle w:val="87"/>
                    <w:rPr>
                      <w:rFonts w:hint="eastAsia"/>
                      <w:b w:val="0"/>
                      <w:bCs/>
                      <w:color w:val="auto"/>
                      <w:kern w:val="11"/>
                    </w:rPr>
                  </w:pPr>
                  <w:r>
                    <w:rPr>
                      <w:b w:val="0"/>
                      <w:bCs/>
                      <w:color w:val="auto"/>
                      <w:kern w:val="11"/>
                    </w:rPr>
                    <w:sym w:font="Wingdings 2" w:char="0052"/>
                  </w:r>
                  <w:r>
                    <w:rPr>
                      <w:b w:val="0"/>
                      <w:bCs/>
                      <w:color w:val="auto"/>
                      <w:kern w:val="11"/>
                    </w:rPr>
                    <w:t>是</w:t>
                  </w:r>
                </w:p>
                <w:p w14:paraId="410DABB0">
                  <w:pPr>
                    <w:pStyle w:val="87"/>
                    <w:rPr>
                      <w:rFonts w:hint="eastAsia"/>
                      <w:b w:val="0"/>
                      <w:bCs/>
                      <w:color w:val="auto"/>
                      <w:kern w:val="11"/>
                    </w:rPr>
                  </w:pPr>
                  <w:r>
                    <w:rPr>
                      <w:b w:val="0"/>
                      <w:bCs/>
                      <w:color w:val="auto"/>
                      <w:kern w:val="11"/>
                    </w:rPr>
                    <w:sym w:font="Wingdings 2" w:char="00A3"/>
                  </w:r>
                  <w:r>
                    <w:rPr>
                      <w:rFonts w:hint="eastAsia"/>
                      <w:b w:val="0"/>
                      <w:bCs/>
                      <w:color w:val="auto"/>
                      <w:kern w:val="11"/>
                    </w:rPr>
                    <w:t>否</w:t>
                  </w:r>
                </w:p>
              </w:tc>
              <w:tc>
                <w:tcPr>
                  <w:tcW w:w="394" w:type="pct"/>
                  <w:vMerge w:val="restart"/>
                  <w:vAlign w:val="center"/>
                </w:tcPr>
                <w:p w14:paraId="44806716">
                  <w:pPr>
                    <w:pStyle w:val="87"/>
                    <w:rPr>
                      <w:rFonts w:hint="eastAsia"/>
                      <w:b w:val="0"/>
                      <w:bCs/>
                      <w:color w:val="auto"/>
                      <w:kern w:val="11"/>
                    </w:rPr>
                  </w:pPr>
                  <w:r>
                    <w:rPr>
                      <w:rFonts w:hint="eastAsia"/>
                      <w:b w:val="0"/>
                      <w:bCs/>
                      <w:color w:val="auto"/>
                      <w:kern w:val="11"/>
                    </w:rPr>
                    <w:t>一般排放口</w:t>
                  </w:r>
                </w:p>
              </w:tc>
            </w:tr>
            <w:tr w14:paraId="34C24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3" w:type="pct"/>
                  <w:vMerge w:val="continue"/>
                  <w:vAlign w:val="center"/>
                </w:tcPr>
                <w:p w14:paraId="46272D3D">
                  <w:pPr>
                    <w:pStyle w:val="87"/>
                    <w:rPr>
                      <w:rFonts w:hint="eastAsia"/>
                      <w:color w:val="auto"/>
                    </w:rPr>
                  </w:pPr>
                </w:p>
              </w:tc>
              <w:tc>
                <w:tcPr>
                  <w:tcW w:w="475" w:type="pct"/>
                  <w:vMerge w:val="restart"/>
                  <w:vAlign w:val="center"/>
                </w:tcPr>
                <w:p w14:paraId="67FF4637">
                  <w:pPr>
                    <w:pStyle w:val="87"/>
                    <w:rPr>
                      <w:rFonts w:hint="eastAsia"/>
                      <w:b w:val="0"/>
                      <w:bCs/>
                      <w:color w:val="auto"/>
                    </w:rPr>
                  </w:pPr>
                  <w:r>
                    <w:rPr>
                      <w:rFonts w:hint="eastAsia"/>
                      <w:b w:val="0"/>
                      <w:bCs/>
                      <w:color w:val="auto"/>
                    </w:rPr>
                    <w:t>喷漆</w:t>
                  </w:r>
                </w:p>
              </w:tc>
              <w:tc>
                <w:tcPr>
                  <w:tcW w:w="751" w:type="pct"/>
                  <w:vAlign w:val="center"/>
                </w:tcPr>
                <w:p w14:paraId="473589A4">
                  <w:pPr>
                    <w:pStyle w:val="87"/>
                    <w:rPr>
                      <w:rFonts w:hint="eastAsia"/>
                      <w:b w:val="0"/>
                      <w:bCs/>
                      <w:color w:val="auto"/>
                    </w:rPr>
                  </w:pPr>
                  <w:r>
                    <w:rPr>
                      <w:rFonts w:hint="eastAsia"/>
                      <w:b w:val="0"/>
                      <w:bCs/>
                      <w:color w:val="auto"/>
                    </w:rPr>
                    <w:t>底漆、面漆喷漆线</w:t>
                  </w:r>
                </w:p>
              </w:tc>
              <w:tc>
                <w:tcPr>
                  <w:tcW w:w="409" w:type="pct"/>
                  <w:vAlign w:val="center"/>
                </w:tcPr>
                <w:p w14:paraId="6BEE345D">
                  <w:pPr>
                    <w:pStyle w:val="87"/>
                    <w:rPr>
                      <w:rFonts w:hint="eastAsia"/>
                      <w:b w:val="0"/>
                      <w:bCs/>
                      <w:color w:val="auto"/>
                    </w:rPr>
                  </w:pPr>
                  <w:r>
                    <w:rPr>
                      <w:rFonts w:hint="eastAsia"/>
                      <w:b w:val="0"/>
                      <w:bCs/>
                      <w:color w:val="auto"/>
                    </w:rPr>
                    <w:t>喷漆</w:t>
                  </w:r>
                </w:p>
              </w:tc>
              <w:tc>
                <w:tcPr>
                  <w:tcW w:w="810" w:type="pct"/>
                  <w:vAlign w:val="center"/>
                </w:tcPr>
                <w:p w14:paraId="2C5BC12F">
                  <w:pPr>
                    <w:pStyle w:val="87"/>
                    <w:rPr>
                      <w:rFonts w:hint="eastAsia"/>
                      <w:b w:val="0"/>
                      <w:bCs/>
                      <w:color w:val="auto"/>
                      <w:kern w:val="11"/>
                    </w:rPr>
                  </w:pPr>
                  <w:r>
                    <w:rPr>
                      <w:rFonts w:hint="eastAsia"/>
                      <w:b w:val="0"/>
                      <w:bCs/>
                      <w:color w:val="auto"/>
                      <w:kern w:val="11"/>
                    </w:rPr>
                    <w:t>颗粒物、TVOC、臭气浓度</w:t>
                  </w:r>
                </w:p>
              </w:tc>
              <w:tc>
                <w:tcPr>
                  <w:tcW w:w="399" w:type="pct"/>
                  <w:vMerge w:val="continue"/>
                  <w:vAlign w:val="center"/>
                </w:tcPr>
                <w:p w14:paraId="570EE30B">
                  <w:pPr>
                    <w:pStyle w:val="87"/>
                    <w:rPr>
                      <w:rFonts w:hint="eastAsia"/>
                      <w:b w:val="0"/>
                      <w:bCs/>
                      <w:color w:val="auto"/>
                      <w:kern w:val="11"/>
                    </w:rPr>
                  </w:pPr>
                </w:p>
              </w:tc>
              <w:tc>
                <w:tcPr>
                  <w:tcW w:w="770" w:type="pct"/>
                  <w:vMerge w:val="continue"/>
                  <w:vAlign w:val="center"/>
                </w:tcPr>
                <w:p w14:paraId="7128F4F6">
                  <w:pPr>
                    <w:pStyle w:val="87"/>
                    <w:rPr>
                      <w:rFonts w:hint="eastAsia"/>
                      <w:b w:val="0"/>
                      <w:bCs/>
                      <w:color w:val="auto"/>
                      <w:kern w:val="11"/>
                    </w:rPr>
                  </w:pPr>
                </w:p>
              </w:tc>
              <w:tc>
                <w:tcPr>
                  <w:tcW w:w="606" w:type="pct"/>
                  <w:vMerge w:val="continue"/>
                  <w:vAlign w:val="center"/>
                </w:tcPr>
                <w:p w14:paraId="4B4A64A6">
                  <w:pPr>
                    <w:pStyle w:val="87"/>
                    <w:rPr>
                      <w:rFonts w:hint="eastAsia"/>
                      <w:b w:val="0"/>
                      <w:bCs/>
                      <w:color w:val="auto"/>
                      <w:kern w:val="11"/>
                    </w:rPr>
                  </w:pPr>
                </w:p>
              </w:tc>
              <w:tc>
                <w:tcPr>
                  <w:tcW w:w="394" w:type="pct"/>
                  <w:vMerge w:val="continue"/>
                  <w:vAlign w:val="center"/>
                </w:tcPr>
                <w:p w14:paraId="000401B6">
                  <w:pPr>
                    <w:pStyle w:val="87"/>
                    <w:rPr>
                      <w:rFonts w:hint="eastAsia"/>
                      <w:b w:val="0"/>
                      <w:bCs/>
                      <w:color w:val="auto"/>
                      <w:kern w:val="11"/>
                    </w:rPr>
                  </w:pPr>
                </w:p>
              </w:tc>
            </w:tr>
            <w:tr w14:paraId="27F8B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3" w:type="pct"/>
                  <w:vMerge w:val="continue"/>
                  <w:vAlign w:val="center"/>
                </w:tcPr>
                <w:p w14:paraId="1C674F14">
                  <w:pPr>
                    <w:pStyle w:val="87"/>
                    <w:rPr>
                      <w:rFonts w:hint="eastAsia"/>
                      <w:color w:val="auto"/>
                    </w:rPr>
                  </w:pPr>
                </w:p>
              </w:tc>
              <w:tc>
                <w:tcPr>
                  <w:tcW w:w="475" w:type="pct"/>
                  <w:vMerge w:val="continue"/>
                  <w:vAlign w:val="center"/>
                </w:tcPr>
                <w:p w14:paraId="4251767D">
                  <w:pPr>
                    <w:pStyle w:val="87"/>
                    <w:rPr>
                      <w:rFonts w:hint="eastAsia"/>
                      <w:color w:val="auto"/>
                    </w:rPr>
                  </w:pPr>
                </w:p>
              </w:tc>
              <w:tc>
                <w:tcPr>
                  <w:tcW w:w="751" w:type="pct"/>
                  <w:vAlign w:val="center"/>
                </w:tcPr>
                <w:p w14:paraId="4A3B6ECA">
                  <w:pPr>
                    <w:pStyle w:val="87"/>
                    <w:rPr>
                      <w:rFonts w:hint="eastAsia"/>
                      <w:b w:val="0"/>
                      <w:bCs/>
                      <w:color w:val="auto"/>
                    </w:rPr>
                  </w:pPr>
                  <w:r>
                    <w:rPr>
                      <w:rFonts w:hint="eastAsia"/>
                      <w:b w:val="0"/>
                      <w:bCs/>
                      <w:color w:val="auto"/>
                    </w:rPr>
                    <w:t>隧道炉燃烧机</w:t>
                  </w:r>
                </w:p>
              </w:tc>
              <w:tc>
                <w:tcPr>
                  <w:tcW w:w="409" w:type="pct"/>
                  <w:vAlign w:val="center"/>
                </w:tcPr>
                <w:p w14:paraId="65162794">
                  <w:pPr>
                    <w:pStyle w:val="87"/>
                    <w:rPr>
                      <w:rFonts w:hint="eastAsia"/>
                      <w:b w:val="0"/>
                      <w:bCs/>
                      <w:color w:val="auto"/>
                    </w:rPr>
                  </w:pPr>
                  <w:r>
                    <w:rPr>
                      <w:rFonts w:hint="eastAsia"/>
                      <w:b w:val="0"/>
                      <w:bCs/>
                      <w:color w:val="auto"/>
                    </w:rPr>
                    <w:t>烘烤</w:t>
                  </w:r>
                </w:p>
              </w:tc>
              <w:tc>
                <w:tcPr>
                  <w:tcW w:w="810" w:type="pct"/>
                  <w:vAlign w:val="center"/>
                </w:tcPr>
                <w:p w14:paraId="1DF93DB2">
                  <w:pPr>
                    <w:pStyle w:val="87"/>
                    <w:rPr>
                      <w:rFonts w:hint="eastAsia"/>
                      <w:b w:val="0"/>
                      <w:bCs/>
                      <w:color w:val="auto"/>
                    </w:rPr>
                  </w:pPr>
                  <w:r>
                    <w:rPr>
                      <w:rFonts w:hint="eastAsia"/>
                      <w:b w:val="0"/>
                      <w:bCs/>
                      <w:color w:val="auto"/>
                      <w:kern w:val="11"/>
                    </w:rPr>
                    <w:t>TVOC、臭气浓度</w:t>
                  </w:r>
                </w:p>
              </w:tc>
              <w:tc>
                <w:tcPr>
                  <w:tcW w:w="399" w:type="pct"/>
                  <w:vMerge w:val="continue"/>
                  <w:vAlign w:val="center"/>
                </w:tcPr>
                <w:p w14:paraId="7DC0A2D6">
                  <w:pPr>
                    <w:pStyle w:val="87"/>
                    <w:rPr>
                      <w:rFonts w:hint="eastAsia"/>
                      <w:b w:val="0"/>
                      <w:bCs/>
                      <w:color w:val="auto"/>
                    </w:rPr>
                  </w:pPr>
                </w:p>
              </w:tc>
              <w:tc>
                <w:tcPr>
                  <w:tcW w:w="770" w:type="pct"/>
                  <w:vMerge w:val="continue"/>
                  <w:vAlign w:val="center"/>
                </w:tcPr>
                <w:p w14:paraId="6233EF64">
                  <w:pPr>
                    <w:pStyle w:val="87"/>
                    <w:rPr>
                      <w:rFonts w:hint="eastAsia"/>
                      <w:b w:val="0"/>
                      <w:bCs/>
                      <w:color w:val="auto"/>
                    </w:rPr>
                  </w:pPr>
                </w:p>
              </w:tc>
              <w:tc>
                <w:tcPr>
                  <w:tcW w:w="606" w:type="pct"/>
                  <w:vMerge w:val="continue"/>
                  <w:vAlign w:val="center"/>
                </w:tcPr>
                <w:p w14:paraId="7D73AEB5">
                  <w:pPr>
                    <w:pStyle w:val="87"/>
                    <w:rPr>
                      <w:rFonts w:hint="eastAsia"/>
                      <w:b w:val="0"/>
                      <w:bCs/>
                      <w:color w:val="auto"/>
                    </w:rPr>
                  </w:pPr>
                </w:p>
              </w:tc>
              <w:tc>
                <w:tcPr>
                  <w:tcW w:w="394" w:type="pct"/>
                  <w:vMerge w:val="continue"/>
                  <w:vAlign w:val="center"/>
                </w:tcPr>
                <w:p w14:paraId="5A025EB9">
                  <w:pPr>
                    <w:pStyle w:val="87"/>
                    <w:rPr>
                      <w:rFonts w:hint="eastAsia"/>
                      <w:b w:val="0"/>
                      <w:bCs/>
                      <w:color w:val="auto"/>
                    </w:rPr>
                  </w:pPr>
                </w:p>
              </w:tc>
            </w:tr>
            <w:tr w14:paraId="60284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3" w:type="pct"/>
                  <w:vMerge w:val="continue"/>
                  <w:vAlign w:val="center"/>
                </w:tcPr>
                <w:p w14:paraId="0C195073">
                  <w:pPr>
                    <w:pStyle w:val="87"/>
                    <w:rPr>
                      <w:rFonts w:hint="eastAsia"/>
                      <w:color w:val="auto"/>
                    </w:rPr>
                  </w:pPr>
                </w:p>
              </w:tc>
              <w:tc>
                <w:tcPr>
                  <w:tcW w:w="475" w:type="pct"/>
                  <w:vMerge w:val="continue"/>
                  <w:vAlign w:val="center"/>
                </w:tcPr>
                <w:p w14:paraId="422FF91C">
                  <w:pPr>
                    <w:pStyle w:val="87"/>
                    <w:rPr>
                      <w:rFonts w:hint="eastAsia"/>
                      <w:color w:val="auto"/>
                    </w:rPr>
                  </w:pPr>
                </w:p>
              </w:tc>
              <w:tc>
                <w:tcPr>
                  <w:tcW w:w="751" w:type="pct"/>
                  <w:vAlign w:val="center"/>
                </w:tcPr>
                <w:p w14:paraId="45747CE4">
                  <w:pPr>
                    <w:pStyle w:val="87"/>
                    <w:rPr>
                      <w:rFonts w:hint="eastAsia"/>
                      <w:b w:val="0"/>
                      <w:bCs/>
                      <w:color w:val="auto"/>
                    </w:rPr>
                  </w:pPr>
                  <w:r>
                    <w:rPr>
                      <w:rFonts w:hint="eastAsia"/>
                      <w:b w:val="0"/>
                      <w:bCs/>
                      <w:color w:val="auto"/>
                    </w:rPr>
                    <w:t>燃烧机</w:t>
                  </w:r>
                </w:p>
              </w:tc>
              <w:tc>
                <w:tcPr>
                  <w:tcW w:w="409" w:type="pct"/>
                  <w:vAlign w:val="center"/>
                </w:tcPr>
                <w:p w14:paraId="20E808E0">
                  <w:pPr>
                    <w:pStyle w:val="87"/>
                    <w:rPr>
                      <w:rFonts w:hint="eastAsia"/>
                      <w:b w:val="0"/>
                      <w:bCs/>
                      <w:color w:val="auto"/>
                    </w:rPr>
                  </w:pPr>
                  <w:r>
                    <w:rPr>
                      <w:rFonts w:hint="eastAsia"/>
                      <w:b w:val="0"/>
                      <w:bCs/>
                      <w:color w:val="auto"/>
                    </w:rPr>
                    <w:t>燃烧</w:t>
                  </w:r>
                </w:p>
              </w:tc>
              <w:tc>
                <w:tcPr>
                  <w:tcW w:w="810" w:type="pct"/>
                  <w:vAlign w:val="center"/>
                </w:tcPr>
                <w:p w14:paraId="00A94F3F">
                  <w:pPr>
                    <w:pStyle w:val="87"/>
                    <w:rPr>
                      <w:rFonts w:hint="eastAsia"/>
                      <w:b w:val="0"/>
                      <w:bCs/>
                      <w:color w:val="auto"/>
                      <w:kern w:val="11"/>
                    </w:rPr>
                  </w:pPr>
                  <w:r>
                    <w:rPr>
                      <w:rFonts w:hint="eastAsia"/>
                      <w:b w:val="0"/>
                      <w:bCs/>
                      <w:color w:val="auto"/>
                      <w:kern w:val="11"/>
                    </w:rPr>
                    <w:t>颗粒物、氮氧化物、二氧化硫</w:t>
                  </w:r>
                </w:p>
              </w:tc>
              <w:tc>
                <w:tcPr>
                  <w:tcW w:w="399" w:type="pct"/>
                  <w:vMerge w:val="continue"/>
                  <w:vAlign w:val="center"/>
                </w:tcPr>
                <w:p w14:paraId="7A51DD81">
                  <w:pPr>
                    <w:pStyle w:val="87"/>
                    <w:rPr>
                      <w:rFonts w:hint="eastAsia"/>
                      <w:b w:val="0"/>
                      <w:bCs/>
                      <w:color w:val="auto"/>
                    </w:rPr>
                  </w:pPr>
                </w:p>
              </w:tc>
              <w:tc>
                <w:tcPr>
                  <w:tcW w:w="770" w:type="pct"/>
                  <w:vAlign w:val="center"/>
                </w:tcPr>
                <w:p w14:paraId="31AB91DB">
                  <w:pPr>
                    <w:pStyle w:val="87"/>
                    <w:rPr>
                      <w:rFonts w:hint="eastAsia"/>
                      <w:b w:val="0"/>
                      <w:bCs/>
                      <w:color w:val="auto"/>
                    </w:rPr>
                  </w:pPr>
                  <w:r>
                    <w:rPr>
                      <w:rFonts w:hint="eastAsia"/>
                      <w:b w:val="0"/>
                      <w:bCs/>
                      <w:color w:val="auto"/>
                    </w:rPr>
                    <w:t>低氮燃烧器</w:t>
                  </w:r>
                </w:p>
              </w:tc>
              <w:tc>
                <w:tcPr>
                  <w:tcW w:w="606" w:type="pct"/>
                  <w:vAlign w:val="center"/>
                </w:tcPr>
                <w:p w14:paraId="1E074478">
                  <w:pPr>
                    <w:pStyle w:val="87"/>
                    <w:rPr>
                      <w:rFonts w:hint="eastAsia"/>
                      <w:b w:val="0"/>
                      <w:bCs/>
                      <w:color w:val="auto"/>
                      <w:kern w:val="11"/>
                    </w:rPr>
                  </w:pPr>
                  <w:r>
                    <w:rPr>
                      <w:b w:val="0"/>
                      <w:bCs/>
                      <w:color w:val="auto"/>
                      <w:kern w:val="11"/>
                    </w:rPr>
                    <w:sym w:font="Wingdings 2" w:char="0052"/>
                  </w:r>
                  <w:r>
                    <w:rPr>
                      <w:b w:val="0"/>
                      <w:bCs/>
                      <w:color w:val="auto"/>
                      <w:kern w:val="11"/>
                    </w:rPr>
                    <w:t>是</w:t>
                  </w:r>
                </w:p>
                <w:p w14:paraId="17DA7521">
                  <w:pPr>
                    <w:pStyle w:val="87"/>
                    <w:rPr>
                      <w:rFonts w:hint="eastAsia"/>
                      <w:b w:val="0"/>
                      <w:bCs/>
                      <w:color w:val="auto"/>
                    </w:rPr>
                  </w:pPr>
                  <w:r>
                    <w:rPr>
                      <w:b w:val="0"/>
                      <w:bCs/>
                      <w:color w:val="auto"/>
                      <w:kern w:val="11"/>
                    </w:rPr>
                    <w:sym w:font="Wingdings 2" w:char="00A3"/>
                  </w:r>
                  <w:r>
                    <w:rPr>
                      <w:rFonts w:hint="eastAsia"/>
                      <w:b w:val="0"/>
                      <w:bCs/>
                      <w:color w:val="auto"/>
                      <w:kern w:val="11"/>
                    </w:rPr>
                    <w:t>否</w:t>
                  </w:r>
                </w:p>
              </w:tc>
              <w:tc>
                <w:tcPr>
                  <w:tcW w:w="394" w:type="pct"/>
                  <w:vMerge w:val="continue"/>
                  <w:vAlign w:val="center"/>
                </w:tcPr>
                <w:p w14:paraId="32CC3C0B">
                  <w:pPr>
                    <w:pStyle w:val="87"/>
                    <w:rPr>
                      <w:rFonts w:hint="eastAsia"/>
                      <w:b w:val="0"/>
                      <w:bCs/>
                      <w:color w:val="auto"/>
                    </w:rPr>
                  </w:pPr>
                </w:p>
              </w:tc>
            </w:tr>
            <w:tr w14:paraId="5D213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3" w:type="pct"/>
                  <w:vMerge w:val="continue"/>
                  <w:vAlign w:val="center"/>
                </w:tcPr>
                <w:p w14:paraId="0584BBD3">
                  <w:pPr>
                    <w:pStyle w:val="87"/>
                    <w:rPr>
                      <w:rFonts w:hint="eastAsia"/>
                      <w:b w:val="0"/>
                      <w:bCs/>
                      <w:color w:val="auto"/>
                    </w:rPr>
                  </w:pPr>
                </w:p>
              </w:tc>
              <w:tc>
                <w:tcPr>
                  <w:tcW w:w="475" w:type="pct"/>
                  <w:vMerge w:val="continue"/>
                  <w:vAlign w:val="center"/>
                </w:tcPr>
                <w:p w14:paraId="50262E52">
                  <w:pPr>
                    <w:pStyle w:val="87"/>
                    <w:rPr>
                      <w:rFonts w:hint="eastAsia"/>
                      <w:b w:val="0"/>
                      <w:bCs/>
                      <w:color w:val="auto"/>
                    </w:rPr>
                  </w:pPr>
                </w:p>
              </w:tc>
              <w:tc>
                <w:tcPr>
                  <w:tcW w:w="751" w:type="pct"/>
                  <w:vAlign w:val="center"/>
                </w:tcPr>
                <w:p w14:paraId="63CBE11E">
                  <w:pPr>
                    <w:pStyle w:val="87"/>
                    <w:rPr>
                      <w:rFonts w:hint="eastAsia"/>
                      <w:b w:val="0"/>
                      <w:bCs/>
                      <w:color w:val="auto"/>
                    </w:rPr>
                  </w:pPr>
                  <w:r>
                    <w:rPr>
                      <w:rFonts w:hint="eastAsia"/>
                      <w:b w:val="0"/>
                      <w:bCs/>
                      <w:color w:val="auto"/>
                    </w:rPr>
                    <w:t>清漆喷涂线</w:t>
                  </w:r>
                </w:p>
              </w:tc>
              <w:tc>
                <w:tcPr>
                  <w:tcW w:w="409" w:type="pct"/>
                  <w:vAlign w:val="center"/>
                </w:tcPr>
                <w:p w14:paraId="1F883A3B">
                  <w:pPr>
                    <w:pStyle w:val="87"/>
                    <w:rPr>
                      <w:rFonts w:hint="eastAsia"/>
                      <w:b w:val="0"/>
                      <w:bCs/>
                      <w:color w:val="auto"/>
                    </w:rPr>
                  </w:pPr>
                  <w:r>
                    <w:rPr>
                      <w:rFonts w:hint="eastAsia"/>
                      <w:b w:val="0"/>
                      <w:bCs/>
                      <w:color w:val="auto"/>
                    </w:rPr>
                    <w:t>喷漆</w:t>
                  </w:r>
                </w:p>
              </w:tc>
              <w:tc>
                <w:tcPr>
                  <w:tcW w:w="810" w:type="pct"/>
                  <w:vAlign w:val="center"/>
                </w:tcPr>
                <w:p w14:paraId="482EA65A">
                  <w:pPr>
                    <w:pStyle w:val="87"/>
                    <w:rPr>
                      <w:rFonts w:hint="eastAsia"/>
                      <w:b w:val="0"/>
                      <w:bCs/>
                      <w:color w:val="auto"/>
                    </w:rPr>
                  </w:pPr>
                  <w:r>
                    <w:rPr>
                      <w:rFonts w:hint="eastAsia"/>
                      <w:b w:val="0"/>
                      <w:bCs/>
                      <w:color w:val="auto"/>
                      <w:kern w:val="11"/>
                    </w:rPr>
                    <w:t>颗粒物、TVOC、臭气浓度</w:t>
                  </w:r>
                </w:p>
              </w:tc>
              <w:tc>
                <w:tcPr>
                  <w:tcW w:w="399" w:type="pct"/>
                  <w:vMerge w:val="restart"/>
                  <w:vAlign w:val="center"/>
                </w:tcPr>
                <w:p w14:paraId="40B09806">
                  <w:pPr>
                    <w:pStyle w:val="87"/>
                    <w:rPr>
                      <w:rFonts w:hint="eastAsia"/>
                      <w:b w:val="0"/>
                      <w:bCs/>
                      <w:color w:val="auto"/>
                    </w:rPr>
                  </w:pPr>
                  <w:r>
                    <w:rPr>
                      <w:rFonts w:hint="eastAsia"/>
                      <w:b w:val="0"/>
                      <w:bCs/>
                      <w:color w:val="auto"/>
                    </w:rPr>
                    <w:t>有组织</w:t>
                  </w:r>
                </w:p>
              </w:tc>
              <w:tc>
                <w:tcPr>
                  <w:tcW w:w="770" w:type="pct"/>
                  <w:vMerge w:val="restart"/>
                  <w:vAlign w:val="center"/>
                </w:tcPr>
                <w:p w14:paraId="51C4E30A">
                  <w:pPr>
                    <w:pStyle w:val="87"/>
                    <w:rPr>
                      <w:rFonts w:hint="eastAsia"/>
                      <w:b w:val="0"/>
                      <w:bCs/>
                      <w:color w:val="auto"/>
                    </w:rPr>
                  </w:pPr>
                  <w:r>
                    <w:rPr>
                      <w:rFonts w:hint="eastAsia"/>
                      <w:b w:val="0"/>
                      <w:bCs/>
                      <w:color w:val="auto"/>
                      <w:kern w:val="11"/>
                    </w:rPr>
                    <w:t>水帘柜+喷淋塔+除湿装置+二级活性炭吸附装置</w:t>
                  </w:r>
                </w:p>
              </w:tc>
              <w:tc>
                <w:tcPr>
                  <w:tcW w:w="606" w:type="pct"/>
                  <w:vMerge w:val="restart"/>
                  <w:vAlign w:val="center"/>
                </w:tcPr>
                <w:p w14:paraId="0946CDB4">
                  <w:pPr>
                    <w:pStyle w:val="87"/>
                    <w:rPr>
                      <w:rFonts w:hint="eastAsia"/>
                      <w:b w:val="0"/>
                      <w:bCs/>
                      <w:color w:val="auto"/>
                      <w:kern w:val="11"/>
                    </w:rPr>
                  </w:pPr>
                  <w:r>
                    <w:rPr>
                      <w:b w:val="0"/>
                      <w:bCs/>
                      <w:color w:val="auto"/>
                      <w:kern w:val="11"/>
                    </w:rPr>
                    <w:sym w:font="Wingdings 2" w:char="0052"/>
                  </w:r>
                  <w:r>
                    <w:rPr>
                      <w:b w:val="0"/>
                      <w:bCs/>
                      <w:color w:val="auto"/>
                      <w:kern w:val="11"/>
                    </w:rPr>
                    <w:t>是</w:t>
                  </w:r>
                </w:p>
                <w:p w14:paraId="7C4E2869">
                  <w:pPr>
                    <w:pStyle w:val="87"/>
                    <w:rPr>
                      <w:rFonts w:hint="eastAsia"/>
                      <w:b w:val="0"/>
                      <w:bCs/>
                      <w:color w:val="auto"/>
                    </w:rPr>
                  </w:pPr>
                  <w:r>
                    <w:rPr>
                      <w:b w:val="0"/>
                      <w:bCs/>
                      <w:color w:val="auto"/>
                      <w:kern w:val="11"/>
                    </w:rPr>
                    <w:sym w:font="Wingdings 2" w:char="00A3"/>
                  </w:r>
                  <w:r>
                    <w:rPr>
                      <w:rFonts w:hint="eastAsia"/>
                      <w:b w:val="0"/>
                      <w:bCs/>
                      <w:color w:val="auto"/>
                      <w:kern w:val="11"/>
                    </w:rPr>
                    <w:t>否</w:t>
                  </w:r>
                </w:p>
              </w:tc>
              <w:tc>
                <w:tcPr>
                  <w:tcW w:w="394" w:type="pct"/>
                  <w:vMerge w:val="restart"/>
                  <w:vAlign w:val="center"/>
                </w:tcPr>
                <w:p w14:paraId="5D7142EC">
                  <w:pPr>
                    <w:pStyle w:val="87"/>
                    <w:rPr>
                      <w:rFonts w:hint="eastAsia"/>
                      <w:b w:val="0"/>
                      <w:bCs/>
                      <w:color w:val="auto"/>
                    </w:rPr>
                  </w:pPr>
                  <w:r>
                    <w:rPr>
                      <w:rFonts w:hint="eastAsia"/>
                      <w:b w:val="0"/>
                      <w:bCs/>
                      <w:color w:val="auto"/>
                      <w:kern w:val="11"/>
                    </w:rPr>
                    <w:t>一般排放口</w:t>
                  </w:r>
                </w:p>
              </w:tc>
            </w:tr>
            <w:tr w14:paraId="6C19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3" w:type="pct"/>
                  <w:vMerge w:val="continue"/>
                  <w:vAlign w:val="center"/>
                </w:tcPr>
                <w:p w14:paraId="5F660FD4">
                  <w:pPr>
                    <w:pStyle w:val="87"/>
                    <w:rPr>
                      <w:rFonts w:hint="eastAsia"/>
                      <w:b w:val="0"/>
                      <w:bCs/>
                      <w:color w:val="auto"/>
                    </w:rPr>
                  </w:pPr>
                </w:p>
              </w:tc>
              <w:tc>
                <w:tcPr>
                  <w:tcW w:w="475" w:type="pct"/>
                  <w:vMerge w:val="continue"/>
                  <w:vAlign w:val="center"/>
                </w:tcPr>
                <w:p w14:paraId="697A257C">
                  <w:pPr>
                    <w:pStyle w:val="87"/>
                    <w:rPr>
                      <w:rFonts w:hint="eastAsia"/>
                      <w:b w:val="0"/>
                      <w:bCs/>
                      <w:color w:val="auto"/>
                    </w:rPr>
                  </w:pPr>
                </w:p>
              </w:tc>
              <w:tc>
                <w:tcPr>
                  <w:tcW w:w="751" w:type="pct"/>
                  <w:vAlign w:val="center"/>
                </w:tcPr>
                <w:p w14:paraId="0DFCEE5A">
                  <w:pPr>
                    <w:pStyle w:val="87"/>
                    <w:rPr>
                      <w:rFonts w:hint="eastAsia"/>
                      <w:b w:val="0"/>
                      <w:bCs/>
                      <w:color w:val="auto"/>
                    </w:rPr>
                  </w:pPr>
                  <w:r>
                    <w:rPr>
                      <w:rFonts w:hint="eastAsia"/>
                      <w:b w:val="0"/>
                      <w:bCs/>
                      <w:color w:val="auto"/>
                    </w:rPr>
                    <w:t>隧道炉燃烧机</w:t>
                  </w:r>
                </w:p>
              </w:tc>
              <w:tc>
                <w:tcPr>
                  <w:tcW w:w="409" w:type="pct"/>
                  <w:vAlign w:val="center"/>
                </w:tcPr>
                <w:p w14:paraId="3B50A02D">
                  <w:pPr>
                    <w:pStyle w:val="87"/>
                    <w:rPr>
                      <w:rFonts w:hint="eastAsia"/>
                      <w:b w:val="0"/>
                      <w:bCs/>
                      <w:color w:val="auto"/>
                    </w:rPr>
                  </w:pPr>
                  <w:r>
                    <w:rPr>
                      <w:rFonts w:hint="eastAsia"/>
                      <w:b w:val="0"/>
                      <w:bCs/>
                      <w:color w:val="auto"/>
                    </w:rPr>
                    <w:t>烘烤</w:t>
                  </w:r>
                </w:p>
              </w:tc>
              <w:tc>
                <w:tcPr>
                  <w:tcW w:w="810" w:type="pct"/>
                  <w:vAlign w:val="center"/>
                </w:tcPr>
                <w:p w14:paraId="1F1DC201">
                  <w:pPr>
                    <w:pStyle w:val="87"/>
                    <w:rPr>
                      <w:rFonts w:hint="eastAsia"/>
                      <w:b w:val="0"/>
                      <w:bCs/>
                      <w:color w:val="auto"/>
                    </w:rPr>
                  </w:pPr>
                  <w:r>
                    <w:rPr>
                      <w:rFonts w:hint="eastAsia"/>
                      <w:b w:val="0"/>
                      <w:bCs/>
                      <w:color w:val="auto"/>
                      <w:kern w:val="11"/>
                    </w:rPr>
                    <w:t>TVOC、臭气浓度</w:t>
                  </w:r>
                </w:p>
              </w:tc>
              <w:tc>
                <w:tcPr>
                  <w:tcW w:w="399" w:type="pct"/>
                  <w:vMerge w:val="continue"/>
                  <w:vAlign w:val="center"/>
                </w:tcPr>
                <w:p w14:paraId="53A86A2B">
                  <w:pPr>
                    <w:pStyle w:val="87"/>
                    <w:rPr>
                      <w:rFonts w:hint="eastAsia"/>
                      <w:b w:val="0"/>
                      <w:bCs/>
                      <w:color w:val="auto"/>
                    </w:rPr>
                  </w:pPr>
                </w:p>
              </w:tc>
              <w:tc>
                <w:tcPr>
                  <w:tcW w:w="770" w:type="pct"/>
                  <w:vMerge w:val="continue"/>
                  <w:vAlign w:val="center"/>
                </w:tcPr>
                <w:p w14:paraId="7EFDCA3C">
                  <w:pPr>
                    <w:pStyle w:val="87"/>
                    <w:rPr>
                      <w:rFonts w:hint="eastAsia"/>
                      <w:b w:val="0"/>
                      <w:bCs/>
                      <w:color w:val="auto"/>
                    </w:rPr>
                  </w:pPr>
                </w:p>
              </w:tc>
              <w:tc>
                <w:tcPr>
                  <w:tcW w:w="606" w:type="pct"/>
                  <w:vMerge w:val="continue"/>
                  <w:vAlign w:val="center"/>
                </w:tcPr>
                <w:p w14:paraId="69445F19">
                  <w:pPr>
                    <w:pStyle w:val="87"/>
                    <w:rPr>
                      <w:rFonts w:hint="eastAsia"/>
                      <w:b w:val="0"/>
                      <w:bCs/>
                      <w:color w:val="auto"/>
                    </w:rPr>
                  </w:pPr>
                </w:p>
              </w:tc>
              <w:tc>
                <w:tcPr>
                  <w:tcW w:w="394" w:type="pct"/>
                  <w:vMerge w:val="continue"/>
                  <w:vAlign w:val="center"/>
                </w:tcPr>
                <w:p w14:paraId="7F01334C">
                  <w:pPr>
                    <w:pStyle w:val="87"/>
                    <w:rPr>
                      <w:rFonts w:hint="eastAsia"/>
                      <w:b w:val="0"/>
                      <w:bCs/>
                      <w:color w:val="auto"/>
                    </w:rPr>
                  </w:pPr>
                </w:p>
              </w:tc>
            </w:tr>
            <w:tr w14:paraId="7CFD7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3" w:type="pct"/>
                  <w:vMerge w:val="continue"/>
                  <w:vAlign w:val="center"/>
                </w:tcPr>
                <w:p w14:paraId="3635C335">
                  <w:pPr>
                    <w:pStyle w:val="87"/>
                    <w:rPr>
                      <w:rFonts w:hint="eastAsia"/>
                      <w:b w:val="0"/>
                      <w:bCs/>
                      <w:color w:val="auto"/>
                    </w:rPr>
                  </w:pPr>
                </w:p>
              </w:tc>
              <w:tc>
                <w:tcPr>
                  <w:tcW w:w="475" w:type="pct"/>
                  <w:vMerge w:val="continue"/>
                  <w:vAlign w:val="center"/>
                </w:tcPr>
                <w:p w14:paraId="478EA64A">
                  <w:pPr>
                    <w:pStyle w:val="87"/>
                    <w:rPr>
                      <w:rFonts w:hint="eastAsia"/>
                      <w:b w:val="0"/>
                      <w:bCs/>
                      <w:color w:val="auto"/>
                    </w:rPr>
                  </w:pPr>
                </w:p>
              </w:tc>
              <w:tc>
                <w:tcPr>
                  <w:tcW w:w="751" w:type="pct"/>
                  <w:vAlign w:val="center"/>
                </w:tcPr>
                <w:p w14:paraId="468E3D26">
                  <w:pPr>
                    <w:pStyle w:val="87"/>
                    <w:rPr>
                      <w:rFonts w:hint="eastAsia"/>
                      <w:b w:val="0"/>
                      <w:bCs/>
                      <w:color w:val="auto"/>
                    </w:rPr>
                  </w:pPr>
                  <w:r>
                    <w:rPr>
                      <w:rFonts w:hint="eastAsia"/>
                      <w:b w:val="0"/>
                      <w:bCs/>
                      <w:color w:val="auto"/>
                    </w:rPr>
                    <w:t>燃烧机</w:t>
                  </w:r>
                </w:p>
              </w:tc>
              <w:tc>
                <w:tcPr>
                  <w:tcW w:w="409" w:type="pct"/>
                  <w:vAlign w:val="center"/>
                </w:tcPr>
                <w:p w14:paraId="59CCB398">
                  <w:pPr>
                    <w:pStyle w:val="87"/>
                    <w:rPr>
                      <w:rFonts w:hint="eastAsia"/>
                      <w:b w:val="0"/>
                      <w:bCs/>
                      <w:color w:val="auto"/>
                    </w:rPr>
                  </w:pPr>
                  <w:r>
                    <w:rPr>
                      <w:rFonts w:hint="eastAsia"/>
                      <w:b w:val="0"/>
                      <w:bCs/>
                      <w:color w:val="auto"/>
                    </w:rPr>
                    <w:t>燃烧</w:t>
                  </w:r>
                </w:p>
              </w:tc>
              <w:tc>
                <w:tcPr>
                  <w:tcW w:w="810" w:type="pct"/>
                  <w:vAlign w:val="center"/>
                </w:tcPr>
                <w:p w14:paraId="1D12B16D">
                  <w:pPr>
                    <w:pStyle w:val="87"/>
                    <w:rPr>
                      <w:rFonts w:hint="eastAsia"/>
                      <w:b w:val="0"/>
                      <w:bCs/>
                      <w:color w:val="auto"/>
                      <w:kern w:val="11"/>
                    </w:rPr>
                  </w:pPr>
                  <w:r>
                    <w:rPr>
                      <w:rFonts w:hint="eastAsia"/>
                      <w:b w:val="0"/>
                      <w:bCs/>
                      <w:color w:val="auto"/>
                      <w:kern w:val="11"/>
                    </w:rPr>
                    <w:t>颗粒物、氮氧化物、二氧化硫</w:t>
                  </w:r>
                </w:p>
              </w:tc>
              <w:tc>
                <w:tcPr>
                  <w:tcW w:w="399" w:type="pct"/>
                  <w:vMerge w:val="continue"/>
                  <w:vAlign w:val="center"/>
                </w:tcPr>
                <w:p w14:paraId="712D68F4">
                  <w:pPr>
                    <w:pStyle w:val="87"/>
                    <w:rPr>
                      <w:rFonts w:hint="eastAsia"/>
                      <w:b w:val="0"/>
                      <w:bCs/>
                      <w:color w:val="auto"/>
                    </w:rPr>
                  </w:pPr>
                </w:p>
              </w:tc>
              <w:tc>
                <w:tcPr>
                  <w:tcW w:w="770" w:type="pct"/>
                  <w:vAlign w:val="center"/>
                </w:tcPr>
                <w:p w14:paraId="762047FB">
                  <w:pPr>
                    <w:pStyle w:val="87"/>
                    <w:rPr>
                      <w:rFonts w:hint="eastAsia"/>
                      <w:b w:val="0"/>
                      <w:bCs/>
                      <w:color w:val="auto"/>
                    </w:rPr>
                  </w:pPr>
                  <w:r>
                    <w:rPr>
                      <w:rFonts w:hint="eastAsia"/>
                      <w:b w:val="0"/>
                      <w:bCs/>
                      <w:color w:val="auto"/>
                    </w:rPr>
                    <w:t>低氮燃烧器</w:t>
                  </w:r>
                </w:p>
              </w:tc>
              <w:tc>
                <w:tcPr>
                  <w:tcW w:w="606" w:type="pct"/>
                  <w:vAlign w:val="center"/>
                </w:tcPr>
                <w:p w14:paraId="4F766563">
                  <w:pPr>
                    <w:pStyle w:val="87"/>
                    <w:rPr>
                      <w:rFonts w:hint="eastAsia"/>
                      <w:b w:val="0"/>
                      <w:bCs/>
                      <w:color w:val="auto"/>
                      <w:kern w:val="11"/>
                    </w:rPr>
                  </w:pPr>
                  <w:r>
                    <w:rPr>
                      <w:b w:val="0"/>
                      <w:bCs/>
                      <w:color w:val="auto"/>
                      <w:kern w:val="11"/>
                    </w:rPr>
                    <w:sym w:font="Wingdings 2" w:char="0052"/>
                  </w:r>
                  <w:r>
                    <w:rPr>
                      <w:b w:val="0"/>
                      <w:bCs/>
                      <w:color w:val="auto"/>
                      <w:kern w:val="11"/>
                    </w:rPr>
                    <w:t>是</w:t>
                  </w:r>
                </w:p>
                <w:p w14:paraId="0C1C74E3">
                  <w:pPr>
                    <w:pStyle w:val="87"/>
                    <w:rPr>
                      <w:rFonts w:hint="eastAsia"/>
                      <w:b w:val="0"/>
                      <w:bCs/>
                      <w:color w:val="auto"/>
                    </w:rPr>
                  </w:pPr>
                  <w:r>
                    <w:rPr>
                      <w:b w:val="0"/>
                      <w:bCs/>
                      <w:color w:val="auto"/>
                      <w:kern w:val="11"/>
                    </w:rPr>
                    <w:sym w:font="Wingdings 2" w:char="00A3"/>
                  </w:r>
                  <w:r>
                    <w:rPr>
                      <w:rFonts w:hint="eastAsia"/>
                      <w:b w:val="0"/>
                      <w:bCs/>
                      <w:color w:val="auto"/>
                      <w:kern w:val="11"/>
                    </w:rPr>
                    <w:t>否</w:t>
                  </w:r>
                </w:p>
              </w:tc>
              <w:tc>
                <w:tcPr>
                  <w:tcW w:w="394" w:type="pct"/>
                  <w:vMerge w:val="continue"/>
                  <w:vAlign w:val="center"/>
                </w:tcPr>
                <w:p w14:paraId="3ABCEDD9">
                  <w:pPr>
                    <w:pStyle w:val="87"/>
                    <w:rPr>
                      <w:rFonts w:hint="eastAsia"/>
                      <w:b w:val="0"/>
                      <w:bCs/>
                      <w:color w:val="auto"/>
                    </w:rPr>
                  </w:pPr>
                </w:p>
              </w:tc>
            </w:tr>
            <w:tr w14:paraId="46640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3" w:type="pct"/>
                  <w:vMerge w:val="continue"/>
                  <w:vAlign w:val="center"/>
                </w:tcPr>
                <w:p w14:paraId="240A05F8">
                  <w:pPr>
                    <w:pStyle w:val="87"/>
                    <w:rPr>
                      <w:rFonts w:hint="eastAsia"/>
                      <w:b w:val="0"/>
                      <w:bCs/>
                      <w:color w:val="auto"/>
                    </w:rPr>
                  </w:pPr>
                </w:p>
              </w:tc>
              <w:tc>
                <w:tcPr>
                  <w:tcW w:w="475" w:type="pct"/>
                  <w:vMerge w:val="restart"/>
                  <w:vAlign w:val="center"/>
                </w:tcPr>
                <w:p w14:paraId="2F93AFC5">
                  <w:pPr>
                    <w:pStyle w:val="87"/>
                    <w:rPr>
                      <w:rFonts w:hint="eastAsia"/>
                      <w:b w:val="0"/>
                      <w:bCs/>
                      <w:color w:val="auto"/>
                    </w:rPr>
                  </w:pPr>
                  <w:r>
                    <w:rPr>
                      <w:rFonts w:hint="eastAsia"/>
                      <w:b w:val="0"/>
                      <w:bCs/>
                      <w:color w:val="auto"/>
                    </w:rPr>
                    <w:t>补漆</w:t>
                  </w:r>
                </w:p>
              </w:tc>
              <w:tc>
                <w:tcPr>
                  <w:tcW w:w="751" w:type="pct"/>
                  <w:vAlign w:val="center"/>
                </w:tcPr>
                <w:p w14:paraId="4FCAE6A4">
                  <w:pPr>
                    <w:pStyle w:val="87"/>
                    <w:rPr>
                      <w:rFonts w:hint="eastAsia"/>
                      <w:b w:val="0"/>
                      <w:bCs/>
                      <w:color w:val="auto"/>
                    </w:rPr>
                  </w:pPr>
                  <w:r>
                    <w:rPr>
                      <w:rFonts w:hint="eastAsia"/>
                      <w:b w:val="0"/>
                      <w:bCs/>
                      <w:color w:val="auto"/>
                    </w:rPr>
                    <w:t>水帘柜</w:t>
                  </w:r>
                </w:p>
              </w:tc>
              <w:tc>
                <w:tcPr>
                  <w:tcW w:w="409" w:type="pct"/>
                  <w:vAlign w:val="center"/>
                </w:tcPr>
                <w:p w14:paraId="35FF05C2">
                  <w:pPr>
                    <w:pStyle w:val="87"/>
                    <w:rPr>
                      <w:rFonts w:hint="eastAsia"/>
                      <w:b w:val="0"/>
                      <w:bCs/>
                      <w:color w:val="auto"/>
                    </w:rPr>
                  </w:pPr>
                  <w:r>
                    <w:rPr>
                      <w:rFonts w:hint="eastAsia"/>
                      <w:b w:val="0"/>
                      <w:bCs/>
                      <w:color w:val="auto"/>
                    </w:rPr>
                    <w:t>喷漆</w:t>
                  </w:r>
                </w:p>
              </w:tc>
              <w:tc>
                <w:tcPr>
                  <w:tcW w:w="810" w:type="pct"/>
                  <w:vAlign w:val="center"/>
                </w:tcPr>
                <w:p w14:paraId="138CB7B3">
                  <w:pPr>
                    <w:pStyle w:val="87"/>
                    <w:rPr>
                      <w:rFonts w:hint="eastAsia"/>
                      <w:b w:val="0"/>
                      <w:bCs/>
                      <w:color w:val="auto"/>
                    </w:rPr>
                  </w:pPr>
                  <w:r>
                    <w:rPr>
                      <w:rFonts w:hint="eastAsia"/>
                      <w:b w:val="0"/>
                      <w:bCs/>
                      <w:color w:val="auto"/>
                      <w:kern w:val="11"/>
                    </w:rPr>
                    <w:t>颗粒物、TVOC、臭气浓度</w:t>
                  </w:r>
                </w:p>
              </w:tc>
              <w:tc>
                <w:tcPr>
                  <w:tcW w:w="399" w:type="pct"/>
                  <w:vMerge w:val="restart"/>
                  <w:vAlign w:val="center"/>
                </w:tcPr>
                <w:p w14:paraId="187007CD">
                  <w:pPr>
                    <w:pStyle w:val="87"/>
                    <w:rPr>
                      <w:rFonts w:hint="eastAsia"/>
                      <w:b w:val="0"/>
                      <w:bCs/>
                      <w:color w:val="auto"/>
                    </w:rPr>
                  </w:pPr>
                  <w:r>
                    <w:rPr>
                      <w:rFonts w:hint="eastAsia"/>
                      <w:b w:val="0"/>
                      <w:bCs/>
                      <w:color w:val="auto"/>
                    </w:rPr>
                    <w:t>有组织</w:t>
                  </w:r>
                </w:p>
              </w:tc>
              <w:tc>
                <w:tcPr>
                  <w:tcW w:w="770" w:type="pct"/>
                  <w:vMerge w:val="restart"/>
                  <w:vAlign w:val="center"/>
                </w:tcPr>
                <w:p w14:paraId="1CE7F8AD">
                  <w:pPr>
                    <w:pStyle w:val="87"/>
                    <w:rPr>
                      <w:rFonts w:hint="eastAsia"/>
                      <w:b w:val="0"/>
                      <w:bCs/>
                      <w:color w:val="auto"/>
                    </w:rPr>
                  </w:pPr>
                  <w:r>
                    <w:rPr>
                      <w:rFonts w:hint="eastAsia"/>
                      <w:b w:val="0"/>
                      <w:bCs/>
                      <w:color w:val="auto"/>
                      <w:kern w:val="11"/>
                    </w:rPr>
                    <w:t>水帘柜+喷淋塔+除湿装置+二级活性炭吸附装置</w:t>
                  </w:r>
                </w:p>
              </w:tc>
              <w:tc>
                <w:tcPr>
                  <w:tcW w:w="606" w:type="pct"/>
                  <w:vMerge w:val="restart"/>
                  <w:vAlign w:val="center"/>
                </w:tcPr>
                <w:p w14:paraId="0A3BB6FA">
                  <w:pPr>
                    <w:pStyle w:val="87"/>
                    <w:rPr>
                      <w:rFonts w:hint="eastAsia"/>
                      <w:b w:val="0"/>
                      <w:bCs/>
                      <w:color w:val="auto"/>
                      <w:kern w:val="11"/>
                    </w:rPr>
                  </w:pPr>
                  <w:r>
                    <w:rPr>
                      <w:b w:val="0"/>
                      <w:bCs/>
                      <w:color w:val="auto"/>
                      <w:kern w:val="11"/>
                    </w:rPr>
                    <w:sym w:font="Wingdings 2" w:char="0052"/>
                  </w:r>
                  <w:r>
                    <w:rPr>
                      <w:b w:val="0"/>
                      <w:bCs/>
                      <w:color w:val="auto"/>
                      <w:kern w:val="11"/>
                    </w:rPr>
                    <w:t>是</w:t>
                  </w:r>
                </w:p>
                <w:p w14:paraId="2FE75C27">
                  <w:pPr>
                    <w:pStyle w:val="87"/>
                    <w:rPr>
                      <w:rFonts w:hint="eastAsia"/>
                      <w:b w:val="0"/>
                      <w:bCs/>
                      <w:color w:val="auto"/>
                    </w:rPr>
                  </w:pPr>
                  <w:r>
                    <w:rPr>
                      <w:b w:val="0"/>
                      <w:bCs/>
                      <w:color w:val="auto"/>
                      <w:kern w:val="11"/>
                    </w:rPr>
                    <w:sym w:font="Wingdings 2" w:char="00A3"/>
                  </w:r>
                  <w:r>
                    <w:rPr>
                      <w:rFonts w:hint="eastAsia"/>
                      <w:b w:val="0"/>
                      <w:bCs/>
                      <w:color w:val="auto"/>
                      <w:kern w:val="11"/>
                    </w:rPr>
                    <w:t>否</w:t>
                  </w:r>
                </w:p>
              </w:tc>
              <w:tc>
                <w:tcPr>
                  <w:tcW w:w="394" w:type="pct"/>
                  <w:vMerge w:val="restart"/>
                  <w:vAlign w:val="center"/>
                </w:tcPr>
                <w:p w14:paraId="59C71B02">
                  <w:pPr>
                    <w:pStyle w:val="87"/>
                    <w:rPr>
                      <w:rFonts w:hint="eastAsia"/>
                      <w:b w:val="0"/>
                      <w:bCs/>
                      <w:color w:val="auto"/>
                    </w:rPr>
                  </w:pPr>
                  <w:r>
                    <w:rPr>
                      <w:rFonts w:hint="eastAsia"/>
                      <w:b w:val="0"/>
                      <w:bCs/>
                      <w:color w:val="auto"/>
                      <w:kern w:val="11"/>
                    </w:rPr>
                    <w:t>一般排放口</w:t>
                  </w:r>
                </w:p>
              </w:tc>
            </w:tr>
            <w:tr w14:paraId="38DC7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Merge w:val="continue"/>
                  <w:vAlign w:val="center"/>
                </w:tcPr>
                <w:p w14:paraId="06D00AD2">
                  <w:pPr>
                    <w:pStyle w:val="87"/>
                    <w:rPr>
                      <w:rFonts w:hint="eastAsia"/>
                      <w:b w:val="0"/>
                      <w:bCs/>
                      <w:color w:val="auto"/>
                    </w:rPr>
                  </w:pPr>
                </w:p>
              </w:tc>
              <w:tc>
                <w:tcPr>
                  <w:tcW w:w="475" w:type="pct"/>
                  <w:vMerge w:val="continue"/>
                  <w:vAlign w:val="center"/>
                </w:tcPr>
                <w:p w14:paraId="763BD987">
                  <w:pPr>
                    <w:pStyle w:val="87"/>
                    <w:rPr>
                      <w:rFonts w:hint="eastAsia"/>
                      <w:b w:val="0"/>
                      <w:bCs/>
                      <w:color w:val="auto"/>
                    </w:rPr>
                  </w:pPr>
                </w:p>
              </w:tc>
              <w:tc>
                <w:tcPr>
                  <w:tcW w:w="751" w:type="pct"/>
                  <w:vAlign w:val="center"/>
                </w:tcPr>
                <w:p w14:paraId="7114F591">
                  <w:pPr>
                    <w:pStyle w:val="87"/>
                    <w:rPr>
                      <w:rFonts w:hint="eastAsia"/>
                      <w:b w:val="0"/>
                      <w:bCs/>
                      <w:color w:val="auto"/>
                    </w:rPr>
                  </w:pPr>
                  <w:r>
                    <w:rPr>
                      <w:rFonts w:hint="eastAsia"/>
                      <w:b w:val="0"/>
                      <w:bCs/>
                      <w:color w:val="auto"/>
                    </w:rPr>
                    <w:t>烘烤柜炉</w:t>
                  </w:r>
                </w:p>
              </w:tc>
              <w:tc>
                <w:tcPr>
                  <w:tcW w:w="409" w:type="pct"/>
                  <w:vAlign w:val="center"/>
                </w:tcPr>
                <w:p w14:paraId="4C1DC0AC">
                  <w:pPr>
                    <w:pStyle w:val="87"/>
                    <w:rPr>
                      <w:rFonts w:hint="eastAsia"/>
                      <w:b w:val="0"/>
                      <w:bCs/>
                      <w:color w:val="auto"/>
                    </w:rPr>
                  </w:pPr>
                  <w:r>
                    <w:rPr>
                      <w:rFonts w:hint="eastAsia"/>
                      <w:b w:val="0"/>
                      <w:bCs/>
                      <w:color w:val="auto"/>
                    </w:rPr>
                    <w:t>烘烤</w:t>
                  </w:r>
                </w:p>
              </w:tc>
              <w:tc>
                <w:tcPr>
                  <w:tcW w:w="810" w:type="pct"/>
                  <w:vAlign w:val="center"/>
                </w:tcPr>
                <w:p w14:paraId="2C757036">
                  <w:pPr>
                    <w:pStyle w:val="87"/>
                    <w:rPr>
                      <w:rFonts w:hint="eastAsia"/>
                      <w:b w:val="0"/>
                      <w:bCs/>
                      <w:color w:val="auto"/>
                    </w:rPr>
                  </w:pPr>
                  <w:r>
                    <w:rPr>
                      <w:rFonts w:hint="eastAsia"/>
                      <w:b w:val="0"/>
                      <w:bCs/>
                      <w:color w:val="auto"/>
                      <w:kern w:val="11"/>
                    </w:rPr>
                    <w:t>TVOC、臭气浓度</w:t>
                  </w:r>
                </w:p>
              </w:tc>
              <w:tc>
                <w:tcPr>
                  <w:tcW w:w="399" w:type="pct"/>
                  <w:vMerge w:val="continue"/>
                  <w:vAlign w:val="center"/>
                </w:tcPr>
                <w:p w14:paraId="305E8669">
                  <w:pPr>
                    <w:pStyle w:val="87"/>
                    <w:rPr>
                      <w:rFonts w:hint="eastAsia"/>
                      <w:b w:val="0"/>
                      <w:bCs/>
                      <w:color w:val="auto"/>
                    </w:rPr>
                  </w:pPr>
                </w:p>
              </w:tc>
              <w:tc>
                <w:tcPr>
                  <w:tcW w:w="770" w:type="pct"/>
                  <w:vMerge w:val="continue"/>
                  <w:vAlign w:val="center"/>
                </w:tcPr>
                <w:p w14:paraId="355725DD">
                  <w:pPr>
                    <w:pStyle w:val="87"/>
                    <w:rPr>
                      <w:rFonts w:hint="eastAsia"/>
                      <w:b w:val="0"/>
                      <w:bCs/>
                      <w:color w:val="auto"/>
                    </w:rPr>
                  </w:pPr>
                </w:p>
              </w:tc>
              <w:tc>
                <w:tcPr>
                  <w:tcW w:w="606" w:type="pct"/>
                  <w:vMerge w:val="continue"/>
                  <w:vAlign w:val="center"/>
                </w:tcPr>
                <w:p w14:paraId="6B546035">
                  <w:pPr>
                    <w:pStyle w:val="87"/>
                    <w:rPr>
                      <w:rFonts w:hint="eastAsia"/>
                      <w:b w:val="0"/>
                      <w:bCs/>
                      <w:color w:val="auto"/>
                    </w:rPr>
                  </w:pPr>
                </w:p>
              </w:tc>
              <w:tc>
                <w:tcPr>
                  <w:tcW w:w="394" w:type="pct"/>
                  <w:vMerge w:val="continue"/>
                  <w:vAlign w:val="center"/>
                </w:tcPr>
                <w:p w14:paraId="1EFBB1B0">
                  <w:pPr>
                    <w:pStyle w:val="87"/>
                    <w:rPr>
                      <w:rFonts w:hint="eastAsia"/>
                      <w:b w:val="0"/>
                      <w:bCs/>
                      <w:color w:val="auto"/>
                    </w:rPr>
                  </w:pPr>
                </w:p>
              </w:tc>
            </w:tr>
            <w:tr w14:paraId="51468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383" w:type="pct"/>
                  <w:vMerge w:val="continue"/>
                  <w:vAlign w:val="center"/>
                </w:tcPr>
                <w:p w14:paraId="7DDDE0F7">
                  <w:pPr>
                    <w:pStyle w:val="87"/>
                    <w:rPr>
                      <w:rFonts w:hint="eastAsia"/>
                      <w:color w:val="auto"/>
                    </w:rPr>
                  </w:pPr>
                </w:p>
              </w:tc>
              <w:tc>
                <w:tcPr>
                  <w:tcW w:w="475" w:type="pct"/>
                  <w:vMerge w:val="continue"/>
                  <w:vAlign w:val="center"/>
                </w:tcPr>
                <w:p w14:paraId="440C4ECE">
                  <w:pPr>
                    <w:pStyle w:val="87"/>
                    <w:rPr>
                      <w:rFonts w:hint="eastAsia"/>
                      <w:color w:val="auto"/>
                    </w:rPr>
                  </w:pPr>
                </w:p>
              </w:tc>
              <w:tc>
                <w:tcPr>
                  <w:tcW w:w="751" w:type="pct"/>
                  <w:vAlign w:val="center"/>
                </w:tcPr>
                <w:p w14:paraId="2737FE0B">
                  <w:pPr>
                    <w:pStyle w:val="87"/>
                    <w:rPr>
                      <w:rFonts w:hint="eastAsia"/>
                      <w:b w:val="0"/>
                      <w:bCs/>
                      <w:color w:val="auto"/>
                    </w:rPr>
                  </w:pPr>
                  <w:r>
                    <w:rPr>
                      <w:rFonts w:hint="eastAsia"/>
                      <w:b w:val="0"/>
                      <w:bCs/>
                      <w:color w:val="auto"/>
                    </w:rPr>
                    <w:t>燃烧机</w:t>
                  </w:r>
                </w:p>
              </w:tc>
              <w:tc>
                <w:tcPr>
                  <w:tcW w:w="409" w:type="pct"/>
                  <w:vAlign w:val="center"/>
                </w:tcPr>
                <w:p w14:paraId="2A19B13B">
                  <w:pPr>
                    <w:pStyle w:val="87"/>
                    <w:rPr>
                      <w:rFonts w:hint="eastAsia"/>
                      <w:b w:val="0"/>
                      <w:bCs/>
                      <w:color w:val="auto"/>
                    </w:rPr>
                  </w:pPr>
                  <w:r>
                    <w:rPr>
                      <w:rFonts w:hint="eastAsia"/>
                      <w:b w:val="0"/>
                      <w:bCs/>
                      <w:color w:val="auto"/>
                    </w:rPr>
                    <w:t>燃烧</w:t>
                  </w:r>
                </w:p>
              </w:tc>
              <w:tc>
                <w:tcPr>
                  <w:tcW w:w="810" w:type="pct"/>
                  <w:vAlign w:val="center"/>
                </w:tcPr>
                <w:p w14:paraId="36B0F7FB">
                  <w:pPr>
                    <w:pStyle w:val="87"/>
                    <w:rPr>
                      <w:rFonts w:hint="eastAsia"/>
                      <w:b w:val="0"/>
                      <w:bCs/>
                      <w:color w:val="auto"/>
                    </w:rPr>
                  </w:pPr>
                  <w:r>
                    <w:rPr>
                      <w:rFonts w:hint="eastAsia"/>
                      <w:b w:val="0"/>
                      <w:bCs/>
                      <w:color w:val="auto"/>
                      <w:kern w:val="11"/>
                    </w:rPr>
                    <w:t>颗粒物、氮氧化物、二氧化硫</w:t>
                  </w:r>
                </w:p>
              </w:tc>
              <w:tc>
                <w:tcPr>
                  <w:tcW w:w="399" w:type="pct"/>
                  <w:vMerge w:val="continue"/>
                  <w:vAlign w:val="center"/>
                </w:tcPr>
                <w:p w14:paraId="3E261FF7">
                  <w:pPr>
                    <w:pStyle w:val="87"/>
                    <w:rPr>
                      <w:rFonts w:hint="eastAsia"/>
                      <w:b w:val="0"/>
                      <w:bCs/>
                      <w:color w:val="auto"/>
                    </w:rPr>
                  </w:pPr>
                </w:p>
              </w:tc>
              <w:tc>
                <w:tcPr>
                  <w:tcW w:w="770" w:type="pct"/>
                  <w:vAlign w:val="center"/>
                </w:tcPr>
                <w:p w14:paraId="57A52105">
                  <w:pPr>
                    <w:pStyle w:val="87"/>
                    <w:rPr>
                      <w:rFonts w:hint="eastAsia"/>
                      <w:b w:val="0"/>
                      <w:bCs/>
                      <w:color w:val="auto"/>
                    </w:rPr>
                  </w:pPr>
                  <w:r>
                    <w:rPr>
                      <w:rFonts w:hint="eastAsia"/>
                      <w:b w:val="0"/>
                      <w:bCs/>
                      <w:color w:val="auto"/>
                    </w:rPr>
                    <w:t>低氮燃烧器</w:t>
                  </w:r>
                </w:p>
              </w:tc>
              <w:tc>
                <w:tcPr>
                  <w:tcW w:w="606" w:type="pct"/>
                  <w:vAlign w:val="center"/>
                </w:tcPr>
                <w:p w14:paraId="74F091EF">
                  <w:pPr>
                    <w:pStyle w:val="87"/>
                    <w:rPr>
                      <w:rFonts w:hint="eastAsia"/>
                      <w:b w:val="0"/>
                      <w:bCs/>
                      <w:color w:val="auto"/>
                      <w:kern w:val="11"/>
                    </w:rPr>
                  </w:pPr>
                  <w:r>
                    <w:rPr>
                      <w:b w:val="0"/>
                      <w:bCs/>
                      <w:color w:val="auto"/>
                      <w:kern w:val="11"/>
                    </w:rPr>
                    <w:sym w:font="Wingdings 2" w:char="0052"/>
                  </w:r>
                  <w:r>
                    <w:rPr>
                      <w:b w:val="0"/>
                      <w:bCs/>
                      <w:color w:val="auto"/>
                      <w:kern w:val="11"/>
                    </w:rPr>
                    <w:t>是</w:t>
                  </w:r>
                </w:p>
                <w:p w14:paraId="4C1B64DA">
                  <w:pPr>
                    <w:pStyle w:val="87"/>
                    <w:rPr>
                      <w:rFonts w:hint="eastAsia"/>
                      <w:b w:val="0"/>
                      <w:bCs/>
                      <w:color w:val="auto"/>
                    </w:rPr>
                  </w:pPr>
                  <w:r>
                    <w:rPr>
                      <w:b w:val="0"/>
                      <w:bCs/>
                      <w:color w:val="auto"/>
                      <w:kern w:val="11"/>
                    </w:rPr>
                    <w:sym w:font="Wingdings 2" w:char="00A3"/>
                  </w:r>
                  <w:r>
                    <w:rPr>
                      <w:rFonts w:hint="eastAsia"/>
                      <w:b w:val="0"/>
                      <w:bCs/>
                      <w:color w:val="auto"/>
                      <w:kern w:val="11"/>
                    </w:rPr>
                    <w:t>否</w:t>
                  </w:r>
                </w:p>
              </w:tc>
              <w:tc>
                <w:tcPr>
                  <w:tcW w:w="394" w:type="pct"/>
                  <w:vMerge w:val="continue"/>
                  <w:vAlign w:val="center"/>
                </w:tcPr>
                <w:p w14:paraId="51F8CFBE">
                  <w:pPr>
                    <w:pStyle w:val="87"/>
                    <w:rPr>
                      <w:rFonts w:hint="eastAsia"/>
                      <w:b w:val="0"/>
                      <w:bCs/>
                      <w:color w:val="auto"/>
                    </w:rPr>
                  </w:pPr>
                </w:p>
              </w:tc>
            </w:tr>
          </w:tbl>
          <w:p w14:paraId="1B0E4F80">
            <w:pPr>
              <w:adjustRightInd w:val="0"/>
              <w:snapToGrid w:val="0"/>
              <w:spacing w:line="360" w:lineRule="auto"/>
              <w:ind w:firstLine="482" w:firstLineChars="200"/>
              <w:jc w:val="left"/>
              <w:rPr>
                <w:b/>
                <w:bCs/>
                <w:color w:val="auto"/>
                <w:sz w:val="24"/>
              </w:rPr>
            </w:pPr>
            <w:r>
              <w:rPr>
                <w:rFonts w:hint="eastAsia"/>
                <w:b/>
                <w:bCs/>
                <w:color w:val="auto"/>
                <w:sz w:val="24"/>
              </w:rPr>
              <w:t>1、作业废气源强核算</w:t>
            </w:r>
          </w:p>
          <w:p w14:paraId="0F0CA7A3">
            <w:pPr>
              <w:adjustRightInd w:val="0"/>
              <w:snapToGrid w:val="0"/>
              <w:spacing w:line="360" w:lineRule="auto"/>
              <w:ind w:firstLine="482" w:firstLineChars="200"/>
              <w:jc w:val="left"/>
              <w:rPr>
                <w:b/>
                <w:bCs/>
                <w:color w:val="auto"/>
                <w:sz w:val="24"/>
              </w:rPr>
            </w:pPr>
            <w:r>
              <w:rPr>
                <w:rFonts w:hint="eastAsia"/>
                <w:b/>
                <w:bCs/>
                <w:color w:val="auto"/>
                <w:sz w:val="24"/>
              </w:rPr>
              <w:t>（1）抛丸粉尘</w:t>
            </w:r>
          </w:p>
          <w:p w14:paraId="7387CC4A">
            <w:pPr>
              <w:adjustRightInd w:val="0"/>
              <w:snapToGrid w:val="0"/>
              <w:spacing w:line="360" w:lineRule="auto"/>
              <w:ind w:firstLine="480" w:firstLineChars="200"/>
              <w:jc w:val="left"/>
              <w:rPr>
                <w:color w:val="auto"/>
                <w:sz w:val="24"/>
              </w:rPr>
            </w:pPr>
            <w:r>
              <w:rPr>
                <w:color w:val="auto"/>
                <w:sz w:val="24"/>
              </w:rPr>
              <w:t>项目抛丸工序在抛丸机密闭腔体内进行，因此抛丸机工作时无粉尘逸出，本次项目仅做定性分析。项目运营过程中定期清理抛丸机内粉尘，防止粉尘堆积</w:t>
            </w:r>
            <w:r>
              <w:rPr>
                <w:rFonts w:hint="eastAsia"/>
                <w:color w:val="auto"/>
                <w:sz w:val="24"/>
              </w:rPr>
              <w:t>。</w:t>
            </w:r>
          </w:p>
          <w:p w14:paraId="3BB515F0">
            <w:pPr>
              <w:adjustRightInd w:val="0"/>
              <w:snapToGrid w:val="0"/>
              <w:spacing w:line="360" w:lineRule="auto"/>
              <w:ind w:firstLine="482" w:firstLineChars="200"/>
              <w:jc w:val="left"/>
              <w:rPr>
                <w:b/>
                <w:bCs/>
                <w:color w:val="auto"/>
                <w:sz w:val="24"/>
              </w:rPr>
            </w:pPr>
            <w:r>
              <w:rPr>
                <w:rFonts w:hint="eastAsia"/>
                <w:b/>
                <w:bCs/>
                <w:color w:val="auto"/>
                <w:sz w:val="24"/>
              </w:rPr>
              <w:t>（2）除锈废气</w:t>
            </w:r>
          </w:p>
          <w:p w14:paraId="2D177720">
            <w:pPr>
              <w:spacing w:line="360" w:lineRule="auto"/>
              <w:ind w:firstLine="480" w:firstLineChars="200"/>
              <w:jc w:val="left"/>
              <w:rPr>
                <w:color w:val="auto"/>
                <w:sz w:val="24"/>
                <w:lang w:bidi="ar"/>
              </w:rPr>
            </w:pPr>
            <w:r>
              <w:rPr>
                <w:bCs/>
                <w:color w:val="auto"/>
                <w:sz w:val="24"/>
              </w:rPr>
              <w:t>项目</w:t>
            </w:r>
            <w:r>
              <w:rPr>
                <w:rFonts w:hint="eastAsia"/>
                <w:bCs/>
                <w:color w:val="auto"/>
                <w:sz w:val="24"/>
              </w:rPr>
              <w:t>除锈</w:t>
            </w:r>
            <w:r>
              <w:rPr>
                <w:color w:val="auto"/>
                <w:sz w:val="24"/>
                <w:szCs w:val="22"/>
                <w:lang w:bidi="ar"/>
              </w:rPr>
              <w:t>工序使用到硫酸，槽液浓度为1</w:t>
            </w:r>
            <w:r>
              <w:rPr>
                <w:rFonts w:hint="eastAsia"/>
                <w:color w:val="auto"/>
                <w:sz w:val="24"/>
                <w:szCs w:val="22"/>
                <w:lang w:bidi="ar"/>
              </w:rPr>
              <w:t>0</w:t>
            </w:r>
            <w:r>
              <w:rPr>
                <w:color w:val="auto"/>
                <w:sz w:val="24"/>
                <w:szCs w:val="22"/>
                <w:lang w:bidi="ar"/>
              </w:rPr>
              <w:t>%，参照</w:t>
            </w:r>
            <w:r>
              <w:rPr>
                <w:color w:val="auto"/>
                <w:sz w:val="24"/>
                <w:lang w:bidi="ar"/>
              </w:rPr>
              <w:t>《污染源源强核算技术指南 电镀》（HJ984-2018）表B.1硫酸雾产生量25.2g/m</w:t>
            </w:r>
            <w:r>
              <w:rPr>
                <w:color w:val="auto"/>
                <w:sz w:val="24"/>
                <w:vertAlign w:val="superscript"/>
                <w:lang w:bidi="ar"/>
              </w:rPr>
              <w:t>2</w:t>
            </w:r>
            <w:r>
              <w:rPr>
                <w:color w:val="auto"/>
                <w:sz w:val="24"/>
                <w:lang w:bidi="ar"/>
              </w:rPr>
              <w:t>·h的适用范围，在质量浓度大于100g/L的硫酸中浸蚀、抛光、硫酸阳极氧化，在稀而热的硫酸中浸蚀、抛光，在浓硫酸中退镍、退铜、退银等</w:t>
            </w:r>
            <w:r>
              <w:rPr>
                <w:color w:val="auto"/>
                <w:sz w:val="24"/>
                <w:szCs w:val="22"/>
                <w:lang w:bidi="ar"/>
              </w:rPr>
              <w:t>。本项目硫酸质量百分浓度为1</w:t>
            </w:r>
            <w:r>
              <w:rPr>
                <w:rFonts w:hint="eastAsia"/>
                <w:color w:val="auto"/>
                <w:sz w:val="24"/>
                <w:szCs w:val="22"/>
                <w:lang w:bidi="ar"/>
              </w:rPr>
              <w:t>0</w:t>
            </w:r>
            <w:r>
              <w:rPr>
                <w:color w:val="auto"/>
                <w:sz w:val="24"/>
                <w:szCs w:val="22"/>
                <w:lang w:bidi="ar"/>
              </w:rPr>
              <w:t>%，</w:t>
            </w:r>
            <w:r>
              <w:rPr>
                <w:color w:val="auto"/>
                <w:sz w:val="24"/>
                <w:lang w:bidi="ar"/>
              </w:rPr>
              <w:t>参考《污染源源强核算技术指南 电镀》（HJ984-2018）硫酸雾产生量可按照下列公式计算：</w:t>
            </w:r>
          </w:p>
          <w:p w14:paraId="7841BF6B">
            <w:pPr>
              <w:spacing w:line="360" w:lineRule="auto"/>
              <w:ind w:firstLine="2160" w:firstLineChars="900"/>
              <w:jc w:val="left"/>
              <w:rPr>
                <w:color w:val="auto"/>
                <w:sz w:val="24"/>
                <w:vertAlign w:val="superscript"/>
                <w:lang w:bidi="ar"/>
              </w:rPr>
            </w:pPr>
            <w:r>
              <w:rPr>
                <w:color w:val="auto"/>
                <w:sz w:val="24"/>
                <w:lang w:bidi="ar"/>
              </w:rPr>
              <w:t>D=Gs×A×t×10</w:t>
            </w:r>
            <w:r>
              <w:rPr>
                <w:color w:val="auto"/>
                <w:sz w:val="24"/>
                <w:vertAlign w:val="superscript"/>
                <w:lang w:bidi="ar"/>
              </w:rPr>
              <w:t>-6</w:t>
            </w:r>
          </w:p>
          <w:p w14:paraId="0D595FF0">
            <w:pPr>
              <w:spacing w:line="360" w:lineRule="auto"/>
              <w:ind w:firstLine="480" w:firstLineChars="200"/>
              <w:jc w:val="left"/>
              <w:rPr>
                <w:color w:val="auto"/>
                <w:sz w:val="24"/>
                <w:lang w:bidi="ar"/>
              </w:rPr>
            </w:pPr>
            <w:r>
              <w:rPr>
                <w:color w:val="auto"/>
                <w:sz w:val="24"/>
                <w:lang w:bidi="ar"/>
              </w:rPr>
              <w:t>Gs--单位镀槽液面面积单位时间废气污染物产生量，g/（m</w:t>
            </w:r>
            <w:r>
              <w:rPr>
                <w:color w:val="auto"/>
                <w:sz w:val="24"/>
                <w:vertAlign w:val="superscript"/>
                <w:lang w:bidi="ar"/>
              </w:rPr>
              <w:t>2</w:t>
            </w:r>
            <w:r>
              <w:rPr>
                <w:color w:val="auto"/>
                <w:sz w:val="24"/>
                <w:lang w:bidi="ar"/>
              </w:rPr>
              <w:t>·h），本项目为25.2g/m</w:t>
            </w:r>
            <w:r>
              <w:rPr>
                <w:color w:val="auto"/>
                <w:sz w:val="24"/>
                <w:vertAlign w:val="superscript"/>
                <w:lang w:bidi="ar"/>
              </w:rPr>
              <w:t>2</w:t>
            </w:r>
            <w:r>
              <w:rPr>
                <w:color w:val="auto"/>
                <w:sz w:val="24"/>
                <w:lang w:bidi="ar"/>
              </w:rPr>
              <w:t>·h；</w:t>
            </w:r>
          </w:p>
          <w:p w14:paraId="38C23B9A">
            <w:pPr>
              <w:spacing w:line="360" w:lineRule="auto"/>
              <w:ind w:firstLine="480" w:firstLineChars="200"/>
              <w:jc w:val="left"/>
              <w:rPr>
                <w:color w:val="auto"/>
                <w:sz w:val="24"/>
                <w:lang w:bidi="ar"/>
              </w:rPr>
            </w:pPr>
            <w:r>
              <w:rPr>
                <w:color w:val="auto"/>
                <w:sz w:val="24"/>
                <w:lang w:bidi="ar"/>
              </w:rPr>
              <w:t>A--渡槽液面面积，m</w:t>
            </w:r>
            <w:r>
              <w:rPr>
                <w:color w:val="auto"/>
                <w:sz w:val="24"/>
                <w:vertAlign w:val="superscript"/>
                <w:lang w:bidi="ar"/>
              </w:rPr>
              <w:t>2</w:t>
            </w:r>
            <w:r>
              <w:rPr>
                <w:color w:val="auto"/>
                <w:sz w:val="24"/>
                <w:lang w:bidi="ar"/>
              </w:rPr>
              <w:t>；本项目酸洗槽</w:t>
            </w:r>
            <w:r>
              <w:rPr>
                <w:rFonts w:hint="eastAsia"/>
                <w:color w:val="auto"/>
                <w:sz w:val="24"/>
                <w:lang w:bidi="ar"/>
              </w:rPr>
              <w:t>2.4</w:t>
            </w:r>
            <w:r>
              <w:rPr>
                <w:color w:val="auto"/>
                <w:sz w:val="24"/>
                <w:lang w:bidi="ar"/>
              </w:rPr>
              <w:t>×</w:t>
            </w:r>
            <w:r>
              <w:rPr>
                <w:rFonts w:hint="eastAsia"/>
                <w:color w:val="auto"/>
                <w:sz w:val="24"/>
                <w:lang w:bidi="ar"/>
              </w:rPr>
              <w:t>1.4</w:t>
            </w:r>
            <w:r>
              <w:rPr>
                <w:color w:val="auto"/>
                <w:sz w:val="24"/>
                <w:lang w:bidi="ar"/>
              </w:rPr>
              <w:t>×</w:t>
            </w:r>
            <w:r>
              <w:rPr>
                <w:rFonts w:hint="eastAsia"/>
                <w:color w:val="auto"/>
                <w:sz w:val="24"/>
                <w:lang w:bidi="ar"/>
              </w:rPr>
              <w:t>1.4</w:t>
            </w:r>
            <w:r>
              <w:rPr>
                <w:color w:val="auto"/>
                <w:sz w:val="24"/>
                <w:lang w:bidi="ar"/>
              </w:rPr>
              <w:t>，则单个酸洗槽液面面积为</w:t>
            </w:r>
            <w:r>
              <w:rPr>
                <w:rFonts w:hint="eastAsia"/>
                <w:color w:val="auto"/>
                <w:sz w:val="24"/>
                <w:lang w:bidi="ar"/>
              </w:rPr>
              <w:t>3.36</w:t>
            </w:r>
            <w:r>
              <w:rPr>
                <w:color w:val="auto"/>
                <w:sz w:val="24"/>
                <w:lang w:bidi="ar"/>
              </w:rPr>
              <w:t>m</w:t>
            </w:r>
            <w:r>
              <w:rPr>
                <w:color w:val="auto"/>
                <w:sz w:val="24"/>
                <w:vertAlign w:val="superscript"/>
                <w:lang w:bidi="ar"/>
              </w:rPr>
              <w:t>2</w:t>
            </w:r>
            <w:r>
              <w:rPr>
                <w:color w:val="auto"/>
                <w:sz w:val="24"/>
                <w:lang w:bidi="ar"/>
              </w:rPr>
              <w:t>；</w:t>
            </w:r>
          </w:p>
          <w:p w14:paraId="0E754C61">
            <w:pPr>
              <w:spacing w:line="360" w:lineRule="auto"/>
              <w:ind w:firstLine="480" w:firstLineChars="200"/>
              <w:jc w:val="left"/>
              <w:rPr>
                <w:color w:val="auto"/>
                <w:sz w:val="24"/>
                <w:lang w:bidi="ar"/>
              </w:rPr>
            </w:pPr>
            <w:r>
              <w:rPr>
                <w:color w:val="auto"/>
                <w:sz w:val="24"/>
                <w:lang w:bidi="ar"/>
              </w:rPr>
              <w:t>t--核算时间段内污染物产生时间，h，</w:t>
            </w:r>
            <w:r>
              <w:rPr>
                <w:rFonts w:hint="eastAsia"/>
                <w:color w:val="auto"/>
                <w:sz w:val="24"/>
                <w:lang w:bidi="ar"/>
              </w:rPr>
              <w:t>根据表2-7，碳钢产品的加工</w:t>
            </w:r>
            <w:r>
              <w:rPr>
                <w:color w:val="auto"/>
                <w:sz w:val="24"/>
                <w:lang w:bidi="ar"/>
              </w:rPr>
              <w:t>时间为</w:t>
            </w:r>
            <w:r>
              <w:rPr>
                <w:rFonts w:hint="eastAsia"/>
                <w:color w:val="auto"/>
                <w:sz w:val="24"/>
                <w:lang w:bidi="ar"/>
              </w:rPr>
              <w:t>10</w:t>
            </w:r>
            <w:r>
              <w:rPr>
                <w:color w:val="auto"/>
                <w:sz w:val="24"/>
                <w:lang w:bidi="ar"/>
              </w:rPr>
              <w:t>h</w:t>
            </w:r>
            <w:r>
              <w:rPr>
                <w:rFonts w:hint="eastAsia"/>
                <w:color w:val="auto"/>
                <w:sz w:val="24"/>
                <w:lang w:bidi="ar"/>
              </w:rPr>
              <w:t>/d，210d/a，即2100h</w:t>
            </w:r>
            <w:r>
              <w:rPr>
                <w:color w:val="auto"/>
                <w:sz w:val="24"/>
                <w:lang w:bidi="ar"/>
              </w:rPr>
              <w:t>；</w:t>
            </w:r>
          </w:p>
          <w:p w14:paraId="44FFD904">
            <w:pPr>
              <w:spacing w:line="360" w:lineRule="auto"/>
              <w:ind w:firstLine="480" w:firstLineChars="200"/>
              <w:jc w:val="left"/>
              <w:rPr>
                <w:color w:val="auto"/>
                <w:sz w:val="24"/>
                <w:lang w:bidi="ar"/>
              </w:rPr>
            </w:pPr>
            <w:r>
              <w:rPr>
                <w:color w:val="auto"/>
                <w:sz w:val="24"/>
                <w:lang w:bidi="ar"/>
              </w:rPr>
              <w:t>D--核算时间段内污染物产生量，t</w:t>
            </w:r>
          </w:p>
          <w:p w14:paraId="263535A3">
            <w:pPr>
              <w:widowControl/>
              <w:adjustRightInd w:val="0"/>
              <w:spacing w:line="360" w:lineRule="auto"/>
              <w:ind w:firstLine="480" w:firstLineChars="200"/>
              <w:jc w:val="left"/>
              <w:rPr>
                <w:b/>
                <w:color w:val="auto"/>
                <w:sz w:val="24"/>
              </w:rPr>
            </w:pPr>
            <w:r>
              <w:rPr>
                <w:color w:val="auto"/>
                <w:sz w:val="24"/>
                <w:lang w:bidi="ar"/>
              </w:rPr>
              <w:t>通过以上参数核算出硫酸雾的产生量D=25.2×</w:t>
            </w:r>
            <w:r>
              <w:rPr>
                <w:rFonts w:hint="eastAsia"/>
                <w:color w:val="auto"/>
                <w:sz w:val="24"/>
                <w:lang w:bidi="ar"/>
              </w:rPr>
              <w:t>3.36</w:t>
            </w:r>
            <w:r>
              <w:rPr>
                <w:color w:val="auto"/>
                <w:sz w:val="24"/>
                <w:lang w:bidi="ar"/>
              </w:rPr>
              <w:t>×</w:t>
            </w:r>
            <w:r>
              <w:rPr>
                <w:rFonts w:hint="eastAsia"/>
                <w:color w:val="auto"/>
                <w:sz w:val="24"/>
                <w:lang w:bidi="ar"/>
              </w:rPr>
              <w:t>21</w:t>
            </w:r>
            <w:r>
              <w:rPr>
                <w:color w:val="auto"/>
                <w:sz w:val="24"/>
                <w:lang w:bidi="ar"/>
              </w:rPr>
              <w:t>00×10</w:t>
            </w:r>
            <w:r>
              <w:rPr>
                <w:color w:val="auto"/>
                <w:sz w:val="24"/>
                <w:vertAlign w:val="superscript"/>
                <w:lang w:bidi="ar"/>
              </w:rPr>
              <w:t>-6</w:t>
            </w:r>
            <w:r>
              <w:rPr>
                <w:color w:val="auto"/>
                <w:sz w:val="24"/>
                <w:lang w:bidi="ar"/>
              </w:rPr>
              <w:t>=</w:t>
            </w:r>
            <w:r>
              <w:rPr>
                <w:rFonts w:hint="eastAsia"/>
                <w:color w:val="auto"/>
                <w:sz w:val="24"/>
                <w:lang w:bidi="ar"/>
              </w:rPr>
              <w:t>0.178</w:t>
            </w:r>
            <w:r>
              <w:rPr>
                <w:color w:val="auto"/>
                <w:sz w:val="24"/>
                <w:lang w:bidi="ar"/>
              </w:rPr>
              <w:t>t/a</w:t>
            </w:r>
            <w:r>
              <w:rPr>
                <w:rFonts w:hint="eastAsia"/>
                <w:color w:val="auto"/>
                <w:sz w:val="24"/>
                <w:lang w:bidi="ar"/>
              </w:rPr>
              <w:t>，产生速率为0.0848kg/h</w:t>
            </w:r>
            <w:r>
              <w:rPr>
                <w:color w:val="auto"/>
                <w:sz w:val="24"/>
                <w:lang w:bidi="ar"/>
              </w:rPr>
              <w:t>。</w:t>
            </w:r>
          </w:p>
          <w:p w14:paraId="6257771E">
            <w:pPr>
              <w:adjustRightInd w:val="0"/>
              <w:snapToGrid w:val="0"/>
              <w:spacing w:line="360" w:lineRule="auto"/>
              <w:ind w:firstLine="482" w:firstLineChars="200"/>
              <w:jc w:val="left"/>
              <w:rPr>
                <w:b/>
                <w:bCs/>
                <w:color w:val="auto"/>
                <w:sz w:val="24"/>
              </w:rPr>
            </w:pPr>
            <w:r>
              <w:rPr>
                <w:rFonts w:hint="eastAsia"/>
                <w:b/>
                <w:bCs/>
                <w:color w:val="auto"/>
                <w:sz w:val="24"/>
              </w:rPr>
              <w:t>（3）打磨粉尘</w:t>
            </w:r>
          </w:p>
          <w:p w14:paraId="5081AFFC">
            <w:pPr>
              <w:adjustRightInd w:val="0"/>
              <w:snapToGrid w:val="0"/>
              <w:spacing w:line="360" w:lineRule="auto"/>
              <w:ind w:firstLine="480" w:firstLineChars="200"/>
              <w:jc w:val="left"/>
              <w:rPr>
                <w:b/>
                <w:bCs/>
                <w:color w:val="auto"/>
                <w:sz w:val="24"/>
              </w:rPr>
            </w:pPr>
            <w:r>
              <w:rPr>
                <w:rFonts w:hint="eastAsia"/>
                <w:color w:val="auto"/>
                <w:sz w:val="24"/>
              </w:rPr>
              <w:t>项目使用打砂机、气动打磨机对工件进行表面打磨去毛刺，此过程会产生少量金属粉尘。参照《排放源统计调查产排污核算办法和系数手册》中“机械行业系数手册”中“06 预处理-抛丸、喷砂、打磨、 滚筒工艺”，打磨工序颗粒物产污系数按2.19千克/吨-原料计。项目采用气动打磨机处理碳钢毛坯件，根据建设单位提供，加工量约占投用原料量的10%，投用碳钢毛坯件量合计1647t/a，加工时间为10h/d，300d/a，因此此部分废气产生量为0.361t/a，0.12kg/h。项目采用打砂机处理不合格品，根据建设单位提供，加工量约占投用产品产能的5%，投用碳钢毛坯件量合计1944t/a，加工时间为10h/d，300d/a，因此此部分废气产生量为0.213t/a，0.071kg/h。综上，打磨粉尘产生量为0.574t/a，0.191kg/h。</w:t>
            </w:r>
          </w:p>
          <w:p w14:paraId="1A493A94">
            <w:pPr>
              <w:adjustRightInd w:val="0"/>
              <w:snapToGrid w:val="0"/>
              <w:spacing w:line="360" w:lineRule="auto"/>
              <w:ind w:firstLine="480" w:firstLineChars="200"/>
              <w:jc w:val="left"/>
              <w:rPr>
                <w:color w:val="auto"/>
                <w:sz w:val="24"/>
              </w:rPr>
            </w:pPr>
            <w:r>
              <w:rPr>
                <w:rFonts w:hint="eastAsia"/>
                <w:color w:val="auto"/>
                <w:sz w:val="24"/>
              </w:rPr>
              <w:t>由于金属粉尘比重较大，自然沉降较快，影响范围主要集中在机械设备附近，即影响范围较小，基本上全部集中于车间内排放。根据《未纳入排污许可管理行业适用的排污系数、物料衡算方法(试行)》(原环境保护部公告2017年第81号)中“47锯材加工业”的系数，车间不装除尘设备的情况下，重力沉降法的效率约为85%。金属比重大于木材，项目的打磨过程产生的金属粉尘较木质粉尘更易沉降，沉降率按85%计，15%金属粉尘扩散在大气环境中，则打磨粉尘的扩散量为0.0861t/a，扩散速率为0.0287kg/h。此类废气呈无组织排放。</w:t>
            </w:r>
          </w:p>
          <w:p w14:paraId="0659060D">
            <w:pPr>
              <w:adjustRightInd w:val="0"/>
              <w:snapToGrid w:val="0"/>
              <w:spacing w:line="360" w:lineRule="auto"/>
              <w:ind w:firstLine="482" w:firstLineChars="200"/>
              <w:jc w:val="left"/>
              <w:rPr>
                <w:b/>
                <w:bCs/>
                <w:color w:val="auto"/>
                <w:sz w:val="24"/>
              </w:rPr>
            </w:pPr>
            <w:r>
              <w:rPr>
                <w:rFonts w:hint="eastAsia"/>
                <w:b/>
                <w:bCs/>
                <w:color w:val="auto"/>
                <w:sz w:val="24"/>
              </w:rPr>
              <w:t>（4）喷粉粉尘</w:t>
            </w:r>
          </w:p>
          <w:p w14:paraId="2049E2BD">
            <w:pPr>
              <w:adjustRightInd w:val="0"/>
              <w:snapToGrid w:val="0"/>
              <w:spacing w:line="360" w:lineRule="auto"/>
              <w:ind w:firstLine="480" w:firstLineChars="200"/>
              <w:jc w:val="left"/>
              <w:rPr>
                <w:color w:val="auto"/>
                <w:sz w:val="24"/>
              </w:rPr>
            </w:pPr>
            <w:r>
              <w:rPr>
                <w:rFonts w:hint="eastAsia"/>
                <w:color w:val="auto"/>
                <w:sz w:val="24"/>
              </w:rPr>
              <w:t>项目碳钢毛坯件均需进行喷粉处理，塑粉在喷涂过程中存在未能成功附着的塑粉形成粉尘，主要污染物为颗粒物。根据《金属静电粉末喷涂清洁生产途径探讨》（黄冬梅等．环境科学与管理，2007 年，第 23 卷第 7 期），在粉末喷涂过程中，工件的上粉率约为50%～70%，考虑到项目使用静电喷粉，静电喷粉过程中粉体的附着率较高，上粉率取70%，即喷粉过程中粉末涂料有30%会形成粉尘。项目粉末涂料使用量为14t/a，则喷涂粉尘产生量为4.2t/a，年工作时间300天，每天工作10小时，则产生速率为1.4kg/h。</w:t>
            </w:r>
          </w:p>
          <w:p w14:paraId="4D8C211C">
            <w:pPr>
              <w:adjustRightInd w:val="0"/>
              <w:snapToGrid w:val="0"/>
              <w:spacing w:line="360" w:lineRule="auto"/>
              <w:ind w:firstLine="482" w:firstLineChars="200"/>
              <w:jc w:val="left"/>
              <w:rPr>
                <w:b/>
                <w:bCs/>
                <w:color w:val="auto"/>
                <w:sz w:val="24"/>
              </w:rPr>
            </w:pPr>
            <w:r>
              <w:rPr>
                <w:rFonts w:hint="eastAsia"/>
                <w:b/>
                <w:bCs/>
                <w:color w:val="auto"/>
                <w:sz w:val="24"/>
              </w:rPr>
              <w:t>（5）固化废气</w:t>
            </w:r>
          </w:p>
          <w:p w14:paraId="13DF0EB5">
            <w:pPr>
              <w:adjustRightInd w:val="0"/>
              <w:snapToGrid w:val="0"/>
              <w:spacing w:line="360" w:lineRule="auto"/>
              <w:ind w:firstLine="480" w:firstLineChars="200"/>
              <w:jc w:val="left"/>
              <w:rPr>
                <w:color w:val="auto"/>
                <w:sz w:val="24"/>
              </w:rPr>
            </w:pPr>
            <w:r>
              <w:rPr>
                <w:rFonts w:hint="eastAsia"/>
                <w:color w:val="auto"/>
                <w:sz w:val="24"/>
              </w:rPr>
              <w:t>项目喷粉后需经传送链系统输送至固化隧道炉内进行加热固化，粉末涂料熔融过程会挥发一定量的有机废气，其污染因子主要为TVOC。根据建设单位提供的检验报告（编号：ST1501321）可知本项目使用的粉末涂料挥发性有机化合物（VOCs）含量，按5g/L计，根据表2-12中计算，粉末涂料的最终利用率为95%，项目粉末涂料用量为14t/a，粉末涂料密度按1.55g/cm</w:t>
            </w:r>
            <w:r>
              <w:rPr>
                <w:rFonts w:hint="eastAsia"/>
                <w:color w:val="auto"/>
                <w:sz w:val="24"/>
                <w:vertAlign w:val="superscript"/>
              </w:rPr>
              <w:t>3</w:t>
            </w:r>
            <w:r>
              <w:rPr>
                <w:rFonts w:hint="eastAsia"/>
                <w:color w:val="auto"/>
                <w:sz w:val="24"/>
              </w:rPr>
              <w:t>，则可计算出固化废气产生量为0.0429t/a，年工作时间300天，每天工作10小时，则产生速率为0.0143kg/h。</w:t>
            </w:r>
          </w:p>
          <w:p w14:paraId="6F43FFEE">
            <w:pPr>
              <w:adjustRightInd w:val="0"/>
              <w:snapToGrid w:val="0"/>
              <w:spacing w:line="360" w:lineRule="auto"/>
              <w:ind w:firstLine="482" w:firstLineChars="200"/>
              <w:jc w:val="left"/>
              <w:rPr>
                <w:b/>
                <w:bCs/>
                <w:color w:val="auto"/>
                <w:sz w:val="24"/>
              </w:rPr>
            </w:pPr>
            <w:r>
              <w:rPr>
                <w:rFonts w:hint="eastAsia"/>
                <w:b/>
                <w:bCs/>
                <w:color w:val="auto"/>
                <w:sz w:val="24"/>
              </w:rPr>
              <w:t>（6）喷漆/烘烤废气</w:t>
            </w:r>
          </w:p>
          <w:p w14:paraId="1EBE46EC">
            <w:pPr>
              <w:adjustRightInd w:val="0"/>
              <w:snapToGrid w:val="0"/>
              <w:spacing w:line="360" w:lineRule="auto"/>
              <w:ind w:firstLine="482" w:firstLineChars="200"/>
              <w:jc w:val="left"/>
              <w:rPr>
                <w:b/>
                <w:bCs/>
                <w:color w:val="auto"/>
                <w:sz w:val="24"/>
              </w:rPr>
            </w:pPr>
            <w:r>
              <w:rPr>
                <w:rFonts w:hint="eastAsia"/>
                <w:b/>
                <w:bCs/>
                <w:color w:val="auto"/>
                <w:sz w:val="24"/>
              </w:rPr>
              <w:t>1）有机废气</w:t>
            </w:r>
          </w:p>
          <w:p w14:paraId="04B39026">
            <w:pPr>
              <w:adjustRightInd w:val="0"/>
              <w:snapToGrid w:val="0"/>
              <w:spacing w:line="360" w:lineRule="auto"/>
              <w:ind w:firstLine="480" w:firstLineChars="200"/>
              <w:jc w:val="left"/>
              <w:rPr>
                <w:b/>
                <w:bCs/>
                <w:color w:val="auto"/>
                <w:sz w:val="24"/>
              </w:rPr>
            </w:pPr>
            <w:r>
              <w:rPr>
                <w:rFonts w:hint="eastAsia"/>
                <w:color w:val="auto"/>
                <w:sz w:val="24"/>
              </w:rPr>
              <w:t>项目在进行喷漆作业和涂料烘烤过程中，水性涂料中的有机成分经扩散或高温挥发形成有机废气，主要污染因子为TVOC，产污系数参考建设单位提供的检验报告（编号：ST2008474、ST2008473、ST2205725）。喷漆、烘烤过程的产污占比根据《广东省表面涂装（汽车制造业）挥发性有机化合物废气治理技术指南》，“约80-90%的VOCs在喷漆室和流平室排放，10-20%的VOCs随车身涂膜在烘干室中排放”，则喷漆工序有机废气产生量占85%，烘烤工序有机废气产生量占15%。底漆、面漆喷涂线生产时间按5h/d，300d/a计，清漆喷涂线生产时间按10h/d，300d/a计，尾数房生产时间按2h/d，300d/a计，则可计算出各污染源有机废气产生情况如下：</w:t>
            </w:r>
          </w:p>
          <w:p w14:paraId="77ADAF0F">
            <w:pPr>
              <w:pStyle w:val="77"/>
              <w:numPr>
                <w:ilvl w:val="0"/>
                <w:numId w:val="18"/>
              </w:numPr>
              <w:adjustRightInd w:val="0"/>
              <w:snapToGrid w:val="0"/>
              <w:jc w:val="center"/>
              <w:rPr>
                <w:b/>
                <w:bCs/>
                <w:color w:val="auto"/>
                <w:szCs w:val="21"/>
              </w:rPr>
            </w:pPr>
            <w:r>
              <w:rPr>
                <w:rFonts w:hint="eastAsia"/>
                <w:b/>
                <w:bCs/>
                <w:color w:val="auto"/>
                <w:szCs w:val="21"/>
              </w:rPr>
              <w:t xml:space="preserve"> 喷漆/烘烤有机废气产生情况一览表</w:t>
            </w:r>
          </w:p>
          <w:tbl>
            <w:tblPr>
              <w:tblStyle w:val="3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733"/>
              <w:gridCol w:w="1088"/>
              <w:gridCol w:w="1165"/>
              <w:gridCol w:w="943"/>
              <w:gridCol w:w="949"/>
              <w:gridCol w:w="1131"/>
              <w:gridCol w:w="774"/>
              <w:gridCol w:w="911"/>
              <w:gridCol w:w="1027"/>
              <w:gridCol w:w="1010"/>
            </w:tblGrid>
            <w:tr w14:paraId="42813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0" w:type="pct"/>
                  <w:gridSpan w:val="2"/>
                  <w:vAlign w:val="center"/>
                </w:tcPr>
                <w:p w14:paraId="5D21C790">
                  <w:pPr>
                    <w:adjustRightInd w:val="0"/>
                    <w:snapToGrid w:val="0"/>
                    <w:jc w:val="center"/>
                    <w:rPr>
                      <w:b/>
                      <w:bCs/>
                      <w:color w:val="auto"/>
                      <w:szCs w:val="21"/>
                    </w:rPr>
                  </w:pPr>
                  <w:r>
                    <w:rPr>
                      <w:rFonts w:hint="eastAsia"/>
                      <w:b/>
                      <w:bCs/>
                      <w:color w:val="auto"/>
                      <w:szCs w:val="21"/>
                    </w:rPr>
                    <w:t>污染源/工序</w:t>
                  </w:r>
                </w:p>
              </w:tc>
              <w:tc>
                <w:tcPr>
                  <w:tcW w:w="509" w:type="pct"/>
                  <w:vAlign w:val="center"/>
                </w:tcPr>
                <w:p w14:paraId="73F1B58D">
                  <w:pPr>
                    <w:adjustRightInd w:val="0"/>
                    <w:snapToGrid w:val="0"/>
                    <w:jc w:val="center"/>
                    <w:rPr>
                      <w:b/>
                      <w:bCs/>
                      <w:color w:val="auto"/>
                      <w:szCs w:val="21"/>
                    </w:rPr>
                  </w:pPr>
                  <w:r>
                    <w:rPr>
                      <w:rFonts w:hint="eastAsia"/>
                      <w:b/>
                      <w:bCs/>
                      <w:color w:val="auto"/>
                      <w:szCs w:val="21"/>
                    </w:rPr>
                    <w:t>原料种类</w:t>
                  </w:r>
                </w:p>
              </w:tc>
              <w:tc>
                <w:tcPr>
                  <w:tcW w:w="545" w:type="pct"/>
                  <w:vAlign w:val="center"/>
                </w:tcPr>
                <w:p w14:paraId="1ACEE50D">
                  <w:pPr>
                    <w:adjustRightInd w:val="0"/>
                    <w:snapToGrid w:val="0"/>
                    <w:jc w:val="center"/>
                    <w:rPr>
                      <w:b/>
                      <w:bCs/>
                      <w:color w:val="auto"/>
                      <w:szCs w:val="21"/>
                    </w:rPr>
                  </w:pPr>
                  <w:r>
                    <w:rPr>
                      <w:rFonts w:hint="eastAsia"/>
                      <w:b/>
                      <w:bCs/>
                      <w:color w:val="auto"/>
                      <w:szCs w:val="21"/>
                    </w:rPr>
                    <w:t>年使用量t/a</w:t>
                  </w:r>
                </w:p>
              </w:tc>
              <w:tc>
                <w:tcPr>
                  <w:tcW w:w="441" w:type="pct"/>
                  <w:vAlign w:val="center"/>
                </w:tcPr>
                <w:p w14:paraId="0E35DCE5">
                  <w:pPr>
                    <w:adjustRightInd w:val="0"/>
                    <w:snapToGrid w:val="0"/>
                    <w:jc w:val="center"/>
                    <w:rPr>
                      <w:b/>
                      <w:bCs/>
                      <w:color w:val="auto"/>
                      <w:szCs w:val="21"/>
                    </w:rPr>
                  </w:pPr>
                  <w:r>
                    <w:rPr>
                      <w:rFonts w:hint="eastAsia"/>
                      <w:b/>
                      <w:bCs/>
                      <w:color w:val="auto"/>
                      <w:szCs w:val="21"/>
                    </w:rPr>
                    <w:t>密度g/cm</w:t>
                  </w:r>
                  <w:r>
                    <w:rPr>
                      <w:rFonts w:hint="eastAsia"/>
                      <w:b/>
                      <w:bCs/>
                      <w:color w:val="auto"/>
                      <w:szCs w:val="21"/>
                      <w:vertAlign w:val="superscript"/>
                    </w:rPr>
                    <w:t>3</w:t>
                  </w:r>
                </w:p>
              </w:tc>
              <w:tc>
                <w:tcPr>
                  <w:tcW w:w="444" w:type="pct"/>
                  <w:vAlign w:val="center"/>
                </w:tcPr>
                <w:p w14:paraId="4368075F">
                  <w:pPr>
                    <w:adjustRightInd w:val="0"/>
                    <w:snapToGrid w:val="0"/>
                    <w:jc w:val="center"/>
                    <w:rPr>
                      <w:b/>
                      <w:bCs/>
                      <w:color w:val="auto"/>
                      <w:szCs w:val="21"/>
                    </w:rPr>
                  </w:pPr>
                  <w:r>
                    <w:rPr>
                      <w:rFonts w:hint="eastAsia"/>
                      <w:b/>
                      <w:bCs/>
                      <w:color w:val="auto"/>
                      <w:szCs w:val="21"/>
                    </w:rPr>
                    <w:t>产污</w:t>
                  </w:r>
                </w:p>
                <w:p w14:paraId="08EF9A9C">
                  <w:pPr>
                    <w:adjustRightInd w:val="0"/>
                    <w:snapToGrid w:val="0"/>
                    <w:jc w:val="center"/>
                    <w:rPr>
                      <w:b/>
                      <w:bCs/>
                      <w:color w:val="auto"/>
                      <w:szCs w:val="21"/>
                    </w:rPr>
                  </w:pPr>
                  <w:r>
                    <w:rPr>
                      <w:rFonts w:hint="eastAsia"/>
                      <w:b/>
                      <w:bCs/>
                      <w:color w:val="auto"/>
                      <w:szCs w:val="21"/>
                    </w:rPr>
                    <w:t>因子</w:t>
                  </w:r>
                </w:p>
              </w:tc>
              <w:tc>
                <w:tcPr>
                  <w:tcW w:w="529" w:type="pct"/>
                  <w:vAlign w:val="center"/>
                </w:tcPr>
                <w:p w14:paraId="6B0B1701">
                  <w:pPr>
                    <w:adjustRightInd w:val="0"/>
                    <w:snapToGrid w:val="0"/>
                    <w:jc w:val="center"/>
                    <w:rPr>
                      <w:b/>
                      <w:bCs/>
                      <w:color w:val="auto"/>
                      <w:szCs w:val="21"/>
                    </w:rPr>
                  </w:pPr>
                  <w:r>
                    <w:rPr>
                      <w:rFonts w:hint="eastAsia"/>
                      <w:b/>
                      <w:bCs/>
                      <w:color w:val="auto"/>
                      <w:szCs w:val="21"/>
                    </w:rPr>
                    <w:t>产污系数g/L</w:t>
                  </w:r>
                </w:p>
              </w:tc>
              <w:tc>
                <w:tcPr>
                  <w:tcW w:w="362" w:type="pct"/>
                  <w:vAlign w:val="center"/>
                </w:tcPr>
                <w:p w14:paraId="237E7461">
                  <w:pPr>
                    <w:adjustRightInd w:val="0"/>
                    <w:snapToGrid w:val="0"/>
                    <w:jc w:val="center"/>
                    <w:rPr>
                      <w:b/>
                      <w:bCs/>
                      <w:color w:val="auto"/>
                      <w:szCs w:val="21"/>
                    </w:rPr>
                  </w:pPr>
                  <w:r>
                    <w:rPr>
                      <w:rFonts w:hint="eastAsia"/>
                      <w:b/>
                      <w:bCs/>
                      <w:color w:val="auto"/>
                      <w:szCs w:val="21"/>
                    </w:rPr>
                    <w:t>产污占比</w:t>
                  </w:r>
                </w:p>
              </w:tc>
              <w:tc>
                <w:tcPr>
                  <w:tcW w:w="426" w:type="pct"/>
                  <w:vAlign w:val="center"/>
                </w:tcPr>
                <w:p w14:paraId="4543802F">
                  <w:pPr>
                    <w:adjustRightInd w:val="0"/>
                    <w:snapToGrid w:val="0"/>
                    <w:jc w:val="center"/>
                    <w:rPr>
                      <w:b/>
                      <w:bCs/>
                      <w:color w:val="auto"/>
                      <w:szCs w:val="21"/>
                    </w:rPr>
                  </w:pPr>
                  <w:r>
                    <w:rPr>
                      <w:rFonts w:hint="eastAsia"/>
                      <w:b/>
                      <w:bCs/>
                      <w:color w:val="auto"/>
                      <w:szCs w:val="21"/>
                    </w:rPr>
                    <w:t>工作</w:t>
                  </w:r>
                </w:p>
                <w:p w14:paraId="499967D6">
                  <w:pPr>
                    <w:adjustRightInd w:val="0"/>
                    <w:snapToGrid w:val="0"/>
                    <w:jc w:val="center"/>
                    <w:rPr>
                      <w:b/>
                      <w:bCs/>
                      <w:color w:val="auto"/>
                      <w:szCs w:val="21"/>
                    </w:rPr>
                  </w:pPr>
                  <w:r>
                    <w:rPr>
                      <w:rFonts w:hint="eastAsia"/>
                      <w:b/>
                      <w:bCs/>
                      <w:color w:val="auto"/>
                      <w:szCs w:val="21"/>
                    </w:rPr>
                    <w:t>时间</w:t>
                  </w:r>
                </w:p>
              </w:tc>
              <w:tc>
                <w:tcPr>
                  <w:tcW w:w="480" w:type="pct"/>
                  <w:vAlign w:val="center"/>
                </w:tcPr>
                <w:p w14:paraId="1D3151A3">
                  <w:pPr>
                    <w:adjustRightInd w:val="0"/>
                    <w:snapToGrid w:val="0"/>
                    <w:jc w:val="center"/>
                    <w:rPr>
                      <w:b/>
                      <w:bCs/>
                      <w:color w:val="auto"/>
                      <w:szCs w:val="21"/>
                    </w:rPr>
                  </w:pPr>
                  <w:r>
                    <w:rPr>
                      <w:rFonts w:hint="eastAsia"/>
                      <w:b/>
                      <w:bCs/>
                      <w:color w:val="auto"/>
                      <w:szCs w:val="21"/>
                    </w:rPr>
                    <w:t>废气产生量t/a</w:t>
                  </w:r>
                </w:p>
              </w:tc>
              <w:tc>
                <w:tcPr>
                  <w:tcW w:w="472" w:type="pct"/>
                  <w:vAlign w:val="center"/>
                </w:tcPr>
                <w:p w14:paraId="0815AC57">
                  <w:pPr>
                    <w:adjustRightInd w:val="0"/>
                    <w:snapToGrid w:val="0"/>
                    <w:jc w:val="center"/>
                    <w:rPr>
                      <w:b/>
                      <w:bCs/>
                      <w:color w:val="auto"/>
                      <w:szCs w:val="21"/>
                    </w:rPr>
                  </w:pPr>
                  <w:r>
                    <w:rPr>
                      <w:rFonts w:hint="eastAsia"/>
                      <w:b/>
                      <w:bCs/>
                      <w:color w:val="auto"/>
                      <w:szCs w:val="21"/>
                    </w:rPr>
                    <w:t>产生速率kg/h</w:t>
                  </w:r>
                </w:p>
              </w:tc>
            </w:tr>
            <w:tr w14:paraId="59542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restart"/>
                  <w:vAlign w:val="center"/>
                </w:tcPr>
                <w:p w14:paraId="72EAA720">
                  <w:pPr>
                    <w:adjustRightInd w:val="0"/>
                    <w:snapToGrid w:val="0"/>
                    <w:jc w:val="center"/>
                    <w:rPr>
                      <w:color w:val="auto"/>
                      <w:szCs w:val="21"/>
                    </w:rPr>
                  </w:pPr>
                  <w:r>
                    <w:rPr>
                      <w:rFonts w:hint="eastAsia"/>
                      <w:color w:val="auto"/>
                      <w:szCs w:val="21"/>
                    </w:rPr>
                    <w:t>底漆、面漆喷涂线</w:t>
                  </w:r>
                </w:p>
              </w:tc>
              <w:tc>
                <w:tcPr>
                  <w:tcW w:w="342" w:type="pct"/>
                  <w:vAlign w:val="center"/>
                </w:tcPr>
                <w:p w14:paraId="2F1A6AFD">
                  <w:pPr>
                    <w:adjustRightInd w:val="0"/>
                    <w:snapToGrid w:val="0"/>
                    <w:jc w:val="center"/>
                    <w:rPr>
                      <w:color w:val="auto"/>
                      <w:szCs w:val="21"/>
                    </w:rPr>
                  </w:pPr>
                  <w:r>
                    <w:rPr>
                      <w:rFonts w:hint="eastAsia"/>
                      <w:color w:val="auto"/>
                      <w:szCs w:val="21"/>
                    </w:rPr>
                    <w:t>喷漆</w:t>
                  </w:r>
                </w:p>
              </w:tc>
              <w:tc>
                <w:tcPr>
                  <w:tcW w:w="509" w:type="pct"/>
                  <w:vMerge w:val="restart"/>
                  <w:vAlign w:val="center"/>
                </w:tcPr>
                <w:p w14:paraId="23874933">
                  <w:pPr>
                    <w:adjustRightInd w:val="0"/>
                    <w:snapToGrid w:val="0"/>
                    <w:jc w:val="center"/>
                    <w:rPr>
                      <w:color w:val="auto"/>
                      <w:szCs w:val="21"/>
                    </w:rPr>
                  </w:pPr>
                  <w:r>
                    <w:rPr>
                      <w:rFonts w:hint="eastAsia"/>
                      <w:color w:val="auto"/>
                      <w:szCs w:val="21"/>
                    </w:rPr>
                    <w:t>水性底漆</w:t>
                  </w:r>
                </w:p>
              </w:tc>
              <w:tc>
                <w:tcPr>
                  <w:tcW w:w="545" w:type="pct"/>
                  <w:vMerge w:val="restart"/>
                  <w:vAlign w:val="center"/>
                </w:tcPr>
                <w:p w14:paraId="180FE27A">
                  <w:pPr>
                    <w:adjustRightInd w:val="0"/>
                    <w:snapToGrid w:val="0"/>
                    <w:jc w:val="center"/>
                    <w:rPr>
                      <w:color w:val="auto"/>
                      <w:szCs w:val="21"/>
                    </w:rPr>
                  </w:pPr>
                  <w:r>
                    <w:rPr>
                      <w:rFonts w:hint="eastAsia"/>
                      <w:color w:val="auto"/>
                      <w:szCs w:val="21"/>
                    </w:rPr>
                    <w:t>4.56</w:t>
                  </w:r>
                </w:p>
              </w:tc>
              <w:tc>
                <w:tcPr>
                  <w:tcW w:w="441" w:type="pct"/>
                  <w:vMerge w:val="restart"/>
                  <w:vAlign w:val="center"/>
                </w:tcPr>
                <w:p w14:paraId="34701798">
                  <w:pPr>
                    <w:adjustRightInd w:val="0"/>
                    <w:snapToGrid w:val="0"/>
                    <w:jc w:val="center"/>
                    <w:rPr>
                      <w:color w:val="auto"/>
                      <w:szCs w:val="21"/>
                    </w:rPr>
                  </w:pPr>
                  <w:r>
                    <w:rPr>
                      <w:rFonts w:hint="eastAsia"/>
                      <w:color w:val="auto"/>
                      <w:szCs w:val="21"/>
                    </w:rPr>
                    <w:t>1.3</w:t>
                  </w:r>
                </w:p>
              </w:tc>
              <w:tc>
                <w:tcPr>
                  <w:tcW w:w="444" w:type="pct"/>
                  <w:vMerge w:val="restart"/>
                  <w:vAlign w:val="center"/>
                </w:tcPr>
                <w:p w14:paraId="4B4601AD">
                  <w:pPr>
                    <w:adjustRightInd w:val="0"/>
                    <w:snapToGrid w:val="0"/>
                    <w:jc w:val="center"/>
                    <w:rPr>
                      <w:color w:val="auto"/>
                      <w:szCs w:val="21"/>
                    </w:rPr>
                  </w:pPr>
                  <w:r>
                    <w:rPr>
                      <w:rFonts w:hint="eastAsia"/>
                      <w:color w:val="auto"/>
                      <w:szCs w:val="21"/>
                    </w:rPr>
                    <w:t>TVOC</w:t>
                  </w:r>
                </w:p>
              </w:tc>
              <w:tc>
                <w:tcPr>
                  <w:tcW w:w="529" w:type="pct"/>
                  <w:vMerge w:val="restart"/>
                  <w:vAlign w:val="center"/>
                </w:tcPr>
                <w:p w14:paraId="57BB336C">
                  <w:pPr>
                    <w:adjustRightInd w:val="0"/>
                    <w:snapToGrid w:val="0"/>
                    <w:jc w:val="center"/>
                    <w:rPr>
                      <w:color w:val="auto"/>
                      <w:szCs w:val="21"/>
                    </w:rPr>
                  </w:pPr>
                  <w:r>
                    <w:rPr>
                      <w:rFonts w:hint="eastAsia"/>
                      <w:color w:val="auto"/>
                      <w:szCs w:val="21"/>
                    </w:rPr>
                    <w:t>62</w:t>
                  </w:r>
                </w:p>
              </w:tc>
              <w:tc>
                <w:tcPr>
                  <w:tcW w:w="362" w:type="pct"/>
                  <w:vAlign w:val="center"/>
                </w:tcPr>
                <w:p w14:paraId="43B08D73">
                  <w:pPr>
                    <w:adjustRightInd w:val="0"/>
                    <w:snapToGrid w:val="0"/>
                    <w:jc w:val="center"/>
                    <w:rPr>
                      <w:color w:val="auto"/>
                      <w:szCs w:val="21"/>
                    </w:rPr>
                  </w:pPr>
                  <w:r>
                    <w:rPr>
                      <w:rFonts w:hint="eastAsia"/>
                      <w:color w:val="auto"/>
                      <w:szCs w:val="21"/>
                    </w:rPr>
                    <w:t>85%</w:t>
                  </w:r>
                </w:p>
              </w:tc>
              <w:tc>
                <w:tcPr>
                  <w:tcW w:w="426" w:type="pct"/>
                  <w:vMerge w:val="restart"/>
                  <w:vAlign w:val="center"/>
                </w:tcPr>
                <w:p w14:paraId="672F5F19">
                  <w:pPr>
                    <w:adjustRightInd w:val="0"/>
                    <w:snapToGrid w:val="0"/>
                    <w:jc w:val="center"/>
                    <w:rPr>
                      <w:color w:val="auto"/>
                      <w:szCs w:val="21"/>
                    </w:rPr>
                  </w:pPr>
                  <w:r>
                    <w:rPr>
                      <w:rFonts w:hint="eastAsia"/>
                      <w:color w:val="auto"/>
                      <w:szCs w:val="21"/>
                    </w:rPr>
                    <w:t>5h/d，300d/a</w:t>
                  </w:r>
                </w:p>
              </w:tc>
              <w:tc>
                <w:tcPr>
                  <w:tcW w:w="480" w:type="pct"/>
                  <w:vAlign w:val="center"/>
                </w:tcPr>
                <w:p w14:paraId="1F60389F">
                  <w:pPr>
                    <w:widowControl/>
                    <w:jc w:val="center"/>
                    <w:textAlignment w:val="center"/>
                    <w:rPr>
                      <w:color w:val="auto"/>
                      <w:szCs w:val="21"/>
                    </w:rPr>
                  </w:pPr>
                  <w:r>
                    <w:rPr>
                      <w:color w:val="auto"/>
                      <w:kern w:val="0"/>
                      <w:szCs w:val="21"/>
                      <w:lang w:bidi="ar"/>
                    </w:rPr>
                    <w:t>0.185</w:t>
                  </w:r>
                </w:p>
              </w:tc>
              <w:tc>
                <w:tcPr>
                  <w:tcW w:w="472" w:type="pct"/>
                  <w:vAlign w:val="center"/>
                </w:tcPr>
                <w:p w14:paraId="4968ECE0">
                  <w:pPr>
                    <w:widowControl/>
                    <w:jc w:val="center"/>
                    <w:textAlignment w:val="center"/>
                    <w:rPr>
                      <w:color w:val="auto"/>
                      <w:szCs w:val="21"/>
                    </w:rPr>
                  </w:pPr>
                  <w:r>
                    <w:rPr>
                      <w:color w:val="auto"/>
                      <w:kern w:val="0"/>
                      <w:szCs w:val="21"/>
                      <w:lang w:bidi="ar"/>
                    </w:rPr>
                    <w:t>0.123</w:t>
                  </w:r>
                </w:p>
              </w:tc>
            </w:tr>
            <w:tr w14:paraId="590BF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0B8E24DF">
                  <w:pPr>
                    <w:adjustRightInd w:val="0"/>
                    <w:snapToGrid w:val="0"/>
                    <w:jc w:val="center"/>
                    <w:rPr>
                      <w:color w:val="auto"/>
                      <w:szCs w:val="21"/>
                    </w:rPr>
                  </w:pPr>
                </w:p>
              </w:tc>
              <w:tc>
                <w:tcPr>
                  <w:tcW w:w="342" w:type="pct"/>
                  <w:vAlign w:val="center"/>
                </w:tcPr>
                <w:p w14:paraId="672944B1">
                  <w:pPr>
                    <w:adjustRightInd w:val="0"/>
                    <w:snapToGrid w:val="0"/>
                    <w:jc w:val="center"/>
                    <w:rPr>
                      <w:color w:val="auto"/>
                      <w:szCs w:val="21"/>
                    </w:rPr>
                  </w:pPr>
                  <w:r>
                    <w:rPr>
                      <w:rFonts w:hint="eastAsia"/>
                      <w:color w:val="auto"/>
                      <w:szCs w:val="21"/>
                    </w:rPr>
                    <w:t>烘烤</w:t>
                  </w:r>
                </w:p>
              </w:tc>
              <w:tc>
                <w:tcPr>
                  <w:tcW w:w="509" w:type="pct"/>
                  <w:vMerge w:val="continue"/>
                  <w:vAlign w:val="center"/>
                </w:tcPr>
                <w:p w14:paraId="353D37A8">
                  <w:pPr>
                    <w:adjustRightInd w:val="0"/>
                    <w:snapToGrid w:val="0"/>
                    <w:jc w:val="center"/>
                    <w:rPr>
                      <w:color w:val="auto"/>
                      <w:szCs w:val="21"/>
                    </w:rPr>
                  </w:pPr>
                </w:p>
              </w:tc>
              <w:tc>
                <w:tcPr>
                  <w:tcW w:w="545" w:type="pct"/>
                  <w:vMerge w:val="continue"/>
                  <w:vAlign w:val="center"/>
                </w:tcPr>
                <w:p w14:paraId="088CFD74">
                  <w:pPr>
                    <w:adjustRightInd w:val="0"/>
                    <w:snapToGrid w:val="0"/>
                    <w:jc w:val="center"/>
                    <w:rPr>
                      <w:color w:val="auto"/>
                      <w:szCs w:val="21"/>
                    </w:rPr>
                  </w:pPr>
                </w:p>
              </w:tc>
              <w:tc>
                <w:tcPr>
                  <w:tcW w:w="441" w:type="pct"/>
                  <w:vMerge w:val="continue"/>
                  <w:vAlign w:val="center"/>
                </w:tcPr>
                <w:p w14:paraId="23E40151">
                  <w:pPr>
                    <w:adjustRightInd w:val="0"/>
                    <w:snapToGrid w:val="0"/>
                    <w:jc w:val="center"/>
                    <w:rPr>
                      <w:color w:val="auto"/>
                      <w:szCs w:val="21"/>
                    </w:rPr>
                  </w:pPr>
                </w:p>
              </w:tc>
              <w:tc>
                <w:tcPr>
                  <w:tcW w:w="444" w:type="pct"/>
                  <w:vMerge w:val="continue"/>
                  <w:vAlign w:val="center"/>
                </w:tcPr>
                <w:p w14:paraId="7D134069">
                  <w:pPr>
                    <w:adjustRightInd w:val="0"/>
                    <w:snapToGrid w:val="0"/>
                    <w:jc w:val="center"/>
                    <w:rPr>
                      <w:color w:val="auto"/>
                      <w:szCs w:val="21"/>
                    </w:rPr>
                  </w:pPr>
                </w:p>
              </w:tc>
              <w:tc>
                <w:tcPr>
                  <w:tcW w:w="529" w:type="pct"/>
                  <w:vMerge w:val="continue"/>
                  <w:vAlign w:val="center"/>
                </w:tcPr>
                <w:p w14:paraId="669B00FE">
                  <w:pPr>
                    <w:adjustRightInd w:val="0"/>
                    <w:snapToGrid w:val="0"/>
                    <w:jc w:val="center"/>
                    <w:rPr>
                      <w:color w:val="auto"/>
                      <w:szCs w:val="21"/>
                    </w:rPr>
                  </w:pPr>
                </w:p>
              </w:tc>
              <w:tc>
                <w:tcPr>
                  <w:tcW w:w="362" w:type="pct"/>
                  <w:vAlign w:val="center"/>
                </w:tcPr>
                <w:p w14:paraId="6381EC0F">
                  <w:pPr>
                    <w:adjustRightInd w:val="0"/>
                    <w:snapToGrid w:val="0"/>
                    <w:jc w:val="center"/>
                    <w:rPr>
                      <w:color w:val="auto"/>
                      <w:szCs w:val="21"/>
                    </w:rPr>
                  </w:pPr>
                  <w:r>
                    <w:rPr>
                      <w:rFonts w:hint="eastAsia"/>
                      <w:color w:val="auto"/>
                      <w:szCs w:val="21"/>
                    </w:rPr>
                    <w:t>15%</w:t>
                  </w:r>
                </w:p>
              </w:tc>
              <w:tc>
                <w:tcPr>
                  <w:tcW w:w="426" w:type="pct"/>
                  <w:vMerge w:val="continue"/>
                  <w:vAlign w:val="center"/>
                </w:tcPr>
                <w:p w14:paraId="0A49E8D9">
                  <w:pPr>
                    <w:adjustRightInd w:val="0"/>
                    <w:snapToGrid w:val="0"/>
                    <w:jc w:val="center"/>
                    <w:rPr>
                      <w:color w:val="auto"/>
                      <w:szCs w:val="21"/>
                    </w:rPr>
                  </w:pPr>
                </w:p>
              </w:tc>
              <w:tc>
                <w:tcPr>
                  <w:tcW w:w="480" w:type="pct"/>
                  <w:vAlign w:val="center"/>
                </w:tcPr>
                <w:p w14:paraId="507687CD">
                  <w:pPr>
                    <w:widowControl/>
                    <w:jc w:val="center"/>
                    <w:textAlignment w:val="center"/>
                    <w:rPr>
                      <w:color w:val="auto"/>
                      <w:szCs w:val="21"/>
                    </w:rPr>
                  </w:pPr>
                  <w:r>
                    <w:rPr>
                      <w:color w:val="auto"/>
                      <w:kern w:val="0"/>
                      <w:szCs w:val="21"/>
                      <w:lang w:bidi="ar"/>
                    </w:rPr>
                    <w:t>0.0326</w:t>
                  </w:r>
                </w:p>
              </w:tc>
              <w:tc>
                <w:tcPr>
                  <w:tcW w:w="472" w:type="pct"/>
                  <w:vAlign w:val="center"/>
                </w:tcPr>
                <w:p w14:paraId="6E449B70">
                  <w:pPr>
                    <w:widowControl/>
                    <w:jc w:val="center"/>
                    <w:textAlignment w:val="center"/>
                    <w:rPr>
                      <w:color w:val="auto"/>
                      <w:szCs w:val="21"/>
                    </w:rPr>
                  </w:pPr>
                  <w:r>
                    <w:rPr>
                      <w:color w:val="auto"/>
                      <w:kern w:val="0"/>
                      <w:szCs w:val="21"/>
                      <w:lang w:bidi="ar"/>
                    </w:rPr>
                    <w:t>0.0217</w:t>
                  </w:r>
                </w:p>
              </w:tc>
            </w:tr>
            <w:tr w14:paraId="5F612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3BA7C97F">
                  <w:pPr>
                    <w:adjustRightInd w:val="0"/>
                    <w:snapToGrid w:val="0"/>
                    <w:jc w:val="center"/>
                    <w:rPr>
                      <w:color w:val="auto"/>
                      <w:szCs w:val="21"/>
                    </w:rPr>
                  </w:pPr>
                </w:p>
              </w:tc>
              <w:tc>
                <w:tcPr>
                  <w:tcW w:w="342" w:type="pct"/>
                  <w:vAlign w:val="center"/>
                </w:tcPr>
                <w:p w14:paraId="2EE9D8F7">
                  <w:pPr>
                    <w:adjustRightInd w:val="0"/>
                    <w:snapToGrid w:val="0"/>
                    <w:jc w:val="center"/>
                    <w:rPr>
                      <w:color w:val="auto"/>
                      <w:szCs w:val="21"/>
                    </w:rPr>
                  </w:pPr>
                  <w:r>
                    <w:rPr>
                      <w:rFonts w:hint="eastAsia"/>
                      <w:color w:val="auto"/>
                      <w:szCs w:val="21"/>
                    </w:rPr>
                    <w:t>喷漆</w:t>
                  </w:r>
                </w:p>
              </w:tc>
              <w:tc>
                <w:tcPr>
                  <w:tcW w:w="509" w:type="pct"/>
                  <w:vMerge w:val="restart"/>
                  <w:vAlign w:val="center"/>
                </w:tcPr>
                <w:p w14:paraId="5C354EAD">
                  <w:pPr>
                    <w:adjustRightInd w:val="0"/>
                    <w:snapToGrid w:val="0"/>
                    <w:jc w:val="center"/>
                    <w:rPr>
                      <w:color w:val="auto"/>
                      <w:szCs w:val="21"/>
                    </w:rPr>
                  </w:pPr>
                  <w:r>
                    <w:rPr>
                      <w:rFonts w:hint="eastAsia"/>
                      <w:color w:val="auto"/>
                      <w:szCs w:val="21"/>
                    </w:rPr>
                    <w:t>水性面漆</w:t>
                  </w:r>
                </w:p>
              </w:tc>
              <w:tc>
                <w:tcPr>
                  <w:tcW w:w="545" w:type="pct"/>
                  <w:vMerge w:val="restart"/>
                  <w:vAlign w:val="center"/>
                </w:tcPr>
                <w:p w14:paraId="04181F9D">
                  <w:pPr>
                    <w:adjustRightInd w:val="0"/>
                    <w:snapToGrid w:val="0"/>
                    <w:jc w:val="center"/>
                    <w:rPr>
                      <w:color w:val="auto"/>
                      <w:szCs w:val="21"/>
                    </w:rPr>
                  </w:pPr>
                  <w:r>
                    <w:rPr>
                      <w:rFonts w:hint="eastAsia"/>
                      <w:color w:val="auto"/>
                      <w:szCs w:val="21"/>
                    </w:rPr>
                    <w:t>4.56</w:t>
                  </w:r>
                </w:p>
              </w:tc>
              <w:tc>
                <w:tcPr>
                  <w:tcW w:w="441" w:type="pct"/>
                  <w:vMerge w:val="restart"/>
                  <w:vAlign w:val="center"/>
                </w:tcPr>
                <w:p w14:paraId="2C817891">
                  <w:pPr>
                    <w:adjustRightInd w:val="0"/>
                    <w:snapToGrid w:val="0"/>
                    <w:jc w:val="center"/>
                    <w:rPr>
                      <w:color w:val="auto"/>
                      <w:szCs w:val="21"/>
                    </w:rPr>
                  </w:pPr>
                  <w:r>
                    <w:rPr>
                      <w:rFonts w:hint="eastAsia"/>
                      <w:color w:val="auto"/>
                      <w:szCs w:val="21"/>
                    </w:rPr>
                    <w:t>1.3</w:t>
                  </w:r>
                </w:p>
              </w:tc>
              <w:tc>
                <w:tcPr>
                  <w:tcW w:w="444" w:type="pct"/>
                  <w:vMerge w:val="restart"/>
                  <w:vAlign w:val="center"/>
                </w:tcPr>
                <w:p w14:paraId="7DFB24CB">
                  <w:pPr>
                    <w:adjustRightInd w:val="0"/>
                    <w:snapToGrid w:val="0"/>
                    <w:jc w:val="center"/>
                    <w:rPr>
                      <w:color w:val="auto"/>
                      <w:szCs w:val="21"/>
                    </w:rPr>
                  </w:pPr>
                  <w:r>
                    <w:rPr>
                      <w:rFonts w:hint="eastAsia"/>
                      <w:color w:val="auto"/>
                      <w:szCs w:val="21"/>
                    </w:rPr>
                    <w:t>TVOC</w:t>
                  </w:r>
                </w:p>
              </w:tc>
              <w:tc>
                <w:tcPr>
                  <w:tcW w:w="529" w:type="pct"/>
                  <w:vMerge w:val="restart"/>
                  <w:vAlign w:val="center"/>
                </w:tcPr>
                <w:p w14:paraId="26BF82F3">
                  <w:pPr>
                    <w:adjustRightInd w:val="0"/>
                    <w:snapToGrid w:val="0"/>
                    <w:jc w:val="center"/>
                    <w:rPr>
                      <w:color w:val="auto"/>
                      <w:szCs w:val="21"/>
                    </w:rPr>
                  </w:pPr>
                  <w:r>
                    <w:rPr>
                      <w:rFonts w:hint="eastAsia"/>
                      <w:color w:val="auto"/>
                      <w:szCs w:val="21"/>
                    </w:rPr>
                    <w:t>64</w:t>
                  </w:r>
                </w:p>
              </w:tc>
              <w:tc>
                <w:tcPr>
                  <w:tcW w:w="362" w:type="pct"/>
                  <w:vAlign w:val="center"/>
                </w:tcPr>
                <w:p w14:paraId="1C0F59DB">
                  <w:pPr>
                    <w:adjustRightInd w:val="0"/>
                    <w:snapToGrid w:val="0"/>
                    <w:jc w:val="center"/>
                    <w:rPr>
                      <w:color w:val="auto"/>
                      <w:szCs w:val="21"/>
                    </w:rPr>
                  </w:pPr>
                  <w:r>
                    <w:rPr>
                      <w:rFonts w:hint="eastAsia"/>
                      <w:color w:val="auto"/>
                      <w:szCs w:val="21"/>
                    </w:rPr>
                    <w:t>85%</w:t>
                  </w:r>
                </w:p>
              </w:tc>
              <w:tc>
                <w:tcPr>
                  <w:tcW w:w="426" w:type="pct"/>
                  <w:vMerge w:val="continue"/>
                  <w:vAlign w:val="center"/>
                </w:tcPr>
                <w:p w14:paraId="13F6D52B">
                  <w:pPr>
                    <w:adjustRightInd w:val="0"/>
                    <w:snapToGrid w:val="0"/>
                    <w:jc w:val="center"/>
                    <w:rPr>
                      <w:color w:val="auto"/>
                      <w:szCs w:val="21"/>
                    </w:rPr>
                  </w:pPr>
                </w:p>
              </w:tc>
              <w:tc>
                <w:tcPr>
                  <w:tcW w:w="480" w:type="pct"/>
                  <w:vAlign w:val="center"/>
                </w:tcPr>
                <w:p w14:paraId="7F5C8558">
                  <w:pPr>
                    <w:widowControl/>
                    <w:jc w:val="center"/>
                    <w:textAlignment w:val="center"/>
                    <w:rPr>
                      <w:color w:val="auto"/>
                      <w:szCs w:val="21"/>
                    </w:rPr>
                  </w:pPr>
                  <w:r>
                    <w:rPr>
                      <w:color w:val="auto"/>
                      <w:kern w:val="0"/>
                      <w:szCs w:val="21"/>
                      <w:lang w:bidi="ar"/>
                    </w:rPr>
                    <w:t>0.191</w:t>
                  </w:r>
                </w:p>
              </w:tc>
              <w:tc>
                <w:tcPr>
                  <w:tcW w:w="472" w:type="pct"/>
                  <w:vAlign w:val="center"/>
                </w:tcPr>
                <w:p w14:paraId="1B74800D">
                  <w:pPr>
                    <w:widowControl/>
                    <w:jc w:val="center"/>
                    <w:textAlignment w:val="center"/>
                    <w:rPr>
                      <w:color w:val="auto"/>
                      <w:szCs w:val="21"/>
                    </w:rPr>
                  </w:pPr>
                  <w:r>
                    <w:rPr>
                      <w:color w:val="auto"/>
                      <w:kern w:val="0"/>
                      <w:szCs w:val="21"/>
                      <w:lang w:bidi="ar"/>
                    </w:rPr>
                    <w:t>0.127</w:t>
                  </w:r>
                </w:p>
              </w:tc>
            </w:tr>
            <w:tr w14:paraId="5846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2D5F4010">
                  <w:pPr>
                    <w:adjustRightInd w:val="0"/>
                    <w:snapToGrid w:val="0"/>
                    <w:jc w:val="center"/>
                    <w:rPr>
                      <w:color w:val="auto"/>
                      <w:szCs w:val="21"/>
                    </w:rPr>
                  </w:pPr>
                </w:p>
              </w:tc>
              <w:tc>
                <w:tcPr>
                  <w:tcW w:w="342" w:type="pct"/>
                  <w:vAlign w:val="center"/>
                </w:tcPr>
                <w:p w14:paraId="3A296E6B">
                  <w:pPr>
                    <w:adjustRightInd w:val="0"/>
                    <w:snapToGrid w:val="0"/>
                    <w:jc w:val="center"/>
                    <w:rPr>
                      <w:color w:val="auto"/>
                      <w:szCs w:val="21"/>
                    </w:rPr>
                  </w:pPr>
                  <w:r>
                    <w:rPr>
                      <w:rFonts w:hint="eastAsia"/>
                      <w:color w:val="auto"/>
                      <w:szCs w:val="21"/>
                    </w:rPr>
                    <w:t>烘烤</w:t>
                  </w:r>
                </w:p>
              </w:tc>
              <w:tc>
                <w:tcPr>
                  <w:tcW w:w="509" w:type="pct"/>
                  <w:vMerge w:val="continue"/>
                  <w:vAlign w:val="center"/>
                </w:tcPr>
                <w:p w14:paraId="627DD915">
                  <w:pPr>
                    <w:adjustRightInd w:val="0"/>
                    <w:snapToGrid w:val="0"/>
                    <w:jc w:val="center"/>
                    <w:rPr>
                      <w:color w:val="auto"/>
                      <w:szCs w:val="21"/>
                    </w:rPr>
                  </w:pPr>
                </w:p>
              </w:tc>
              <w:tc>
                <w:tcPr>
                  <w:tcW w:w="545" w:type="pct"/>
                  <w:vMerge w:val="continue"/>
                  <w:vAlign w:val="center"/>
                </w:tcPr>
                <w:p w14:paraId="10FDEF25">
                  <w:pPr>
                    <w:adjustRightInd w:val="0"/>
                    <w:snapToGrid w:val="0"/>
                    <w:jc w:val="center"/>
                    <w:rPr>
                      <w:color w:val="auto"/>
                      <w:szCs w:val="21"/>
                    </w:rPr>
                  </w:pPr>
                </w:p>
              </w:tc>
              <w:tc>
                <w:tcPr>
                  <w:tcW w:w="441" w:type="pct"/>
                  <w:vMerge w:val="continue"/>
                  <w:vAlign w:val="center"/>
                </w:tcPr>
                <w:p w14:paraId="78CC2339">
                  <w:pPr>
                    <w:adjustRightInd w:val="0"/>
                    <w:snapToGrid w:val="0"/>
                    <w:jc w:val="center"/>
                    <w:rPr>
                      <w:color w:val="auto"/>
                      <w:szCs w:val="21"/>
                    </w:rPr>
                  </w:pPr>
                </w:p>
              </w:tc>
              <w:tc>
                <w:tcPr>
                  <w:tcW w:w="444" w:type="pct"/>
                  <w:vMerge w:val="continue"/>
                  <w:vAlign w:val="center"/>
                </w:tcPr>
                <w:p w14:paraId="4A70382B">
                  <w:pPr>
                    <w:adjustRightInd w:val="0"/>
                    <w:snapToGrid w:val="0"/>
                    <w:jc w:val="center"/>
                    <w:rPr>
                      <w:color w:val="auto"/>
                      <w:szCs w:val="21"/>
                    </w:rPr>
                  </w:pPr>
                </w:p>
              </w:tc>
              <w:tc>
                <w:tcPr>
                  <w:tcW w:w="529" w:type="pct"/>
                  <w:vMerge w:val="continue"/>
                  <w:vAlign w:val="center"/>
                </w:tcPr>
                <w:p w14:paraId="4E27AA34">
                  <w:pPr>
                    <w:adjustRightInd w:val="0"/>
                    <w:snapToGrid w:val="0"/>
                    <w:jc w:val="center"/>
                    <w:rPr>
                      <w:color w:val="auto"/>
                      <w:szCs w:val="21"/>
                    </w:rPr>
                  </w:pPr>
                </w:p>
              </w:tc>
              <w:tc>
                <w:tcPr>
                  <w:tcW w:w="362" w:type="pct"/>
                  <w:vAlign w:val="center"/>
                </w:tcPr>
                <w:p w14:paraId="62B96BE6">
                  <w:pPr>
                    <w:adjustRightInd w:val="0"/>
                    <w:snapToGrid w:val="0"/>
                    <w:jc w:val="center"/>
                    <w:rPr>
                      <w:color w:val="auto"/>
                      <w:szCs w:val="21"/>
                    </w:rPr>
                  </w:pPr>
                  <w:r>
                    <w:rPr>
                      <w:rFonts w:hint="eastAsia"/>
                      <w:color w:val="auto"/>
                      <w:szCs w:val="21"/>
                    </w:rPr>
                    <w:t>15%</w:t>
                  </w:r>
                </w:p>
              </w:tc>
              <w:tc>
                <w:tcPr>
                  <w:tcW w:w="426" w:type="pct"/>
                  <w:vMerge w:val="continue"/>
                  <w:vAlign w:val="center"/>
                </w:tcPr>
                <w:p w14:paraId="7E6D3CAE">
                  <w:pPr>
                    <w:adjustRightInd w:val="0"/>
                    <w:snapToGrid w:val="0"/>
                    <w:jc w:val="center"/>
                    <w:rPr>
                      <w:color w:val="auto"/>
                      <w:szCs w:val="21"/>
                    </w:rPr>
                  </w:pPr>
                </w:p>
              </w:tc>
              <w:tc>
                <w:tcPr>
                  <w:tcW w:w="480" w:type="pct"/>
                  <w:vAlign w:val="center"/>
                </w:tcPr>
                <w:p w14:paraId="3FBDCF27">
                  <w:pPr>
                    <w:widowControl/>
                    <w:jc w:val="center"/>
                    <w:textAlignment w:val="center"/>
                    <w:rPr>
                      <w:color w:val="auto"/>
                      <w:szCs w:val="21"/>
                    </w:rPr>
                  </w:pPr>
                  <w:r>
                    <w:rPr>
                      <w:color w:val="auto"/>
                      <w:kern w:val="0"/>
                      <w:szCs w:val="21"/>
                      <w:lang w:bidi="ar"/>
                    </w:rPr>
                    <w:t>0.0337</w:t>
                  </w:r>
                </w:p>
              </w:tc>
              <w:tc>
                <w:tcPr>
                  <w:tcW w:w="472" w:type="pct"/>
                  <w:vAlign w:val="center"/>
                </w:tcPr>
                <w:p w14:paraId="6FC0F364">
                  <w:pPr>
                    <w:widowControl/>
                    <w:jc w:val="center"/>
                    <w:textAlignment w:val="center"/>
                    <w:rPr>
                      <w:color w:val="auto"/>
                      <w:szCs w:val="21"/>
                    </w:rPr>
                  </w:pPr>
                  <w:r>
                    <w:rPr>
                      <w:color w:val="auto"/>
                      <w:kern w:val="0"/>
                      <w:szCs w:val="21"/>
                      <w:lang w:bidi="ar"/>
                    </w:rPr>
                    <w:t>0.0224</w:t>
                  </w:r>
                </w:p>
              </w:tc>
            </w:tr>
            <w:tr w14:paraId="6DF52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18A8409B">
                  <w:pPr>
                    <w:adjustRightInd w:val="0"/>
                    <w:snapToGrid w:val="0"/>
                    <w:jc w:val="center"/>
                    <w:rPr>
                      <w:color w:val="auto"/>
                      <w:szCs w:val="21"/>
                    </w:rPr>
                  </w:pPr>
                </w:p>
              </w:tc>
              <w:tc>
                <w:tcPr>
                  <w:tcW w:w="342" w:type="pct"/>
                  <w:vAlign w:val="center"/>
                </w:tcPr>
                <w:p w14:paraId="09C32B51">
                  <w:pPr>
                    <w:adjustRightInd w:val="0"/>
                    <w:snapToGrid w:val="0"/>
                    <w:jc w:val="center"/>
                    <w:rPr>
                      <w:color w:val="auto"/>
                      <w:szCs w:val="21"/>
                    </w:rPr>
                  </w:pPr>
                  <w:r>
                    <w:rPr>
                      <w:rFonts w:hint="eastAsia"/>
                      <w:color w:val="auto"/>
                      <w:szCs w:val="21"/>
                    </w:rPr>
                    <w:t>合计</w:t>
                  </w:r>
                </w:p>
              </w:tc>
              <w:tc>
                <w:tcPr>
                  <w:tcW w:w="509" w:type="pct"/>
                  <w:vAlign w:val="center"/>
                </w:tcPr>
                <w:p w14:paraId="1F616DF6">
                  <w:pPr>
                    <w:adjustRightInd w:val="0"/>
                    <w:snapToGrid w:val="0"/>
                    <w:jc w:val="center"/>
                    <w:rPr>
                      <w:color w:val="auto"/>
                      <w:szCs w:val="21"/>
                    </w:rPr>
                  </w:pPr>
                  <w:r>
                    <w:rPr>
                      <w:rFonts w:hint="eastAsia"/>
                      <w:color w:val="auto"/>
                      <w:szCs w:val="21"/>
                    </w:rPr>
                    <w:t>/</w:t>
                  </w:r>
                </w:p>
              </w:tc>
              <w:tc>
                <w:tcPr>
                  <w:tcW w:w="545" w:type="pct"/>
                  <w:vAlign w:val="center"/>
                </w:tcPr>
                <w:p w14:paraId="77C43E4C">
                  <w:pPr>
                    <w:adjustRightInd w:val="0"/>
                    <w:snapToGrid w:val="0"/>
                    <w:jc w:val="center"/>
                    <w:rPr>
                      <w:color w:val="auto"/>
                      <w:szCs w:val="21"/>
                    </w:rPr>
                  </w:pPr>
                  <w:r>
                    <w:rPr>
                      <w:rFonts w:hint="eastAsia"/>
                      <w:color w:val="auto"/>
                      <w:szCs w:val="21"/>
                    </w:rPr>
                    <w:t>/</w:t>
                  </w:r>
                </w:p>
              </w:tc>
              <w:tc>
                <w:tcPr>
                  <w:tcW w:w="441" w:type="pct"/>
                  <w:vAlign w:val="center"/>
                </w:tcPr>
                <w:p w14:paraId="3E96D1D6">
                  <w:pPr>
                    <w:adjustRightInd w:val="0"/>
                    <w:snapToGrid w:val="0"/>
                    <w:jc w:val="center"/>
                    <w:rPr>
                      <w:color w:val="auto"/>
                      <w:szCs w:val="21"/>
                    </w:rPr>
                  </w:pPr>
                  <w:r>
                    <w:rPr>
                      <w:rFonts w:hint="eastAsia"/>
                      <w:color w:val="auto"/>
                      <w:szCs w:val="21"/>
                    </w:rPr>
                    <w:t>/</w:t>
                  </w:r>
                </w:p>
              </w:tc>
              <w:tc>
                <w:tcPr>
                  <w:tcW w:w="444" w:type="pct"/>
                  <w:vAlign w:val="center"/>
                </w:tcPr>
                <w:p w14:paraId="3AFCCBB2">
                  <w:pPr>
                    <w:adjustRightInd w:val="0"/>
                    <w:snapToGrid w:val="0"/>
                    <w:jc w:val="center"/>
                    <w:rPr>
                      <w:color w:val="auto"/>
                      <w:szCs w:val="21"/>
                    </w:rPr>
                  </w:pPr>
                  <w:r>
                    <w:rPr>
                      <w:rFonts w:hint="eastAsia"/>
                      <w:color w:val="auto"/>
                      <w:szCs w:val="21"/>
                    </w:rPr>
                    <w:t>TVOC</w:t>
                  </w:r>
                </w:p>
              </w:tc>
              <w:tc>
                <w:tcPr>
                  <w:tcW w:w="529" w:type="pct"/>
                  <w:vAlign w:val="center"/>
                </w:tcPr>
                <w:p w14:paraId="0F1F340C">
                  <w:pPr>
                    <w:adjustRightInd w:val="0"/>
                    <w:snapToGrid w:val="0"/>
                    <w:jc w:val="center"/>
                    <w:rPr>
                      <w:color w:val="auto"/>
                      <w:szCs w:val="21"/>
                    </w:rPr>
                  </w:pPr>
                  <w:r>
                    <w:rPr>
                      <w:rFonts w:hint="eastAsia"/>
                      <w:color w:val="auto"/>
                      <w:szCs w:val="21"/>
                    </w:rPr>
                    <w:t>/</w:t>
                  </w:r>
                </w:p>
              </w:tc>
              <w:tc>
                <w:tcPr>
                  <w:tcW w:w="362" w:type="pct"/>
                  <w:vAlign w:val="center"/>
                </w:tcPr>
                <w:p w14:paraId="3B1C75AB">
                  <w:pPr>
                    <w:adjustRightInd w:val="0"/>
                    <w:snapToGrid w:val="0"/>
                    <w:jc w:val="center"/>
                    <w:rPr>
                      <w:color w:val="auto"/>
                      <w:szCs w:val="21"/>
                    </w:rPr>
                  </w:pPr>
                  <w:r>
                    <w:rPr>
                      <w:rFonts w:hint="eastAsia"/>
                      <w:color w:val="auto"/>
                      <w:szCs w:val="21"/>
                    </w:rPr>
                    <w:t>/</w:t>
                  </w:r>
                </w:p>
              </w:tc>
              <w:tc>
                <w:tcPr>
                  <w:tcW w:w="426" w:type="pct"/>
                  <w:vAlign w:val="center"/>
                </w:tcPr>
                <w:p w14:paraId="4DDAFBA2">
                  <w:pPr>
                    <w:adjustRightInd w:val="0"/>
                    <w:snapToGrid w:val="0"/>
                    <w:jc w:val="center"/>
                    <w:rPr>
                      <w:color w:val="auto"/>
                      <w:szCs w:val="21"/>
                    </w:rPr>
                  </w:pPr>
                  <w:r>
                    <w:rPr>
                      <w:rFonts w:hint="eastAsia"/>
                      <w:color w:val="auto"/>
                      <w:szCs w:val="21"/>
                    </w:rPr>
                    <w:t>/</w:t>
                  </w:r>
                </w:p>
              </w:tc>
              <w:tc>
                <w:tcPr>
                  <w:tcW w:w="480" w:type="pct"/>
                  <w:vAlign w:val="center"/>
                </w:tcPr>
                <w:p w14:paraId="64F45FE0">
                  <w:pPr>
                    <w:widowControl/>
                    <w:jc w:val="center"/>
                    <w:textAlignment w:val="center"/>
                    <w:rPr>
                      <w:color w:val="auto"/>
                      <w:kern w:val="0"/>
                      <w:szCs w:val="21"/>
                      <w:lang w:bidi="ar"/>
                    </w:rPr>
                  </w:pPr>
                  <w:r>
                    <w:rPr>
                      <w:color w:val="auto"/>
                      <w:kern w:val="0"/>
                      <w:szCs w:val="21"/>
                      <w:lang w:bidi="ar"/>
                    </w:rPr>
                    <w:t>0.4423</w:t>
                  </w:r>
                </w:p>
              </w:tc>
              <w:tc>
                <w:tcPr>
                  <w:tcW w:w="472" w:type="pct"/>
                  <w:vAlign w:val="center"/>
                </w:tcPr>
                <w:p w14:paraId="0E0EEF0B">
                  <w:pPr>
                    <w:widowControl/>
                    <w:jc w:val="center"/>
                    <w:textAlignment w:val="center"/>
                    <w:rPr>
                      <w:color w:val="auto"/>
                      <w:szCs w:val="21"/>
                    </w:rPr>
                  </w:pPr>
                  <w:r>
                    <w:rPr>
                      <w:color w:val="auto"/>
                      <w:kern w:val="0"/>
                      <w:szCs w:val="21"/>
                      <w:lang w:bidi="ar"/>
                    </w:rPr>
                    <w:t>0.2941</w:t>
                  </w:r>
                </w:p>
              </w:tc>
            </w:tr>
            <w:tr w14:paraId="2472A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restart"/>
                  <w:vAlign w:val="center"/>
                </w:tcPr>
                <w:p w14:paraId="707BBDDA">
                  <w:pPr>
                    <w:adjustRightInd w:val="0"/>
                    <w:snapToGrid w:val="0"/>
                    <w:jc w:val="center"/>
                    <w:rPr>
                      <w:color w:val="auto"/>
                      <w:szCs w:val="21"/>
                    </w:rPr>
                  </w:pPr>
                  <w:r>
                    <w:rPr>
                      <w:rFonts w:hint="eastAsia"/>
                      <w:color w:val="auto"/>
                      <w:szCs w:val="21"/>
                    </w:rPr>
                    <w:t>清漆喷涂线</w:t>
                  </w:r>
                </w:p>
              </w:tc>
              <w:tc>
                <w:tcPr>
                  <w:tcW w:w="342" w:type="pct"/>
                  <w:vAlign w:val="center"/>
                </w:tcPr>
                <w:p w14:paraId="562F4CE7">
                  <w:pPr>
                    <w:adjustRightInd w:val="0"/>
                    <w:snapToGrid w:val="0"/>
                    <w:jc w:val="center"/>
                    <w:rPr>
                      <w:color w:val="auto"/>
                      <w:szCs w:val="21"/>
                    </w:rPr>
                  </w:pPr>
                  <w:r>
                    <w:rPr>
                      <w:rFonts w:hint="eastAsia"/>
                      <w:color w:val="auto"/>
                      <w:szCs w:val="21"/>
                    </w:rPr>
                    <w:t>喷漆</w:t>
                  </w:r>
                </w:p>
              </w:tc>
              <w:tc>
                <w:tcPr>
                  <w:tcW w:w="509" w:type="pct"/>
                  <w:vMerge w:val="restart"/>
                  <w:vAlign w:val="center"/>
                </w:tcPr>
                <w:p w14:paraId="6FA62BBB">
                  <w:pPr>
                    <w:adjustRightInd w:val="0"/>
                    <w:snapToGrid w:val="0"/>
                    <w:jc w:val="center"/>
                    <w:rPr>
                      <w:color w:val="auto"/>
                      <w:szCs w:val="21"/>
                    </w:rPr>
                  </w:pPr>
                  <w:r>
                    <w:rPr>
                      <w:rFonts w:hint="eastAsia"/>
                      <w:color w:val="auto"/>
                      <w:szCs w:val="21"/>
                    </w:rPr>
                    <w:t>水性清漆</w:t>
                  </w:r>
                </w:p>
              </w:tc>
              <w:tc>
                <w:tcPr>
                  <w:tcW w:w="545" w:type="pct"/>
                  <w:vMerge w:val="restart"/>
                  <w:vAlign w:val="center"/>
                </w:tcPr>
                <w:p w14:paraId="54E8A1C3">
                  <w:pPr>
                    <w:adjustRightInd w:val="0"/>
                    <w:snapToGrid w:val="0"/>
                    <w:jc w:val="center"/>
                    <w:rPr>
                      <w:color w:val="auto"/>
                      <w:szCs w:val="21"/>
                    </w:rPr>
                  </w:pPr>
                  <w:r>
                    <w:rPr>
                      <w:rFonts w:hint="eastAsia"/>
                      <w:color w:val="auto"/>
                      <w:szCs w:val="21"/>
                    </w:rPr>
                    <w:t>3.72</w:t>
                  </w:r>
                </w:p>
              </w:tc>
              <w:tc>
                <w:tcPr>
                  <w:tcW w:w="441" w:type="pct"/>
                  <w:vMerge w:val="restart"/>
                  <w:vAlign w:val="center"/>
                </w:tcPr>
                <w:p w14:paraId="7B92A75A">
                  <w:pPr>
                    <w:adjustRightInd w:val="0"/>
                    <w:snapToGrid w:val="0"/>
                    <w:jc w:val="center"/>
                    <w:rPr>
                      <w:color w:val="auto"/>
                      <w:szCs w:val="21"/>
                    </w:rPr>
                  </w:pPr>
                  <w:r>
                    <w:rPr>
                      <w:rFonts w:hint="eastAsia"/>
                      <w:color w:val="auto"/>
                      <w:szCs w:val="21"/>
                    </w:rPr>
                    <w:t>1.06</w:t>
                  </w:r>
                </w:p>
              </w:tc>
              <w:tc>
                <w:tcPr>
                  <w:tcW w:w="444" w:type="pct"/>
                  <w:vMerge w:val="restart"/>
                  <w:vAlign w:val="center"/>
                </w:tcPr>
                <w:p w14:paraId="442B2F04">
                  <w:pPr>
                    <w:adjustRightInd w:val="0"/>
                    <w:snapToGrid w:val="0"/>
                    <w:jc w:val="center"/>
                    <w:rPr>
                      <w:color w:val="auto"/>
                      <w:szCs w:val="21"/>
                    </w:rPr>
                  </w:pPr>
                  <w:r>
                    <w:rPr>
                      <w:rFonts w:hint="eastAsia"/>
                      <w:color w:val="auto"/>
                      <w:szCs w:val="21"/>
                    </w:rPr>
                    <w:t>TVOC</w:t>
                  </w:r>
                </w:p>
              </w:tc>
              <w:tc>
                <w:tcPr>
                  <w:tcW w:w="529" w:type="pct"/>
                  <w:vMerge w:val="restart"/>
                  <w:vAlign w:val="center"/>
                </w:tcPr>
                <w:p w14:paraId="47B78817">
                  <w:pPr>
                    <w:adjustRightInd w:val="0"/>
                    <w:snapToGrid w:val="0"/>
                    <w:jc w:val="center"/>
                    <w:rPr>
                      <w:color w:val="auto"/>
                      <w:szCs w:val="21"/>
                    </w:rPr>
                  </w:pPr>
                  <w:r>
                    <w:rPr>
                      <w:rFonts w:hint="eastAsia"/>
                      <w:color w:val="auto"/>
                      <w:szCs w:val="21"/>
                    </w:rPr>
                    <w:t>50</w:t>
                  </w:r>
                </w:p>
              </w:tc>
              <w:tc>
                <w:tcPr>
                  <w:tcW w:w="362" w:type="pct"/>
                  <w:vAlign w:val="center"/>
                </w:tcPr>
                <w:p w14:paraId="66ECB9D0">
                  <w:pPr>
                    <w:adjustRightInd w:val="0"/>
                    <w:snapToGrid w:val="0"/>
                    <w:jc w:val="center"/>
                    <w:rPr>
                      <w:color w:val="auto"/>
                      <w:szCs w:val="21"/>
                    </w:rPr>
                  </w:pPr>
                  <w:r>
                    <w:rPr>
                      <w:rFonts w:hint="eastAsia"/>
                      <w:color w:val="auto"/>
                      <w:szCs w:val="21"/>
                    </w:rPr>
                    <w:t>85%</w:t>
                  </w:r>
                </w:p>
              </w:tc>
              <w:tc>
                <w:tcPr>
                  <w:tcW w:w="426" w:type="pct"/>
                  <w:vMerge w:val="restart"/>
                  <w:vAlign w:val="center"/>
                </w:tcPr>
                <w:p w14:paraId="22A14A23">
                  <w:pPr>
                    <w:adjustRightInd w:val="0"/>
                    <w:snapToGrid w:val="0"/>
                    <w:jc w:val="center"/>
                    <w:rPr>
                      <w:color w:val="auto"/>
                      <w:szCs w:val="21"/>
                    </w:rPr>
                  </w:pPr>
                  <w:r>
                    <w:rPr>
                      <w:rFonts w:hint="eastAsia"/>
                      <w:color w:val="auto"/>
                      <w:szCs w:val="21"/>
                    </w:rPr>
                    <w:t>10h/d，300d/a</w:t>
                  </w:r>
                </w:p>
              </w:tc>
              <w:tc>
                <w:tcPr>
                  <w:tcW w:w="480" w:type="pct"/>
                  <w:vAlign w:val="center"/>
                </w:tcPr>
                <w:p w14:paraId="20A5F7EF">
                  <w:pPr>
                    <w:widowControl/>
                    <w:jc w:val="center"/>
                    <w:textAlignment w:val="center"/>
                    <w:rPr>
                      <w:color w:val="auto"/>
                      <w:szCs w:val="21"/>
                    </w:rPr>
                  </w:pPr>
                  <w:r>
                    <w:rPr>
                      <w:color w:val="auto"/>
                      <w:kern w:val="0"/>
                      <w:szCs w:val="21"/>
                      <w:lang w:bidi="ar"/>
                    </w:rPr>
                    <w:t>0.149</w:t>
                  </w:r>
                </w:p>
              </w:tc>
              <w:tc>
                <w:tcPr>
                  <w:tcW w:w="472" w:type="pct"/>
                  <w:vAlign w:val="center"/>
                </w:tcPr>
                <w:p w14:paraId="1A254FC9">
                  <w:pPr>
                    <w:widowControl/>
                    <w:jc w:val="center"/>
                    <w:textAlignment w:val="center"/>
                    <w:rPr>
                      <w:color w:val="auto"/>
                      <w:szCs w:val="21"/>
                    </w:rPr>
                  </w:pPr>
                  <w:r>
                    <w:rPr>
                      <w:color w:val="auto"/>
                      <w:kern w:val="0"/>
                      <w:szCs w:val="21"/>
                      <w:lang w:bidi="ar"/>
                    </w:rPr>
                    <w:t>0.0497</w:t>
                  </w:r>
                </w:p>
              </w:tc>
            </w:tr>
            <w:tr w14:paraId="38F3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5CC51946">
                  <w:pPr>
                    <w:adjustRightInd w:val="0"/>
                    <w:snapToGrid w:val="0"/>
                    <w:jc w:val="center"/>
                    <w:rPr>
                      <w:color w:val="auto"/>
                      <w:szCs w:val="21"/>
                    </w:rPr>
                  </w:pPr>
                </w:p>
              </w:tc>
              <w:tc>
                <w:tcPr>
                  <w:tcW w:w="342" w:type="pct"/>
                  <w:vAlign w:val="center"/>
                </w:tcPr>
                <w:p w14:paraId="10678CB7">
                  <w:pPr>
                    <w:adjustRightInd w:val="0"/>
                    <w:snapToGrid w:val="0"/>
                    <w:jc w:val="center"/>
                    <w:rPr>
                      <w:color w:val="auto"/>
                      <w:szCs w:val="21"/>
                    </w:rPr>
                  </w:pPr>
                  <w:r>
                    <w:rPr>
                      <w:rFonts w:hint="eastAsia"/>
                      <w:color w:val="auto"/>
                      <w:szCs w:val="21"/>
                    </w:rPr>
                    <w:t>烘烤</w:t>
                  </w:r>
                </w:p>
              </w:tc>
              <w:tc>
                <w:tcPr>
                  <w:tcW w:w="509" w:type="pct"/>
                  <w:vMerge w:val="continue"/>
                  <w:vAlign w:val="center"/>
                </w:tcPr>
                <w:p w14:paraId="6F8E0CBD">
                  <w:pPr>
                    <w:adjustRightInd w:val="0"/>
                    <w:snapToGrid w:val="0"/>
                    <w:jc w:val="center"/>
                    <w:rPr>
                      <w:color w:val="auto"/>
                      <w:szCs w:val="21"/>
                    </w:rPr>
                  </w:pPr>
                </w:p>
              </w:tc>
              <w:tc>
                <w:tcPr>
                  <w:tcW w:w="545" w:type="pct"/>
                  <w:vMerge w:val="continue"/>
                  <w:vAlign w:val="center"/>
                </w:tcPr>
                <w:p w14:paraId="378B9AB5">
                  <w:pPr>
                    <w:adjustRightInd w:val="0"/>
                    <w:snapToGrid w:val="0"/>
                    <w:jc w:val="center"/>
                    <w:rPr>
                      <w:color w:val="auto"/>
                      <w:szCs w:val="21"/>
                    </w:rPr>
                  </w:pPr>
                </w:p>
              </w:tc>
              <w:tc>
                <w:tcPr>
                  <w:tcW w:w="441" w:type="pct"/>
                  <w:vMerge w:val="continue"/>
                  <w:vAlign w:val="center"/>
                </w:tcPr>
                <w:p w14:paraId="01BAE8E6">
                  <w:pPr>
                    <w:adjustRightInd w:val="0"/>
                    <w:snapToGrid w:val="0"/>
                    <w:jc w:val="center"/>
                    <w:rPr>
                      <w:color w:val="auto"/>
                      <w:szCs w:val="21"/>
                    </w:rPr>
                  </w:pPr>
                </w:p>
              </w:tc>
              <w:tc>
                <w:tcPr>
                  <w:tcW w:w="444" w:type="pct"/>
                  <w:vMerge w:val="continue"/>
                  <w:vAlign w:val="center"/>
                </w:tcPr>
                <w:p w14:paraId="7A857C8B">
                  <w:pPr>
                    <w:adjustRightInd w:val="0"/>
                    <w:snapToGrid w:val="0"/>
                    <w:jc w:val="center"/>
                    <w:rPr>
                      <w:color w:val="auto"/>
                      <w:szCs w:val="21"/>
                    </w:rPr>
                  </w:pPr>
                </w:p>
              </w:tc>
              <w:tc>
                <w:tcPr>
                  <w:tcW w:w="529" w:type="pct"/>
                  <w:vMerge w:val="continue"/>
                  <w:vAlign w:val="center"/>
                </w:tcPr>
                <w:p w14:paraId="6E07DB27">
                  <w:pPr>
                    <w:adjustRightInd w:val="0"/>
                    <w:snapToGrid w:val="0"/>
                    <w:jc w:val="center"/>
                    <w:rPr>
                      <w:color w:val="auto"/>
                      <w:szCs w:val="21"/>
                    </w:rPr>
                  </w:pPr>
                </w:p>
              </w:tc>
              <w:tc>
                <w:tcPr>
                  <w:tcW w:w="362" w:type="pct"/>
                  <w:vAlign w:val="center"/>
                </w:tcPr>
                <w:p w14:paraId="3E6F6546">
                  <w:pPr>
                    <w:adjustRightInd w:val="0"/>
                    <w:snapToGrid w:val="0"/>
                    <w:jc w:val="center"/>
                    <w:rPr>
                      <w:color w:val="auto"/>
                      <w:szCs w:val="21"/>
                    </w:rPr>
                  </w:pPr>
                  <w:r>
                    <w:rPr>
                      <w:rFonts w:hint="eastAsia"/>
                      <w:color w:val="auto"/>
                      <w:szCs w:val="21"/>
                    </w:rPr>
                    <w:t>15%</w:t>
                  </w:r>
                </w:p>
              </w:tc>
              <w:tc>
                <w:tcPr>
                  <w:tcW w:w="426" w:type="pct"/>
                  <w:vMerge w:val="continue"/>
                  <w:vAlign w:val="center"/>
                </w:tcPr>
                <w:p w14:paraId="528CFCE1">
                  <w:pPr>
                    <w:adjustRightInd w:val="0"/>
                    <w:snapToGrid w:val="0"/>
                    <w:jc w:val="center"/>
                    <w:rPr>
                      <w:color w:val="auto"/>
                      <w:szCs w:val="21"/>
                    </w:rPr>
                  </w:pPr>
                </w:p>
              </w:tc>
              <w:tc>
                <w:tcPr>
                  <w:tcW w:w="480" w:type="pct"/>
                  <w:vAlign w:val="center"/>
                </w:tcPr>
                <w:p w14:paraId="05CE2466">
                  <w:pPr>
                    <w:widowControl/>
                    <w:jc w:val="center"/>
                    <w:textAlignment w:val="center"/>
                    <w:rPr>
                      <w:color w:val="auto"/>
                      <w:szCs w:val="21"/>
                    </w:rPr>
                  </w:pPr>
                  <w:r>
                    <w:rPr>
                      <w:color w:val="auto"/>
                      <w:kern w:val="0"/>
                      <w:szCs w:val="21"/>
                      <w:lang w:bidi="ar"/>
                    </w:rPr>
                    <w:t>0.0263</w:t>
                  </w:r>
                </w:p>
              </w:tc>
              <w:tc>
                <w:tcPr>
                  <w:tcW w:w="472" w:type="pct"/>
                  <w:vAlign w:val="center"/>
                </w:tcPr>
                <w:p w14:paraId="50571CAB">
                  <w:pPr>
                    <w:widowControl/>
                    <w:jc w:val="center"/>
                    <w:textAlignment w:val="center"/>
                    <w:rPr>
                      <w:color w:val="auto"/>
                      <w:szCs w:val="21"/>
                    </w:rPr>
                  </w:pPr>
                  <w:r>
                    <w:rPr>
                      <w:color w:val="auto"/>
                      <w:kern w:val="0"/>
                      <w:szCs w:val="21"/>
                      <w:lang w:bidi="ar"/>
                    </w:rPr>
                    <w:t>0.0088</w:t>
                  </w:r>
                </w:p>
              </w:tc>
            </w:tr>
            <w:tr w14:paraId="0868B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776BF1F0">
                  <w:pPr>
                    <w:adjustRightInd w:val="0"/>
                    <w:snapToGrid w:val="0"/>
                    <w:jc w:val="center"/>
                    <w:rPr>
                      <w:color w:val="auto"/>
                      <w:szCs w:val="21"/>
                    </w:rPr>
                  </w:pPr>
                </w:p>
              </w:tc>
              <w:tc>
                <w:tcPr>
                  <w:tcW w:w="342" w:type="pct"/>
                  <w:vAlign w:val="center"/>
                </w:tcPr>
                <w:p w14:paraId="032D8F1C">
                  <w:pPr>
                    <w:adjustRightInd w:val="0"/>
                    <w:snapToGrid w:val="0"/>
                    <w:jc w:val="center"/>
                    <w:rPr>
                      <w:color w:val="auto"/>
                      <w:szCs w:val="21"/>
                    </w:rPr>
                  </w:pPr>
                  <w:r>
                    <w:rPr>
                      <w:rFonts w:hint="eastAsia"/>
                      <w:color w:val="auto"/>
                      <w:szCs w:val="21"/>
                    </w:rPr>
                    <w:t>合计</w:t>
                  </w:r>
                </w:p>
              </w:tc>
              <w:tc>
                <w:tcPr>
                  <w:tcW w:w="509" w:type="pct"/>
                  <w:vAlign w:val="center"/>
                </w:tcPr>
                <w:p w14:paraId="05D7CFA9">
                  <w:pPr>
                    <w:adjustRightInd w:val="0"/>
                    <w:snapToGrid w:val="0"/>
                    <w:jc w:val="center"/>
                    <w:rPr>
                      <w:color w:val="auto"/>
                      <w:szCs w:val="21"/>
                    </w:rPr>
                  </w:pPr>
                  <w:r>
                    <w:rPr>
                      <w:rFonts w:hint="eastAsia"/>
                      <w:color w:val="auto"/>
                      <w:szCs w:val="21"/>
                    </w:rPr>
                    <w:t>/</w:t>
                  </w:r>
                </w:p>
              </w:tc>
              <w:tc>
                <w:tcPr>
                  <w:tcW w:w="545" w:type="pct"/>
                  <w:vAlign w:val="center"/>
                </w:tcPr>
                <w:p w14:paraId="43463980">
                  <w:pPr>
                    <w:adjustRightInd w:val="0"/>
                    <w:snapToGrid w:val="0"/>
                    <w:jc w:val="center"/>
                    <w:rPr>
                      <w:color w:val="auto"/>
                      <w:szCs w:val="21"/>
                    </w:rPr>
                  </w:pPr>
                  <w:r>
                    <w:rPr>
                      <w:rFonts w:hint="eastAsia"/>
                      <w:color w:val="auto"/>
                      <w:szCs w:val="21"/>
                    </w:rPr>
                    <w:t>/</w:t>
                  </w:r>
                </w:p>
              </w:tc>
              <w:tc>
                <w:tcPr>
                  <w:tcW w:w="441" w:type="pct"/>
                  <w:vAlign w:val="center"/>
                </w:tcPr>
                <w:p w14:paraId="7818A952">
                  <w:pPr>
                    <w:adjustRightInd w:val="0"/>
                    <w:snapToGrid w:val="0"/>
                    <w:jc w:val="center"/>
                    <w:rPr>
                      <w:color w:val="auto"/>
                      <w:szCs w:val="21"/>
                    </w:rPr>
                  </w:pPr>
                  <w:r>
                    <w:rPr>
                      <w:rFonts w:hint="eastAsia"/>
                      <w:color w:val="auto"/>
                      <w:szCs w:val="21"/>
                    </w:rPr>
                    <w:t>/</w:t>
                  </w:r>
                </w:p>
              </w:tc>
              <w:tc>
                <w:tcPr>
                  <w:tcW w:w="444" w:type="pct"/>
                  <w:vAlign w:val="center"/>
                </w:tcPr>
                <w:p w14:paraId="6524AACB">
                  <w:pPr>
                    <w:adjustRightInd w:val="0"/>
                    <w:snapToGrid w:val="0"/>
                    <w:jc w:val="center"/>
                    <w:rPr>
                      <w:color w:val="auto"/>
                      <w:szCs w:val="21"/>
                    </w:rPr>
                  </w:pPr>
                  <w:r>
                    <w:rPr>
                      <w:rFonts w:hint="eastAsia"/>
                      <w:color w:val="auto"/>
                      <w:szCs w:val="21"/>
                    </w:rPr>
                    <w:t>TVOC</w:t>
                  </w:r>
                </w:p>
              </w:tc>
              <w:tc>
                <w:tcPr>
                  <w:tcW w:w="529" w:type="pct"/>
                  <w:vAlign w:val="center"/>
                </w:tcPr>
                <w:p w14:paraId="4AB91F43">
                  <w:pPr>
                    <w:adjustRightInd w:val="0"/>
                    <w:snapToGrid w:val="0"/>
                    <w:jc w:val="center"/>
                    <w:rPr>
                      <w:color w:val="auto"/>
                      <w:szCs w:val="21"/>
                    </w:rPr>
                  </w:pPr>
                  <w:r>
                    <w:rPr>
                      <w:rFonts w:hint="eastAsia"/>
                      <w:color w:val="auto"/>
                      <w:szCs w:val="21"/>
                    </w:rPr>
                    <w:t>/</w:t>
                  </w:r>
                </w:p>
              </w:tc>
              <w:tc>
                <w:tcPr>
                  <w:tcW w:w="362" w:type="pct"/>
                  <w:vAlign w:val="center"/>
                </w:tcPr>
                <w:p w14:paraId="3AF12E4C">
                  <w:pPr>
                    <w:adjustRightInd w:val="0"/>
                    <w:snapToGrid w:val="0"/>
                    <w:jc w:val="center"/>
                    <w:rPr>
                      <w:color w:val="auto"/>
                      <w:szCs w:val="21"/>
                    </w:rPr>
                  </w:pPr>
                  <w:r>
                    <w:rPr>
                      <w:rFonts w:hint="eastAsia"/>
                      <w:color w:val="auto"/>
                      <w:szCs w:val="21"/>
                    </w:rPr>
                    <w:t>/</w:t>
                  </w:r>
                </w:p>
              </w:tc>
              <w:tc>
                <w:tcPr>
                  <w:tcW w:w="426" w:type="pct"/>
                  <w:vAlign w:val="center"/>
                </w:tcPr>
                <w:p w14:paraId="5189F519">
                  <w:pPr>
                    <w:adjustRightInd w:val="0"/>
                    <w:snapToGrid w:val="0"/>
                    <w:jc w:val="center"/>
                    <w:rPr>
                      <w:color w:val="auto"/>
                      <w:szCs w:val="21"/>
                    </w:rPr>
                  </w:pPr>
                  <w:r>
                    <w:rPr>
                      <w:rFonts w:hint="eastAsia"/>
                      <w:color w:val="auto"/>
                      <w:szCs w:val="21"/>
                    </w:rPr>
                    <w:t>/</w:t>
                  </w:r>
                </w:p>
              </w:tc>
              <w:tc>
                <w:tcPr>
                  <w:tcW w:w="480" w:type="pct"/>
                  <w:vAlign w:val="center"/>
                </w:tcPr>
                <w:p w14:paraId="348C919B">
                  <w:pPr>
                    <w:widowControl/>
                    <w:jc w:val="center"/>
                    <w:textAlignment w:val="center"/>
                    <w:rPr>
                      <w:color w:val="auto"/>
                      <w:kern w:val="0"/>
                      <w:szCs w:val="21"/>
                      <w:lang w:bidi="ar"/>
                    </w:rPr>
                  </w:pPr>
                  <w:r>
                    <w:rPr>
                      <w:color w:val="auto"/>
                      <w:kern w:val="0"/>
                      <w:szCs w:val="21"/>
                      <w:lang w:bidi="ar"/>
                    </w:rPr>
                    <w:t>0.1753</w:t>
                  </w:r>
                </w:p>
              </w:tc>
              <w:tc>
                <w:tcPr>
                  <w:tcW w:w="472" w:type="pct"/>
                  <w:vAlign w:val="center"/>
                </w:tcPr>
                <w:p w14:paraId="0FBAB2C4">
                  <w:pPr>
                    <w:widowControl/>
                    <w:jc w:val="center"/>
                    <w:textAlignment w:val="center"/>
                    <w:rPr>
                      <w:color w:val="auto"/>
                      <w:kern w:val="0"/>
                      <w:szCs w:val="21"/>
                      <w:lang w:bidi="ar"/>
                    </w:rPr>
                  </w:pPr>
                  <w:r>
                    <w:rPr>
                      <w:color w:val="auto"/>
                      <w:kern w:val="0"/>
                      <w:szCs w:val="21"/>
                      <w:lang w:bidi="ar"/>
                    </w:rPr>
                    <w:t>0.0585</w:t>
                  </w:r>
                </w:p>
              </w:tc>
            </w:tr>
            <w:tr w14:paraId="1845A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restart"/>
                  <w:vAlign w:val="center"/>
                </w:tcPr>
                <w:p w14:paraId="3499D6B4">
                  <w:pPr>
                    <w:adjustRightInd w:val="0"/>
                    <w:snapToGrid w:val="0"/>
                    <w:jc w:val="center"/>
                    <w:rPr>
                      <w:color w:val="auto"/>
                      <w:szCs w:val="21"/>
                    </w:rPr>
                  </w:pPr>
                  <w:r>
                    <w:rPr>
                      <w:rFonts w:hint="eastAsia"/>
                      <w:color w:val="auto"/>
                      <w:szCs w:val="21"/>
                    </w:rPr>
                    <w:t>尾数房</w:t>
                  </w:r>
                </w:p>
              </w:tc>
              <w:tc>
                <w:tcPr>
                  <w:tcW w:w="342" w:type="pct"/>
                  <w:vAlign w:val="center"/>
                </w:tcPr>
                <w:p w14:paraId="0CCE8A6A">
                  <w:pPr>
                    <w:adjustRightInd w:val="0"/>
                    <w:snapToGrid w:val="0"/>
                    <w:jc w:val="center"/>
                    <w:rPr>
                      <w:color w:val="auto"/>
                      <w:szCs w:val="21"/>
                    </w:rPr>
                  </w:pPr>
                  <w:r>
                    <w:rPr>
                      <w:rFonts w:hint="eastAsia"/>
                      <w:color w:val="auto"/>
                      <w:szCs w:val="21"/>
                    </w:rPr>
                    <w:t>喷漆</w:t>
                  </w:r>
                </w:p>
              </w:tc>
              <w:tc>
                <w:tcPr>
                  <w:tcW w:w="509" w:type="pct"/>
                  <w:vMerge w:val="restart"/>
                  <w:vAlign w:val="center"/>
                </w:tcPr>
                <w:p w14:paraId="6AA0C1DF">
                  <w:pPr>
                    <w:adjustRightInd w:val="0"/>
                    <w:snapToGrid w:val="0"/>
                    <w:jc w:val="center"/>
                    <w:rPr>
                      <w:color w:val="auto"/>
                      <w:szCs w:val="21"/>
                    </w:rPr>
                  </w:pPr>
                  <w:r>
                    <w:rPr>
                      <w:rFonts w:hint="eastAsia"/>
                      <w:color w:val="auto"/>
                      <w:szCs w:val="21"/>
                    </w:rPr>
                    <w:t>水性底漆</w:t>
                  </w:r>
                </w:p>
              </w:tc>
              <w:tc>
                <w:tcPr>
                  <w:tcW w:w="545" w:type="pct"/>
                  <w:vMerge w:val="restart"/>
                  <w:vAlign w:val="center"/>
                </w:tcPr>
                <w:p w14:paraId="343A7F26">
                  <w:pPr>
                    <w:adjustRightInd w:val="0"/>
                    <w:snapToGrid w:val="0"/>
                    <w:jc w:val="center"/>
                    <w:rPr>
                      <w:color w:val="auto"/>
                      <w:szCs w:val="21"/>
                    </w:rPr>
                  </w:pPr>
                  <w:r>
                    <w:rPr>
                      <w:rFonts w:hint="eastAsia"/>
                      <w:color w:val="auto"/>
                      <w:szCs w:val="21"/>
                    </w:rPr>
                    <w:t>0.0456</w:t>
                  </w:r>
                </w:p>
              </w:tc>
              <w:tc>
                <w:tcPr>
                  <w:tcW w:w="441" w:type="pct"/>
                  <w:vMerge w:val="restart"/>
                  <w:vAlign w:val="center"/>
                </w:tcPr>
                <w:p w14:paraId="432CA74D">
                  <w:pPr>
                    <w:adjustRightInd w:val="0"/>
                    <w:snapToGrid w:val="0"/>
                    <w:jc w:val="center"/>
                    <w:rPr>
                      <w:color w:val="auto"/>
                      <w:szCs w:val="21"/>
                    </w:rPr>
                  </w:pPr>
                  <w:r>
                    <w:rPr>
                      <w:rFonts w:hint="eastAsia"/>
                      <w:color w:val="auto"/>
                      <w:szCs w:val="21"/>
                    </w:rPr>
                    <w:t>1.3</w:t>
                  </w:r>
                </w:p>
              </w:tc>
              <w:tc>
                <w:tcPr>
                  <w:tcW w:w="444" w:type="pct"/>
                  <w:vMerge w:val="restart"/>
                  <w:vAlign w:val="center"/>
                </w:tcPr>
                <w:p w14:paraId="231B0E4A">
                  <w:pPr>
                    <w:adjustRightInd w:val="0"/>
                    <w:snapToGrid w:val="0"/>
                    <w:jc w:val="center"/>
                    <w:rPr>
                      <w:color w:val="auto"/>
                      <w:szCs w:val="21"/>
                    </w:rPr>
                  </w:pPr>
                  <w:r>
                    <w:rPr>
                      <w:rFonts w:hint="eastAsia"/>
                      <w:color w:val="auto"/>
                      <w:szCs w:val="21"/>
                    </w:rPr>
                    <w:t>TVOC</w:t>
                  </w:r>
                </w:p>
              </w:tc>
              <w:tc>
                <w:tcPr>
                  <w:tcW w:w="529" w:type="pct"/>
                  <w:vMerge w:val="restart"/>
                  <w:vAlign w:val="center"/>
                </w:tcPr>
                <w:p w14:paraId="5FFFF423">
                  <w:pPr>
                    <w:adjustRightInd w:val="0"/>
                    <w:snapToGrid w:val="0"/>
                    <w:jc w:val="center"/>
                    <w:rPr>
                      <w:color w:val="auto"/>
                      <w:szCs w:val="21"/>
                    </w:rPr>
                  </w:pPr>
                  <w:r>
                    <w:rPr>
                      <w:rFonts w:hint="eastAsia"/>
                      <w:color w:val="auto"/>
                      <w:szCs w:val="21"/>
                    </w:rPr>
                    <w:t>62</w:t>
                  </w:r>
                </w:p>
              </w:tc>
              <w:tc>
                <w:tcPr>
                  <w:tcW w:w="362" w:type="pct"/>
                  <w:vAlign w:val="center"/>
                </w:tcPr>
                <w:p w14:paraId="7945D8F3">
                  <w:pPr>
                    <w:adjustRightInd w:val="0"/>
                    <w:snapToGrid w:val="0"/>
                    <w:jc w:val="center"/>
                    <w:rPr>
                      <w:color w:val="auto"/>
                      <w:szCs w:val="21"/>
                    </w:rPr>
                  </w:pPr>
                  <w:r>
                    <w:rPr>
                      <w:rFonts w:hint="eastAsia"/>
                      <w:color w:val="auto"/>
                      <w:szCs w:val="21"/>
                    </w:rPr>
                    <w:t>85%</w:t>
                  </w:r>
                </w:p>
              </w:tc>
              <w:tc>
                <w:tcPr>
                  <w:tcW w:w="426" w:type="pct"/>
                  <w:vMerge w:val="restart"/>
                  <w:vAlign w:val="center"/>
                </w:tcPr>
                <w:p w14:paraId="07A0D43F">
                  <w:pPr>
                    <w:adjustRightInd w:val="0"/>
                    <w:snapToGrid w:val="0"/>
                    <w:jc w:val="center"/>
                    <w:rPr>
                      <w:color w:val="auto"/>
                      <w:szCs w:val="21"/>
                    </w:rPr>
                  </w:pPr>
                  <w:r>
                    <w:rPr>
                      <w:rFonts w:hint="eastAsia"/>
                      <w:color w:val="auto"/>
                      <w:szCs w:val="21"/>
                    </w:rPr>
                    <w:t>2h/d，300d/a</w:t>
                  </w:r>
                </w:p>
              </w:tc>
              <w:tc>
                <w:tcPr>
                  <w:tcW w:w="480" w:type="pct"/>
                  <w:vAlign w:val="center"/>
                </w:tcPr>
                <w:p w14:paraId="3FFB3301">
                  <w:pPr>
                    <w:widowControl/>
                    <w:jc w:val="center"/>
                    <w:textAlignment w:val="center"/>
                    <w:rPr>
                      <w:color w:val="auto"/>
                      <w:szCs w:val="21"/>
                    </w:rPr>
                  </w:pPr>
                  <w:r>
                    <w:rPr>
                      <w:color w:val="auto"/>
                      <w:kern w:val="0"/>
                      <w:szCs w:val="21"/>
                      <w:lang w:bidi="ar"/>
                    </w:rPr>
                    <w:t>0.0018</w:t>
                  </w:r>
                </w:p>
              </w:tc>
              <w:tc>
                <w:tcPr>
                  <w:tcW w:w="472" w:type="pct"/>
                  <w:vAlign w:val="center"/>
                </w:tcPr>
                <w:p w14:paraId="22E07718">
                  <w:pPr>
                    <w:widowControl/>
                    <w:jc w:val="center"/>
                    <w:textAlignment w:val="center"/>
                    <w:rPr>
                      <w:color w:val="auto"/>
                      <w:szCs w:val="21"/>
                    </w:rPr>
                  </w:pPr>
                  <w:r>
                    <w:rPr>
                      <w:color w:val="auto"/>
                      <w:kern w:val="0"/>
                      <w:szCs w:val="21"/>
                      <w:lang w:bidi="ar"/>
                    </w:rPr>
                    <w:t>0.0031</w:t>
                  </w:r>
                </w:p>
              </w:tc>
            </w:tr>
            <w:tr w14:paraId="6E33D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42992A36">
                  <w:pPr>
                    <w:adjustRightInd w:val="0"/>
                    <w:snapToGrid w:val="0"/>
                    <w:jc w:val="center"/>
                    <w:rPr>
                      <w:color w:val="auto"/>
                      <w:szCs w:val="21"/>
                    </w:rPr>
                  </w:pPr>
                </w:p>
              </w:tc>
              <w:tc>
                <w:tcPr>
                  <w:tcW w:w="342" w:type="pct"/>
                  <w:vAlign w:val="center"/>
                </w:tcPr>
                <w:p w14:paraId="08F52406">
                  <w:pPr>
                    <w:adjustRightInd w:val="0"/>
                    <w:snapToGrid w:val="0"/>
                    <w:jc w:val="center"/>
                    <w:rPr>
                      <w:color w:val="auto"/>
                      <w:szCs w:val="21"/>
                    </w:rPr>
                  </w:pPr>
                  <w:r>
                    <w:rPr>
                      <w:rFonts w:hint="eastAsia"/>
                      <w:color w:val="auto"/>
                      <w:szCs w:val="21"/>
                    </w:rPr>
                    <w:t>烘烤</w:t>
                  </w:r>
                </w:p>
              </w:tc>
              <w:tc>
                <w:tcPr>
                  <w:tcW w:w="509" w:type="pct"/>
                  <w:vMerge w:val="continue"/>
                  <w:vAlign w:val="center"/>
                </w:tcPr>
                <w:p w14:paraId="3F73BBD1">
                  <w:pPr>
                    <w:adjustRightInd w:val="0"/>
                    <w:snapToGrid w:val="0"/>
                    <w:jc w:val="center"/>
                    <w:rPr>
                      <w:color w:val="auto"/>
                      <w:szCs w:val="21"/>
                    </w:rPr>
                  </w:pPr>
                </w:p>
              </w:tc>
              <w:tc>
                <w:tcPr>
                  <w:tcW w:w="545" w:type="pct"/>
                  <w:vMerge w:val="continue"/>
                  <w:vAlign w:val="center"/>
                </w:tcPr>
                <w:p w14:paraId="55F91F42">
                  <w:pPr>
                    <w:adjustRightInd w:val="0"/>
                    <w:snapToGrid w:val="0"/>
                    <w:jc w:val="center"/>
                    <w:rPr>
                      <w:color w:val="auto"/>
                      <w:szCs w:val="21"/>
                    </w:rPr>
                  </w:pPr>
                </w:p>
              </w:tc>
              <w:tc>
                <w:tcPr>
                  <w:tcW w:w="441" w:type="pct"/>
                  <w:vMerge w:val="continue"/>
                  <w:vAlign w:val="center"/>
                </w:tcPr>
                <w:p w14:paraId="51311B1D">
                  <w:pPr>
                    <w:adjustRightInd w:val="0"/>
                    <w:snapToGrid w:val="0"/>
                    <w:jc w:val="center"/>
                    <w:rPr>
                      <w:color w:val="auto"/>
                      <w:szCs w:val="21"/>
                    </w:rPr>
                  </w:pPr>
                </w:p>
              </w:tc>
              <w:tc>
                <w:tcPr>
                  <w:tcW w:w="444" w:type="pct"/>
                  <w:vMerge w:val="continue"/>
                  <w:vAlign w:val="center"/>
                </w:tcPr>
                <w:p w14:paraId="63EA1634">
                  <w:pPr>
                    <w:adjustRightInd w:val="0"/>
                    <w:snapToGrid w:val="0"/>
                    <w:jc w:val="center"/>
                    <w:rPr>
                      <w:color w:val="auto"/>
                      <w:szCs w:val="21"/>
                    </w:rPr>
                  </w:pPr>
                </w:p>
              </w:tc>
              <w:tc>
                <w:tcPr>
                  <w:tcW w:w="529" w:type="pct"/>
                  <w:vMerge w:val="continue"/>
                  <w:vAlign w:val="center"/>
                </w:tcPr>
                <w:p w14:paraId="2662AD99">
                  <w:pPr>
                    <w:adjustRightInd w:val="0"/>
                    <w:snapToGrid w:val="0"/>
                    <w:jc w:val="center"/>
                    <w:rPr>
                      <w:color w:val="auto"/>
                      <w:szCs w:val="21"/>
                    </w:rPr>
                  </w:pPr>
                </w:p>
              </w:tc>
              <w:tc>
                <w:tcPr>
                  <w:tcW w:w="362" w:type="pct"/>
                  <w:vAlign w:val="center"/>
                </w:tcPr>
                <w:p w14:paraId="32AA7EDB">
                  <w:pPr>
                    <w:adjustRightInd w:val="0"/>
                    <w:snapToGrid w:val="0"/>
                    <w:jc w:val="center"/>
                    <w:rPr>
                      <w:color w:val="auto"/>
                      <w:szCs w:val="21"/>
                    </w:rPr>
                  </w:pPr>
                  <w:r>
                    <w:rPr>
                      <w:rFonts w:hint="eastAsia"/>
                      <w:color w:val="auto"/>
                      <w:szCs w:val="21"/>
                    </w:rPr>
                    <w:t>15%</w:t>
                  </w:r>
                </w:p>
              </w:tc>
              <w:tc>
                <w:tcPr>
                  <w:tcW w:w="426" w:type="pct"/>
                  <w:vMerge w:val="continue"/>
                  <w:vAlign w:val="center"/>
                </w:tcPr>
                <w:p w14:paraId="51D15AD8">
                  <w:pPr>
                    <w:adjustRightInd w:val="0"/>
                    <w:snapToGrid w:val="0"/>
                    <w:jc w:val="center"/>
                    <w:rPr>
                      <w:color w:val="auto"/>
                      <w:szCs w:val="21"/>
                    </w:rPr>
                  </w:pPr>
                </w:p>
              </w:tc>
              <w:tc>
                <w:tcPr>
                  <w:tcW w:w="480" w:type="pct"/>
                  <w:vAlign w:val="center"/>
                </w:tcPr>
                <w:p w14:paraId="6796EEA7">
                  <w:pPr>
                    <w:widowControl/>
                    <w:jc w:val="center"/>
                    <w:textAlignment w:val="center"/>
                    <w:rPr>
                      <w:color w:val="auto"/>
                      <w:szCs w:val="21"/>
                    </w:rPr>
                  </w:pPr>
                  <w:r>
                    <w:rPr>
                      <w:color w:val="auto"/>
                      <w:kern w:val="0"/>
                      <w:szCs w:val="21"/>
                      <w:lang w:bidi="ar"/>
                    </w:rPr>
                    <w:t>0.00033</w:t>
                  </w:r>
                </w:p>
              </w:tc>
              <w:tc>
                <w:tcPr>
                  <w:tcW w:w="472" w:type="pct"/>
                  <w:vAlign w:val="center"/>
                </w:tcPr>
                <w:p w14:paraId="244E62DF">
                  <w:pPr>
                    <w:widowControl/>
                    <w:jc w:val="center"/>
                    <w:textAlignment w:val="center"/>
                    <w:rPr>
                      <w:color w:val="auto"/>
                      <w:szCs w:val="21"/>
                    </w:rPr>
                  </w:pPr>
                  <w:r>
                    <w:rPr>
                      <w:color w:val="auto"/>
                      <w:kern w:val="0"/>
                      <w:szCs w:val="21"/>
                      <w:lang w:bidi="ar"/>
                    </w:rPr>
                    <w:t>0.00054</w:t>
                  </w:r>
                </w:p>
              </w:tc>
            </w:tr>
            <w:tr w14:paraId="30281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5594B2E7">
                  <w:pPr>
                    <w:adjustRightInd w:val="0"/>
                    <w:snapToGrid w:val="0"/>
                    <w:jc w:val="center"/>
                    <w:rPr>
                      <w:color w:val="auto"/>
                      <w:szCs w:val="21"/>
                    </w:rPr>
                  </w:pPr>
                </w:p>
              </w:tc>
              <w:tc>
                <w:tcPr>
                  <w:tcW w:w="342" w:type="pct"/>
                  <w:vAlign w:val="center"/>
                </w:tcPr>
                <w:p w14:paraId="44A02DBF">
                  <w:pPr>
                    <w:adjustRightInd w:val="0"/>
                    <w:snapToGrid w:val="0"/>
                    <w:jc w:val="center"/>
                    <w:rPr>
                      <w:color w:val="auto"/>
                      <w:szCs w:val="21"/>
                    </w:rPr>
                  </w:pPr>
                  <w:r>
                    <w:rPr>
                      <w:rFonts w:hint="eastAsia"/>
                      <w:color w:val="auto"/>
                      <w:szCs w:val="21"/>
                    </w:rPr>
                    <w:t>喷漆</w:t>
                  </w:r>
                </w:p>
              </w:tc>
              <w:tc>
                <w:tcPr>
                  <w:tcW w:w="509" w:type="pct"/>
                  <w:vMerge w:val="restart"/>
                  <w:vAlign w:val="center"/>
                </w:tcPr>
                <w:p w14:paraId="5007CC75">
                  <w:pPr>
                    <w:adjustRightInd w:val="0"/>
                    <w:snapToGrid w:val="0"/>
                    <w:jc w:val="center"/>
                    <w:rPr>
                      <w:color w:val="auto"/>
                      <w:szCs w:val="21"/>
                    </w:rPr>
                  </w:pPr>
                  <w:r>
                    <w:rPr>
                      <w:rFonts w:hint="eastAsia"/>
                      <w:color w:val="auto"/>
                      <w:szCs w:val="21"/>
                    </w:rPr>
                    <w:t>水性面漆</w:t>
                  </w:r>
                </w:p>
              </w:tc>
              <w:tc>
                <w:tcPr>
                  <w:tcW w:w="545" w:type="pct"/>
                  <w:vMerge w:val="restart"/>
                  <w:vAlign w:val="center"/>
                </w:tcPr>
                <w:p w14:paraId="563B76B3">
                  <w:pPr>
                    <w:adjustRightInd w:val="0"/>
                    <w:snapToGrid w:val="0"/>
                    <w:jc w:val="center"/>
                    <w:rPr>
                      <w:color w:val="auto"/>
                      <w:szCs w:val="21"/>
                    </w:rPr>
                  </w:pPr>
                  <w:r>
                    <w:rPr>
                      <w:rFonts w:hint="eastAsia"/>
                      <w:color w:val="auto"/>
                      <w:szCs w:val="21"/>
                    </w:rPr>
                    <w:t>0.0456</w:t>
                  </w:r>
                </w:p>
              </w:tc>
              <w:tc>
                <w:tcPr>
                  <w:tcW w:w="441" w:type="pct"/>
                  <w:vMerge w:val="restart"/>
                  <w:vAlign w:val="center"/>
                </w:tcPr>
                <w:p w14:paraId="424594D5">
                  <w:pPr>
                    <w:adjustRightInd w:val="0"/>
                    <w:snapToGrid w:val="0"/>
                    <w:jc w:val="center"/>
                    <w:rPr>
                      <w:color w:val="auto"/>
                      <w:szCs w:val="21"/>
                    </w:rPr>
                  </w:pPr>
                  <w:r>
                    <w:rPr>
                      <w:rFonts w:hint="eastAsia"/>
                      <w:color w:val="auto"/>
                      <w:szCs w:val="21"/>
                    </w:rPr>
                    <w:t>1.3</w:t>
                  </w:r>
                </w:p>
              </w:tc>
              <w:tc>
                <w:tcPr>
                  <w:tcW w:w="444" w:type="pct"/>
                  <w:vMerge w:val="restart"/>
                  <w:vAlign w:val="center"/>
                </w:tcPr>
                <w:p w14:paraId="026B8720">
                  <w:pPr>
                    <w:adjustRightInd w:val="0"/>
                    <w:snapToGrid w:val="0"/>
                    <w:jc w:val="center"/>
                    <w:rPr>
                      <w:color w:val="auto"/>
                      <w:szCs w:val="21"/>
                    </w:rPr>
                  </w:pPr>
                  <w:r>
                    <w:rPr>
                      <w:rFonts w:hint="eastAsia"/>
                      <w:color w:val="auto"/>
                      <w:szCs w:val="21"/>
                    </w:rPr>
                    <w:t>TVOC</w:t>
                  </w:r>
                </w:p>
              </w:tc>
              <w:tc>
                <w:tcPr>
                  <w:tcW w:w="529" w:type="pct"/>
                  <w:vMerge w:val="restart"/>
                  <w:vAlign w:val="center"/>
                </w:tcPr>
                <w:p w14:paraId="722B7EA2">
                  <w:pPr>
                    <w:adjustRightInd w:val="0"/>
                    <w:snapToGrid w:val="0"/>
                    <w:jc w:val="center"/>
                    <w:rPr>
                      <w:color w:val="auto"/>
                      <w:szCs w:val="21"/>
                    </w:rPr>
                  </w:pPr>
                  <w:r>
                    <w:rPr>
                      <w:rFonts w:hint="eastAsia"/>
                      <w:color w:val="auto"/>
                      <w:szCs w:val="21"/>
                    </w:rPr>
                    <w:t>64</w:t>
                  </w:r>
                </w:p>
              </w:tc>
              <w:tc>
                <w:tcPr>
                  <w:tcW w:w="362" w:type="pct"/>
                  <w:vAlign w:val="center"/>
                </w:tcPr>
                <w:p w14:paraId="09A60CE9">
                  <w:pPr>
                    <w:adjustRightInd w:val="0"/>
                    <w:snapToGrid w:val="0"/>
                    <w:jc w:val="center"/>
                    <w:rPr>
                      <w:color w:val="auto"/>
                      <w:szCs w:val="21"/>
                    </w:rPr>
                  </w:pPr>
                  <w:r>
                    <w:rPr>
                      <w:rFonts w:hint="eastAsia"/>
                      <w:color w:val="auto"/>
                      <w:szCs w:val="21"/>
                    </w:rPr>
                    <w:t>85%</w:t>
                  </w:r>
                </w:p>
              </w:tc>
              <w:tc>
                <w:tcPr>
                  <w:tcW w:w="426" w:type="pct"/>
                  <w:vMerge w:val="continue"/>
                  <w:vAlign w:val="center"/>
                </w:tcPr>
                <w:p w14:paraId="4249FB05">
                  <w:pPr>
                    <w:adjustRightInd w:val="0"/>
                    <w:snapToGrid w:val="0"/>
                    <w:jc w:val="center"/>
                    <w:rPr>
                      <w:color w:val="auto"/>
                      <w:szCs w:val="21"/>
                    </w:rPr>
                  </w:pPr>
                </w:p>
              </w:tc>
              <w:tc>
                <w:tcPr>
                  <w:tcW w:w="480" w:type="pct"/>
                  <w:vAlign w:val="center"/>
                </w:tcPr>
                <w:p w14:paraId="2B2FC762">
                  <w:pPr>
                    <w:widowControl/>
                    <w:jc w:val="center"/>
                    <w:textAlignment w:val="center"/>
                    <w:rPr>
                      <w:color w:val="auto"/>
                      <w:szCs w:val="21"/>
                    </w:rPr>
                  </w:pPr>
                  <w:r>
                    <w:rPr>
                      <w:color w:val="auto"/>
                      <w:kern w:val="0"/>
                      <w:szCs w:val="21"/>
                      <w:lang w:bidi="ar"/>
                    </w:rPr>
                    <w:t>0.0019</w:t>
                  </w:r>
                </w:p>
              </w:tc>
              <w:tc>
                <w:tcPr>
                  <w:tcW w:w="472" w:type="pct"/>
                  <w:vAlign w:val="center"/>
                </w:tcPr>
                <w:p w14:paraId="6300C8E6">
                  <w:pPr>
                    <w:widowControl/>
                    <w:jc w:val="center"/>
                    <w:textAlignment w:val="center"/>
                    <w:rPr>
                      <w:color w:val="auto"/>
                      <w:szCs w:val="21"/>
                    </w:rPr>
                  </w:pPr>
                  <w:r>
                    <w:rPr>
                      <w:color w:val="auto"/>
                      <w:kern w:val="0"/>
                      <w:szCs w:val="21"/>
                      <w:lang w:bidi="ar"/>
                    </w:rPr>
                    <w:t>0.0032</w:t>
                  </w:r>
                </w:p>
              </w:tc>
            </w:tr>
            <w:tr w14:paraId="53BC4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0D461370">
                  <w:pPr>
                    <w:adjustRightInd w:val="0"/>
                    <w:snapToGrid w:val="0"/>
                    <w:jc w:val="center"/>
                    <w:rPr>
                      <w:color w:val="auto"/>
                      <w:szCs w:val="21"/>
                    </w:rPr>
                  </w:pPr>
                </w:p>
              </w:tc>
              <w:tc>
                <w:tcPr>
                  <w:tcW w:w="342" w:type="pct"/>
                  <w:vAlign w:val="center"/>
                </w:tcPr>
                <w:p w14:paraId="54646A95">
                  <w:pPr>
                    <w:adjustRightInd w:val="0"/>
                    <w:snapToGrid w:val="0"/>
                    <w:jc w:val="center"/>
                    <w:rPr>
                      <w:color w:val="auto"/>
                      <w:szCs w:val="21"/>
                    </w:rPr>
                  </w:pPr>
                  <w:r>
                    <w:rPr>
                      <w:rFonts w:hint="eastAsia"/>
                      <w:color w:val="auto"/>
                      <w:szCs w:val="21"/>
                    </w:rPr>
                    <w:t>烘烤</w:t>
                  </w:r>
                </w:p>
              </w:tc>
              <w:tc>
                <w:tcPr>
                  <w:tcW w:w="509" w:type="pct"/>
                  <w:vMerge w:val="continue"/>
                  <w:vAlign w:val="center"/>
                </w:tcPr>
                <w:p w14:paraId="2B59A721">
                  <w:pPr>
                    <w:adjustRightInd w:val="0"/>
                    <w:snapToGrid w:val="0"/>
                    <w:jc w:val="center"/>
                    <w:rPr>
                      <w:color w:val="auto"/>
                      <w:szCs w:val="21"/>
                    </w:rPr>
                  </w:pPr>
                </w:p>
              </w:tc>
              <w:tc>
                <w:tcPr>
                  <w:tcW w:w="545" w:type="pct"/>
                  <w:vMerge w:val="continue"/>
                  <w:vAlign w:val="center"/>
                </w:tcPr>
                <w:p w14:paraId="296D5E07">
                  <w:pPr>
                    <w:adjustRightInd w:val="0"/>
                    <w:snapToGrid w:val="0"/>
                    <w:jc w:val="center"/>
                    <w:rPr>
                      <w:color w:val="auto"/>
                      <w:szCs w:val="21"/>
                    </w:rPr>
                  </w:pPr>
                </w:p>
              </w:tc>
              <w:tc>
                <w:tcPr>
                  <w:tcW w:w="441" w:type="pct"/>
                  <w:vMerge w:val="continue"/>
                  <w:vAlign w:val="center"/>
                </w:tcPr>
                <w:p w14:paraId="63BCFF7E">
                  <w:pPr>
                    <w:adjustRightInd w:val="0"/>
                    <w:snapToGrid w:val="0"/>
                    <w:jc w:val="center"/>
                    <w:rPr>
                      <w:color w:val="auto"/>
                      <w:szCs w:val="21"/>
                    </w:rPr>
                  </w:pPr>
                </w:p>
              </w:tc>
              <w:tc>
                <w:tcPr>
                  <w:tcW w:w="444" w:type="pct"/>
                  <w:vMerge w:val="continue"/>
                  <w:vAlign w:val="center"/>
                </w:tcPr>
                <w:p w14:paraId="64A27384">
                  <w:pPr>
                    <w:adjustRightInd w:val="0"/>
                    <w:snapToGrid w:val="0"/>
                    <w:jc w:val="center"/>
                    <w:rPr>
                      <w:color w:val="auto"/>
                      <w:szCs w:val="21"/>
                    </w:rPr>
                  </w:pPr>
                </w:p>
              </w:tc>
              <w:tc>
                <w:tcPr>
                  <w:tcW w:w="529" w:type="pct"/>
                  <w:vMerge w:val="continue"/>
                  <w:vAlign w:val="center"/>
                </w:tcPr>
                <w:p w14:paraId="47367AA0">
                  <w:pPr>
                    <w:adjustRightInd w:val="0"/>
                    <w:snapToGrid w:val="0"/>
                    <w:jc w:val="center"/>
                    <w:rPr>
                      <w:color w:val="auto"/>
                      <w:szCs w:val="21"/>
                    </w:rPr>
                  </w:pPr>
                </w:p>
              </w:tc>
              <w:tc>
                <w:tcPr>
                  <w:tcW w:w="362" w:type="pct"/>
                  <w:vAlign w:val="center"/>
                </w:tcPr>
                <w:p w14:paraId="100B26A4">
                  <w:pPr>
                    <w:adjustRightInd w:val="0"/>
                    <w:snapToGrid w:val="0"/>
                    <w:jc w:val="center"/>
                    <w:rPr>
                      <w:color w:val="auto"/>
                      <w:szCs w:val="21"/>
                    </w:rPr>
                  </w:pPr>
                  <w:r>
                    <w:rPr>
                      <w:rFonts w:hint="eastAsia"/>
                      <w:color w:val="auto"/>
                      <w:szCs w:val="21"/>
                    </w:rPr>
                    <w:t>15%</w:t>
                  </w:r>
                </w:p>
              </w:tc>
              <w:tc>
                <w:tcPr>
                  <w:tcW w:w="426" w:type="pct"/>
                  <w:vMerge w:val="continue"/>
                  <w:vAlign w:val="center"/>
                </w:tcPr>
                <w:p w14:paraId="16D6253E">
                  <w:pPr>
                    <w:adjustRightInd w:val="0"/>
                    <w:snapToGrid w:val="0"/>
                    <w:jc w:val="center"/>
                    <w:rPr>
                      <w:color w:val="auto"/>
                      <w:szCs w:val="21"/>
                    </w:rPr>
                  </w:pPr>
                </w:p>
              </w:tc>
              <w:tc>
                <w:tcPr>
                  <w:tcW w:w="480" w:type="pct"/>
                  <w:vAlign w:val="center"/>
                </w:tcPr>
                <w:p w14:paraId="305F6FD3">
                  <w:pPr>
                    <w:widowControl/>
                    <w:jc w:val="center"/>
                    <w:textAlignment w:val="center"/>
                    <w:rPr>
                      <w:color w:val="auto"/>
                      <w:szCs w:val="21"/>
                    </w:rPr>
                  </w:pPr>
                  <w:r>
                    <w:rPr>
                      <w:color w:val="auto"/>
                      <w:kern w:val="0"/>
                      <w:szCs w:val="21"/>
                      <w:lang w:bidi="ar"/>
                    </w:rPr>
                    <w:t>0.00034</w:t>
                  </w:r>
                </w:p>
              </w:tc>
              <w:tc>
                <w:tcPr>
                  <w:tcW w:w="472" w:type="pct"/>
                  <w:vAlign w:val="center"/>
                </w:tcPr>
                <w:p w14:paraId="5851C340">
                  <w:pPr>
                    <w:widowControl/>
                    <w:jc w:val="center"/>
                    <w:textAlignment w:val="center"/>
                    <w:rPr>
                      <w:color w:val="auto"/>
                      <w:szCs w:val="21"/>
                    </w:rPr>
                  </w:pPr>
                  <w:r>
                    <w:rPr>
                      <w:color w:val="auto"/>
                      <w:kern w:val="0"/>
                      <w:szCs w:val="21"/>
                      <w:lang w:bidi="ar"/>
                    </w:rPr>
                    <w:t>0.00056</w:t>
                  </w:r>
                </w:p>
              </w:tc>
            </w:tr>
            <w:tr w14:paraId="71B07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7809D8D4">
                  <w:pPr>
                    <w:adjustRightInd w:val="0"/>
                    <w:snapToGrid w:val="0"/>
                    <w:jc w:val="center"/>
                    <w:rPr>
                      <w:color w:val="auto"/>
                      <w:szCs w:val="21"/>
                    </w:rPr>
                  </w:pPr>
                </w:p>
              </w:tc>
              <w:tc>
                <w:tcPr>
                  <w:tcW w:w="342" w:type="pct"/>
                  <w:vAlign w:val="center"/>
                </w:tcPr>
                <w:p w14:paraId="2CD02EC2">
                  <w:pPr>
                    <w:adjustRightInd w:val="0"/>
                    <w:snapToGrid w:val="0"/>
                    <w:jc w:val="center"/>
                    <w:rPr>
                      <w:color w:val="auto"/>
                      <w:szCs w:val="21"/>
                    </w:rPr>
                  </w:pPr>
                  <w:r>
                    <w:rPr>
                      <w:rFonts w:hint="eastAsia"/>
                      <w:color w:val="auto"/>
                      <w:szCs w:val="21"/>
                    </w:rPr>
                    <w:t>喷漆</w:t>
                  </w:r>
                </w:p>
              </w:tc>
              <w:tc>
                <w:tcPr>
                  <w:tcW w:w="509" w:type="pct"/>
                  <w:vMerge w:val="restart"/>
                  <w:vAlign w:val="center"/>
                </w:tcPr>
                <w:p w14:paraId="499E9820">
                  <w:pPr>
                    <w:adjustRightInd w:val="0"/>
                    <w:snapToGrid w:val="0"/>
                    <w:jc w:val="center"/>
                    <w:rPr>
                      <w:color w:val="auto"/>
                      <w:szCs w:val="21"/>
                    </w:rPr>
                  </w:pPr>
                  <w:r>
                    <w:rPr>
                      <w:rFonts w:hint="eastAsia"/>
                      <w:color w:val="auto"/>
                      <w:szCs w:val="21"/>
                    </w:rPr>
                    <w:t>水性清漆</w:t>
                  </w:r>
                </w:p>
              </w:tc>
              <w:tc>
                <w:tcPr>
                  <w:tcW w:w="545" w:type="pct"/>
                  <w:vMerge w:val="restart"/>
                  <w:vAlign w:val="center"/>
                </w:tcPr>
                <w:p w14:paraId="643EE0AF">
                  <w:pPr>
                    <w:adjustRightInd w:val="0"/>
                    <w:snapToGrid w:val="0"/>
                    <w:jc w:val="center"/>
                    <w:rPr>
                      <w:color w:val="auto"/>
                      <w:szCs w:val="21"/>
                    </w:rPr>
                  </w:pPr>
                  <w:r>
                    <w:rPr>
                      <w:rFonts w:hint="eastAsia"/>
                      <w:color w:val="auto"/>
                      <w:szCs w:val="21"/>
                    </w:rPr>
                    <w:t>0.0372</w:t>
                  </w:r>
                </w:p>
              </w:tc>
              <w:tc>
                <w:tcPr>
                  <w:tcW w:w="441" w:type="pct"/>
                  <w:vMerge w:val="restart"/>
                  <w:vAlign w:val="center"/>
                </w:tcPr>
                <w:p w14:paraId="5B3E8A57">
                  <w:pPr>
                    <w:adjustRightInd w:val="0"/>
                    <w:snapToGrid w:val="0"/>
                    <w:jc w:val="center"/>
                    <w:rPr>
                      <w:color w:val="auto"/>
                      <w:szCs w:val="21"/>
                    </w:rPr>
                  </w:pPr>
                  <w:r>
                    <w:rPr>
                      <w:rFonts w:hint="eastAsia"/>
                      <w:color w:val="auto"/>
                      <w:szCs w:val="21"/>
                    </w:rPr>
                    <w:t>1.06</w:t>
                  </w:r>
                </w:p>
              </w:tc>
              <w:tc>
                <w:tcPr>
                  <w:tcW w:w="444" w:type="pct"/>
                  <w:vMerge w:val="restart"/>
                  <w:vAlign w:val="center"/>
                </w:tcPr>
                <w:p w14:paraId="094E139C">
                  <w:pPr>
                    <w:adjustRightInd w:val="0"/>
                    <w:snapToGrid w:val="0"/>
                    <w:jc w:val="center"/>
                    <w:rPr>
                      <w:color w:val="auto"/>
                      <w:szCs w:val="21"/>
                    </w:rPr>
                  </w:pPr>
                  <w:r>
                    <w:rPr>
                      <w:rFonts w:hint="eastAsia"/>
                      <w:color w:val="auto"/>
                      <w:szCs w:val="21"/>
                    </w:rPr>
                    <w:t>TVOC</w:t>
                  </w:r>
                </w:p>
              </w:tc>
              <w:tc>
                <w:tcPr>
                  <w:tcW w:w="529" w:type="pct"/>
                  <w:vMerge w:val="restart"/>
                  <w:vAlign w:val="center"/>
                </w:tcPr>
                <w:p w14:paraId="1352FFA5">
                  <w:pPr>
                    <w:adjustRightInd w:val="0"/>
                    <w:snapToGrid w:val="0"/>
                    <w:jc w:val="center"/>
                    <w:rPr>
                      <w:color w:val="auto"/>
                      <w:szCs w:val="21"/>
                    </w:rPr>
                  </w:pPr>
                  <w:r>
                    <w:rPr>
                      <w:rFonts w:hint="eastAsia"/>
                      <w:color w:val="auto"/>
                      <w:szCs w:val="21"/>
                    </w:rPr>
                    <w:t>50</w:t>
                  </w:r>
                </w:p>
              </w:tc>
              <w:tc>
                <w:tcPr>
                  <w:tcW w:w="362" w:type="pct"/>
                  <w:vAlign w:val="center"/>
                </w:tcPr>
                <w:p w14:paraId="72262AB7">
                  <w:pPr>
                    <w:adjustRightInd w:val="0"/>
                    <w:snapToGrid w:val="0"/>
                    <w:jc w:val="center"/>
                    <w:rPr>
                      <w:color w:val="auto"/>
                      <w:szCs w:val="21"/>
                    </w:rPr>
                  </w:pPr>
                  <w:r>
                    <w:rPr>
                      <w:rFonts w:hint="eastAsia"/>
                      <w:color w:val="auto"/>
                      <w:szCs w:val="21"/>
                    </w:rPr>
                    <w:t>85%</w:t>
                  </w:r>
                </w:p>
              </w:tc>
              <w:tc>
                <w:tcPr>
                  <w:tcW w:w="426" w:type="pct"/>
                  <w:vMerge w:val="continue"/>
                  <w:vAlign w:val="center"/>
                </w:tcPr>
                <w:p w14:paraId="3D419D26">
                  <w:pPr>
                    <w:adjustRightInd w:val="0"/>
                    <w:snapToGrid w:val="0"/>
                    <w:jc w:val="center"/>
                    <w:rPr>
                      <w:color w:val="auto"/>
                      <w:szCs w:val="21"/>
                    </w:rPr>
                  </w:pPr>
                </w:p>
              </w:tc>
              <w:tc>
                <w:tcPr>
                  <w:tcW w:w="480" w:type="pct"/>
                  <w:vAlign w:val="center"/>
                </w:tcPr>
                <w:p w14:paraId="19369F96">
                  <w:pPr>
                    <w:widowControl/>
                    <w:jc w:val="center"/>
                    <w:textAlignment w:val="center"/>
                    <w:rPr>
                      <w:color w:val="auto"/>
                      <w:szCs w:val="21"/>
                    </w:rPr>
                  </w:pPr>
                  <w:r>
                    <w:rPr>
                      <w:color w:val="auto"/>
                      <w:kern w:val="0"/>
                      <w:szCs w:val="21"/>
                      <w:lang w:bidi="ar"/>
                    </w:rPr>
                    <w:t>0.0015</w:t>
                  </w:r>
                </w:p>
              </w:tc>
              <w:tc>
                <w:tcPr>
                  <w:tcW w:w="472" w:type="pct"/>
                  <w:vAlign w:val="center"/>
                </w:tcPr>
                <w:p w14:paraId="5F94FCBB">
                  <w:pPr>
                    <w:widowControl/>
                    <w:jc w:val="center"/>
                    <w:textAlignment w:val="center"/>
                    <w:rPr>
                      <w:color w:val="auto"/>
                      <w:szCs w:val="21"/>
                    </w:rPr>
                  </w:pPr>
                  <w:r>
                    <w:rPr>
                      <w:color w:val="auto"/>
                      <w:kern w:val="0"/>
                      <w:szCs w:val="21"/>
                      <w:lang w:bidi="ar"/>
                    </w:rPr>
                    <w:t>0.0025</w:t>
                  </w:r>
                </w:p>
              </w:tc>
            </w:tr>
            <w:tr w14:paraId="360D3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19E3C86E">
                  <w:pPr>
                    <w:adjustRightInd w:val="0"/>
                    <w:snapToGrid w:val="0"/>
                    <w:jc w:val="center"/>
                    <w:rPr>
                      <w:color w:val="auto"/>
                      <w:szCs w:val="21"/>
                    </w:rPr>
                  </w:pPr>
                </w:p>
              </w:tc>
              <w:tc>
                <w:tcPr>
                  <w:tcW w:w="342" w:type="pct"/>
                  <w:vAlign w:val="center"/>
                </w:tcPr>
                <w:p w14:paraId="528CE06D">
                  <w:pPr>
                    <w:adjustRightInd w:val="0"/>
                    <w:snapToGrid w:val="0"/>
                    <w:jc w:val="center"/>
                    <w:rPr>
                      <w:color w:val="auto"/>
                      <w:szCs w:val="21"/>
                    </w:rPr>
                  </w:pPr>
                  <w:r>
                    <w:rPr>
                      <w:rFonts w:hint="eastAsia"/>
                      <w:color w:val="auto"/>
                      <w:szCs w:val="21"/>
                    </w:rPr>
                    <w:t>烘烤</w:t>
                  </w:r>
                </w:p>
              </w:tc>
              <w:tc>
                <w:tcPr>
                  <w:tcW w:w="509" w:type="pct"/>
                  <w:vMerge w:val="continue"/>
                  <w:vAlign w:val="center"/>
                </w:tcPr>
                <w:p w14:paraId="018AA5D8">
                  <w:pPr>
                    <w:adjustRightInd w:val="0"/>
                    <w:snapToGrid w:val="0"/>
                    <w:jc w:val="center"/>
                    <w:rPr>
                      <w:color w:val="auto"/>
                      <w:szCs w:val="21"/>
                    </w:rPr>
                  </w:pPr>
                </w:p>
              </w:tc>
              <w:tc>
                <w:tcPr>
                  <w:tcW w:w="545" w:type="pct"/>
                  <w:vMerge w:val="continue"/>
                  <w:vAlign w:val="center"/>
                </w:tcPr>
                <w:p w14:paraId="3F0906B1">
                  <w:pPr>
                    <w:adjustRightInd w:val="0"/>
                    <w:snapToGrid w:val="0"/>
                    <w:jc w:val="center"/>
                    <w:rPr>
                      <w:color w:val="auto"/>
                      <w:szCs w:val="21"/>
                    </w:rPr>
                  </w:pPr>
                </w:p>
              </w:tc>
              <w:tc>
                <w:tcPr>
                  <w:tcW w:w="441" w:type="pct"/>
                  <w:vMerge w:val="continue"/>
                  <w:vAlign w:val="center"/>
                </w:tcPr>
                <w:p w14:paraId="5852891F">
                  <w:pPr>
                    <w:adjustRightInd w:val="0"/>
                    <w:snapToGrid w:val="0"/>
                    <w:jc w:val="center"/>
                    <w:rPr>
                      <w:color w:val="auto"/>
                      <w:szCs w:val="21"/>
                    </w:rPr>
                  </w:pPr>
                </w:p>
              </w:tc>
              <w:tc>
                <w:tcPr>
                  <w:tcW w:w="444" w:type="pct"/>
                  <w:vMerge w:val="continue"/>
                  <w:vAlign w:val="center"/>
                </w:tcPr>
                <w:p w14:paraId="716340E0">
                  <w:pPr>
                    <w:adjustRightInd w:val="0"/>
                    <w:snapToGrid w:val="0"/>
                    <w:jc w:val="center"/>
                    <w:rPr>
                      <w:color w:val="auto"/>
                      <w:szCs w:val="21"/>
                    </w:rPr>
                  </w:pPr>
                </w:p>
              </w:tc>
              <w:tc>
                <w:tcPr>
                  <w:tcW w:w="529" w:type="pct"/>
                  <w:vMerge w:val="continue"/>
                  <w:vAlign w:val="center"/>
                </w:tcPr>
                <w:p w14:paraId="07BCD0AF">
                  <w:pPr>
                    <w:adjustRightInd w:val="0"/>
                    <w:snapToGrid w:val="0"/>
                    <w:jc w:val="center"/>
                    <w:rPr>
                      <w:color w:val="auto"/>
                      <w:szCs w:val="21"/>
                    </w:rPr>
                  </w:pPr>
                </w:p>
              </w:tc>
              <w:tc>
                <w:tcPr>
                  <w:tcW w:w="362" w:type="pct"/>
                  <w:vAlign w:val="center"/>
                </w:tcPr>
                <w:p w14:paraId="719E6E10">
                  <w:pPr>
                    <w:adjustRightInd w:val="0"/>
                    <w:snapToGrid w:val="0"/>
                    <w:jc w:val="center"/>
                    <w:rPr>
                      <w:color w:val="auto"/>
                      <w:szCs w:val="21"/>
                    </w:rPr>
                  </w:pPr>
                  <w:r>
                    <w:rPr>
                      <w:rFonts w:hint="eastAsia"/>
                      <w:color w:val="auto"/>
                      <w:szCs w:val="21"/>
                    </w:rPr>
                    <w:t>15%</w:t>
                  </w:r>
                </w:p>
              </w:tc>
              <w:tc>
                <w:tcPr>
                  <w:tcW w:w="426" w:type="pct"/>
                  <w:vMerge w:val="continue"/>
                  <w:vAlign w:val="center"/>
                </w:tcPr>
                <w:p w14:paraId="65F14742">
                  <w:pPr>
                    <w:adjustRightInd w:val="0"/>
                    <w:snapToGrid w:val="0"/>
                    <w:jc w:val="center"/>
                    <w:rPr>
                      <w:color w:val="auto"/>
                      <w:szCs w:val="21"/>
                    </w:rPr>
                  </w:pPr>
                </w:p>
              </w:tc>
              <w:tc>
                <w:tcPr>
                  <w:tcW w:w="480" w:type="pct"/>
                  <w:vAlign w:val="center"/>
                </w:tcPr>
                <w:p w14:paraId="74479B18">
                  <w:pPr>
                    <w:widowControl/>
                    <w:jc w:val="center"/>
                    <w:textAlignment w:val="center"/>
                    <w:rPr>
                      <w:color w:val="auto"/>
                      <w:szCs w:val="21"/>
                    </w:rPr>
                  </w:pPr>
                  <w:r>
                    <w:rPr>
                      <w:color w:val="auto"/>
                      <w:kern w:val="0"/>
                      <w:szCs w:val="21"/>
                      <w:lang w:bidi="ar"/>
                    </w:rPr>
                    <w:t>0.00026</w:t>
                  </w:r>
                </w:p>
              </w:tc>
              <w:tc>
                <w:tcPr>
                  <w:tcW w:w="472" w:type="pct"/>
                  <w:vAlign w:val="center"/>
                </w:tcPr>
                <w:p w14:paraId="7A15EC0A">
                  <w:pPr>
                    <w:widowControl/>
                    <w:jc w:val="center"/>
                    <w:textAlignment w:val="center"/>
                    <w:rPr>
                      <w:color w:val="auto"/>
                      <w:szCs w:val="21"/>
                    </w:rPr>
                  </w:pPr>
                  <w:r>
                    <w:rPr>
                      <w:color w:val="auto"/>
                      <w:kern w:val="0"/>
                      <w:szCs w:val="21"/>
                      <w:lang w:bidi="ar"/>
                    </w:rPr>
                    <w:t>0.00044</w:t>
                  </w:r>
                </w:p>
              </w:tc>
            </w:tr>
            <w:tr w14:paraId="7B2D6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vMerge w:val="continue"/>
                  <w:vAlign w:val="center"/>
                </w:tcPr>
                <w:p w14:paraId="337B60F9">
                  <w:pPr>
                    <w:adjustRightInd w:val="0"/>
                    <w:snapToGrid w:val="0"/>
                    <w:jc w:val="center"/>
                    <w:rPr>
                      <w:color w:val="auto"/>
                      <w:szCs w:val="21"/>
                    </w:rPr>
                  </w:pPr>
                </w:p>
              </w:tc>
              <w:tc>
                <w:tcPr>
                  <w:tcW w:w="342" w:type="pct"/>
                  <w:vAlign w:val="center"/>
                </w:tcPr>
                <w:p w14:paraId="1F441204">
                  <w:pPr>
                    <w:adjustRightInd w:val="0"/>
                    <w:snapToGrid w:val="0"/>
                    <w:jc w:val="center"/>
                    <w:rPr>
                      <w:color w:val="auto"/>
                      <w:szCs w:val="21"/>
                    </w:rPr>
                  </w:pPr>
                  <w:r>
                    <w:rPr>
                      <w:rFonts w:hint="eastAsia"/>
                      <w:color w:val="auto"/>
                      <w:szCs w:val="21"/>
                    </w:rPr>
                    <w:t>合计</w:t>
                  </w:r>
                </w:p>
              </w:tc>
              <w:tc>
                <w:tcPr>
                  <w:tcW w:w="509" w:type="pct"/>
                  <w:vAlign w:val="center"/>
                </w:tcPr>
                <w:p w14:paraId="1173E9F7">
                  <w:pPr>
                    <w:adjustRightInd w:val="0"/>
                    <w:snapToGrid w:val="0"/>
                    <w:jc w:val="center"/>
                    <w:rPr>
                      <w:color w:val="auto"/>
                      <w:szCs w:val="21"/>
                    </w:rPr>
                  </w:pPr>
                  <w:r>
                    <w:rPr>
                      <w:rFonts w:hint="eastAsia"/>
                      <w:color w:val="auto"/>
                      <w:szCs w:val="21"/>
                    </w:rPr>
                    <w:t>/</w:t>
                  </w:r>
                </w:p>
              </w:tc>
              <w:tc>
                <w:tcPr>
                  <w:tcW w:w="545" w:type="pct"/>
                  <w:vAlign w:val="center"/>
                </w:tcPr>
                <w:p w14:paraId="26E35949">
                  <w:pPr>
                    <w:adjustRightInd w:val="0"/>
                    <w:snapToGrid w:val="0"/>
                    <w:jc w:val="center"/>
                    <w:rPr>
                      <w:color w:val="auto"/>
                      <w:szCs w:val="21"/>
                    </w:rPr>
                  </w:pPr>
                  <w:r>
                    <w:rPr>
                      <w:rFonts w:hint="eastAsia"/>
                      <w:color w:val="auto"/>
                      <w:szCs w:val="21"/>
                    </w:rPr>
                    <w:t>/</w:t>
                  </w:r>
                </w:p>
              </w:tc>
              <w:tc>
                <w:tcPr>
                  <w:tcW w:w="441" w:type="pct"/>
                  <w:vAlign w:val="center"/>
                </w:tcPr>
                <w:p w14:paraId="7AE513F7">
                  <w:pPr>
                    <w:adjustRightInd w:val="0"/>
                    <w:snapToGrid w:val="0"/>
                    <w:jc w:val="center"/>
                    <w:rPr>
                      <w:color w:val="auto"/>
                      <w:szCs w:val="21"/>
                    </w:rPr>
                  </w:pPr>
                  <w:r>
                    <w:rPr>
                      <w:rFonts w:hint="eastAsia"/>
                      <w:color w:val="auto"/>
                      <w:szCs w:val="21"/>
                    </w:rPr>
                    <w:t>/</w:t>
                  </w:r>
                </w:p>
              </w:tc>
              <w:tc>
                <w:tcPr>
                  <w:tcW w:w="444" w:type="pct"/>
                  <w:vAlign w:val="center"/>
                </w:tcPr>
                <w:p w14:paraId="413BF1C0">
                  <w:pPr>
                    <w:adjustRightInd w:val="0"/>
                    <w:snapToGrid w:val="0"/>
                    <w:jc w:val="center"/>
                    <w:rPr>
                      <w:color w:val="auto"/>
                      <w:szCs w:val="21"/>
                    </w:rPr>
                  </w:pPr>
                  <w:r>
                    <w:rPr>
                      <w:rFonts w:hint="eastAsia"/>
                      <w:color w:val="auto"/>
                      <w:szCs w:val="21"/>
                    </w:rPr>
                    <w:t>TVOC</w:t>
                  </w:r>
                </w:p>
              </w:tc>
              <w:tc>
                <w:tcPr>
                  <w:tcW w:w="529" w:type="pct"/>
                  <w:vAlign w:val="center"/>
                </w:tcPr>
                <w:p w14:paraId="33B638E1">
                  <w:pPr>
                    <w:adjustRightInd w:val="0"/>
                    <w:snapToGrid w:val="0"/>
                    <w:jc w:val="center"/>
                    <w:rPr>
                      <w:color w:val="auto"/>
                      <w:szCs w:val="21"/>
                    </w:rPr>
                  </w:pPr>
                  <w:r>
                    <w:rPr>
                      <w:rFonts w:hint="eastAsia"/>
                      <w:color w:val="auto"/>
                      <w:szCs w:val="21"/>
                    </w:rPr>
                    <w:t>/</w:t>
                  </w:r>
                </w:p>
              </w:tc>
              <w:tc>
                <w:tcPr>
                  <w:tcW w:w="362" w:type="pct"/>
                  <w:vAlign w:val="center"/>
                </w:tcPr>
                <w:p w14:paraId="70B0D951">
                  <w:pPr>
                    <w:adjustRightInd w:val="0"/>
                    <w:snapToGrid w:val="0"/>
                    <w:jc w:val="center"/>
                    <w:rPr>
                      <w:color w:val="auto"/>
                      <w:szCs w:val="21"/>
                    </w:rPr>
                  </w:pPr>
                  <w:r>
                    <w:rPr>
                      <w:rFonts w:hint="eastAsia"/>
                      <w:color w:val="auto"/>
                      <w:szCs w:val="21"/>
                    </w:rPr>
                    <w:t>/</w:t>
                  </w:r>
                </w:p>
              </w:tc>
              <w:tc>
                <w:tcPr>
                  <w:tcW w:w="426" w:type="pct"/>
                  <w:vAlign w:val="center"/>
                </w:tcPr>
                <w:p w14:paraId="4B8DE080">
                  <w:pPr>
                    <w:adjustRightInd w:val="0"/>
                    <w:snapToGrid w:val="0"/>
                    <w:jc w:val="center"/>
                    <w:rPr>
                      <w:color w:val="auto"/>
                      <w:szCs w:val="21"/>
                    </w:rPr>
                  </w:pPr>
                  <w:r>
                    <w:rPr>
                      <w:rFonts w:hint="eastAsia"/>
                      <w:color w:val="auto"/>
                      <w:szCs w:val="21"/>
                    </w:rPr>
                    <w:t>/</w:t>
                  </w:r>
                </w:p>
              </w:tc>
              <w:tc>
                <w:tcPr>
                  <w:tcW w:w="480" w:type="pct"/>
                  <w:vAlign w:val="center"/>
                </w:tcPr>
                <w:p w14:paraId="1CEA73E1">
                  <w:pPr>
                    <w:widowControl/>
                    <w:jc w:val="center"/>
                    <w:textAlignment w:val="center"/>
                    <w:rPr>
                      <w:color w:val="auto"/>
                      <w:kern w:val="0"/>
                      <w:szCs w:val="21"/>
                      <w:lang w:bidi="ar"/>
                    </w:rPr>
                  </w:pPr>
                  <w:r>
                    <w:rPr>
                      <w:color w:val="auto"/>
                      <w:kern w:val="0"/>
                      <w:szCs w:val="21"/>
                      <w:lang w:bidi="ar"/>
                    </w:rPr>
                    <w:t>0.00613</w:t>
                  </w:r>
                </w:p>
              </w:tc>
              <w:tc>
                <w:tcPr>
                  <w:tcW w:w="472" w:type="pct"/>
                  <w:vAlign w:val="center"/>
                </w:tcPr>
                <w:p w14:paraId="696C4F5C">
                  <w:pPr>
                    <w:widowControl/>
                    <w:jc w:val="center"/>
                    <w:textAlignment w:val="center"/>
                    <w:rPr>
                      <w:color w:val="auto"/>
                      <w:kern w:val="0"/>
                      <w:szCs w:val="21"/>
                      <w:lang w:bidi="ar"/>
                    </w:rPr>
                  </w:pPr>
                  <w:r>
                    <w:rPr>
                      <w:color w:val="auto"/>
                      <w:kern w:val="0"/>
                      <w:szCs w:val="21"/>
                      <w:lang w:bidi="ar"/>
                    </w:rPr>
                    <w:t>0.01034</w:t>
                  </w:r>
                </w:p>
              </w:tc>
            </w:tr>
          </w:tbl>
          <w:p w14:paraId="17E27C87">
            <w:pPr>
              <w:adjustRightInd w:val="0"/>
              <w:snapToGrid w:val="0"/>
              <w:spacing w:line="360" w:lineRule="auto"/>
              <w:ind w:firstLine="482" w:firstLineChars="200"/>
              <w:jc w:val="left"/>
              <w:rPr>
                <w:b/>
                <w:bCs/>
                <w:color w:val="auto"/>
                <w:sz w:val="24"/>
              </w:rPr>
            </w:pPr>
            <w:r>
              <w:rPr>
                <w:rFonts w:hint="eastAsia"/>
                <w:b/>
                <w:bCs/>
                <w:color w:val="auto"/>
                <w:sz w:val="24"/>
              </w:rPr>
              <w:t>2）漆雾</w:t>
            </w:r>
          </w:p>
          <w:p w14:paraId="66D00DB3">
            <w:pPr>
              <w:adjustRightInd w:val="0"/>
              <w:snapToGrid w:val="0"/>
              <w:spacing w:line="360" w:lineRule="auto"/>
              <w:ind w:firstLine="480" w:firstLineChars="200"/>
              <w:jc w:val="left"/>
              <w:rPr>
                <w:color w:val="auto"/>
                <w:sz w:val="24"/>
              </w:rPr>
            </w:pPr>
            <w:r>
              <w:rPr>
                <w:rFonts w:hint="eastAsia"/>
                <w:color w:val="auto"/>
                <w:sz w:val="24"/>
              </w:rPr>
              <w:t>项目在进行喷漆作业过程中，水性涂料未能完全附着于被涂物表面，涂料中的固体成分形成的微小漆粒悬浮于空气中形成漆雾，主要污染因子为颗粒物，其产生情况与涂料利用率有关。涂料利用率参考《谈喷涂涂着效率 (Ⅰ) 》（《现代涂料与涂装》，作者王锡春）中涂装方法为静电喷涂的手提式空气静电喷枪的涂着效率50~60%，涂着效率随被涂物尺寸和吊挂方式等条件变化。项目喷涂工件均为框架结构，喷涂过程利用率按最小值，即50%计；补喷过程为小区域补喷，利用率按最小值一半计，即25%。底漆、面漆喷涂线生产时间按5h/d，300d/a计，清漆喷涂线生产时间按10h/d，300d/a计，尾数房生产时间按2h/d，300d/a计。</w:t>
            </w:r>
          </w:p>
          <w:p w14:paraId="56AA70E1">
            <w:pPr>
              <w:adjustRightInd w:val="0"/>
              <w:snapToGrid w:val="0"/>
              <w:spacing w:line="360" w:lineRule="auto"/>
              <w:ind w:firstLine="480" w:firstLineChars="200"/>
              <w:jc w:val="left"/>
              <w:rPr>
                <w:b/>
                <w:bCs/>
                <w:color w:val="auto"/>
                <w:sz w:val="24"/>
              </w:rPr>
            </w:pPr>
            <w:r>
              <w:rPr>
                <w:rFonts w:hint="eastAsia"/>
                <w:color w:val="auto"/>
                <w:sz w:val="24"/>
              </w:rPr>
              <w:t>项目外购已调配好的水性涂料进行生产，各种涂料的水含量可见建设单位提供的MSDS报告。则可计算出各污染源漆雾产生情况如下：</w:t>
            </w:r>
          </w:p>
          <w:p w14:paraId="63B9544F">
            <w:pPr>
              <w:pStyle w:val="77"/>
              <w:numPr>
                <w:ilvl w:val="0"/>
                <w:numId w:val="18"/>
              </w:numPr>
              <w:adjustRightInd w:val="0"/>
              <w:snapToGrid w:val="0"/>
              <w:jc w:val="center"/>
              <w:rPr>
                <w:b/>
                <w:bCs/>
                <w:color w:val="auto"/>
                <w:szCs w:val="21"/>
              </w:rPr>
            </w:pPr>
            <w:r>
              <w:rPr>
                <w:rFonts w:hint="eastAsia"/>
                <w:b/>
                <w:bCs/>
                <w:color w:val="auto"/>
                <w:szCs w:val="21"/>
              </w:rPr>
              <w:t xml:space="preserve"> 喷漆过程漆雾产生情况一览表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717"/>
              <w:gridCol w:w="1070"/>
              <w:gridCol w:w="794"/>
              <w:gridCol w:w="759"/>
              <w:gridCol w:w="894"/>
              <w:gridCol w:w="864"/>
              <w:gridCol w:w="860"/>
              <w:gridCol w:w="933"/>
              <w:gridCol w:w="905"/>
              <w:gridCol w:w="1009"/>
              <w:gridCol w:w="917"/>
            </w:tblGrid>
            <w:tr w14:paraId="04CF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7" w:type="pct"/>
                  <w:gridSpan w:val="2"/>
                  <w:vAlign w:val="center"/>
                </w:tcPr>
                <w:p w14:paraId="57E43C1B">
                  <w:pPr>
                    <w:adjustRightInd w:val="0"/>
                    <w:snapToGrid w:val="0"/>
                    <w:jc w:val="center"/>
                    <w:rPr>
                      <w:b/>
                      <w:bCs/>
                      <w:color w:val="auto"/>
                      <w:szCs w:val="21"/>
                    </w:rPr>
                  </w:pPr>
                  <w:r>
                    <w:rPr>
                      <w:rFonts w:hint="eastAsia"/>
                      <w:b/>
                      <w:bCs/>
                      <w:color w:val="auto"/>
                      <w:szCs w:val="21"/>
                    </w:rPr>
                    <w:t>污染源/工序</w:t>
                  </w:r>
                </w:p>
              </w:tc>
              <w:tc>
                <w:tcPr>
                  <w:tcW w:w="505" w:type="pct"/>
                  <w:vAlign w:val="center"/>
                </w:tcPr>
                <w:p w14:paraId="69E2B6BE">
                  <w:pPr>
                    <w:adjustRightInd w:val="0"/>
                    <w:snapToGrid w:val="0"/>
                    <w:jc w:val="center"/>
                    <w:rPr>
                      <w:b/>
                      <w:bCs/>
                      <w:color w:val="auto"/>
                      <w:szCs w:val="21"/>
                    </w:rPr>
                  </w:pPr>
                  <w:r>
                    <w:rPr>
                      <w:rFonts w:hint="eastAsia"/>
                      <w:b/>
                      <w:bCs/>
                      <w:color w:val="auto"/>
                      <w:szCs w:val="21"/>
                    </w:rPr>
                    <w:t>原料种类</w:t>
                  </w:r>
                </w:p>
              </w:tc>
              <w:tc>
                <w:tcPr>
                  <w:tcW w:w="357" w:type="pct"/>
                  <w:vAlign w:val="center"/>
                </w:tcPr>
                <w:p w14:paraId="3989762F">
                  <w:pPr>
                    <w:adjustRightInd w:val="0"/>
                    <w:snapToGrid w:val="0"/>
                    <w:jc w:val="center"/>
                    <w:rPr>
                      <w:color w:val="auto"/>
                    </w:rPr>
                  </w:pPr>
                  <w:r>
                    <w:rPr>
                      <w:rFonts w:hint="eastAsia"/>
                      <w:b/>
                      <w:bCs/>
                      <w:color w:val="auto"/>
                      <w:szCs w:val="21"/>
                    </w:rPr>
                    <w:t>年使用量t/a</w:t>
                  </w:r>
                </w:p>
              </w:tc>
              <w:tc>
                <w:tcPr>
                  <w:tcW w:w="324" w:type="pct"/>
                  <w:vAlign w:val="center"/>
                </w:tcPr>
                <w:p w14:paraId="6987B6C6">
                  <w:pPr>
                    <w:adjustRightInd w:val="0"/>
                    <w:snapToGrid w:val="0"/>
                    <w:jc w:val="center"/>
                    <w:rPr>
                      <w:b/>
                      <w:bCs/>
                      <w:color w:val="auto"/>
                      <w:szCs w:val="21"/>
                    </w:rPr>
                  </w:pPr>
                  <w:r>
                    <w:rPr>
                      <w:rFonts w:hint="eastAsia"/>
                      <w:b/>
                      <w:bCs/>
                      <w:color w:val="auto"/>
                      <w:szCs w:val="21"/>
                    </w:rPr>
                    <w:t>挥发物含量</w:t>
                  </w:r>
                </w:p>
              </w:tc>
              <w:tc>
                <w:tcPr>
                  <w:tcW w:w="423" w:type="pct"/>
                  <w:vAlign w:val="center"/>
                </w:tcPr>
                <w:p w14:paraId="167BB1A2">
                  <w:pPr>
                    <w:adjustRightInd w:val="0"/>
                    <w:snapToGrid w:val="0"/>
                    <w:jc w:val="center"/>
                    <w:rPr>
                      <w:b/>
                      <w:bCs/>
                      <w:color w:val="auto"/>
                      <w:szCs w:val="21"/>
                    </w:rPr>
                  </w:pPr>
                  <w:r>
                    <w:rPr>
                      <w:rFonts w:hint="eastAsia"/>
                      <w:b/>
                      <w:bCs/>
                      <w:color w:val="auto"/>
                      <w:szCs w:val="21"/>
                    </w:rPr>
                    <w:t>含水量</w:t>
                  </w:r>
                </w:p>
              </w:tc>
              <w:tc>
                <w:tcPr>
                  <w:tcW w:w="407" w:type="pct"/>
                  <w:vAlign w:val="center"/>
                </w:tcPr>
                <w:p w14:paraId="225A5651">
                  <w:pPr>
                    <w:adjustRightInd w:val="0"/>
                    <w:snapToGrid w:val="0"/>
                    <w:jc w:val="center"/>
                    <w:rPr>
                      <w:b/>
                      <w:bCs/>
                      <w:color w:val="auto"/>
                      <w:szCs w:val="21"/>
                    </w:rPr>
                  </w:pPr>
                  <w:r>
                    <w:rPr>
                      <w:rFonts w:hint="eastAsia"/>
                      <w:b/>
                      <w:bCs/>
                      <w:color w:val="auto"/>
                      <w:szCs w:val="21"/>
                    </w:rPr>
                    <w:t>固含量</w:t>
                  </w:r>
                </w:p>
              </w:tc>
              <w:tc>
                <w:tcPr>
                  <w:tcW w:w="409" w:type="pct"/>
                  <w:vAlign w:val="center"/>
                </w:tcPr>
                <w:p w14:paraId="7EAE1952">
                  <w:pPr>
                    <w:adjustRightInd w:val="0"/>
                    <w:snapToGrid w:val="0"/>
                    <w:jc w:val="center"/>
                    <w:rPr>
                      <w:b/>
                      <w:bCs/>
                      <w:color w:val="auto"/>
                      <w:szCs w:val="21"/>
                    </w:rPr>
                  </w:pPr>
                  <w:r>
                    <w:rPr>
                      <w:rFonts w:hint="eastAsia"/>
                      <w:b/>
                      <w:bCs/>
                      <w:color w:val="auto"/>
                      <w:szCs w:val="21"/>
                    </w:rPr>
                    <w:t>利用率</w:t>
                  </w:r>
                </w:p>
              </w:tc>
              <w:tc>
                <w:tcPr>
                  <w:tcW w:w="441" w:type="pct"/>
                  <w:vAlign w:val="center"/>
                </w:tcPr>
                <w:p w14:paraId="780E4BF5">
                  <w:pPr>
                    <w:adjustRightInd w:val="0"/>
                    <w:snapToGrid w:val="0"/>
                    <w:jc w:val="center"/>
                    <w:rPr>
                      <w:b/>
                      <w:bCs/>
                      <w:color w:val="auto"/>
                      <w:szCs w:val="21"/>
                    </w:rPr>
                  </w:pPr>
                  <w:r>
                    <w:rPr>
                      <w:rFonts w:hint="eastAsia"/>
                      <w:b/>
                      <w:bCs/>
                      <w:color w:val="auto"/>
                      <w:szCs w:val="21"/>
                    </w:rPr>
                    <w:t>产污</w:t>
                  </w:r>
                </w:p>
                <w:p w14:paraId="5784E8DE">
                  <w:pPr>
                    <w:adjustRightInd w:val="0"/>
                    <w:snapToGrid w:val="0"/>
                    <w:jc w:val="center"/>
                    <w:rPr>
                      <w:b/>
                      <w:bCs/>
                      <w:color w:val="auto"/>
                      <w:szCs w:val="21"/>
                    </w:rPr>
                  </w:pPr>
                  <w:r>
                    <w:rPr>
                      <w:rFonts w:hint="eastAsia"/>
                      <w:b/>
                      <w:bCs/>
                      <w:color w:val="auto"/>
                      <w:szCs w:val="21"/>
                    </w:rPr>
                    <w:t>因子</w:t>
                  </w:r>
                </w:p>
              </w:tc>
              <w:tc>
                <w:tcPr>
                  <w:tcW w:w="426" w:type="pct"/>
                  <w:vAlign w:val="center"/>
                </w:tcPr>
                <w:p w14:paraId="20E67806">
                  <w:pPr>
                    <w:adjustRightInd w:val="0"/>
                    <w:snapToGrid w:val="0"/>
                    <w:jc w:val="center"/>
                    <w:rPr>
                      <w:b/>
                      <w:bCs/>
                      <w:color w:val="auto"/>
                      <w:szCs w:val="21"/>
                    </w:rPr>
                  </w:pPr>
                  <w:r>
                    <w:rPr>
                      <w:rFonts w:hint="eastAsia"/>
                      <w:b/>
                      <w:bCs/>
                      <w:color w:val="auto"/>
                      <w:szCs w:val="21"/>
                    </w:rPr>
                    <w:t>工作</w:t>
                  </w:r>
                </w:p>
                <w:p w14:paraId="44973CD2">
                  <w:pPr>
                    <w:adjustRightInd w:val="0"/>
                    <w:snapToGrid w:val="0"/>
                    <w:jc w:val="center"/>
                    <w:rPr>
                      <w:b/>
                      <w:bCs/>
                      <w:color w:val="auto"/>
                      <w:szCs w:val="21"/>
                    </w:rPr>
                  </w:pPr>
                  <w:r>
                    <w:rPr>
                      <w:rFonts w:hint="eastAsia"/>
                      <w:b/>
                      <w:bCs/>
                      <w:color w:val="auto"/>
                      <w:szCs w:val="21"/>
                    </w:rPr>
                    <w:t>时间</w:t>
                  </w:r>
                </w:p>
              </w:tc>
              <w:tc>
                <w:tcPr>
                  <w:tcW w:w="478" w:type="pct"/>
                  <w:vAlign w:val="center"/>
                </w:tcPr>
                <w:p w14:paraId="7905186E">
                  <w:pPr>
                    <w:adjustRightInd w:val="0"/>
                    <w:snapToGrid w:val="0"/>
                    <w:jc w:val="center"/>
                    <w:rPr>
                      <w:b/>
                      <w:bCs/>
                      <w:color w:val="auto"/>
                      <w:szCs w:val="21"/>
                    </w:rPr>
                  </w:pPr>
                  <w:r>
                    <w:rPr>
                      <w:rFonts w:hint="eastAsia"/>
                      <w:b/>
                      <w:bCs/>
                      <w:color w:val="auto"/>
                      <w:szCs w:val="21"/>
                    </w:rPr>
                    <w:t>废气产生量t/a</w:t>
                  </w:r>
                </w:p>
              </w:tc>
              <w:tc>
                <w:tcPr>
                  <w:tcW w:w="428" w:type="pct"/>
                  <w:vAlign w:val="center"/>
                </w:tcPr>
                <w:p w14:paraId="5387337D">
                  <w:pPr>
                    <w:adjustRightInd w:val="0"/>
                    <w:snapToGrid w:val="0"/>
                    <w:jc w:val="center"/>
                    <w:rPr>
                      <w:b/>
                      <w:bCs/>
                      <w:color w:val="auto"/>
                      <w:szCs w:val="21"/>
                    </w:rPr>
                  </w:pPr>
                  <w:r>
                    <w:rPr>
                      <w:rFonts w:hint="eastAsia"/>
                      <w:b/>
                      <w:bCs/>
                      <w:color w:val="auto"/>
                      <w:szCs w:val="21"/>
                    </w:rPr>
                    <w:t>产生速率kg/h</w:t>
                  </w:r>
                </w:p>
              </w:tc>
            </w:tr>
            <w:tr w14:paraId="2890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restart"/>
                  <w:vAlign w:val="center"/>
                </w:tcPr>
                <w:p w14:paraId="19618A94">
                  <w:pPr>
                    <w:adjustRightInd w:val="0"/>
                    <w:snapToGrid w:val="0"/>
                    <w:jc w:val="center"/>
                    <w:rPr>
                      <w:color w:val="auto"/>
                      <w:szCs w:val="21"/>
                    </w:rPr>
                  </w:pPr>
                  <w:r>
                    <w:rPr>
                      <w:rFonts w:hint="eastAsia"/>
                      <w:color w:val="auto"/>
                      <w:szCs w:val="21"/>
                    </w:rPr>
                    <w:t>底漆、面漆喷涂线</w:t>
                  </w:r>
                </w:p>
              </w:tc>
              <w:tc>
                <w:tcPr>
                  <w:tcW w:w="339" w:type="pct"/>
                  <w:vAlign w:val="center"/>
                </w:tcPr>
                <w:p w14:paraId="4E0E1260">
                  <w:pPr>
                    <w:adjustRightInd w:val="0"/>
                    <w:snapToGrid w:val="0"/>
                    <w:jc w:val="center"/>
                    <w:rPr>
                      <w:color w:val="auto"/>
                      <w:szCs w:val="21"/>
                    </w:rPr>
                  </w:pPr>
                  <w:r>
                    <w:rPr>
                      <w:rFonts w:hint="eastAsia"/>
                      <w:color w:val="auto"/>
                      <w:szCs w:val="21"/>
                    </w:rPr>
                    <w:t>喷漆</w:t>
                  </w:r>
                </w:p>
              </w:tc>
              <w:tc>
                <w:tcPr>
                  <w:tcW w:w="505" w:type="pct"/>
                  <w:vAlign w:val="center"/>
                </w:tcPr>
                <w:p w14:paraId="0CE3D913">
                  <w:pPr>
                    <w:adjustRightInd w:val="0"/>
                    <w:snapToGrid w:val="0"/>
                    <w:jc w:val="center"/>
                    <w:rPr>
                      <w:color w:val="auto"/>
                      <w:szCs w:val="21"/>
                    </w:rPr>
                  </w:pPr>
                  <w:r>
                    <w:rPr>
                      <w:rFonts w:hint="eastAsia"/>
                      <w:color w:val="auto"/>
                      <w:szCs w:val="21"/>
                    </w:rPr>
                    <w:t>水性底漆</w:t>
                  </w:r>
                </w:p>
              </w:tc>
              <w:tc>
                <w:tcPr>
                  <w:tcW w:w="757" w:type="dxa"/>
                  <w:vAlign w:val="center"/>
                </w:tcPr>
                <w:p w14:paraId="1C0B6C78">
                  <w:pPr>
                    <w:widowControl/>
                    <w:jc w:val="center"/>
                    <w:textAlignment w:val="center"/>
                    <w:rPr>
                      <w:color w:val="auto"/>
                      <w:szCs w:val="21"/>
                    </w:rPr>
                  </w:pPr>
                  <w:r>
                    <w:rPr>
                      <w:color w:val="auto"/>
                      <w:kern w:val="0"/>
                      <w:szCs w:val="21"/>
                      <w:lang w:bidi="ar"/>
                    </w:rPr>
                    <w:t xml:space="preserve">4.56 </w:t>
                  </w:r>
                </w:p>
              </w:tc>
              <w:tc>
                <w:tcPr>
                  <w:tcW w:w="324" w:type="pct"/>
                  <w:vAlign w:val="center"/>
                </w:tcPr>
                <w:p w14:paraId="7D4D04C4">
                  <w:pPr>
                    <w:adjustRightInd w:val="0"/>
                    <w:snapToGrid w:val="0"/>
                    <w:jc w:val="center"/>
                    <w:rPr>
                      <w:color w:val="auto"/>
                      <w:szCs w:val="21"/>
                    </w:rPr>
                  </w:pPr>
                  <w:r>
                    <w:rPr>
                      <w:rFonts w:hint="eastAsia"/>
                      <w:color w:val="auto"/>
                      <w:szCs w:val="21"/>
                    </w:rPr>
                    <w:t>4.77%</w:t>
                  </w:r>
                </w:p>
              </w:tc>
              <w:tc>
                <w:tcPr>
                  <w:tcW w:w="898" w:type="dxa"/>
                  <w:vAlign w:val="center"/>
                </w:tcPr>
                <w:p w14:paraId="0EBCD6DB">
                  <w:pPr>
                    <w:widowControl/>
                    <w:jc w:val="center"/>
                    <w:textAlignment w:val="center"/>
                    <w:rPr>
                      <w:color w:val="auto"/>
                      <w:szCs w:val="21"/>
                    </w:rPr>
                  </w:pPr>
                  <w:r>
                    <w:rPr>
                      <w:color w:val="auto"/>
                      <w:kern w:val="0"/>
                      <w:szCs w:val="21"/>
                      <w:lang w:bidi="ar"/>
                    </w:rPr>
                    <w:t>48.40%</w:t>
                  </w:r>
                </w:p>
              </w:tc>
              <w:tc>
                <w:tcPr>
                  <w:tcW w:w="864" w:type="dxa"/>
                  <w:vAlign w:val="center"/>
                </w:tcPr>
                <w:p w14:paraId="7D8B4893">
                  <w:pPr>
                    <w:widowControl/>
                    <w:jc w:val="center"/>
                    <w:textAlignment w:val="center"/>
                    <w:rPr>
                      <w:color w:val="auto"/>
                      <w:szCs w:val="21"/>
                    </w:rPr>
                  </w:pPr>
                  <w:r>
                    <w:rPr>
                      <w:color w:val="auto"/>
                      <w:kern w:val="0"/>
                      <w:szCs w:val="21"/>
                      <w:lang w:bidi="ar"/>
                    </w:rPr>
                    <w:t>46.83%</w:t>
                  </w:r>
                </w:p>
              </w:tc>
              <w:tc>
                <w:tcPr>
                  <w:tcW w:w="868" w:type="dxa"/>
                  <w:vAlign w:val="center"/>
                </w:tcPr>
                <w:p w14:paraId="636C385F">
                  <w:pPr>
                    <w:jc w:val="center"/>
                    <w:rPr>
                      <w:color w:val="auto"/>
                      <w:szCs w:val="21"/>
                    </w:rPr>
                  </w:pPr>
                  <w:r>
                    <w:rPr>
                      <w:rFonts w:hint="eastAsia"/>
                      <w:color w:val="auto"/>
                    </w:rPr>
                    <w:t>50%</w:t>
                  </w:r>
                </w:p>
              </w:tc>
              <w:tc>
                <w:tcPr>
                  <w:tcW w:w="441" w:type="pct"/>
                  <w:vAlign w:val="center"/>
                </w:tcPr>
                <w:p w14:paraId="49BB6FD9">
                  <w:pPr>
                    <w:adjustRightInd w:val="0"/>
                    <w:snapToGrid w:val="0"/>
                    <w:jc w:val="center"/>
                    <w:rPr>
                      <w:color w:val="auto"/>
                      <w:szCs w:val="21"/>
                    </w:rPr>
                  </w:pPr>
                  <w:r>
                    <w:rPr>
                      <w:rFonts w:hint="eastAsia"/>
                      <w:color w:val="auto"/>
                      <w:szCs w:val="21"/>
                    </w:rPr>
                    <w:t>颗粒物</w:t>
                  </w:r>
                </w:p>
              </w:tc>
              <w:tc>
                <w:tcPr>
                  <w:tcW w:w="426" w:type="pct"/>
                  <w:vMerge w:val="restart"/>
                  <w:vAlign w:val="center"/>
                </w:tcPr>
                <w:p w14:paraId="36BEC1C8">
                  <w:pPr>
                    <w:adjustRightInd w:val="0"/>
                    <w:snapToGrid w:val="0"/>
                    <w:jc w:val="center"/>
                    <w:rPr>
                      <w:color w:val="auto"/>
                      <w:szCs w:val="21"/>
                    </w:rPr>
                  </w:pPr>
                  <w:r>
                    <w:rPr>
                      <w:rFonts w:hint="eastAsia"/>
                      <w:color w:val="auto"/>
                      <w:szCs w:val="21"/>
                    </w:rPr>
                    <w:t>5h/d，300d/a</w:t>
                  </w:r>
                </w:p>
              </w:tc>
              <w:tc>
                <w:tcPr>
                  <w:tcW w:w="1016" w:type="dxa"/>
                  <w:vAlign w:val="center"/>
                </w:tcPr>
                <w:p w14:paraId="4F1CE95A">
                  <w:pPr>
                    <w:widowControl/>
                    <w:jc w:val="center"/>
                    <w:textAlignment w:val="center"/>
                    <w:rPr>
                      <w:color w:val="auto"/>
                      <w:szCs w:val="21"/>
                    </w:rPr>
                  </w:pPr>
                  <w:r>
                    <w:rPr>
                      <w:color w:val="auto"/>
                      <w:kern w:val="0"/>
                      <w:szCs w:val="21"/>
                      <w:lang w:bidi="ar"/>
                    </w:rPr>
                    <w:t>1.07</w:t>
                  </w:r>
                </w:p>
              </w:tc>
              <w:tc>
                <w:tcPr>
                  <w:tcW w:w="920" w:type="dxa"/>
                  <w:vAlign w:val="center"/>
                </w:tcPr>
                <w:p w14:paraId="2330F76A">
                  <w:pPr>
                    <w:widowControl/>
                    <w:jc w:val="center"/>
                    <w:textAlignment w:val="center"/>
                    <w:rPr>
                      <w:color w:val="auto"/>
                      <w:szCs w:val="21"/>
                    </w:rPr>
                  </w:pPr>
                  <w:r>
                    <w:rPr>
                      <w:color w:val="auto"/>
                      <w:kern w:val="0"/>
                      <w:szCs w:val="21"/>
                      <w:lang w:bidi="ar"/>
                    </w:rPr>
                    <w:t>0.712</w:t>
                  </w:r>
                </w:p>
              </w:tc>
            </w:tr>
            <w:tr w14:paraId="5AF16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continue"/>
                  <w:vAlign w:val="center"/>
                </w:tcPr>
                <w:p w14:paraId="48147074">
                  <w:pPr>
                    <w:adjustRightInd w:val="0"/>
                    <w:snapToGrid w:val="0"/>
                    <w:jc w:val="center"/>
                    <w:rPr>
                      <w:color w:val="auto"/>
                      <w:szCs w:val="21"/>
                    </w:rPr>
                  </w:pPr>
                </w:p>
              </w:tc>
              <w:tc>
                <w:tcPr>
                  <w:tcW w:w="339" w:type="pct"/>
                  <w:vAlign w:val="center"/>
                </w:tcPr>
                <w:p w14:paraId="532AF21F">
                  <w:pPr>
                    <w:adjustRightInd w:val="0"/>
                    <w:snapToGrid w:val="0"/>
                    <w:jc w:val="center"/>
                    <w:rPr>
                      <w:color w:val="auto"/>
                      <w:szCs w:val="21"/>
                    </w:rPr>
                  </w:pPr>
                  <w:r>
                    <w:rPr>
                      <w:rFonts w:hint="eastAsia"/>
                      <w:color w:val="auto"/>
                      <w:szCs w:val="21"/>
                    </w:rPr>
                    <w:t>喷漆</w:t>
                  </w:r>
                </w:p>
              </w:tc>
              <w:tc>
                <w:tcPr>
                  <w:tcW w:w="505" w:type="pct"/>
                  <w:vAlign w:val="center"/>
                </w:tcPr>
                <w:p w14:paraId="31978340">
                  <w:pPr>
                    <w:adjustRightInd w:val="0"/>
                    <w:snapToGrid w:val="0"/>
                    <w:jc w:val="center"/>
                    <w:rPr>
                      <w:color w:val="auto"/>
                      <w:szCs w:val="21"/>
                    </w:rPr>
                  </w:pPr>
                  <w:r>
                    <w:rPr>
                      <w:rFonts w:hint="eastAsia"/>
                      <w:color w:val="auto"/>
                      <w:szCs w:val="21"/>
                    </w:rPr>
                    <w:t>水性面漆</w:t>
                  </w:r>
                </w:p>
              </w:tc>
              <w:tc>
                <w:tcPr>
                  <w:tcW w:w="757" w:type="dxa"/>
                  <w:vAlign w:val="center"/>
                </w:tcPr>
                <w:p w14:paraId="1C930EFC">
                  <w:pPr>
                    <w:widowControl/>
                    <w:jc w:val="center"/>
                    <w:textAlignment w:val="center"/>
                    <w:rPr>
                      <w:color w:val="auto"/>
                      <w:szCs w:val="21"/>
                    </w:rPr>
                  </w:pPr>
                  <w:r>
                    <w:rPr>
                      <w:color w:val="auto"/>
                      <w:kern w:val="0"/>
                      <w:szCs w:val="21"/>
                      <w:lang w:bidi="ar"/>
                    </w:rPr>
                    <w:t xml:space="preserve">4.56 </w:t>
                  </w:r>
                </w:p>
              </w:tc>
              <w:tc>
                <w:tcPr>
                  <w:tcW w:w="324" w:type="pct"/>
                  <w:vAlign w:val="center"/>
                </w:tcPr>
                <w:p w14:paraId="50B2A021">
                  <w:pPr>
                    <w:adjustRightInd w:val="0"/>
                    <w:snapToGrid w:val="0"/>
                    <w:jc w:val="center"/>
                    <w:rPr>
                      <w:color w:val="auto"/>
                      <w:szCs w:val="21"/>
                    </w:rPr>
                  </w:pPr>
                  <w:r>
                    <w:rPr>
                      <w:rFonts w:hint="eastAsia"/>
                      <w:color w:val="auto"/>
                      <w:szCs w:val="21"/>
                    </w:rPr>
                    <w:t>4.92%</w:t>
                  </w:r>
                </w:p>
              </w:tc>
              <w:tc>
                <w:tcPr>
                  <w:tcW w:w="898" w:type="dxa"/>
                  <w:vAlign w:val="center"/>
                </w:tcPr>
                <w:p w14:paraId="6FB5EFDF">
                  <w:pPr>
                    <w:widowControl/>
                    <w:jc w:val="center"/>
                    <w:textAlignment w:val="center"/>
                    <w:rPr>
                      <w:color w:val="auto"/>
                      <w:szCs w:val="21"/>
                    </w:rPr>
                  </w:pPr>
                  <w:r>
                    <w:rPr>
                      <w:color w:val="auto"/>
                      <w:kern w:val="0"/>
                      <w:szCs w:val="21"/>
                      <w:lang w:bidi="ar"/>
                    </w:rPr>
                    <w:t>51.20%</w:t>
                  </w:r>
                </w:p>
              </w:tc>
              <w:tc>
                <w:tcPr>
                  <w:tcW w:w="864" w:type="dxa"/>
                  <w:vAlign w:val="center"/>
                </w:tcPr>
                <w:p w14:paraId="31C02EB4">
                  <w:pPr>
                    <w:widowControl/>
                    <w:jc w:val="center"/>
                    <w:textAlignment w:val="center"/>
                    <w:rPr>
                      <w:color w:val="auto"/>
                      <w:szCs w:val="21"/>
                    </w:rPr>
                  </w:pPr>
                  <w:r>
                    <w:rPr>
                      <w:color w:val="auto"/>
                      <w:kern w:val="0"/>
                      <w:szCs w:val="21"/>
                      <w:lang w:bidi="ar"/>
                    </w:rPr>
                    <w:t>43.88%</w:t>
                  </w:r>
                </w:p>
              </w:tc>
              <w:tc>
                <w:tcPr>
                  <w:tcW w:w="868" w:type="dxa"/>
                  <w:vAlign w:val="center"/>
                </w:tcPr>
                <w:p w14:paraId="34CC906C">
                  <w:pPr>
                    <w:jc w:val="center"/>
                    <w:rPr>
                      <w:color w:val="auto"/>
                      <w:szCs w:val="21"/>
                    </w:rPr>
                  </w:pPr>
                  <w:r>
                    <w:rPr>
                      <w:rFonts w:hint="eastAsia"/>
                      <w:color w:val="auto"/>
                    </w:rPr>
                    <w:t>50%</w:t>
                  </w:r>
                </w:p>
              </w:tc>
              <w:tc>
                <w:tcPr>
                  <w:tcW w:w="441" w:type="pct"/>
                  <w:vAlign w:val="center"/>
                </w:tcPr>
                <w:p w14:paraId="26CD61B1">
                  <w:pPr>
                    <w:adjustRightInd w:val="0"/>
                    <w:snapToGrid w:val="0"/>
                    <w:jc w:val="center"/>
                    <w:rPr>
                      <w:color w:val="auto"/>
                      <w:szCs w:val="21"/>
                    </w:rPr>
                  </w:pPr>
                  <w:r>
                    <w:rPr>
                      <w:rFonts w:hint="eastAsia"/>
                      <w:color w:val="auto"/>
                      <w:szCs w:val="21"/>
                    </w:rPr>
                    <w:t>颗粒物</w:t>
                  </w:r>
                </w:p>
              </w:tc>
              <w:tc>
                <w:tcPr>
                  <w:tcW w:w="426" w:type="pct"/>
                  <w:vMerge w:val="continue"/>
                  <w:vAlign w:val="center"/>
                </w:tcPr>
                <w:p w14:paraId="302990B4">
                  <w:pPr>
                    <w:adjustRightInd w:val="0"/>
                    <w:snapToGrid w:val="0"/>
                    <w:jc w:val="center"/>
                    <w:rPr>
                      <w:color w:val="auto"/>
                      <w:szCs w:val="21"/>
                    </w:rPr>
                  </w:pPr>
                </w:p>
              </w:tc>
              <w:tc>
                <w:tcPr>
                  <w:tcW w:w="1016" w:type="dxa"/>
                  <w:vAlign w:val="center"/>
                </w:tcPr>
                <w:p w14:paraId="45A11538">
                  <w:pPr>
                    <w:widowControl/>
                    <w:jc w:val="center"/>
                    <w:textAlignment w:val="center"/>
                    <w:rPr>
                      <w:color w:val="auto"/>
                      <w:kern w:val="0"/>
                      <w:szCs w:val="21"/>
                      <w:lang w:bidi="ar"/>
                    </w:rPr>
                  </w:pPr>
                  <w:r>
                    <w:rPr>
                      <w:color w:val="auto"/>
                      <w:kern w:val="0"/>
                      <w:szCs w:val="21"/>
                      <w:lang w:bidi="ar"/>
                    </w:rPr>
                    <w:t>1</w:t>
                  </w:r>
                </w:p>
              </w:tc>
              <w:tc>
                <w:tcPr>
                  <w:tcW w:w="920" w:type="dxa"/>
                  <w:vAlign w:val="center"/>
                </w:tcPr>
                <w:p w14:paraId="4FB7D84A">
                  <w:pPr>
                    <w:widowControl/>
                    <w:jc w:val="center"/>
                    <w:textAlignment w:val="center"/>
                    <w:rPr>
                      <w:color w:val="auto"/>
                      <w:kern w:val="0"/>
                      <w:szCs w:val="21"/>
                      <w:lang w:bidi="ar"/>
                    </w:rPr>
                  </w:pPr>
                  <w:r>
                    <w:rPr>
                      <w:color w:val="auto"/>
                      <w:kern w:val="0"/>
                      <w:szCs w:val="21"/>
                      <w:lang w:bidi="ar"/>
                    </w:rPr>
                    <w:t>0.667</w:t>
                  </w:r>
                </w:p>
              </w:tc>
            </w:tr>
            <w:tr w14:paraId="03E54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continue"/>
                  <w:vAlign w:val="center"/>
                </w:tcPr>
                <w:p w14:paraId="7ABB6DD5">
                  <w:pPr>
                    <w:adjustRightInd w:val="0"/>
                    <w:snapToGrid w:val="0"/>
                    <w:jc w:val="center"/>
                    <w:rPr>
                      <w:color w:val="auto"/>
                      <w:szCs w:val="21"/>
                    </w:rPr>
                  </w:pPr>
                </w:p>
              </w:tc>
              <w:tc>
                <w:tcPr>
                  <w:tcW w:w="339" w:type="pct"/>
                  <w:vAlign w:val="center"/>
                </w:tcPr>
                <w:p w14:paraId="03717CDE">
                  <w:pPr>
                    <w:adjustRightInd w:val="0"/>
                    <w:snapToGrid w:val="0"/>
                    <w:jc w:val="center"/>
                    <w:rPr>
                      <w:color w:val="auto"/>
                      <w:szCs w:val="21"/>
                    </w:rPr>
                  </w:pPr>
                  <w:r>
                    <w:rPr>
                      <w:rFonts w:hint="eastAsia"/>
                      <w:color w:val="auto"/>
                      <w:szCs w:val="21"/>
                    </w:rPr>
                    <w:t>合计</w:t>
                  </w:r>
                </w:p>
              </w:tc>
              <w:tc>
                <w:tcPr>
                  <w:tcW w:w="505" w:type="pct"/>
                  <w:vAlign w:val="center"/>
                </w:tcPr>
                <w:p w14:paraId="33D0071F">
                  <w:pPr>
                    <w:adjustRightInd w:val="0"/>
                    <w:snapToGrid w:val="0"/>
                    <w:jc w:val="center"/>
                    <w:rPr>
                      <w:color w:val="auto"/>
                      <w:szCs w:val="21"/>
                    </w:rPr>
                  </w:pPr>
                  <w:r>
                    <w:rPr>
                      <w:rFonts w:hint="eastAsia"/>
                      <w:color w:val="auto"/>
                      <w:szCs w:val="21"/>
                    </w:rPr>
                    <w:t>/</w:t>
                  </w:r>
                </w:p>
              </w:tc>
              <w:tc>
                <w:tcPr>
                  <w:tcW w:w="357" w:type="pct"/>
                  <w:vAlign w:val="center"/>
                </w:tcPr>
                <w:p w14:paraId="4EAE0C20">
                  <w:pPr>
                    <w:adjustRightInd w:val="0"/>
                    <w:snapToGrid w:val="0"/>
                    <w:jc w:val="center"/>
                    <w:rPr>
                      <w:color w:val="auto"/>
                      <w:szCs w:val="21"/>
                    </w:rPr>
                  </w:pPr>
                  <w:r>
                    <w:rPr>
                      <w:rFonts w:hint="eastAsia"/>
                      <w:color w:val="auto"/>
                      <w:szCs w:val="21"/>
                    </w:rPr>
                    <w:t>/</w:t>
                  </w:r>
                </w:p>
              </w:tc>
              <w:tc>
                <w:tcPr>
                  <w:tcW w:w="324" w:type="pct"/>
                  <w:vAlign w:val="center"/>
                </w:tcPr>
                <w:p w14:paraId="0613F5A1">
                  <w:pPr>
                    <w:adjustRightInd w:val="0"/>
                    <w:snapToGrid w:val="0"/>
                    <w:jc w:val="center"/>
                    <w:rPr>
                      <w:color w:val="auto"/>
                      <w:szCs w:val="21"/>
                    </w:rPr>
                  </w:pPr>
                  <w:r>
                    <w:rPr>
                      <w:rFonts w:hint="eastAsia"/>
                      <w:color w:val="auto"/>
                      <w:szCs w:val="21"/>
                    </w:rPr>
                    <w:t>/</w:t>
                  </w:r>
                </w:p>
              </w:tc>
              <w:tc>
                <w:tcPr>
                  <w:tcW w:w="423" w:type="pct"/>
                  <w:vAlign w:val="center"/>
                </w:tcPr>
                <w:p w14:paraId="46C2D856">
                  <w:pPr>
                    <w:adjustRightInd w:val="0"/>
                    <w:snapToGrid w:val="0"/>
                    <w:jc w:val="center"/>
                    <w:rPr>
                      <w:color w:val="auto"/>
                      <w:szCs w:val="21"/>
                    </w:rPr>
                  </w:pPr>
                  <w:r>
                    <w:rPr>
                      <w:rFonts w:hint="eastAsia"/>
                      <w:color w:val="auto"/>
                      <w:szCs w:val="21"/>
                    </w:rPr>
                    <w:t>/</w:t>
                  </w:r>
                </w:p>
              </w:tc>
              <w:tc>
                <w:tcPr>
                  <w:tcW w:w="407" w:type="pct"/>
                  <w:vAlign w:val="center"/>
                </w:tcPr>
                <w:p w14:paraId="3BF23395">
                  <w:pPr>
                    <w:widowControl/>
                    <w:jc w:val="center"/>
                    <w:textAlignment w:val="center"/>
                    <w:rPr>
                      <w:color w:val="auto"/>
                      <w:kern w:val="0"/>
                      <w:szCs w:val="21"/>
                      <w:lang w:bidi="ar"/>
                    </w:rPr>
                  </w:pPr>
                  <w:r>
                    <w:rPr>
                      <w:rFonts w:hint="eastAsia"/>
                      <w:color w:val="auto"/>
                      <w:kern w:val="0"/>
                      <w:szCs w:val="21"/>
                      <w:lang w:bidi="ar"/>
                    </w:rPr>
                    <w:t>/</w:t>
                  </w:r>
                </w:p>
              </w:tc>
              <w:tc>
                <w:tcPr>
                  <w:tcW w:w="409" w:type="pct"/>
                  <w:vAlign w:val="center"/>
                </w:tcPr>
                <w:p w14:paraId="55B1BAE3">
                  <w:pPr>
                    <w:adjustRightInd w:val="0"/>
                    <w:snapToGrid w:val="0"/>
                    <w:jc w:val="center"/>
                    <w:rPr>
                      <w:color w:val="auto"/>
                      <w:szCs w:val="21"/>
                    </w:rPr>
                  </w:pPr>
                  <w:r>
                    <w:rPr>
                      <w:rFonts w:hint="eastAsia"/>
                      <w:color w:val="auto"/>
                      <w:szCs w:val="21"/>
                    </w:rPr>
                    <w:t>/</w:t>
                  </w:r>
                </w:p>
              </w:tc>
              <w:tc>
                <w:tcPr>
                  <w:tcW w:w="441" w:type="pct"/>
                  <w:vAlign w:val="center"/>
                </w:tcPr>
                <w:p w14:paraId="1E5B758D">
                  <w:pPr>
                    <w:adjustRightInd w:val="0"/>
                    <w:snapToGrid w:val="0"/>
                    <w:jc w:val="center"/>
                    <w:rPr>
                      <w:color w:val="auto"/>
                      <w:szCs w:val="21"/>
                    </w:rPr>
                  </w:pPr>
                  <w:r>
                    <w:rPr>
                      <w:rFonts w:hint="eastAsia"/>
                      <w:color w:val="auto"/>
                      <w:szCs w:val="21"/>
                    </w:rPr>
                    <w:t>颗粒物</w:t>
                  </w:r>
                </w:p>
              </w:tc>
              <w:tc>
                <w:tcPr>
                  <w:tcW w:w="426" w:type="pct"/>
                  <w:vAlign w:val="center"/>
                </w:tcPr>
                <w:p w14:paraId="35B968F5">
                  <w:pPr>
                    <w:adjustRightInd w:val="0"/>
                    <w:snapToGrid w:val="0"/>
                    <w:jc w:val="center"/>
                    <w:rPr>
                      <w:color w:val="auto"/>
                      <w:szCs w:val="21"/>
                    </w:rPr>
                  </w:pPr>
                  <w:r>
                    <w:rPr>
                      <w:rFonts w:hint="eastAsia"/>
                      <w:color w:val="auto"/>
                      <w:szCs w:val="21"/>
                    </w:rPr>
                    <w:t>/</w:t>
                  </w:r>
                </w:p>
              </w:tc>
              <w:tc>
                <w:tcPr>
                  <w:tcW w:w="1016" w:type="dxa"/>
                  <w:vAlign w:val="center"/>
                </w:tcPr>
                <w:p w14:paraId="24FC4477">
                  <w:pPr>
                    <w:widowControl/>
                    <w:jc w:val="center"/>
                    <w:textAlignment w:val="center"/>
                    <w:rPr>
                      <w:color w:val="auto"/>
                      <w:kern w:val="0"/>
                      <w:szCs w:val="21"/>
                      <w:lang w:bidi="ar"/>
                    </w:rPr>
                  </w:pPr>
                  <w:r>
                    <w:rPr>
                      <w:color w:val="auto"/>
                      <w:kern w:val="0"/>
                      <w:szCs w:val="21"/>
                      <w:lang w:bidi="ar"/>
                    </w:rPr>
                    <w:t>2.07</w:t>
                  </w:r>
                </w:p>
              </w:tc>
              <w:tc>
                <w:tcPr>
                  <w:tcW w:w="920" w:type="dxa"/>
                  <w:vAlign w:val="center"/>
                </w:tcPr>
                <w:p w14:paraId="7CDB4B50">
                  <w:pPr>
                    <w:widowControl/>
                    <w:jc w:val="center"/>
                    <w:textAlignment w:val="center"/>
                    <w:rPr>
                      <w:color w:val="auto"/>
                      <w:kern w:val="0"/>
                      <w:szCs w:val="21"/>
                      <w:lang w:bidi="ar"/>
                    </w:rPr>
                  </w:pPr>
                  <w:r>
                    <w:rPr>
                      <w:color w:val="auto"/>
                      <w:kern w:val="0"/>
                      <w:szCs w:val="21"/>
                      <w:lang w:bidi="ar"/>
                    </w:rPr>
                    <w:t>1.379</w:t>
                  </w:r>
                </w:p>
              </w:tc>
            </w:tr>
            <w:tr w14:paraId="4B949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restart"/>
                  <w:vAlign w:val="center"/>
                </w:tcPr>
                <w:p w14:paraId="0D7680BF">
                  <w:pPr>
                    <w:adjustRightInd w:val="0"/>
                    <w:snapToGrid w:val="0"/>
                    <w:jc w:val="center"/>
                    <w:rPr>
                      <w:color w:val="auto"/>
                      <w:szCs w:val="21"/>
                    </w:rPr>
                  </w:pPr>
                  <w:r>
                    <w:rPr>
                      <w:rFonts w:hint="eastAsia"/>
                      <w:color w:val="auto"/>
                      <w:szCs w:val="21"/>
                    </w:rPr>
                    <w:t>清漆喷涂线</w:t>
                  </w:r>
                </w:p>
              </w:tc>
              <w:tc>
                <w:tcPr>
                  <w:tcW w:w="339" w:type="pct"/>
                  <w:vAlign w:val="center"/>
                </w:tcPr>
                <w:p w14:paraId="1635CA8C">
                  <w:pPr>
                    <w:adjustRightInd w:val="0"/>
                    <w:snapToGrid w:val="0"/>
                    <w:jc w:val="center"/>
                    <w:rPr>
                      <w:color w:val="auto"/>
                      <w:szCs w:val="21"/>
                    </w:rPr>
                  </w:pPr>
                  <w:r>
                    <w:rPr>
                      <w:rFonts w:hint="eastAsia"/>
                      <w:color w:val="auto"/>
                      <w:szCs w:val="21"/>
                    </w:rPr>
                    <w:t>喷漆</w:t>
                  </w:r>
                </w:p>
              </w:tc>
              <w:tc>
                <w:tcPr>
                  <w:tcW w:w="505" w:type="pct"/>
                  <w:vAlign w:val="center"/>
                </w:tcPr>
                <w:p w14:paraId="28A82850">
                  <w:pPr>
                    <w:adjustRightInd w:val="0"/>
                    <w:snapToGrid w:val="0"/>
                    <w:jc w:val="center"/>
                    <w:rPr>
                      <w:color w:val="auto"/>
                      <w:szCs w:val="21"/>
                    </w:rPr>
                  </w:pPr>
                  <w:r>
                    <w:rPr>
                      <w:rFonts w:hint="eastAsia"/>
                      <w:color w:val="auto"/>
                      <w:szCs w:val="21"/>
                    </w:rPr>
                    <w:t>水性清漆</w:t>
                  </w:r>
                </w:p>
              </w:tc>
              <w:tc>
                <w:tcPr>
                  <w:tcW w:w="357" w:type="pct"/>
                  <w:vAlign w:val="center"/>
                </w:tcPr>
                <w:p w14:paraId="561F5B87">
                  <w:pPr>
                    <w:adjustRightInd w:val="0"/>
                    <w:snapToGrid w:val="0"/>
                    <w:jc w:val="center"/>
                    <w:rPr>
                      <w:color w:val="auto"/>
                      <w:szCs w:val="21"/>
                    </w:rPr>
                  </w:pPr>
                  <w:r>
                    <w:rPr>
                      <w:color w:val="auto"/>
                      <w:kern w:val="0"/>
                      <w:szCs w:val="21"/>
                      <w:lang w:bidi="ar"/>
                    </w:rPr>
                    <w:t xml:space="preserve">3.72 </w:t>
                  </w:r>
                </w:p>
              </w:tc>
              <w:tc>
                <w:tcPr>
                  <w:tcW w:w="324" w:type="pct"/>
                  <w:vAlign w:val="center"/>
                </w:tcPr>
                <w:p w14:paraId="0C073B6A">
                  <w:pPr>
                    <w:adjustRightInd w:val="0"/>
                    <w:snapToGrid w:val="0"/>
                    <w:jc w:val="center"/>
                    <w:rPr>
                      <w:color w:val="auto"/>
                      <w:szCs w:val="21"/>
                    </w:rPr>
                  </w:pPr>
                  <w:r>
                    <w:rPr>
                      <w:rFonts w:hint="eastAsia"/>
                      <w:color w:val="auto"/>
                      <w:szCs w:val="21"/>
                    </w:rPr>
                    <w:t>4.72%</w:t>
                  </w:r>
                </w:p>
              </w:tc>
              <w:tc>
                <w:tcPr>
                  <w:tcW w:w="898" w:type="dxa"/>
                  <w:vAlign w:val="center"/>
                </w:tcPr>
                <w:p w14:paraId="0C7EFE2B">
                  <w:pPr>
                    <w:widowControl/>
                    <w:jc w:val="center"/>
                    <w:textAlignment w:val="center"/>
                    <w:rPr>
                      <w:color w:val="auto"/>
                      <w:szCs w:val="21"/>
                    </w:rPr>
                  </w:pPr>
                  <w:r>
                    <w:rPr>
                      <w:color w:val="auto"/>
                      <w:kern w:val="0"/>
                      <w:szCs w:val="21"/>
                      <w:lang w:bidi="ar"/>
                    </w:rPr>
                    <w:t>22.50%</w:t>
                  </w:r>
                </w:p>
              </w:tc>
              <w:tc>
                <w:tcPr>
                  <w:tcW w:w="864" w:type="dxa"/>
                  <w:vAlign w:val="center"/>
                </w:tcPr>
                <w:p w14:paraId="7EE974FC">
                  <w:pPr>
                    <w:widowControl/>
                    <w:jc w:val="center"/>
                    <w:textAlignment w:val="center"/>
                    <w:rPr>
                      <w:color w:val="auto"/>
                      <w:szCs w:val="21"/>
                    </w:rPr>
                  </w:pPr>
                  <w:r>
                    <w:rPr>
                      <w:color w:val="auto"/>
                      <w:kern w:val="0"/>
                      <w:szCs w:val="21"/>
                      <w:lang w:bidi="ar"/>
                    </w:rPr>
                    <w:t>72.78%</w:t>
                  </w:r>
                </w:p>
              </w:tc>
              <w:tc>
                <w:tcPr>
                  <w:tcW w:w="409" w:type="pct"/>
                  <w:vAlign w:val="center"/>
                </w:tcPr>
                <w:p w14:paraId="5D39DEAE">
                  <w:pPr>
                    <w:adjustRightInd w:val="0"/>
                    <w:snapToGrid w:val="0"/>
                    <w:jc w:val="center"/>
                    <w:rPr>
                      <w:color w:val="auto"/>
                      <w:szCs w:val="21"/>
                    </w:rPr>
                  </w:pPr>
                  <w:r>
                    <w:rPr>
                      <w:rFonts w:hint="eastAsia"/>
                      <w:color w:val="auto"/>
                    </w:rPr>
                    <w:t>50%</w:t>
                  </w:r>
                </w:p>
              </w:tc>
              <w:tc>
                <w:tcPr>
                  <w:tcW w:w="441" w:type="pct"/>
                  <w:vAlign w:val="center"/>
                </w:tcPr>
                <w:p w14:paraId="1020B239">
                  <w:pPr>
                    <w:adjustRightInd w:val="0"/>
                    <w:snapToGrid w:val="0"/>
                    <w:jc w:val="center"/>
                    <w:rPr>
                      <w:color w:val="auto"/>
                      <w:szCs w:val="21"/>
                    </w:rPr>
                  </w:pPr>
                  <w:r>
                    <w:rPr>
                      <w:rFonts w:hint="eastAsia"/>
                      <w:color w:val="auto"/>
                      <w:szCs w:val="21"/>
                    </w:rPr>
                    <w:t>颗粒物</w:t>
                  </w:r>
                </w:p>
              </w:tc>
              <w:tc>
                <w:tcPr>
                  <w:tcW w:w="426" w:type="pct"/>
                  <w:vAlign w:val="center"/>
                </w:tcPr>
                <w:p w14:paraId="5161F598">
                  <w:pPr>
                    <w:adjustRightInd w:val="0"/>
                    <w:snapToGrid w:val="0"/>
                    <w:jc w:val="center"/>
                    <w:rPr>
                      <w:color w:val="auto"/>
                      <w:szCs w:val="21"/>
                    </w:rPr>
                  </w:pPr>
                  <w:r>
                    <w:rPr>
                      <w:rFonts w:hint="eastAsia"/>
                      <w:color w:val="auto"/>
                      <w:szCs w:val="21"/>
                    </w:rPr>
                    <w:t>10h/d，300d/a</w:t>
                  </w:r>
                </w:p>
              </w:tc>
              <w:tc>
                <w:tcPr>
                  <w:tcW w:w="1016" w:type="dxa"/>
                  <w:vAlign w:val="center"/>
                </w:tcPr>
                <w:p w14:paraId="3617AD99">
                  <w:pPr>
                    <w:widowControl/>
                    <w:jc w:val="center"/>
                    <w:textAlignment w:val="center"/>
                    <w:rPr>
                      <w:color w:val="auto"/>
                      <w:kern w:val="0"/>
                      <w:szCs w:val="21"/>
                      <w:lang w:bidi="ar"/>
                    </w:rPr>
                  </w:pPr>
                  <w:r>
                    <w:rPr>
                      <w:color w:val="auto"/>
                      <w:kern w:val="0"/>
                      <w:szCs w:val="21"/>
                      <w:lang w:bidi="ar"/>
                    </w:rPr>
                    <w:t>1.35</w:t>
                  </w:r>
                </w:p>
              </w:tc>
              <w:tc>
                <w:tcPr>
                  <w:tcW w:w="920" w:type="dxa"/>
                  <w:vAlign w:val="center"/>
                </w:tcPr>
                <w:p w14:paraId="456B9734">
                  <w:pPr>
                    <w:widowControl/>
                    <w:jc w:val="center"/>
                    <w:textAlignment w:val="center"/>
                    <w:rPr>
                      <w:color w:val="auto"/>
                      <w:kern w:val="0"/>
                      <w:szCs w:val="21"/>
                      <w:lang w:bidi="ar"/>
                    </w:rPr>
                  </w:pPr>
                  <w:r>
                    <w:rPr>
                      <w:color w:val="auto"/>
                      <w:kern w:val="0"/>
                      <w:szCs w:val="21"/>
                      <w:lang w:bidi="ar"/>
                    </w:rPr>
                    <w:t>0.451</w:t>
                  </w:r>
                </w:p>
              </w:tc>
            </w:tr>
            <w:tr w14:paraId="24FF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continue"/>
                  <w:vAlign w:val="center"/>
                </w:tcPr>
                <w:p w14:paraId="1D845D1F">
                  <w:pPr>
                    <w:adjustRightInd w:val="0"/>
                    <w:snapToGrid w:val="0"/>
                    <w:jc w:val="center"/>
                    <w:rPr>
                      <w:color w:val="auto"/>
                      <w:szCs w:val="21"/>
                    </w:rPr>
                  </w:pPr>
                </w:p>
              </w:tc>
              <w:tc>
                <w:tcPr>
                  <w:tcW w:w="339" w:type="pct"/>
                  <w:vAlign w:val="center"/>
                </w:tcPr>
                <w:p w14:paraId="79F534C4">
                  <w:pPr>
                    <w:adjustRightInd w:val="0"/>
                    <w:snapToGrid w:val="0"/>
                    <w:jc w:val="center"/>
                    <w:rPr>
                      <w:color w:val="auto"/>
                      <w:szCs w:val="21"/>
                    </w:rPr>
                  </w:pPr>
                  <w:r>
                    <w:rPr>
                      <w:rFonts w:hint="eastAsia"/>
                      <w:color w:val="auto"/>
                      <w:szCs w:val="21"/>
                    </w:rPr>
                    <w:t>合计</w:t>
                  </w:r>
                </w:p>
              </w:tc>
              <w:tc>
                <w:tcPr>
                  <w:tcW w:w="505" w:type="pct"/>
                  <w:vAlign w:val="center"/>
                </w:tcPr>
                <w:p w14:paraId="4EF6407C">
                  <w:pPr>
                    <w:adjustRightInd w:val="0"/>
                    <w:snapToGrid w:val="0"/>
                    <w:jc w:val="center"/>
                    <w:rPr>
                      <w:color w:val="auto"/>
                      <w:szCs w:val="21"/>
                    </w:rPr>
                  </w:pPr>
                  <w:r>
                    <w:rPr>
                      <w:rFonts w:hint="eastAsia"/>
                      <w:color w:val="auto"/>
                      <w:szCs w:val="21"/>
                    </w:rPr>
                    <w:t>/</w:t>
                  </w:r>
                </w:p>
              </w:tc>
              <w:tc>
                <w:tcPr>
                  <w:tcW w:w="357" w:type="pct"/>
                  <w:vAlign w:val="center"/>
                </w:tcPr>
                <w:p w14:paraId="5814A37F">
                  <w:pPr>
                    <w:adjustRightInd w:val="0"/>
                    <w:snapToGrid w:val="0"/>
                    <w:jc w:val="center"/>
                    <w:rPr>
                      <w:color w:val="auto"/>
                      <w:szCs w:val="21"/>
                    </w:rPr>
                  </w:pPr>
                  <w:r>
                    <w:rPr>
                      <w:rFonts w:hint="eastAsia"/>
                      <w:color w:val="auto"/>
                      <w:szCs w:val="21"/>
                    </w:rPr>
                    <w:t>/</w:t>
                  </w:r>
                </w:p>
              </w:tc>
              <w:tc>
                <w:tcPr>
                  <w:tcW w:w="324" w:type="pct"/>
                  <w:vAlign w:val="center"/>
                </w:tcPr>
                <w:p w14:paraId="2AD11FCC">
                  <w:pPr>
                    <w:adjustRightInd w:val="0"/>
                    <w:snapToGrid w:val="0"/>
                    <w:jc w:val="center"/>
                    <w:rPr>
                      <w:color w:val="auto"/>
                      <w:szCs w:val="21"/>
                    </w:rPr>
                  </w:pPr>
                  <w:r>
                    <w:rPr>
                      <w:rFonts w:hint="eastAsia"/>
                      <w:color w:val="auto"/>
                      <w:szCs w:val="21"/>
                    </w:rPr>
                    <w:t>/</w:t>
                  </w:r>
                </w:p>
              </w:tc>
              <w:tc>
                <w:tcPr>
                  <w:tcW w:w="423" w:type="pct"/>
                  <w:vAlign w:val="center"/>
                </w:tcPr>
                <w:p w14:paraId="33BD94B9">
                  <w:pPr>
                    <w:adjustRightInd w:val="0"/>
                    <w:snapToGrid w:val="0"/>
                    <w:jc w:val="center"/>
                    <w:rPr>
                      <w:color w:val="auto"/>
                      <w:szCs w:val="21"/>
                    </w:rPr>
                  </w:pPr>
                  <w:r>
                    <w:rPr>
                      <w:rFonts w:hint="eastAsia"/>
                      <w:color w:val="auto"/>
                      <w:szCs w:val="21"/>
                    </w:rPr>
                    <w:t>/</w:t>
                  </w:r>
                </w:p>
              </w:tc>
              <w:tc>
                <w:tcPr>
                  <w:tcW w:w="407" w:type="pct"/>
                  <w:vAlign w:val="center"/>
                </w:tcPr>
                <w:p w14:paraId="0AFF5F38">
                  <w:pPr>
                    <w:widowControl/>
                    <w:jc w:val="center"/>
                    <w:textAlignment w:val="center"/>
                    <w:rPr>
                      <w:color w:val="auto"/>
                      <w:kern w:val="0"/>
                      <w:szCs w:val="21"/>
                      <w:lang w:bidi="ar"/>
                    </w:rPr>
                  </w:pPr>
                  <w:r>
                    <w:rPr>
                      <w:rFonts w:hint="eastAsia"/>
                      <w:color w:val="auto"/>
                      <w:kern w:val="0"/>
                      <w:szCs w:val="21"/>
                      <w:lang w:bidi="ar"/>
                    </w:rPr>
                    <w:t>/</w:t>
                  </w:r>
                </w:p>
              </w:tc>
              <w:tc>
                <w:tcPr>
                  <w:tcW w:w="409" w:type="pct"/>
                  <w:vAlign w:val="center"/>
                </w:tcPr>
                <w:p w14:paraId="01F48AF0">
                  <w:pPr>
                    <w:adjustRightInd w:val="0"/>
                    <w:snapToGrid w:val="0"/>
                    <w:jc w:val="center"/>
                    <w:rPr>
                      <w:color w:val="auto"/>
                      <w:szCs w:val="21"/>
                    </w:rPr>
                  </w:pPr>
                  <w:r>
                    <w:rPr>
                      <w:rFonts w:hint="eastAsia"/>
                      <w:color w:val="auto"/>
                      <w:szCs w:val="21"/>
                    </w:rPr>
                    <w:t>/</w:t>
                  </w:r>
                </w:p>
              </w:tc>
              <w:tc>
                <w:tcPr>
                  <w:tcW w:w="441" w:type="pct"/>
                  <w:vAlign w:val="center"/>
                </w:tcPr>
                <w:p w14:paraId="1D82D761">
                  <w:pPr>
                    <w:adjustRightInd w:val="0"/>
                    <w:snapToGrid w:val="0"/>
                    <w:jc w:val="center"/>
                    <w:rPr>
                      <w:color w:val="auto"/>
                      <w:szCs w:val="21"/>
                    </w:rPr>
                  </w:pPr>
                  <w:r>
                    <w:rPr>
                      <w:rFonts w:hint="eastAsia"/>
                      <w:color w:val="auto"/>
                      <w:szCs w:val="21"/>
                    </w:rPr>
                    <w:t>颗粒物</w:t>
                  </w:r>
                </w:p>
              </w:tc>
              <w:tc>
                <w:tcPr>
                  <w:tcW w:w="426" w:type="pct"/>
                  <w:vAlign w:val="center"/>
                </w:tcPr>
                <w:p w14:paraId="3F8D74F0">
                  <w:pPr>
                    <w:adjustRightInd w:val="0"/>
                    <w:snapToGrid w:val="0"/>
                    <w:jc w:val="center"/>
                    <w:rPr>
                      <w:color w:val="auto"/>
                      <w:szCs w:val="21"/>
                    </w:rPr>
                  </w:pPr>
                  <w:r>
                    <w:rPr>
                      <w:rFonts w:hint="eastAsia"/>
                      <w:color w:val="auto"/>
                      <w:szCs w:val="21"/>
                    </w:rPr>
                    <w:t>/</w:t>
                  </w:r>
                </w:p>
              </w:tc>
              <w:tc>
                <w:tcPr>
                  <w:tcW w:w="1016" w:type="dxa"/>
                  <w:vAlign w:val="center"/>
                </w:tcPr>
                <w:p w14:paraId="30CBFDB8">
                  <w:pPr>
                    <w:widowControl/>
                    <w:jc w:val="center"/>
                    <w:textAlignment w:val="center"/>
                    <w:rPr>
                      <w:color w:val="auto"/>
                      <w:kern w:val="0"/>
                      <w:szCs w:val="21"/>
                      <w:lang w:bidi="ar"/>
                    </w:rPr>
                  </w:pPr>
                  <w:r>
                    <w:rPr>
                      <w:color w:val="auto"/>
                      <w:kern w:val="0"/>
                      <w:szCs w:val="21"/>
                      <w:lang w:bidi="ar"/>
                    </w:rPr>
                    <w:t>1.35</w:t>
                  </w:r>
                </w:p>
              </w:tc>
              <w:tc>
                <w:tcPr>
                  <w:tcW w:w="920" w:type="dxa"/>
                  <w:vAlign w:val="center"/>
                </w:tcPr>
                <w:p w14:paraId="1CD15037">
                  <w:pPr>
                    <w:widowControl/>
                    <w:jc w:val="center"/>
                    <w:textAlignment w:val="center"/>
                    <w:rPr>
                      <w:color w:val="auto"/>
                      <w:kern w:val="0"/>
                      <w:szCs w:val="21"/>
                      <w:lang w:bidi="ar"/>
                    </w:rPr>
                  </w:pPr>
                  <w:r>
                    <w:rPr>
                      <w:color w:val="auto"/>
                      <w:kern w:val="0"/>
                      <w:szCs w:val="21"/>
                      <w:lang w:bidi="ar"/>
                    </w:rPr>
                    <w:t>0.451</w:t>
                  </w:r>
                </w:p>
              </w:tc>
            </w:tr>
            <w:tr w14:paraId="5EC4A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restart"/>
                  <w:vAlign w:val="center"/>
                </w:tcPr>
                <w:p w14:paraId="68EFD441">
                  <w:pPr>
                    <w:adjustRightInd w:val="0"/>
                    <w:snapToGrid w:val="0"/>
                    <w:jc w:val="center"/>
                    <w:rPr>
                      <w:color w:val="auto"/>
                      <w:szCs w:val="21"/>
                    </w:rPr>
                  </w:pPr>
                  <w:r>
                    <w:rPr>
                      <w:rFonts w:hint="eastAsia"/>
                      <w:color w:val="auto"/>
                      <w:szCs w:val="21"/>
                    </w:rPr>
                    <w:t>尾数房</w:t>
                  </w:r>
                </w:p>
              </w:tc>
              <w:tc>
                <w:tcPr>
                  <w:tcW w:w="339" w:type="pct"/>
                  <w:vAlign w:val="center"/>
                </w:tcPr>
                <w:p w14:paraId="53AEC137">
                  <w:pPr>
                    <w:adjustRightInd w:val="0"/>
                    <w:snapToGrid w:val="0"/>
                    <w:jc w:val="center"/>
                    <w:rPr>
                      <w:color w:val="auto"/>
                      <w:szCs w:val="21"/>
                    </w:rPr>
                  </w:pPr>
                  <w:r>
                    <w:rPr>
                      <w:rFonts w:hint="eastAsia"/>
                      <w:color w:val="auto"/>
                      <w:szCs w:val="21"/>
                    </w:rPr>
                    <w:t>喷漆</w:t>
                  </w:r>
                </w:p>
              </w:tc>
              <w:tc>
                <w:tcPr>
                  <w:tcW w:w="505" w:type="pct"/>
                  <w:vAlign w:val="center"/>
                </w:tcPr>
                <w:p w14:paraId="723741A1">
                  <w:pPr>
                    <w:adjustRightInd w:val="0"/>
                    <w:snapToGrid w:val="0"/>
                    <w:jc w:val="center"/>
                    <w:rPr>
                      <w:color w:val="auto"/>
                      <w:szCs w:val="21"/>
                    </w:rPr>
                  </w:pPr>
                  <w:r>
                    <w:rPr>
                      <w:rFonts w:hint="eastAsia"/>
                      <w:color w:val="auto"/>
                      <w:szCs w:val="21"/>
                    </w:rPr>
                    <w:t>水性底漆</w:t>
                  </w:r>
                </w:p>
              </w:tc>
              <w:tc>
                <w:tcPr>
                  <w:tcW w:w="757" w:type="dxa"/>
                  <w:vAlign w:val="center"/>
                </w:tcPr>
                <w:p w14:paraId="4CDDB7D9">
                  <w:pPr>
                    <w:widowControl/>
                    <w:jc w:val="center"/>
                    <w:textAlignment w:val="center"/>
                    <w:rPr>
                      <w:color w:val="auto"/>
                      <w:szCs w:val="21"/>
                    </w:rPr>
                  </w:pPr>
                  <w:r>
                    <w:rPr>
                      <w:color w:val="auto"/>
                      <w:kern w:val="0"/>
                      <w:szCs w:val="21"/>
                      <w:lang w:bidi="ar"/>
                    </w:rPr>
                    <w:t xml:space="preserve">0.0456 </w:t>
                  </w:r>
                </w:p>
              </w:tc>
              <w:tc>
                <w:tcPr>
                  <w:tcW w:w="759" w:type="dxa"/>
                  <w:vAlign w:val="center"/>
                </w:tcPr>
                <w:p w14:paraId="70E2CB22">
                  <w:pPr>
                    <w:adjustRightInd w:val="0"/>
                    <w:snapToGrid w:val="0"/>
                    <w:jc w:val="center"/>
                    <w:rPr>
                      <w:color w:val="auto"/>
                      <w:szCs w:val="21"/>
                    </w:rPr>
                  </w:pPr>
                  <w:r>
                    <w:rPr>
                      <w:rFonts w:hint="eastAsia"/>
                      <w:color w:val="auto"/>
                      <w:szCs w:val="21"/>
                    </w:rPr>
                    <w:t>4.77%</w:t>
                  </w:r>
                </w:p>
              </w:tc>
              <w:tc>
                <w:tcPr>
                  <w:tcW w:w="898" w:type="dxa"/>
                  <w:vAlign w:val="center"/>
                </w:tcPr>
                <w:p w14:paraId="4797C63F">
                  <w:pPr>
                    <w:widowControl/>
                    <w:jc w:val="center"/>
                    <w:textAlignment w:val="center"/>
                    <w:rPr>
                      <w:color w:val="auto"/>
                      <w:szCs w:val="21"/>
                    </w:rPr>
                  </w:pPr>
                  <w:r>
                    <w:rPr>
                      <w:color w:val="auto"/>
                      <w:kern w:val="0"/>
                      <w:szCs w:val="21"/>
                      <w:lang w:bidi="ar"/>
                    </w:rPr>
                    <w:t>48.40%</w:t>
                  </w:r>
                </w:p>
              </w:tc>
              <w:tc>
                <w:tcPr>
                  <w:tcW w:w="864" w:type="dxa"/>
                  <w:vAlign w:val="center"/>
                </w:tcPr>
                <w:p w14:paraId="249D3222">
                  <w:pPr>
                    <w:widowControl/>
                    <w:jc w:val="center"/>
                    <w:textAlignment w:val="center"/>
                    <w:rPr>
                      <w:color w:val="auto"/>
                      <w:szCs w:val="21"/>
                    </w:rPr>
                  </w:pPr>
                  <w:r>
                    <w:rPr>
                      <w:color w:val="auto"/>
                      <w:kern w:val="0"/>
                      <w:szCs w:val="21"/>
                      <w:lang w:bidi="ar"/>
                    </w:rPr>
                    <w:t>46.83%</w:t>
                  </w:r>
                </w:p>
              </w:tc>
              <w:tc>
                <w:tcPr>
                  <w:tcW w:w="409" w:type="pct"/>
                  <w:vAlign w:val="center"/>
                </w:tcPr>
                <w:p w14:paraId="3D9914A0">
                  <w:pPr>
                    <w:adjustRightInd w:val="0"/>
                    <w:snapToGrid w:val="0"/>
                    <w:jc w:val="center"/>
                    <w:rPr>
                      <w:color w:val="auto"/>
                      <w:szCs w:val="21"/>
                    </w:rPr>
                  </w:pPr>
                  <w:r>
                    <w:rPr>
                      <w:rFonts w:hint="eastAsia"/>
                      <w:color w:val="auto"/>
                      <w:szCs w:val="21"/>
                    </w:rPr>
                    <w:t>25%</w:t>
                  </w:r>
                </w:p>
              </w:tc>
              <w:tc>
                <w:tcPr>
                  <w:tcW w:w="441" w:type="pct"/>
                  <w:vAlign w:val="center"/>
                </w:tcPr>
                <w:p w14:paraId="34B90289">
                  <w:pPr>
                    <w:adjustRightInd w:val="0"/>
                    <w:snapToGrid w:val="0"/>
                    <w:jc w:val="center"/>
                    <w:rPr>
                      <w:color w:val="auto"/>
                      <w:szCs w:val="21"/>
                    </w:rPr>
                  </w:pPr>
                  <w:r>
                    <w:rPr>
                      <w:rFonts w:hint="eastAsia"/>
                      <w:color w:val="auto"/>
                      <w:szCs w:val="21"/>
                    </w:rPr>
                    <w:t>颗粒物</w:t>
                  </w:r>
                </w:p>
              </w:tc>
              <w:tc>
                <w:tcPr>
                  <w:tcW w:w="426" w:type="pct"/>
                  <w:vMerge w:val="restart"/>
                  <w:vAlign w:val="center"/>
                </w:tcPr>
                <w:p w14:paraId="38A31564">
                  <w:pPr>
                    <w:adjustRightInd w:val="0"/>
                    <w:snapToGrid w:val="0"/>
                    <w:jc w:val="center"/>
                    <w:rPr>
                      <w:color w:val="auto"/>
                      <w:szCs w:val="21"/>
                    </w:rPr>
                  </w:pPr>
                  <w:r>
                    <w:rPr>
                      <w:rFonts w:hint="eastAsia"/>
                      <w:color w:val="auto"/>
                      <w:szCs w:val="21"/>
                    </w:rPr>
                    <w:t>2h/d，300d/a</w:t>
                  </w:r>
                </w:p>
              </w:tc>
              <w:tc>
                <w:tcPr>
                  <w:tcW w:w="1016" w:type="dxa"/>
                  <w:vAlign w:val="center"/>
                </w:tcPr>
                <w:p w14:paraId="63786C13">
                  <w:pPr>
                    <w:widowControl/>
                    <w:jc w:val="center"/>
                    <w:textAlignment w:val="center"/>
                    <w:rPr>
                      <w:color w:val="auto"/>
                      <w:kern w:val="0"/>
                      <w:szCs w:val="21"/>
                      <w:lang w:bidi="ar"/>
                    </w:rPr>
                  </w:pPr>
                  <w:r>
                    <w:rPr>
                      <w:color w:val="auto"/>
                      <w:kern w:val="0"/>
                      <w:szCs w:val="21"/>
                      <w:lang w:bidi="ar"/>
                    </w:rPr>
                    <w:t>0.016</w:t>
                  </w:r>
                </w:p>
              </w:tc>
              <w:tc>
                <w:tcPr>
                  <w:tcW w:w="920" w:type="dxa"/>
                  <w:vAlign w:val="center"/>
                </w:tcPr>
                <w:p w14:paraId="1DD71170">
                  <w:pPr>
                    <w:widowControl/>
                    <w:jc w:val="center"/>
                    <w:textAlignment w:val="center"/>
                    <w:rPr>
                      <w:color w:val="auto"/>
                      <w:kern w:val="0"/>
                      <w:szCs w:val="21"/>
                      <w:lang w:bidi="ar"/>
                    </w:rPr>
                  </w:pPr>
                  <w:r>
                    <w:rPr>
                      <w:color w:val="auto"/>
                      <w:kern w:val="0"/>
                      <w:szCs w:val="21"/>
                      <w:lang w:bidi="ar"/>
                    </w:rPr>
                    <w:t>0.0267</w:t>
                  </w:r>
                </w:p>
              </w:tc>
            </w:tr>
            <w:tr w14:paraId="35156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continue"/>
                </w:tcPr>
                <w:p w14:paraId="38F3C96E">
                  <w:pPr>
                    <w:adjustRightInd w:val="0"/>
                    <w:snapToGrid w:val="0"/>
                    <w:jc w:val="center"/>
                    <w:rPr>
                      <w:color w:val="auto"/>
                      <w:szCs w:val="21"/>
                    </w:rPr>
                  </w:pPr>
                </w:p>
              </w:tc>
              <w:tc>
                <w:tcPr>
                  <w:tcW w:w="339" w:type="pct"/>
                  <w:vAlign w:val="center"/>
                </w:tcPr>
                <w:p w14:paraId="7B836330">
                  <w:pPr>
                    <w:adjustRightInd w:val="0"/>
                    <w:snapToGrid w:val="0"/>
                    <w:jc w:val="center"/>
                    <w:rPr>
                      <w:color w:val="auto"/>
                      <w:szCs w:val="21"/>
                    </w:rPr>
                  </w:pPr>
                  <w:r>
                    <w:rPr>
                      <w:rFonts w:hint="eastAsia"/>
                      <w:color w:val="auto"/>
                      <w:szCs w:val="21"/>
                    </w:rPr>
                    <w:t>喷漆</w:t>
                  </w:r>
                </w:p>
              </w:tc>
              <w:tc>
                <w:tcPr>
                  <w:tcW w:w="505" w:type="pct"/>
                  <w:vAlign w:val="center"/>
                </w:tcPr>
                <w:p w14:paraId="7A812DA8">
                  <w:pPr>
                    <w:adjustRightInd w:val="0"/>
                    <w:snapToGrid w:val="0"/>
                    <w:jc w:val="center"/>
                    <w:rPr>
                      <w:color w:val="auto"/>
                      <w:szCs w:val="21"/>
                    </w:rPr>
                  </w:pPr>
                  <w:r>
                    <w:rPr>
                      <w:rFonts w:hint="eastAsia"/>
                      <w:color w:val="auto"/>
                      <w:szCs w:val="21"/>
                    </w:rPr>
                    <w:t>水性面漆</w:t>
                  </w:r>
                </w:p>
              </w:tc>
              <w:tc>
                <w:tcPr>
                  <w:tcW w:w="757" w:type="dxa"/>
                  <w:vAlign w:val="center"/>
                </w:tcPr>
                <w:p w14:paraId="48C184BC">
                  <w:pPr>
                    <w:widowControl/>
                    <w:jc w:val="center"/>
                    <w:textAlignment w:val="center"/>
                    <w:rPr>
                      <w:color w:val="auto"/>
                      <w:szCs w:val="21"/>
                    </w:rPr>
                  </w:pPr>
                  <w:r>
                    <w:rPr>
                      <w:color w:val="auto"/>
                      <w:kern w:val="0"/>
                      <w:szCs w:val="21"/>
                      <w:lang w:bidi="ar"/>
                    </w:rPr>
                    <w:t xml:space="preserve">0.0456 </w:t>
                  </w:r>
                </w:p>
              </w:tc>
              <w:tc>
                <w:tcPr>
                  <w:tcW w:w="759" w:type="dxa"/>
                  <w:vAlign w:val="center"/>
                </w:tcPr>
                <w:p w14:paraId="430E0021">
                  <w:pPr>
                    <w:adjustRightInd w:val="0"/>
                    <w:snapToGrid w:val="0"/>
                    <w:jc w:val="center"/>
                    <w:rPr>
                      <w:color w:val="auto"/>
                      <w:szCs w:val="21"/>
                    </w:rPr>
                  </w:pPr>
                  <w:r>
                    <w:rPr>
                      <w:rFonts w:hint="eastAsia"/>
                      <w:color w:val="auto"/>
                      <w:szCs w:val="21"/>
                    </w:rPr>
                    <w:t>4.92%</w:t>
                  </w:r>
                </w:p>
              </w:tc>
              <w:tc>
                <w:tcPr>
                  <w:tcW w:w="898" w:type="dxa"/>
                  <w:vAlign w:val="center"/>
                </w:tcPr>
                <w:p w14:paraId="0B27D80B">
                  <w:pPr>
                    <w:widowControl/>
                    <w:jc w:val="center"/>
                    <w:textAlignment w:val="center"/>
                    <w:rPr>
                      <w:color w:val="auto"/>
                      <w:szCs w:val="21"/>
                    </w:rPr>
                  </w:pPr>
                  <w:r>
                    <w:rPr>
                      <w:color w:val="auto"/>
                      <w:kern w:val="0"/>
                      <w:szCs w:val="21"/>
                      <w:lang w:bidi="ar"/>
                    </w:rPr>
                    <w:t>51.20%</w:t>
                  </w:r>
                </w:p>
              </w:tc>
              <w:tc>
                <w:tcPr>
                  <w:tcW w:w="864" w:type="dxa"/>
                  <w:vAlign w:val="center"/>
                </w:tcPr>
                <w:p w14:paraId="1297E09C">
                  <w:pPr>
                    <w:widowControl/>
                    <w:jc w:val="center"/>
                    <w:textAlignment w:val="center"/>
                    <w:rPr>
                      <w:color w:val="auto"/>
                      <w:szCs w:val="21"/>
                    </w:rPr>
                  </w:pPr>
                  <w:r>
                    <w:rPr>
                      <w:color w:val="auto"/>
                      <w:kern w:val="0"/>
                      <w:szCs w:val="21"/>
                      <w:lang w:bidi="ar"/>
                    </w:rPr>
                    <w:t>43.88%</w:t>
                  </w:r>
                </w:p>
              </w:tc>
              <w:tc>
                <w:tcPr>
                  <w:tcW w:w="409" w:type="pct"/>
                  <w:vAlign w:val="center"/>
                </w:tcPr>
                <w:p w14:paraId="67908681">
                  <w:pPr>
                    <w:adjustRightInd w:val="0"/>
                    <w:snapToGrid w:val="0"/>
                    <w:jc w:val="center"/>
                    <w:rPr>
                      <w:color w:val="auto"/>
                      <w:szCs w:val="21"/>
                    </w:rPr>
                  </w:pPr>
                  <w:r>
                    <w:rPr>
                      <w:rFonts w:hint="eastAsia"/>
                      <w:color w:val="auto"/>
                      <w:szCs w:val="21"/>
                    </w:rPr>
                    <w:t>25%</w:t>
                  </w:r>
                </w:p>
              </w:tc>
              <w:tc>
                <w:tcPr>
                  <w:tcW w:w="441" w:type="pct"/>
                  <w:vAlign w:val="center"/>
                </w:tcPr>
                <w:p w14:paraId="2E84E7CB">
                  <w:pPr>
                    <w:adjustRightInd w:val="0"/>
                    <w:snapToGrid w:val="0"/>
                    <w:jc w:val="center"/>
                    <w:rPr>
                      <w:color w:val="auto"/>
                      <w:szCs w:val="21"/>
                    </w:rPr>
                  </w:pPr>
                  <w:r>
                    <w:rPr>
                      <w:rFonts w:hint="eastAsia"/>
                      <w:color w:val="auto"/>
                      <w:szCs w:val="21"/>
                    </w:rPr>
                    <w:t>颗粒物</w:t>
                  </w:r>
                </w:p>
              </w:tc>
              <w:tc>
                <w:tcPr>
                  <w:tcW w:w="426" w:type="pct"/>
                  <w:vMerge w:val="continue"/>
                  <w:vAlign w:val="center"/>
                </w:tcPr>
                <w:p w14:paraId="3BBD23EC">
                  <w:pPr>
                    <w:adjustRightInd w:val="0"/>
                    <w:snapToGrid w:val="0"/>
                    <w:jc w:val="center"/>
                    <w:rPr>
                      <w:color w:val="auto"/>
                      <w:szCs w:val="21"/>
                    </w:rPr>
                  </w:pPr>
                </w:p>
              </w:tc>
              <w:tc>
                <w:tcPr>
                  <w:tcW w:w="1016" w:type="dxa"/>
                  <w:vAlign w:val="center"/>
                </w:tcPr>
                <w:p w14:paraId="6217F205">
                  <w:pPr>
                    <w:widowControl/>
                    <w:jc w:val="center"/>
                    <w:textAlignment w:val="center"/>
                    <w:rPr>
                      <w:color w:val="auto"/>
                      <w:kern w:val="0"/>
                      <w:szCs w:val="21"/>
                      <w:lang w:bidi="ar"/>
                    </w:rPr>
                  </w:pPr>
                  <w:r>
                    <w:rPr>
                      <w:color w:val="auto"/>
                      <w:kern w:val="0"/>
                      <w:szCs w:val="21"/>
                      <w:lang w:bidi="ar"/>
                    </w:rPr>
                    <w:t>0.015</w:t>
                  </w:r>
                </w:p>
              </w:tc>
              <w:tc>
                <w:tcPr>
                  <w:tcW w:w="920" w:type="dxa"/>
                  <w:vAlign w:val="center"/>
                </w:tcPr>
                <w:p w14:paraId="4BAC8920">
                  <w:pPr>
                    <w:widowControl/>
                    <w:jc w:val="center"/>
                    <w:textAlignment w:val="center"/>
                    <w:rPr>
                      <w:color w:val="auto"/>
                      <w:kern w:val="0"/>
                      <w:szCs w:val="21"/>
                      <w:lang w:bidi="ar"/>
                    </w:rPr>
                  </w:pPr>
                  <w:r>
                    <w:rPr>
                      <w:color w:val="auto"/>
                      <w:kern w:val="0"/>
                      <w:szCs w:val="21"/>
                      <w:lang w:bidi="ar"/>
                    </w:rPr>
                    <w:t>0.025</w:t>
                  </w:r>
                </w:p>
              </w:tc>
            </w:tr>
            <w:tr w14:paraId="142DD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continue"/>
                </w:tcPr>
                <w:p w14:paraId="11E725CD">
                  <w:pPr>
                    <w:adjustRightInd w:val="0"/>
                    <w:snapToGrid w:val="0"/>
                    <w:jc w:val="center"/>
                    <w:rPr>
                      <w:color w:val="auto"/>
                      <w:szCs w:val="21"/>
                    </w:rPr>
                  </w:pPr>
                </w:p>
              </w:tc>
              <w:tc>
                <w:tcPr>
                  <w:tcW w:w="339" w:type="pct"/>
                  <w:vAlign w:val="center"/>
                </w:tcPr>
                <w:p w14:paraId="6BA1ECAE">
                  <w:pPr>
                    <w:adjustRightInd w:val="0"/>
                    <w:snapToGrid w:val="0"/>
                    <w:jc w:val="center"/>
                    <w:rPr>
                      <w:color w:val="auto"/>
                      <w:szCs w:val="21"/>
                    </w:rPr>
                  </w:pPr>
                  <w:r>
                    <w:rPr>
                      <w:rFonts w:hint="eastAsia"/>
                      <w:color w:val="auto"/>
                      <w:szCs w:val="21"/>
                    </w:rPr>
                    <w:t>喷漆</w:t>
                  </w:r>
                </w:p>
              </w:tc>
              <w:tc>
                <w:tcPr>
                  <w:tcW w:w="505" w:type="pct"/>
                  <w:vAlign w:val="center"/>
                </w:tcPr>
                <w:p w14:paraId="3E01CCCB">
                  <w:pPr>
                    <w:adjustRightInd w:val="0"/>
                    <w:snapToGrid w:val="0"/>
                    <w:jc w:val="center"/>
                    <w:rPr>
                      <w:color w:val="auto"/>
                      <w:szCs w:val="21"/>
                    </w:rPr>
                  </w:pPr>
                  <w:r>
                    <w:rPr>
                      <w:rFonts w:hint="eastAsia"/>
                      <w:color w:val="auto"/>
                      <w:szCs w:val="21"/>
                    </w:rPr>
                    <w:t>水性清漆</w:t>
                  </w:r>
                </w:p>
              </w:tc>
              <w:tc>
                <w:tcPr>
                  <w:tcW w:w="757" w:type="dxa"/>
                  <w:vAlign w:val="center"/>
                </w:tcPr>
                <w:p w14:paraId="661A4BB4">
                  <w:pPr>
                    <w:widowControl/>
                    <w:jc w:val="center"/>
                    <w:textAlignment w:val="center"/>
                    <w:rPr>
                      <w:color w:val="auto"/>
                      <w:szCs w:val="21"/>
                    </w:rPr>
                  </w:pPr>
                  <w:r>
                    <w:rPr>
                      <w:color w:val="auto"/>
                      <w:kern w:val="0"/>
                      <w:szCs w:val="21"/>
                      <w:lang w:bidi="ar"/>
                    </w:rPr>
                    <w:t xml:space="preserve">0.0372 </w:t>
                  </w:r>
                </w:p>
              </w:tc>
              <w:tc>
                <w:tcPr>
                  <w:tcW w:w="324" w:type="pct"/>
                  <w:vAlign w:val="center"/>
                </w:tcPr>
                <w:p w14:paraId="19D72EEE">
                  <w:pPr>
                    <w:adjustRightInd w:val="0"/>
                    <w:snapToGrid w:val="0"/>
                    <w:jc w:val="center"/>
                    <w:rPr>
                      <w:color w:val="auto"/>
                      <w:szCs w:val="21"/>
                    </w:rPr>
                  </w:pPr>
                  <w:r>
                    <w:rPr>
                      <w:rFonts w:hint="eastAsia"/>
                      <w:color w:val="auto"/>
                      <w:szCs w:val="21"/>
                    </w:rPr>
                    <w:t>4.72%</w:t>
                  </w:r>
                </w:p>
              </w:tc>
              <w:tc>
                <w:tcPr>
                  <w:tcW w:w="898" w:type="dxa"/>
                  <w:vAlign w:val="center"/>
                </w:tcPr>
                <w:p w14:paraId="6F302192">
                  <w:pPr>
                    <w:widowControl/>
                    <w:jc w:val="center"/>
                    <w:textAlignment w:val="center"/>
                    <w:rPr>
                      <w:color w:val="auto"/>
                      <w:szCs w:val="21"/>
                    </w:rPr>
                  </w:pPr>
                  <w:r>
                    <w:rPr>
                      <w:color w:val="auto"/>
                      <w:kern w:val="0"/>
                      <w:szCs w:val="21"/>
                      <w:lang w:bidi="ar"/>
                    </w:rPr>
                    <w:t>22.50%</w:t>
                  </w:r>
                </w:p>
              </w:tc>
              <w:tc>
                <w:tcPr>
                  <w:tcW w:w="864" w:type="dxa"/>
                  <w:vAlign w:val="center"/>
                </w:tcPr>
                <w:p w14:paraId="2484D853">
                  <w:pPr>
                    <w:widowControl/>
                    <w:jc w:val="center"/>
                    <w:textAlignment w:val="center"/>
                    <w:rPr>
                      <w:color w:val="auto"/>
                      <w:szCs w:val="21"/>
                    </w:rPr>
                  </w:pPr>
                  <w:r>
                    <w:rPr>
                      <w:color w:val="auto"/>
                      <w:kern w:val="0"/>
                      <w:szCs w:val="21"/>
                      <w:lang w:bidi="ar"/>
                    </w:rPr>
                    <w:t>72.78%</w:t>
                  </w:r>
                </w:p>
              </w:tc>
              <w:tc>
                <w:tcPr>
                  <w:tcW w:w="409" w:type="pct"/>
                  <w:vAlign w:val="center"/>
                </w:tcPr>
                <w:p w14:paraId="176BAC6A">
                  <w:pPr>
                    <w:adjustRightInd w:val="0"/>
                    <w:snapToGrid w:val="0"/>
                    <w:jc w:val="center"/>
                    <w:rPr>
                      <w:color w:val="auto"/>
                      <w:szCs w:val="21"/>
                    </w:rPr>
                  </w:pPr>
                  <w:r>
                    <w:rPr>
                      <w:rFonts w:hint="eastAsia"/>
                      <w:color w:val="auto"/>
                      <w:szCs w:val="21"/>
                    </w:rPr>
                    <w:t>25%</w:t>
                  </w:r>
                </w:p>
              </w:tc>
              <w:tc>
                <w:tcPr>
                  <w:tcW w:w="441" w:type="pct"/>
                  <w:vAlign w:val="center"/>
                </w:tcPr>
                <w:p w14:paraId="18C22432">
                  <w:pPr>
                    <w:adjustRightInd w:val="0"/>
                    <w:snapToGrid w:val="0"/>
                    <w:jc w:val="center"/>
                    <w:rPr>
                      <w:color w:val="auto"/>
                      <w:szCs w:val="21"/>
                    </w:rPr>
                  </w:pPr>
                  <w:r>
                    <w:rPr>
                      <w:rFonts w:hint="eastAsia"/>
                      <w:color w:val="auto"/>
                      <w:szCs w:val="21"/>
                    </w:rPr>
                    <w:t>颗粒物</w:t>
                  </w:r>
                </w:p>
              </w:tc>
              <w:tc>
                <w:tcPr>
                  <w:tcW w:w="426" w:type="pct"/>
                  <w:vMerge w:val="continue"/>
                  <w:vAlign w:val="center"/>
                </w:tcPr>
                <w:p w14:paraId="6AF342CA">
                  <w:pPr>
                    <w:adjustRightInd w:val="0"/>
                    <w:snapToGrid w:val="0"/>
                    <w:jc w:val="center"/>
                    <w:rPr>
                      <w:color w:val="auto"/>
                      <w:szCs w:val="21"/>
                    </w:rPr>
                  </w:pPr>
                </w:p>
              </w:tc>
              <w:tc>
                <w:tcPr>
                  <w:tcW w:w="1016" w:type="dxa"/>
                  <w:vAlign w:val="center"/>
                </w:tcPr>
                <w:p w14:paraId="11563B2B">
                  <w:pPr>
                    <w:widowControl/>
                    <w:jc w:val="center"/>
                    <w:textAlignment w:val="center"/>
                    <w:rPr>
                      <w:color w:val="auto"/>
                      <w:kern w:val="0"/>
                      <w:szCs w:val="21"/>
                      <w:lang w:bidi="ar"/>
                    </w:rPr>
                  </w:pPr>
                  <w:r>
                    <w:rPr>
                      <w:color w:val="auto"/>
                      <w:kern w:val="0"/>
                      <w:szCs w:val="21"/>
                      <w:lang w:bidi="ar"/>
                    </w:rPr>
                    <w:t>0.0203</w:t>
                  </w:r>
                </w:p>
              </w:tc>
              <w:tc>
                <w:tcPr>
                  <w:tcW w:w="920" w:type="dxa"/>
                  <w:vAlign w:val="center"/>
                </w:tcPr>
                <w:p w14:paraId="342896CC">
                  <w:pPr>
                    <w:widowControl/>
                    <w:jc w:val="center"/>
                    <w:textAlignment w:val="center"/>
                    <w:rPr>
                      <w:color w:val="auto"/>
                      <w:kern w:val="0"/>
                      <w:szCs w:val="21"/>
                      <w:lang w:bidi="ar"/>
                    </w:rPr>
                  </w:pPr>
                  <w:r>
                    <w:rPr>
                      <w:color w:val="auto"/>
                      <w:kern w:val="0"/>
                      <w:szCs w:val="21"/>
                      <w:lang w:bidi="ar"/>
                    </w:rPr>
                    <w:t>0.0338</w:t>
                  </w:r>
                </w:p>
              </w:tc>
            </w:tr>
            <w:tr w14:paraId="5EF5E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7" w:type="pct"/>
                  <w:vMerge w:val="continue"/>
                </w:tcPr>
                <w:p w14:paraId="3C952D91">
                  <w:pPr>
                    <w:adjustRightInd w:val="0"/>
                    <w:snapToGrid w:val="0"/>
                    <w:jc w:val="center"/>
                    <w:rPr>
                      <w:color w:val="auto"/>
                      <w:szCs w:val="21"/>
                    </w:rPr>
                  </w:pPr>
                </w:p>
              </w:tc>
              <w:tc>
                <w:tcPr>
                  <w:tcW w:w="339" w:type="pct"/>
                  <w:vAlign w:val="center"/>
                </w:tcPr>
                <w:p w14:paraId="4201EF63">
                  <w:pPr>
                    <w:adjustRightInd w:val="0"/>
                    <w:snapToGrid w:val="0"/>
                    <w:jc w:val="center"/>
                    <w:rPr>
                      <w:color w:val="auto"/>
                      <w:szCs w:val="21"/>
                    </w:rPr>
                  </w:pPr>
                  <w:r>
                    <w:rPr>
                      <w:rFonts w:hint="eastAsia"/>
                      <w:color w:val="auto"/>
                      <w:szCs w:val="21"/>
                    </w:rPr>
                    <w:t>合计</w:t>
                  </w:r>
                </w:p>
              </w:tc>
              <w:tc>
                <w:tcPr>
                  <w:tcW w:w="505" w:type="pct"/>
                  <w:vAlign w:val="center"/>
                </w:tcPr>
                <w:p w14:paraId="5F498F64">
                  <w:pPr>
                    <w:adjustRightInd w:val="0"/>
                    <w:snapToGrid w:val="0"/>
                    <w:jc w:val="center"/>
                    <w:rPr>
                      <w:color w:val="auto"/>
                      <w:szCs w:val="21"/>
                    </w:rPr>
                  </w:pPr>
                  <w:r>
                    <w:rPr>
                      <w:rFonts w:hint="eastAsia"/>
                      <w:color w:val="auto"/>
                      <w:szCs w:val="21"/>
                    </w:rPr>
                    <w:t>/</w:t>
                  </w:r>
                </w:p>
              </w:tc>
              <w:tc>
                <w:tcPr>
                  <w:tcW w:w="357" w:type="pct"/>
                  <w:vAlign w:val="center"/>
                </w:tcPr>
                <w:p w14:paraId="240ED4C8">
                  <w:pPr>
                    <w:adjustRightInd w:val="0"/>
                    <w:snapToGrid w:val="0"/>
                    <w:jc w:val="center"/>
                    <w:rPr>
                      <w:color w:val="auto"/>
                      <w:szCs w:val="21"/>
                    </w:rPr>
                  </w:pPr>
                  <w:r>
                    <w:rPr>
                      <w:rFonts w:hint="eastAsia"/>
                      <w:color w:val="auto"/>
                      <w:szCs w:val="21"/>
                    </w:rPr>
                    <w:t>/</w:t>
                  </w:r>
                </w:p>
              </w:tc>
              <w:tc>
                <w:tcPr>
                  <w:tcW w:w="324" w:type="pct"/>
                  <w:vAlign w:val="center"/>
                </w:tcPr>
                <w:p w14:paraId="6805D43F">
                  <w:pPr>
                    <w:adjustRightInd w:val="0"/>
                    <w:snapToGrid w:val="0"/>
                    <w:jc w:val="center"/>
                    <w:rPr>
                      <w:color w:val="auto"/>
                      <w:szCs w:val="21"/>
                    </w:rPr>
                  </w:pPr>
                  <w:r>
                    <w:rPr>
                      <w:rFonts w:hint="eastAsia"/>
                      <w:color w:val="auto"/>
                      <w:szCs w:val="21"/>
                    </w:rPr>
                    <w:t>/</w:t>
                  </w:r>
                </w:p>
              </w:tc>
              <w:tc>
                <w:tcPr>
                  <w:tcW w:w="423" w:type="pct"/>
                  <w:vAlign w:val="center"/>
                </w:tcPr>
                <w:p w14:paraId="42AC5BB0">
                  <w:pPr>
                    <w:adjustRightInd w:val="0"/>
                    <w:snapToGrid w:val="0"/>
                    <w:jc w:val="center"/>
                    <w:rPr>
                      <w:color w:val="auto"/>
                      <w:szCs w:val="21"/>
                    </w:rPr>
                  </w:pPr>
                  <w:r>
                    <w:rPr>
                      <w:rFonts w:hint="eastAsia"/>
                      <w:color w:val="auto"/>
                      <w:szCs w:val="21"/>
                    </w:rPr>
                    <w:t>/</w:t>
                  </w:r>
                </w:p>
              </w:tc>
              <w:tc>
                <w:tcPr>
                  <w:tcW w:w="407" w:type="pct"/>
                  <w:vAlign w:val="center"/>
                </w:tcPr>
                <w:p w14:paraId="694650DE">
                  <w:pPr>
                    <w:widowControl/>
                    <w:jc w:val="center"/>
                    <w:textAlignment w:val="center"/>
                    <w:rPr>
                      <w:color w:val="auto"/>
                      <w:kern w:val="0"/>
                      <w:szCs w:val="21"/>
                      <w:lang w:bidi="ar"/>
                    </w:rPr>
                  </w:pPr>
                  <w:r>
                    <w:rPr>
                      <w:rFonts w:hint="eastAsia"/>
                      <w:color w:val="auto"/>
                      <w:kern w:val="0"/>
                      <w:szCs w:val="21"/>
                      <w:lang w:bidi="ar"/>
                    </w:rPr>
                    <w:t>/</w:t>
                  </w:r>
                </w:p>
              </w:tc>
              <w:tc>
                <w:tcPr>
                  <w:tcW w:w="409" w:type="pct"/>
                  <w:vAlign w:val="center"/>
                </w:tcPr>
                <w:p w14:paraId="49993DFF">
                  <w:pPr>
                    <w:adjustRightInd w:val="0"/>
                    <w:snapToGrid w:val="0"/>
                    <w:jc w:val="center"/>
                    <w:rPr>
                      <w:color w:val="auto"/>
                      <w:szCs w:val="21"/>
                    </w:rPr>
                  </w:pPr>
                  <w:r>
                    <w:rPr>
                      <w:rFonts w:hint="eastAsia"/>
                      <w:color w:val="auto"/>
                      <w:szCs w:val="21"/>
                    </w:rPr>
                    <w:t>/</w:t>
                  </w:r>
                </w:p>
              </w:tc>
              <w:tc>
                <w:tcPr>
                  <w:tcW w:w="441" w:type="pct"/>
                  <w:vAlign w:val="center"/>
                </w:tcPr>
                <w:p w14:paraId="16EC4850">
                  <w:pPr>
                    <w:adjustRightInd w:val="0"/>
                    <w:snapToGrid w:val="0"/>
                    <w:jc w:val="center"/>
                    <w:rPr>
                      <w:color w:val="auto"/>
                      <w:szCs w:val="21"/>
                    </w:rPr>
                  </w:pPr>
                  <w:r>
                    <w:rPr>
                      <w:rFonts w:hint="eastAsia"/>
                      <w:color w:val="auto"/>
                      <w:szCs w:val="21"/>
                    </w:rPr>
                    <w:t>颗粒物</w:t>
                  </w:r>
                </w:p>
              </w:tc>
              <w:tc>
                <w:tcPr>
                  <w:tcW w:w="426" w:type="pct"/>
                  <w:vAlign w:val="center"/>
                </w:tcPr>
                <w:p w14:paraId="019EF564">
                  <w:pPr>
                    <w:adjustRightInd w:val="0"/>
                    <w:snapToGrid w:val="0"/>
                    <w:jc w:val="center"/>
                    <w:rPr>
                      <w:color w:val="auto"/>
                      <w:szCs w:val="21"/>
                    </w:rPr>
                  </w:pPr>
                  <w:r>
                    <w:rPr>
                      <w:rFonts w:hint="eastAsia"/>
                      <w:color w:val="auto"/>
                      <w:szCs w:val="21"/>
                    </w:rPr>
                    <w:t>/</w:t>
                  </w:r>
                </w:p>
              </w:tc>
              <w:tc>
                <w:tcPr>
                  <w:tcW w:w="1016" w:type="dxa"/>
                  <w:vAlign w:val="center"/>
                </w:tcPr>
                <w:p w14:paraId="4A38A604">
                  <w:pPr>
                    <w:widowControl/>
                    <w:jc w:val="center"/>
                    <w:textAlignment w:val="center"/>
                    <w:rPr>
                      <w:color w:val="auto"/>
                      <w:kern w:val="0"/>
                      <w:szCs w:val="21"/>
                      <w:lang w:bidi="ar"/>
                    </w:rPr>
                  </w:pPr>
                  <w:r>
                    <w:rPr>
                      <w:color w:val="auto"/>
                      <w:kern w:val="0"/>
                      <w:szCs w:val="21"/>
                      <w:lang w:bidi="ar"/>
                    </w:rPr>
                    <w:t>0.0513</w:t>
                  </w:r>
                </w:p>
              </w:tc>
              <w:tc>
                <w:tcPr>
                  <w:tcW w:w="920" w:type="dxa"/>
                  <w:vAlign w:val="center"/>
                </w:tcPr>
                <w:p w14:paraId="7A45B321">
                  <w:pPr>
                    <w:widowControl/>
                    <w:jc w:val="center"/>
                    <w:textAlignment w:val="center"/>
                    <w:rPr>
                      <w:color w:val="auto"/>
                      <w:kern w:val="0"/>
                      <w:szCs w:val="21"/>
                      <w:lang w:bidi="ar"/>
                    </w:rPr>
                  </w:pPr>
                  <w:r>
                    <w:rPr>
                      <w:color w:val="auto"/>
                      <w:kern w:val="0"/>
                      <w:szCs w:val="21"/>
                      <w:lang w:bidi="ar"/>
                    </w:rPr>
                    <w:t>0.0855</w:t>
                  </w:r>
                </w:p>
              </w:tc>
            </w:tr>
            <w:tr w14:paraId="6DB4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12"/>
                </w:tcPr>
                <w:p w14:paraId="1BFE4ECA">
                  <w:pPr>
                    <w:widowControl/>
                    <w:textAlignment w:val="center"/>
                    <w:rPr>
                      <w:color w:val="auto"/>
                      <w:kern w:val="0"/>
                      <w:szCs w:val="21"/>
                      <w:lang w:bidi="ar"/>
                    </w:rPr>
                  </w:pPr>
                  <w:r>
                    <w:rPr>
                      <w:rFonts w:hint="eastAsia"/>
                      <w:color w:val="auto"/>
                      <w:kern w:val="0"/>
                      <w:szCs w:val="21"/>
                      <w:lang w:bidi="ar"/>
                    </w:rPr>
                    <w:t>备注：</w:t>
                  </w:r>
                </w:p>
                <w:p w14:paraId="06216CC2">
                  <w:pPr>
                    <w:widowControl/>
                    <w:textAlignment w:val="center"/>
                    <w:rPr>
                      <w:color w:val="auto"/>
                      <w:kern w:val="0"/>
                      <w:szCs w:val="21"/>
                      <w:lang w:bidi="ar"/>
                    </w:rPr>
                  </w:pPr>
                  <w:r>
                    <w:rPr>
                      <w:color w:val="auto"/>
                      <w:kern w:val="0"/>
                      <w:szCs w:val="21"/>
                      <w:lang w:bidi="ar"/>
                    </w:rPr>
                    <w:t>①根据建设单位提供的检验报告（编号：ST2008474、ST2008473、ST2205725），水性底漆</w:t>
                  </w:r>
                  <w:r>
                    <w:rPr>
                      <w:color w:val="auto"/>
                    </w:rPr>
                    <w:t>挥发性有机化合物（VOCs）含量为62g/L，水性面漆挥发性有机化合物（VOCs）含量为64g/L，水性清漆挥发性有机化合物（VOCs）含量为50g/L，结合各类涂料的密度，可计算出</w:t>
                  </w:r>
                  <w:r>
                    <w:rPr>
                      <w:color w:val="auto"/>
                      <w:kern w:val="0"/>
                      <w:szCs w:val="21"/>
                      <w:lang w:bidi="ar"/>
                    </w:rPr>
                    <w:t>水性底漆挥发物含量为4.77%，水性面漆挥发物含量为4.92%，水性清漆挥发物含量为4.72%；</w:t>
                  </w:r>
                </w:p>
                <w:p w14:paraId="4B560BFE">
                  <w:pPr>
                    <w:widowControl/>
                    <w:textAlignment w:val="center"/>
                    <w:rPr>
                      <w:color w:val="auto"/>
                      <w:kern w:val="0"/>
                      <w:szCs w:val="21"/>
                      <w:lang w:bidi="ar"/>
                    </w:rPr>
                  </w:pPr>
                  <w:r>
                    <w:rPr>
                      <w:color w:val="auto"/>
                      <w:kern w:val="0"/>
                      <w:szCs w:val="21"/>
                      <w:lang w:bidi="ar"/>
                    </w:rPr>
                    <w:t>②涂料的固含量=1-水含量占比-挥发物含量占比</w:t>
                  </w:r>
                  <w:r>
                    <w:rPr>
                      <w:rFonts w:hint="eastAsia"/>
                      <w:color w:val="auto"/>
                      <w:kern w:val="0"/>
                      <w:szCs w:val="21"/>
                      <w:lang w:bidi="ar"/>
                    </w:rPr>
                    <w:t>；</w:t>
                  </w:r>
                </w:p>
                <w:p w14:paraId="3F16EDFC">
                  <w:pPr>
                    <w:widowControl/>
                    <w:textAlignment w:val="center"/>
                    <w:rPr>
                      <w:color w:val="auto"/>
                      <w:kern w:val="0"/>
                      <w:szCs w:val="21"/>
                      <w:lang w:bidi="ar"/>
                    </w:rPr>
                  </w:pPr>
                  <w:r>
                    <w:rPr>
                      <w:rFonts w:hint="eastAsia" w:ascii="宋体" w:hAnsi="宋体" w:cs="宋体"/>
                      <w:color w:val="auto"/>
                      <w:kern w:val="0"/>
                      <w:szCs w:val="21"/>
                      <w:lang w:bidi="ar"/>
                    </w:rPr>
                    <w:t>③</w:t>
                  </w:r>
                  <w:r>
                    <w:rPr>
                      <w:rFonts w:hint="eastAsia"/>
                      <w:color w:val="auto"/>
                      <w:kern w:val="0"/>
                      <w:szCs w:val="21"/>
                      <w:lang w:bidi="ar"/>
                    </w:rPr>
                    <w:t>废气产生量=年使用量×（1-利用率）×固含量</w:t>
                  </w:r>
                  <w:r>
                    <w:rPr>
                      <w:color w:val="auto"/>
                      <w:kern w:val="0"/>
                      <w:szCs w:val="21"/>
                      <w:lang w:bidi="ar"/>
                    </w:rPr>
                    <w:t>。</w:t>
                  </w:r>
                </w:p>
              </w:tc>
            </w:tr>
          </w:tbl>
          <w:p w14:paraId="466FE089">
            <w:pPr>
              <w:adjustRightInd w:val="0"/>
              <w:snapToGrid w:val="0"/>
              <w:spacing w:line="360" w:lineRule="auto"/>
              <w:ind w:firstLine="482" w:firstLineChars="200"/>
              <w:jc w:val="left"/>
              <w:rPr>
                <w:b/>
                <w:bCs/>
                <w:color w:val="auto"/>
                <w:sz w:val="24"/>
              </w:rPr>
            </w:pPr>
            <w:r>
              <w:rPr>
                <w:rFonts w:hint="eastAsia"/>
                <w:b/>
                <w:bCs/>
                <w:color w:val="auto"/>
                <w:sz w:val="24"/>
              </w:rPr>
              <w:t>3）恶臭废气</w:t>
            </w:r>
          </w:p>
          <w:p w14:paraId="4D05CE7F">
            <w:pPr>
              <w:adjustRightInd w:val="0"/>
              <w:snapToGrid w:val="0"/>
              <w:spacing w:line="360" w:lineRule="auto"/>
              <w:ind w:firstLine="480" w:firstLineChars="200"/>
              <w:jc w:val="left"/>
              <w:rPr>
                <w:color w:val="auto"/>
                <w:sz w:val="24"/>
              </w:rPr>
            </w:pPr>
            <w:r>
              <w:rPr>
                <w:rFonts w:hint="eastAsia"/>
                <w:color w:val="auto"/>
                <w:sz w:val="24"/>
              </w:rPr>
              <w:t>项目喷漆和涂料烘烤过程会有少量恶臭气味产生，此类物质含量较小，成分较为复杂，以臭气浓度为表征。虽然这些气味对人体不会产生有害影响，但较高浓度的聚集也会使人产生不愉快的感受，恶臭污染物逸出和扩散机理复杂，废气源强难于计算，因此本评价仅对臭气浓度进行定性分析。</w:t>
            </w:r>
          </w:p>
          <w:p w14:paraId="72CFB919">
            <w:pPr>
              <w:adjustRightInd w:val="0"/>
              <w:snapToGrid w:val="0"/>
              <w:spacing w:line="360" w:lineRule="auto"/>
              <w:ind w:firstLine="482" w:firstLineChars="200"/>
              <w:jc w:val="left"/>
              <w:rPr>
                <w:b/>
                <w:bCs/>
                <w:color w:val="auto"/>
                <w:sz w:val="24"/>
              </w:rPr>
            </w:pPr>
            <w:r>
              <w:rPr>
                <w:rFonts w:hint="eastAsia"/>
                <w:b/>
                <w:bCs/>
                <w:color w:val="auto"/>
                <w:sz w:val="24"/>
              </w:rPr>
              <w:t>（7）天然气燃烧废气</w:t>
            </w:r>
          </w:p>
          <w:p w14:paraId="25FCE18E">
            <w:pPr>
              <w:autoSpaceDE w:val="0"/>
              <w:autoSpaceDN w:val="0"/>
              <w:adjustRightInd w:val="0"/>
              <w:snapToGrid w:val="0"/>
              <w:spacing w:line="360" w:lineRule="auto"/>
              <w:ind w:firstLine="480" w:firstLineChars="200"/>
              <w:jc w:val="left"/>
              <w:rPr>
                <w:color w:val="auto"/>
                <w:sz w:val="24"/>
              </w:rPr>
            </w:pPr>
            <w:r>
              <w:rPr>
                <w:color w:val="auto"/>
                <w:kern w:val="0"/>
                <w:sz w:val="24"/>
              </w:rPr>
              <w:t>本项目前处理线的</w:t>
            </w:r>
            <w:r>
              <w:rPr>
                <w:rFonts w:hint="eastAsia"/>
                <w:color w:val="auto"/>
                <w:kern w:val="0"/>
                <w:sz w:val="24"/>
              </w:rPr>
              <w:t>烘烤柜炉、</w:t>
            </w:r>
            <w:r>
              <w:rPr>
                <w:color w:val="auto"/>
                <w:kern w:val="0"/>
                <w:sz w:val="24"/>
              </w:rPr>
              <w:t>喷粉线的固化</w:t>
            </w:r>
            <w:r>
              <w:rPr>
                <w:rFonts w:hint="eastAsia"/>
                <w:color w:val="auto"/>
                <w:kern w:val="0"/>
                <w:sz w:val="24"/>
              </w:rPr>
              <w:t>隧道炉、喷涂线的烘烤隧道炉和补漆的烘烤柜炉采用天然气燃烧机</w:t>
            </w:r>
            <w:r>
              <w:rPr>
                <w:color w:val="auto"/>
                <w:kern w:val="0"/>
                <w:sz w:val="24"/>
              </w:rPr>
              <w:t>，均需使用管道天然气作为燃料进行供热</w:t>
            </w:r>
            <w:r>
              <w:rPr>
                <w:rFonts w:hint="eastAsia"/>
                <w:color w:val="auto"/>
                <w:sz w:val="24"/>
              </w:rPr>
              <w:t>，使用过程会产生天然气燃烧废气</w:t>
            </w:r>
            <w:r>
              <w:rPr>
                <w:color w:val="auto"/>
                <w:sz w:val="24"/>
              </w:rPr>
              <w:t>。</w:t>
            </w:r>
            <w:r>
              <w:rPr>
                <w:rFonts w:hint="eastAsia"/>
                <w:color w:val="auto"/>
                <w:sz w:val="24"/>
              </w:rPr>
              <w:t>项目天然气燃烧机的建设即天然气使用情况如下：</w:t>
            </w:r>
          </w:p>
          <w:p w14:paraId="7165C698">
            <w:pPr>
              <w:pStyle w:val="77"/>
              <w:numPr>
                <w:ilvl w:val="0"/>
                <w:numId w:val="18"/>
              </w:numPr>
              <w:adjustRightInd w:val="0"/>
              <w:snapToGrid w:val="0"/>
              <w:jc w:val="center"/>
              <w:rPr>
                <w:b/>
                <w:bCs/>
                <w:color w:val="auto"/>
                <w:szCs w:val="21"/>
              </w:rPr>
            </w:pPr>
            <w:r>
              <w:rPr>
                <w:rFonts w:hint="eastAsia"/>
                <w:b/>
                <w:bCs/>
                <w:color w:val="auto"/>
                <w:szCs w:val="21"/>
              </w:rPr>
              <w:t xml:space="preserve"> 天然气燃烧机建设情况一览表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1277"/>
              <w:gridCol w:w="2266"/>
              <w:gridCol w:w="2084"/>
              <w:gridCol w:w="1812"/>
              <w:gridCol w:w="1864"/>
            </w:tblGrid>
            <w:tr w14:paraId="733CA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vAlign w:val="center"/>
                </w:tcPr>
                <w:p w14:paraId="6880B665">
                  <w:pPr>
                    <w:adjustRightInd w:val="0"/>
                    <w:snapToGrid w:val="0"/>
                    <w:jc w:val="center"/>
                    <w:rPr>
                      <w:b/>
                      <w:bCs/>
                      <w:color w:val="auto"/>
                      <w:szCs w:val="21"/>
                    </w:rPr>
                  </w:pPr>
                  <w:r>
                    <w:rPr>
                      <w:rFonts w:hint="eastAsia"/>
                      <w:b/>
                      <w:bCs/>
                      <w:color w:val="auto"/>
                      <w:szCs w:val="21"/>
                    </w:rPr>
                    <w:t>生产工序</w:t>
                  </w:r>
                </w:p>
              </w:tc>
              <w:tc>
                <w:tcPr>
                  <w:tcW w:w="597" w:type="pct"/>
                  <w:vAlign w:val="center"/>
                </w:tcPr>
                <w:p w14:paraId="2CE2203A">
                  <w:pPr>
                    <w:adjustRightInd w:val="0"/>
                    <w:snapToGrid w:val="0"/>
                    <w:jc w:val="center"/>
                    <w:rPr>
                      <w:b/>
                      <w:bCs/>
                      <w:color w:val="auto"/>
                      <w:szCs w:val="21"/>
                    </w:rPr>
                  </w:pPr>
                  <w:r>
                    <w:rPr>
                      <w:rFonts w:hint="eastAsia"/>
                      <w:b/>
                      <w:bCs/>
                      <w:color w:val="auto"/>
                      <w:szCs w:val="21"/>
                    </w:rPr>
                    <w:t>用气设备</w:t>
                  </w:r>
                </w:p>
              </w:tc>
              <w:tc>
                <w:tcPr>
                  <w:tcW w:w="1059" w:type="pct"/>
                  <w:vAlign w:val="center"/>
                </w:tcPr>
                <w:p w14:paraId="79FB1B3F">
                  <w:pPr>
                    <w:adjustRightInd w:val="0"/>
                    <w:snapToGrid w:val="0"/>
                    <w:jc w:val="center"/>
                    <w:rPr>
                      <w:b/>
                      <w:bCs/>
                      <w:color w:val="auto"/>
                      <w:szCs w:val="21"/>
                    </w:rPr>
                  </w:pPr>
                  <w:r>
                    <w:rPr>
                      <w:b/>
                      <w:bCs/>
                      <w:color w:val="auto"/>
                      <w:szCs w:val="21"/>
                    </w:rPr>
                    <w:t>配套燃烧机功率总额（万大卡/h）</w:t>
                  </w:r>
                </w:p>
              </w:tc>
              <w:tc>
                <w:tcPr>
                  <w:tcW w:w="974" w:type="pct"/>
                  <w:vAlign w:val="center"/>
                </w:tcPr>
                <w:p w14:paraId="31513959">
                  <w:pPr>
                    <w:adjustRightInd w:val="0"/>
                    <w:snapToGrid w:val="0"/>
                    <w:jc w:val="center"/>
                    <w:rPr>
                      <w:b/>
                      <w:bCs/>
                      <w:color w:val="auto"/>
                      <w:szCs w:val="21"/>
                    </w:rPr>
                  </w:pPr>
                  <w:r>
                    <w:rPr>
                      <w:b/>
                      <w:bCs/>
                      <w:color w:val="auto"/>
                      <w:szCs w:val="21"/>
                    </w:rPr>
                    <w:t>燃烧机数量（台）</w:t>
                  </w:r>
                </w:p>
              </w:tc>
              <w:tc>
                <w:tcPr>
                  <w:tcW w:w="847" w:type="pct"/>
                  <w:vAlign w:val="center"/>
                </w:tcPr>
                <w:p w14:paraId="1411CFBF">
                  <w:pPr>
                    <w:adjustRightInd w:val="0"/>
                    <w:snapToGrid w:val="0"/>
                    <w:jc w:val="center"/>
                    <w:rPr>
                      <w:b/>
                      <w:bCs/>
                      <w:color w:val="auto"/>
                      <w:szCs w:val="21"/>
                    </w:rPr>
                  </w:pPr>
                  <w:r>
                    <w:rPr>
                      <w:b/>
                      <w:bCs/>
                      <w:color w:val="auto"/>
                      <w:szCs w:val="21"/>
                    </w:rPr>
                    <w:t>年运行时间（h）</w:t>
                  </w:r>
                </w:p>
              </w:tc>
              <w:tc>
                <w:tcPr>
                  <w:tcW w:w="871" w:type="pct"/>
                  <w:vAlign w:val="center"/>
                </w:tcPr>
                <w:p w14:paraId="0A5B7FA6">
                  <w:pPr>
                    <w:adjustRightInd w:val="0"/>
                    <w:snapToGrid w:val="0"/>
                    <w:jc w:val="center"/>
                    <w:rPr>
                      <w:b/>
                      <w:bCs/>
                      <w:color w:val="auto"/>
                      <w:szCs w:val="21"/>
                    </w:rPr>
                  </w:pPr>
                  <w:r>
                    <w:rPr>
                      <w:b/>
                      <w:bCs/>
                      <w:color w:val="auto"/>
                      <w:szCs w:val="21"/>
                    </w:rPr>
                    <w:t>年用量（万m</w:t>
                  </w:r>
                  <w:r>
                    <w:rPr>
                      <w:b/>
                      <w:bCs/>
                      <w:color w:val="auto"/>
                      <w:szCs w:val="21"/>
                      <w:vertAlign w:val="superscript"/>
                    </w:rPr>
                    <w:t>3</w:t>
                  </w:r>
                  <w:r>
                    <w:rPr>
                      <w:b/>
                      <w:bCs/>
                      <w:color w:val="auto"/>
                      <w:szCs w:val="21"/>
                    </w:rPr>
                    <w:t>）</w:t>
                  </w:r>
                </w:p>
              </w:tc>
            </w:tr>
            <w:tr w14:paraId="28B04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8" w:type="pct"/>
                  <w:vAlign w:val="center"/>
                </w:tcPr>
                <w:p w14:paraId="79937B77">
                  <w:pPr>
                    <w:adjustRightInd w:val="0"/>
                    <w:snapToGrid w:val="0"/>
                    <w:jc w:val="center"/>
                    <w:rPr>
                      <w:color w:val="auto"/>
                      <w:szCs w:val="21"/>
                    </w:rPr>
                  </w:pPr>
                  <w:r>
                    <w:rPr>
                      <w:rFonts w:hint="eastAsia"/>
                      <w:color w:val="auto"/>
                      <w:szCs w:val="21"/>
                    </w:rPr>
                    <w:t>烘干</w:t>
                  </w:r>
                </w:p>
              </w:tc>
              <w:tc>
                <w:tcPr>
                  <w:tcW w:w="597" w:type="pct"/>
                  <w:vAlign w:val="center"/>
                </w:tcPr>
                <w:p w14:paraId="29F4803D">
                  <w:pPr>
                    <w:adjustRightInd w:val="0"/>
                    <w:snapToGrid w:val="0"/>
                    <w:jc w:val="center"/>
                    <w:rPr>
                      <w:color w:val="auto"/>
                      <w:szCs w:val="21"/>
                    </w:rPr>
                  </w:pPr>
                  <w:r>
                    <w:rPr>
                      <w:rFonts w:hint="eastAsia"/>
                      <w:color w:val="auto"/>
                      <w:szCs w:val="21"/>
                    </w:rPr>
                    <w:t>烘烤柜炉</w:t>
                  </w:r>
                </w:p>
              </w:tc>
              <w:tc>
                <w:tcPr>
                  <w:tcW w:w="1059" w:type="pct"/>
                  <w:vAlign w:val="center"/>
                </w:tcPr>
                <w:p w14:paraId="23E86F51">
                  <w:pPr>
                    <w:adjustRightInd w:val="0"/>
                    <w:snapToGrid w:val="0"/>
                    <w:jc w:val="center"/>
                    <w:rPr>
                      <w:color w:val="auto"/>
                      <w:szCs w:val="21"/>
                    </w:rPr>
                  </w:pPr>
                  <w:r>
                    <w:rPr>
                      <w:rFonts w:hint="eastAsia"/>
                      <w:color w:val="auto"/>
                      <w:szCs w:val="21"/>
                    </w:rPr>
                    <w:t>2.16</w:t>
                  </w:r>
                </w:p>
              </w:tc>
              <w:tc>
                <w:tcPr>
                  <w:tcW w:w="974" w:type="pct"/>
                  <w:vAlign w:val="center"/>
                </w:tcPr>
                <w:p w14:paraId="27033106">
                  <w:pPr>
                    <w:adjustRightInd w:val="0"/>
                    <w:snapToGrid w:val="0"/>
                    <w:jc w:val="center"/>
                    <w:rPr>
                      <w:color w:val="auto"/>
                      <w:szCs w:val="21"/>
                    </w:rPr>
                  </w:pPr>
                  <w:r>
                    <w:rPr>
                      <w:rFonts w:hint="eastAsia"/>
                      <w:color w:val="auto"/>
                      <w:szCs w:val="21"/>
                    </w:rPr>
                    <w:t>2</w:t>
                  </w:r>
                </w:p>
              </w:tc>
              <w:tc>
                <w:tcPr>
                  <w:tcW w:w="847" w:type="pct"/>
                  <w:vAlign w:val="center"/>
                </w:tcPr>
                <w:p w14:paraId="407C684E">
                  <w:pPr>
                    <w:adjustRightInd w:val="0"/>
                    <w:snapToGrid w:val="0"/>
                    <w:jc w:val="center"/>
                    <w:rPr>
                      <w:color w:val="auto"/>
                      <w:szCs w:val="21"/>
                    </w:rPr>
                  </w:pPr>
                  <w:r>
                    <w:rPr>
                      <w:rFonts w:hint="eastAsia"/>
                      <w:color w:val="auto"/>
                      <w:szCs w:val="21"/>
                    </w:rPr>
                    <w:t>3000</w:t>
                  </w:r>
                </w:p>
              </w:tc>
              <w:tc>
                <w:tcPr>
                  <w:tcW w:w="871" w:type="pct"/>
                  <w:vAlign w:val="center"/>
                </w:tcPr>
                <w:p w14:paraId="7FBA49DB">
                  <w:pPr>
                    <w:widowControl/>
                    <w:jc w:val="center"/>
                    <w:textAlignment w:val="center"/>
                    <w:rPr>
                      <w:color w:val="auto"/>
                      <w:szCs w:val="21"/>
                    </w:rPr>
                  </w:pPr>
                  <w:r>
                    <w:rPr>
                      <w:color w:val="auto"/>
                      <w:kern w:val="0"/>
                      <w:szCs w:val="21"/>
                      <w:lang w:bidi="ar"/>
                    </w:rPr>
                    <w:t xml:space="preserve">1.69 </w:t>
                  </w:r>
                </w:p>
              </w:tc>
            </w:tr>
            <w:tr w14:paraId="68B85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8" w:type="pct"/>
                  <w:vAlign w:val="center"/>
                </w:tcPr>
                <w:p w14:paraId="0DD5616C">
                  <w:pPr>
                    <w:adjustRightInd w:val="0"/>
                    <w:snapToGrid w:val="0"/>
                    <w:jc w:val="center"/>
                    <w:rPr>
                      <w:color w:val="auto"/>
                      <w:szCs w:val="21"/>
                    </w:rPr>
                  </w:pPr>
                  <w:r>
                    <w:rPr>
                      <w:rFonts w:hint="eastAsia"/>
                      <w:color w:val="auto"/>
                      <w:szCs w:val="21"/>
                    </w:rPr>
                    <w:t>喷粉固化</w:t>
                  </w:r>
                </w:p>
              </w:tc>
              <w:tc>
                <w:tcPr>
                  <w:tcW w:w="597" w:type="pct"/>
                  <w:vAlign w:val="center"/>
                </w:tcPr>
                <w:p w14:paraId="4E0717D8">
                  <w:pPr>
                    <w:adjustRightInd w:val="0"/>
                    <w:snapToGrid w:val="0"/>
                    <w:jc w:val="center"/>
                    <w:rPr>
                      <w:color w:val="auto"/>
                      <w:szCs w:val="21"/>
                    </w:rPr>
                  </w:pPr>
                  <w:r>
                    <w:rPr>
                      <w:rFonts w:hint="eastAsia"/>
                      <w:color w:val="auto"/>
                      <w:szCs w:val="21"/>
                    </w:rPr>
                    <w:t>固化隧道炉</w:t>
                  </w:r>
                </w:p>
              </w:tc>
              <w:tc>
                <w:tcPr>
                  <w:tcW w:w="1059" w:type="pct"/>
                  <w:vAlign w:val="center"/>
                </w:tcPr>
                <w:p w14:paraId="012A885F">
                  <w:pPr>
                    <w:adjustRightInd w:val="0"/>
                    <w:snapToGrid w:val="0"/>
                    <w:jc w:val="center"/>
                    <w:rPr>
                      <w:color w:val="auto"/>
                      <w:szCs w:val="21"/>
                    </w:rPr>
                  </w:pPr>
                  <w:r>
                    <w:rPr>
                      <w:rFonts w:hint="eastAsia"/>
                      <w:color w:val="auto"/>
                      <w:szCs w:val="21"/>
                    </w:rPr>
                    <w:t>21.6</w:t>
                  </w:r>
                </w:p>
              </w:tc>
              <w:tc>
                <w:tcPr>
                  <w:tcW w:w="974" w:type="pct"/>
                  <w:vAlign w:val="center"/>
                </w:tcPr>
                <w:p w14:paraId="57BE6240">
                  <w:pPr>
                    <w:adjustRightInd w:val="0"/>
                    <w:snapToGrid w:val="0"/>
                    <w:jc w:val="center"/>
                    <w:rPr>
                      <w:color w:val="auto"/>
                      <w:szCs w:val="21"/>
                    </w:rPr>
                  </w:pPr>
                  <w:r>
                    <w:rPr>
                      <w:rFonts w:hint="eastAsia"/>
                      <w:color w:val="auto"/>
                      <w:szCs w:val="21"/>
                    </w:rPr>
                    <w:t>1</w:t>
                  </w:r>
                </w:p>
              </w:tc>
              <w:tc>
                <w:tcPr>
                  <w:tcW w:w="847" w:type="pct"/>
                  <w:vAlign w:val="center"/>
                </w:tcPr>
                <w:p w14:paraId="3DCC24DE">
                  <w:pPr>
                    <w:adjustRightInd w:val="0"/>
                    <w:snapToGrid w:val="0"/>
                    <w:jc w:val="center"/>
                    <w:rPr>
                      <w:color w:val="auto"/>
                      <w:szCs w:val="21"/>
                    </w:rPr>
                  </w:pPr>
                  <w:r>
                    <w:rPr>
                      <w:rFonts w:hint="eastAsia"/>
                      <w:color w:val="auto"/>
                      <w:szCs w:val="21"/>
                    </w:rPr>
                    <w:t>3000</w:t>
                  </w:r>
                </w:p>
              </w:tc>
              <w:tc>
                <w:tcPr>
                  <w:tcW w:w="871" w:type="pct"/>
                  <w:vAlign w:val="center"/>
                </w:tcPr>
                <w:p w14:paraId="5BAF2200">
                  <w:pPr>
                    <w:widowControl/>
                    <w:jc w:val="center"/>
                    <w:textAlignment w:val="center"/>
                    <w:rPr>
                      <w:color w:val="auto"/>
                      <w:kern w:val="0"/>
                      <w:szCs w:val="21"/>
                      <w:lang w:bidi="ar"/>
                    </w:rPr>
                  </w:pPr>
                  <w:r>
                    <w:rPr>
                      <w:color w:val="auto"/>
                      <w:kern w:val="0"/>
                      <w:szCs w:val="21"/>
                      <w:lang w:bidi="ar"/>
                    </w:rPr>
                    <w:t xml:space="preserve">8.47 </w:t>
                  </w:r>
                </w:p>
              </w:tc>
            </w:tr>
            <w:tr w14:paraId="1EF6A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8" w:type="pct"/>
                  <w:vAlign w:val="center"/>
                </w:tcPr>
                <w:p w14:paraId="02697A14">
                  <w:pPr>
                    <w:adjustRightInd w:val="0"/>
                    <w:snapToGrid w:val="0"/>
                    <w:jc w:val="center"/>
                    <w:rPr>
                      <w:color w:val="auto"/>
                      <w:szCs w:val="21"/>
                    </w:rPr>
                  </w:pPr>
                  <w:r>
                    <w:rPr>
                      <w:rFonts w:hint="eastAsia"/>
                      <w:color w:val="auto"/>
                      <w:szCs w:val="21"/>
                    </w:rPr>
                    <w:t>底、面漆烘烤</w:t>
                  </w:r>
                </w:p>
              </w:tc>
              <w:tc>
                <w:tcPr>
                  <w:tcW w:w="597" w:type="pct"/>
                  <w:vAlign w:val="center"/>
                </w:tcPr>
                <w:p w14:paraId="237CF36F">
                  <w:pPr>
                    <w:adjustRightInd w:val="0"/>
                    <w:snapToGrid w:val="0"/>
                    <w:jc w:val="center"/>
                    <w:rPr>
                      <w:color w:val="auto"/>
                      <w:szCs w:val="21"/>
                    </w:rPr>
                  </w:pPr>
                  <w:r>
                    <w:rPr>
                      <w:rFonts w:hint="eastAsia"/>
                      <w:color w:val="auto"/>
                      <w:szCs w:val="21"/>
                    </w:rPr>
                    <w:t>烘烤隧道炉</w:t>
                  </w:r>
                </w:p>
              </w:tc>
              <w:tc>
                <w:tcPr>
                  <w:tcW w:w="1059" w:type="pct"/>
                  <w:vAlign w:val="center"/>
                </w:tcPr>
                <w:p w14:paraId="0B93BC93">
                  <w:pPr>
                    <w:adjustRightInd w:val="0"/>
                    <w:snapToGrid w:val="0"/>
                    <w:jc w:val="center"/>
                    <w:rPr>
                      <w:color w:val="auto"/>
                      <w:szCs w:val="21"/>
                    </w:rPr>
                  </w:pPr>
                  <w:r>
                    <w:rPr>
                      <w:rFonts w:hint="eastAsia"/>
                      <w:color w:val="auto"/>
                      <w:szCs w:val="21"/>
                    </w:rPr>
                    <w:t>21.6</w:t>
                  </w:r>
                </w:p>
              </w:tc>
              <w:tc>
                <w:tcPr>
                  <w:tcW w:w="974" w:type="pct"/>
                  <w:vAlign w:val="center"/>
                </w:tcPr>
                <w:p w14:paraId="3DB61650">
                  <w:pPr>
                    <w:adjustRightInd w:val="0"/>
                    <w:snapToGrid w:val="0"/>
                    <w:jc w:val="center"/>
                    <w:rPr>
                      <w:color w:val="auto"/>
                      <w:szCs w:val="21"/>
                    </w:rPr>
                  </w:pPr>
                  <w:r>
                    <w:rPr>
                      <w:rFonts w:hint="eastAsia"/>
                      <w:color w:val="auto"/>
                      <w:szCs w:val="21"/>
                    </w:rPr>
                    <w:t>1</w:t>
                  </w:r>
                </w:p>
              </w:tc>
              <w:tc>
                <w:tcPr>
                  <w:tcW w:w="847" w:type="pct"/>
                  <w:vAlign w:val="center"/>
                </w:tcPr>
                <w:p w14:paraId="0D82DCC6">
                  <w:pPr>
                    <w:adjustRightInd w:val="0"/>
                    <w:snapToGrid w:val="0"/>
                    <w:jc w:val="center"/>
                    <w:rPr>
                      <w:color w:val="auto"/>
                      <w:szCs w:val="21"/>
                    </w:rPr>
                  </w:pPr>
                  <w:r>
                    <w:rPr>
                      <w:rFonts w:hint="eastAsia"/>
                      <w:color w:val="auto"/>
                      <w:szCs w:val="21"/>
                    </w:rPr>
                    <w:t>3000</w:t>
                  </w:r>
                </w:p>
              </w:tc>
              <w:tc>
                <w:tcPr>
                  <w:tcW w:w="871" w:type="pct"/>
                  <w:vAlign w:val="center"/>
                </w:tcPr>
                <w:p w14:paraId="705C4602">
                  <w:pPr>
                    <w:widowControl/>
                    <w:jc w:val="center"/>
                    <w:textAlignment w:val="center"/>
                    <w:rPr>
                      <w:color w:val="auto"/>
                      <w:kern w:val="0"/>
                      <w:szCs w:val="21"/>
                      <w:lang w:bidi="ar"/>
                    </w:rPr>
                  </w:pPr>
                  <w:r>
                    <w:rPr>
                      <w:rFonts w:hint="eastAsia"/>
                      <w:color w:val="auto"/>
                      <w:kern w:val="0"/>
                      <w:szCs w:val="21"/>
                      <w:lang w:bidi="ar"/>
                    </w:rPr>
                    <w:t>8.47</w:t>
                  </w:r>
                </w:p>
              </w:tc>
            </w:tr>
            <w:tr w14:paraId="702B5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8" w:type="pct"/>
                  <w:vAlign w:val="center"/>
                </w:tcPr>
                <w:p w14:paraId="78C1C18D">
                  <w:pPr>
                    <w:adjustRightInd w:val="0"/>
                    <w:snapToGrid w:val="0"/>
                    <w:jc w:val="center"/>
                    <w:rPr>
                      <w:color w:val="auto"/>
                      <w:szCs w:val="21"/>
                    </w:rPr>
                  </w:pPr>
                  <w:r>
                    <w:rPr>
                      <w:rFonts w:hint="eastAsia"/>
                      <w:color w:val="auto"/>
                      <w:szCs w:val="21"/>
                    </w:rPr>
                    <w:t>清漆烘烤</w:t>
                  </w:r>
                </w:p>
              </w:tc>
              <w:tc>
                <w:tcPr>
                  <w:tcW w:w="597" w:type="pct"/>
                  <w:vAlign w:val="center"/>
                </w:tcPr>
                <w:p w14:paraId="3C2B25C6">
                  <w:pPr>
                    <w:adjustRightInd w:val="0"/>
                    <w:snapToGrid w:val="0"/>
                    <w:jc w:val="center"/>
                    <w:rPr>
                      <w:color w:val="auto"/>
                      <w:szCs w:val="21"/>
                    </w:rPr>
                  </w:pPr>
                  <w:r>
                    <w:rPr>
                      <w:rFonts w:hint="eastAsia"/>
                      <w:color w:val="auto"/>
                      <w:szCs w:val="21"/>
                    </w:rPr>
                    <w:t>烘烤隧道炉</w:t>
                  </w:r>
                </w:p>
              </w:tc>
              <w:tc>
                <w:tcPr>
                  <w:tcW w:w="1059" w:type="pct"/>
                  <w:vAlign w:val="center"/>
                </w:tcPr>
                <w:p w14:paraId="5E54F7F7">
                  <w:pPr>
                    <w:adjustRightInd w:val="0"/>
                    <w:snapToGrid w:val="0"/>
                    <w:jc w:val="center"/>
                    <w:rPr>
                      <w:color w:val="auto"/>
                      <w:szCs w:val="21"/>
                    </w:rPr>
                  </w:pPr>
                  <w:r>
                    <w:rPr>
                      <w:rFonts w:hint="eastAsia"/>
                      <w:color w:val="auto"/>
                      <w:szCs w:val="21"/>
                    </w:rPr>
                    <w:t>21.6</w:t>
                  </w:r>
                </w:p>
              </w:tc>
              <w:tc>
                <w:tcPr>
                  <w:tcW w:w="974" w:type="pct"/>
                  <w:vAlign w:val="center"/>
                </w:tcPr>
                <w:p w14:paraId="7CB9B32A">
                  <w:pPr>
                    <w:adjustRightInd w:val="0"/>
                    <w:snapToGrid w:val="0"/>
                    <w:jc w:val="center"/>
                    <w:rPr>
                      <w:color w:val="auto"/>
                      <w:szCs w:val="21"/>
                    </w:rPr>
                  </w:pPr>
                  <w:r>
                    <w:rPr>
                      <w:rFonts w:hint="eastAsia"/>
                      <w:color w:val="auto"/>
                      <w:szCs w:val="21"/>
                    </w:rPr>
                    <w:t>1</w:t>
                  </w:r>
                </w:p>
              </w:tc>
              <w:tc>
                <w:tcPr>
                  <w:tcW w:w="847" w:type="pct"/>
                  <w:vAlign w:val="center"/>
                </w:tcPr>
                <w:p w14:paraId="7B1B5CCC">
                  <w:pPr>
                    <w:adjustRightInd w:val="0"/>
                    <w:snapToGrid w:val="0"/>
                    <w:jc w:val="center"/>
                    <w:rPr>
                      <w:color w:val="auto"/>
                      <w:szCs w:val="21"/>
                    </w:rPr>
                  </w:pPr>
                  <w:r>
                    <w:rPr>
                      <w:rFonts w:hint="eastAsia"/>
                      <w:color w:val="auto"/>
                      <w:szCs w:val="21"/>
                    </w:rPr>
                    <w:t>3000</w:t>
                  </w:r>
                </w:p>
              </w:tc>
              <w:tc>
                <w:tcPr>
                  <w:tcW w:w="871" w:type="pct"/>
                  <w:vAlign w:val="center"/>
                </w:tcPr>
                <w:p w14:paraId="63C3F8C4">
                  <w:pPr>
                    <w:widowControl/>
                    <w:jc w:val="center"/>
                    <w:textAlignment w:val="center"/>
                    <w:rPr>
                      <w:color w:val="auto"/>
                      <w:kern w:val="0"/>
                      <w:szCs w:val="21"/>
                      <w:lang w:bidi="ar"/>
                    </w:rPr>
                  </w:pPr>
                  <w:r>
                    <w:rPr>
                      <w:rFonts w:hint="eastAsia"/>
                      <w:color w:val="auto"/>
                      <w:kern w:val="0"/>
                      <w:szCs w:val="21"/>
                      <w:lang w:bidi="ar"/>
                    </w:rPr>
                    <w:t>8.47</w:t>
                  </w:r>
                </w:p>
              </w:tc>
            </w:tr>
            <w:tr w14:paraId="532FB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8" w:type="pct"/>
                  <w:vAlign w:val="center"/>
                </w:tcPr>
                <w:p w14:paraId="4AD08DA6">
                  <w:pPr>
                    <w:adjustRightInd w:val="0"/>
                    <w:snapToGrid w:val="0"/>
                    <w:jc w:val="center"/>
                    <w:rPr>
                      <w:color w:val="auto"/>
                      <w:szCs w:val="21"/>
                    </w:rPr>
                  </w:pPr>
                  <w:r>
                    <w:rPr>
                      <w:rFonts w:hint="eastAsia"/>
                      <w:color w:val="auto"/>
                      <w:szCs w:val="21"/>
                    </w:rPr>
                    <w:t>返工检修</w:t>
                  </w:r>
                </w:p>
              </w:tc>
              <w:tc>
                <w:tcPr>
                  <w:tcW w:w="597" w:type="pct"/>
                  <w:vAlign w:val="center"/>
                </w:tcPr>
                <w:p w14:paraId="3DD6EE0D">
                  <w:pPr>
                    <w:adjustRightInd w:val="0"/>
                    <w:snapToGrid w:val="0"/>
                    <w:jc w:val="center"/>
                    <w:rPr>
                      <w:color w:val="auto"/>
                      <w:szCs w:val="21"/>
                    </w:rPr>
                  </w:pPr>
                  <w:r>
                    <w:rPr>
                      <w:rFonts w:hint="eastAsia"/>
                      <w:color w:val="auto"/>
                      <w:szCs w:val="21"/>
                    </w:rPr>
                    <w:t>烘烤柜炉</w:t>
                  </w:r>
                </w:p>
              </w:tc>
              <w:tc>
                <w:tcPr>
                  <w:tcW w:w="1059" w:type="pct"/>
                  <w:vAlign w:val="center"/>
                </w:tcPr>
                <w:p w14:paraId="79772CE7">
                  <w:pPr>
                    <w:adjustRightInd w:val="0"/>
                    <w:snapToGrid w:val="0"/>
                    <w:jc w:val="center"/>
                    <w:rPr>
                      <w:color w:val="auto"/>
                      <w:szCs w:val="21"/>
                    </w:rPr>
                  </w:pPr>
                  <w:r>
                    <w:rPr>
                      <w:rFonts w:hint="eastAsia"/>
                      <w:color w:val="auto"/>
                      <w:szCs w:val="21"/>
                    </w:rPr>
                    <w:t>2.16</w:t>
                  </w:r>
                </w:p>
              </w:tc>
              <w:tc>
                <w:tcPr>
                  <w:tcW w:w="974" w:type="pct"/>
                  <w:vAlign w:val="center"/>
                </w:tcPr>
                <w:p w14:paraId="6C02A55B">
                  <w:pPr>
                    <w:adjustRightInd w:val="0"/>
                    <w:snapToGrid w:val="0"/>
                    <w:jc w:val="center"/>
                    <w:rPr>
                      <w:color w:val="auto"/>
                      <w:szCs w:val="21"/>
                    </w:rPr>
                  </w:pPr>
                  <w:r>
                    <w:rPr>
                      <w:rFonts w:hint="eastAsia"/>
                      <w:color w:val="auto"/>
                      <w:szCs w:val="21"/>
                    </w:rPr>
                    <w:t>1</w:t>
                  </w:r>
                </w:p>
              </w:tc>
              <w:tc>
                <w:tcPr>
                  <w:tcW w:w="847" w:type="pct"/>
                  <w:vAlign w:val="center"/>
                </w:tcPr>
                <w:p w14:paraId="3C8E959C">
                  <w:pPr>
                    <w:adjustRightInd w:val="0"/>
                    <w:snapToGrid w:val="0"/>
                    <w:jc w:val="center"/>
                    <w:rPr>
                      <w:color w:val="auto"/>
                      <w:szCs w:val="21"/>
                    </w:rPr>
                  </w:pPr>
                  <w:r>
                    <w:rPr>
                      <w:rFonts w:hint="eastAsia"/>
                      <w:color w:val="auto"/>
                      <w:szCs w:val="21"/>
                    </w:rPr>
                    <w:t>600</w:t>
                  </w:r>
                </w:p>
              </w:tc>
              <w:tc>
                <w:tcPr>
                  <w:tcW w:w="871" w:type="pct"/>
                  <w:vAlign w:val="center"/>
                </w:tcPr>
                <w:p w14:paraId="450E5DC2">
                  <w:pPr>
                    <w:widowControl/>
                    <w:jc w:val="center"/>
                    <w:textAlignment w:val="center"/>
                    <w:rPr>
                      <w:color w:val="auto"/>
                      <w:szCs w:val="21"/>
                    </w:rPr>
                  </w:pPr>
                  <w:r>
                    <w:rPr>
                      <w:color w:val="auto"/>
                      <w:kern w:val="0"/>
                      <w:szCs w:val="21"/>
                      <w:lang w:bidi="ar"/>
                    </w:rPr>
                    <w:t xml:space="preserve">0.17 </w:t>
                  </w:r>
                </w:p>
              </w:tc>
            </w:tr>
          </w:tbl>
          <w:p w14:paraId="69A78672">
            <w:pPr>
              <w:autoSpaceDE w:val="0"/>
              <w:autoSpaceDN w:val="0"/>
              <w:adjustRightInd w:val="0"/>
              <w:snapToGrid w:val="0"/>
              <w:spacing w:line="360" w:lineRule="auto"/>
              <w:ind w:firstLine="480" w:firstLineChars="200"/>
              <w:jc w:val="left"/>
              <w:rPr>
                <w:color w:val="auto"/>
                <w:sz w:val="24"/>
              </w:rPr>
            </w:pPr>
          </w:p>
          <w:p w14:paraId="5ADDC33E">
            <w:pPr>
              <w:autoSpaceDE w:val="0"/>
              <w:autoSpaceDN w:val="0"/>
              <w:adjustRightInd w:val="0"/>
              <w:snapToGrid w:val="0"/>
              <w:spacing w:line="360" w:lineRule="auto"/>
              <w:ind w:firstLine="480" w:firstLineChars="200"/>
              <w:jc w:val="left"/>
              <w:rPr>
                <w:color w:val="auto"/>
                <w:sz w:val="24"/>
              </w:rPr>
            </w:pPr>
            <w:r>
              <w:rPr>
                <w:color w:val="auto"/>
                <w:sz w:val="24"/>
              </w:rPr>
              <w:t>天然气燃烧产生的主要污染物为SO</w:t>
            </w:r>
            <w:r>
              <w:rPr>
                <w:color w:val="auto"/>
                <w:sz w:val="24"/>
                <w:vertAlign w:val="subscript"/>
              </w:rPr>
              <w:t>2</w:t>
            </w:r>
            <w:r>
              <w:rPr>
                <w:color w:val="auto"/>
                <w:sz w:val="24"/>
              </w:rPr>
              <w:t>、NOx、颗粒物</w:t>
            </w:r>
            <w:r>
              <w:rPr>
                <w:rFonts w:hint="eastAsia"/>
                <w:color w:val="auto"/>
                <w:sz w:val="24"/>
              </w:rPr>
              <w:t>，燃烧机已安装低氮燃烧器</w:t>
            </w:r>
            <w:r>
              <w:rPr>
                <w:color w:val="auto"/>
                <w:sz w:val="24"/>
              </w:rPr>
              <w:t>。本报告采用《排放源统计调查产排污核算方法和系数手册》中“33-37，41-434机械行业系数手册-14涂装系数表-天然气-天然气工业炉窑-所有规模”的废气产污系数，具体排污系数及污染物产生量详见下表：</w:t>
            </w:r>
          </w:p>
          <w:p w14:paraId="0897F6B8">
            <w:pPr>
              <w:pStyle w:val="77"/>
              <w:numPr>
                <w:ilvl w:val="0"/>
                <w:numId w:val="18"/>
              </w:numPr>
              <w:adjustRightInd w:val="0"/>
              <w:snapToGrid w:val="0"/>
              <w:jc w:val="center"/>
              <w:rPr>
                <w:b/>
                <w:bCs/>
                <w:color w:val="auto"/>
                <w:szCs w:val="21"/>
              </w:rPr>
            </w:pPr>
            <w:r>
              <w:rPr>
                <w:rFonts w:hint="eastAsia"/>
                <w:b/>
                <w:bCs/>
                <w:color w:val="auto"/>
                <w:szCs w:val="21"/>
              </w:rPr>
              <w:t>天然气燃烧废气产污系数一览表</w:t>
            </w:r>
          </w:p>
          <w:tbl>
            <w:tblPr>
              <w:tblStyle w:val="35"/>
              <w:tblW w:w="10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1059"/>
              <w:gridCol w:w="2041"/>
              <w:gridCol w:w="1144"/>
              <w:gridCol w:w="1078"/>
              <w:gridCol w:w="1183"/>
              <w:gridCol w:w="1196"/>
              <w:gridCol w:w="1183"/>
              <w:gridCol w:w="1046"/>
            </w:tblGrid>
            <w:tr w14:paraId="5CB13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56" w:type="pct"/>
                  <w:vAlign w:val="center"/>
                </w:tcPr>
                <w:p w14:paraId="48E0B87A">
                  <w:pPr>
                    <w:topLinePunct/>
                    <w:jc w:val="center"/>
                    <w:rPr>
                      <w:b/>
                      <w:color w:val="auto"/>
                    </w:rPr>
                  </w:pPr>
                  <w:r>
                    <w:rPr>
                      <w:b/>
                      <w:color w:val="auto"/>
                    </w:rPr>
                    <w:t>能源类型</w:t>
                  </w:r>
                </w:p>
              </w:tc>
              <w:tc>
                <w:tcPr>
                  <w:tcW w:w="507" w:type="pct"/>
                  <w:vAlign w:val="center"/>
                </w:tcPr>
                <w:p w14:paraId="7011ECAB">
                  <w:pPr>
                    <w:topLinePunct/>
                    <w:jc w:val="center"/>
                    <w:rPr>
                      <w:b/>
                      <w:color w:val="auto"/>
                    </w:rPr>
                  </w:pPr>
                  <w:r>
                    <w:rPr>
                      <w:b/>
                      <w:color w:val="auto"/>
                    </w:rPr>
                    <w:t>污染物</w:t>
                  </w:r>
                </w:p>
                <w:p w14:paraId="7AB15FD7">
                  <w:pPr>
                    <w:topLinePunct/>
                    <w:jc w:val="center"/>
                    <w:rPr>
                      <w:b/>
                      <w:color w:val="auto"/>
                    </w:rPr>
                  </w:pPr>
                  <w:r>
                    <w:rPr>
                      <w:b/>
                      <w:color w:val="auto"/>
                    </w:rPr>
                    <w:t>指标</w:t>
                  </w:r>
                </w:p>
              </w:tc>
              <w:tc>
                <w:tcPr>
                  <w:tcW w:w="967" w:type="pct"/>
                  <w:vAlign w:val="center"/>
                </w:tcPr>
                <w:p w14:paraId="01B6C7E6">
                  <w:pPr>
                    <w:topLinePunct/>
                    <w:jc w:val="center"/>
                    <w:rPr>
                      <w:b/>
                      <w:color w:val="auto"/>
                    </w:rPr>
                  </w:pPr>
                  <w:r>
                    <w:rPr>
                      <w:b/>
                      <w:color w:val="auto"/>
                    </w:rPr>
                    <w:t>单位</w:t>
                  </w:r>
                </w:p>
              </w:tc>
              <w:tc>
                <w:tcPr>
                  <w:tcW w:w="547" w:type="pct"/>
                  <w:vAlign w:val="center"/>
                </w:tcPr>
                <w:p w14:paraId="5C1F81B8">
                  <w:pPr>
                    <w:topLinePunct/>
                    <w:jc w:val="center"/>
                    <w:rPr>
                      <w:b/>
                      <w:color w:val="auto"/>
                    </w:rPr>
                  </w:pPr>
                  <w:r>
                    <w:rPr>
                      <w:b/>
                      <w:color w:val="auto"/>
                    </w:rPr>
                    <w:t>产污系数</w:t>
                  </w:r>
                </w:p>
              </w:tc>
              <w:tc>
                <w:tcPr>
                  <w:tcW w:w="506" w:type="pct"/>
                  <w:vAlign w:val="center"/>
                </w:tcPr>
                <w:p w14:paraId="3FC04E68">
                  <w:pPr>
                    <w:widowControl/>
                    <w:jc w:val="center"/>
                    <w:textAlignment w:val="center"/>
                    <w:rPr>
                      <w:b/>
                      <w:bCs/>
                      <w:color w:val="auto"/>
                      <w:kern w:val="0"/>
                      <w:szCs w:val="21"/>
                      <w:lang w:bidi="ar"/>
                    </w:rPr>
                  </w:pPr>
                  <w:r>
                    <w:rPr>
                      <w:rFonts w:hint="eastAsia"/>
                      <w:b/>
                      <w:bCs/>
                      <w:color w:val="auto"/>
                      <w:kern w:val="0"/>
                      <w:szCs w:val="21"/>
                      <w:lang w:bidi="ar"/>
                    </w:rPr>
                    <w:t>烘干工序</w:t>
                  </w:r>
                </w:p>
                <w:p w14:paraId="4F8CBF1A">
                  <w:pPr>
                    <w:widowControl/>
                    <w:jc w:val="center"/>
                    <w:textAlignment w:val="center"/>
                    <w:rPr>
                      <w:b/>
                      <w:color w:val="auto"/>
                    </w:rPr>
                  </w:pPr>
                  <w:r>
                    <w:rPr>
                      <w:b/>
                      <w:bCs/>
                      <w:color w:val="auto"/>
                      <w:kern w:val="0"/>
                      <w:szCs w:val="21"/>
                      <w:lang w:bidi="ar"/>
                    </w:rPr>
                    <w:t>产生量</w:t>
                  </w:r>
                </w:p>
              </w:tc>
              <w:tc>
                <w:tcPr>
                  <w:tcW w:w="510" w:type="pct"/>
                  <w:vAlign w:val="center"/>
                </w:tcPr>
                <w:p w14:paraId="658C21AF">
                  <w:pPr>
                    <w:widowControl/>
                    <w:jc w:val="center"/>
                    <w:textAlignment w:val="center"/>
                    <w:rPr>
                      <w:b/>
                      <w:color w:val="auto"/>
                    </w:rPr>
                  </w:pPr>
                  <w:r>
                    <w:rPr>
                      <w:rFonts w:hint="eastAsia"/>
                      <w:b/>
                      <w:color w:val="auto"/>
                    </w:rPr>
                    <w:t>喷粉固化</w:t>
                  </w:r>
                </w:p>
                <w:p w14:paraId="4BF51D3A">
                  <w:pPr>
                    <w:widowControl/>
                    <w:jc w:val="center"/>
                    <w:textAlignment w:val="center"/>
                    <w:rPr>
                      <w:b/>
                      <w:color w:val="auto"/>
                    </w:rPr>
                  </w:pPr>
                  <w:r>
                    <w:rPr>
                      <w:b/>
                      <w:bCs/>
                      <w:color w:val="auto"/>
                      <w:kern w:val="0"/>
                      <w:szCs w:val="21"/>
                      <w:lang w:bidi="ar"/>
                    </w:rPr>
                    <w:t>产生量</w:t>
                  </w:r>
                </w:p>
              </w:tc>
              <w:tc>
                <w:tcPr>
                  <w:tcW w:w="581" w:type="pct"/>
                  <w:vAlign w:val="center"/>
                </w:tcPr>
                <w:p w14:paraId="156F0E11">
                  <w:pPr>
                    <w:widowControl/>
                    <w:jc w:val="center"/>
                    <w:textAlignment w:val="center"/>
                    <w:rPr>
                      <w:b/>
                      <w:color w:val="auto"/>
                    </w:rPr>
                  </w:pPr>
                  <w:r>
                    <w:rPr>
                      <w:rFonts w:hint="eastAsia"/>
                      <w:b/>
                      <w:bCs/>
                      <w:color w:val="auto"/>
                      <w:kern w:val="0"/>
                      <w:szCs w:val="21"/>
                      <w:lang w:bidi="ar"/>
                    </w:rPr>
                    <w:t>底、面漆烘烤</w:t>
                  </w:r>
                  <w:r>
                    <w:rPr>
                      <w:b/>
                      <w:bCs/>
                      <w:color w:val="auto"/>
                      <w:kern w:val="0"/>
                      <w:szCs w:val="21"/>
                      <w:lang w:bidi="ar"/>
                    </w:rPr>
                    <w:t>产生量</w:t>
                  </w:r>
                </w:p>
              </w:tc>
              <w:tc>
                <w:tcPr>
                  <w:tcW w:w="520" w:type="pct"/>
                  <w:vAlign w:val="center"/>
                </w:tcPr>
                <w:p w14:paraId="607B6D67">
                  <w:pPr>
                    <w:widowControl/>
                    <w:jc w:val="center"/>
                    <w:textAlignment w:val="center"/>
                    <w:rPr>
                      <w:b/>
                      <w:bCs/>
                      <w:color w:val="auto"/>
                      <w:kern w:val="0"/>
                      <w:szCs w:val="21"/>
                      <w:lang w:bidi="ar"/>
                    </w:rPr>
                  </w:pPr>
                  <w:r>
                    <w:rPr>
                      <w:rFonts w:hint="eastAsia"/>
                      <w:b/>
                      <w:bCs/>
                      <w:color w:val="auto"/>
                      <w:kern w:val="0"/>
                      <w:szCs w:val="21"/>
                      <w:lang w:bidi="ar"/>
                    </w:rPr>
                    <w:t>清漆烘烤</w:t>
                  </w:r>
                  <w:r>
                    <w:rPr>
                      <w:b/>
                      <w:bCs/>
                      <w:color w:val="auto"/>
                      <w:kern w:val="0"/>
                      <w:szCs w:val="21"/>
                      <w:lang w:bidi="ar"/>
                    </w:rPr>
                    <w:t>产生量</w:t>
                  </w:r>
                </w:p>
              </w:tc>
              <w:tc>
                <w:tcPr>
                  <w:tcW w:w="501" w:type="pct"/>
                  <w:vAlign w:val="center"/>
                </w:tcPr>
                <w:p w14:paraId="7A20F057">
                  <w:pPr>
                    <w:widowControl/>
                    <w:jc w:val="center"/>
                    <w:textAlignment w:val="center"/>
                    <w:rPr>
                      <w:b/>
                      <w:bCs/>
                      <w:color w:val="auto"/>
                      <w:kern w:val="0"/>
                      <w:szCs w:val="21"/>
                      <w:lang w:bidi="ar"/>
                    </w:rPr>
                  </w:pPr>
                  <w:r>
                    <w:rPr>
                      <w:rFonts w:hint="eastAsia"/>
                      <w:b/>
                      <w:bCs/>
                      <w:color w:val="auto"/>
                      <w:kern w:val="0"/>
                      <w:szCs w:val="21"/>
                      <w:lang w:bidi="ar"/>
                    </w:rPr>
                    <w:t>返工检修产生量</w:t>
                  </w:r>
                </w:p>
              </w:tc>
            </w:tr>
            <w:tr w14:paraId="21349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356" w:type="pct"/>
                  <w:vMerge w:val="restart"/>
                  <w:vAlign w:val="center"/>
                </w:tcPr>
                <w:p w14:paraId="15A4B04B">
                  <w:pPr>
                    <w:widowControl/>
                    <w:jc w:val="center"/>
                    <w:rPr>
                      <w:color w:val="auto"/>
                    </w:rPr>
                  </w:pPr>
                  <w:r>
                    <w:rPr>
                      <w:color w:val="auto"/>
                    </w:rPr>
                    <w:t>天然气</w:t>
                  </w:r>
                </w:p>
              </w:tc>
              <w:tc>
                <w:tcPr>
                  <w:tcW w:w="507" w:type="pct"/>
                  <w:vAlign w:val="center"/>
                </w:tcPr>
                <w:p w14:paraId="6A0BDCC0">
                  <w:pPr>
                    <w:jc w:val="center"/>
                    <w:rPr>
                      <w:color w:val="auto"/>
                    </w:rPr>
                  </w:pPr>
                  <w:r>
                    <w:rPr>
                      <w:color w:val="auto"/>
                    </w:rPr>
                    <w:t>废气量</w:t>
                  </w:r>
                </w:p>
              </w:tc>
              <w:tc>
                <w:tcPr>
                  <w:tcW w:w="967" w:type="pct"/>
                  <w:vAlign w:val="center"/>
                </w:tcPr>
                <w:p w14:paraId="642091BB">
                  <w:pPr>
                    <w:jc w:val="center"/>
                    <w:rPr>
                      <w:color w:val="auto"/>
                    </w:rPr>
                  </w:pPr>
                  <w:r>
                    <w:rPr>
                      <w:color w:val="auto"/>
                    </w:rPr>
                    <w:t>立方米/立方米-原料</w:t>
                  </w:r>
                </w:p>
              </w:tc>
              <w:tc>
                <w:tcPr>
                  <w:tcW w:w="547" w:type="pct"/>
                  <w:vAlign w:val="center"/>
                </w:tcPr>
                <w:p w14:paraId="5083A6EC">
                  <w:pPr>
                    <w:topLinePunct/>
                    <w:jc w:val="center"/>
                    <w:rPr>
                      <w:color w:val="auto"/>
                    </w:rPr>
                  </w:pPr>
                  <w:r>
                    <w:rPr>
                      <w:color w:val="auto"/>
                    </w:rPr>
                    <w:t>13.6</w:t>
                  </w:r>
                </w:p>
              </w:tc>
              <w:tc>
                <w:tcPr>
                  <w:tcW w:w="1081" w:type="dxa"/>
                  <w:vAlign w:val="center"/>
                </w:tcPr>
                <w:p w14:paraId="65A78C77">
                  <w:pPr>
                    <w:widowControl/>
                    <w:jc w:val="center"/>
                    <w:textAlignment w:val="center"/>
                    <w:rPr>
                      <w:color w:val="auto"/>
                    </w:rPr>
                  </w:pPr>
                  <w:r>
                    <w:rPr>
                      <w:color w:val="auto"/>
                      <w:kern w:val="0"/>
                      <w:szCs w:val="21"/>
                      <w:lang w:bidi="ar"/>
                    </w:rPr>
                    <w:t>229840</w:t>
                  </w:r>
                  <w:r>
                    <w:rPr>
                      <w:rFonts w:hint="eastAsia"/>
                      <w:color w:val="auto"/>
                      <w:kern w:val="0"/>
                      <w:szCs w:val="21"/>
                      <w:lang w:bidi="ar"/>
                    </w:rPr>
                    <w:t>m</w:t>
                  </w:r>
                  <w:r>
                    <w:rPr>
                      <w:rFonts w:hint="eastAsia"/>
                      <w:color w:val="auto"/>
                      <w:kern w:val="0"/>
                      <w:szCs w:val="21"/>
                      <w:vertAlign w:val="superscript"/>
                      <w:lang w:bidi="ar"/>
                    </w:rPr>
                    <w:t>3</w:t>
                  </w:r>
                </w:p>
              </w:tc>
              <w:tc>
                <w:tcPr>
                  <w:tcW w:w="1089" w:type="dxa"/>
                  <w:vAlign w:val="center"/>
                </w:tcPr>
                <w:p w14:paraId="67C49E2D">
                  <w:pPr>
                    <w:widowControl/>
                    <w:jc w:val="center"/>
                    <w:textAlignment w:val="center"/>
                    <w:rPr>
                      <w:color w:val="auto"/>
                      <w:szCs w:val="22"/>
                    </w:rPr>
                  </w:pPr>
                  <w:r>
                    <w:rPr>
                      <w:color w:val="auto"/>
                      <w:kern w:val="0"/>
                      <w:szCs w:val="21"/>
                      <w:lang w:bidi="ar"/>
                    </w:rPr>
                    <w:t>1151920</w:t>
                  </w:r>
                  <w:r>
                    <w:rPr>
                      <w:rFonts w:hint="eastAsia"/>
                      <w:color w:val="auto"/>
                      <w:kern w:val="0"/>
                      <w:szCs w:val="21"/>
                      <w:lang w:bidi="ar"/>
                    </w:rPr>
                    <w:t>m</w:t>
                  </w:r>
                  <w:r>
                    <w:rPr>
                      <w:rFonts w:hint="eastAsia"/>
                      <w:color w:val="auto"/>
                      <w:kern w:val="0"/>
                      <w:szCs w:val="21"/>
                      <w:vertAlign w:val="superscript"/>
                      <w:lang w:bidi="ar"/>
                    </w:rPr>
                    <w:t>3</w:t>
                  </w:r>
                </w:p>
              </w:tc>
              <w:tc>
                <w:tcPr>
                  <w:tcW w:w="1241" w:type="dxa"/>
                  <w:vAlign w:val="center"/>
                </w:tcPr>
                <w:p w14:paraId="7CF5023B">
                  <w:pPr>
                    <w:widowControl/>
                    <w:jc w:val="center"/>
                    <w:textAlignment w:val="center"/>
                    <w:rPr>
                      <w:color w:val="auto"/>
                      <w:szCs w:val="22"/>
                    </w:rPr>
                  </w:pPr>
                  <w:r>
                    <w:rPr>
                      <w:color w:val="auto"/>
                      <w:kern w:val="0"/>
                      <w:szCs w:val="21"/>
                      <w:lang w:bidi="ar"/>
                    </w:rPr>
                    <w:t>1151920</w:t>
                  </w:r>
                  <w:r>
                    <w:rPr>
                      <w:rFonts w:hint="eastAsia"/>
                      <w:color w:val="auto"/>
                      <w:kern w:val="0"/>
                      <w:szCs w:val="21"/>
                      <w:lang w:bidi="ar"/>
                    </w:rPr>
                    <w:t>m</w:t>
                  </w:r>
                  <w:r>
                    <w:rPr>
                      <w:rFonts w:hint="eastAsia"/>
                      <w:color w:val="auto"/>
                      <w:kern w:val="0"/>
                      <w:szCs w:val="21"/>
                      <w:vertAlign w:val="superscript"/>
                      <w:lang w:bidi="ar"/>
                    </w:rPr>
                    <w:t>3</w:t>
                  </w:r>
                </w:p>
              </w:tc>
              <w:tc>
                <w:tcPr>
                  <w:tcW w:w="1110" w:type="dxa"/>
                  <w:vAlign w:val="center"/>
                </w:tcPr>
                <w:p w14:paraId="5E638220">
                  <w:pPr>
                    <w:widowControl/>
                    <w:jc w:val="center"/>
                    <w:textAlignment w:val="center"/>
                    <w:rPr>
                      <w:color w:val="auto"/>
                      <w:kern w:val="0"/>
                      <w:szCs w:val="21"/>
                      <w:lang w:bidi="ar"/>
                    </w:rPr>
                  </w:pPr>
                  <w:r>
                    <w:rPr>
                      <w:color w:val="auto"/>
                      <w:kern w:val="0"/>
                      <w:szCs w:val="21"/>
                      <w:lang w:bidi="ar"/>
                    </w:rPr>
                    <w:t>1151920</w:t>
                  </w:r>
                  <w:r>
                    <w:rPr>
                      <w:rFonts w:hint="eastAsia"/>
                      <w:color w:val="auto"/>
                      <w:kern w:val="0"/>
                      <w:szCs w:val="21"/>
                      <w:lang w:bidi="ar"/>
                    </w:rPr>
                    <w:t>m</w:t>
                  </w:r>
                  <w:r>
                    <w:rPr>
                      <w:rFonts w:hint="eastAsia"/>
                      <w:color w:val="auto"/>
                      <w:kern w:val="0"/>
                      <w:szCs w:val="21"/>
                      <w:vertAlign w:val="superscript"/>
                      <w:lang w:bidi="ar"/>
                    </w:rPr>
                    <w:t>3</w:t>
                  </w:r>
                </w:p>
              </w:tc>
              <w:tc>
                <w:tcPr>
                  <w:tcW w:w="1070" w:type="dxa"/>
                  <w:vAlign w:val="center"/>
                </w:tcPr>
                <w:p w14:paraId="2A83E6A9">
                  <w:pPr>
                    <w:widowControl/>
                    <w:jc w:val="center"/>
                    <w:textAlignment w:val="center"/>
                    <w:rPr>
                      <w:color w:val="auto"/>
                      <w:kern w:val="0"/>
                      <w:szCs w:val="21"/>
                      <w:lang w:bidi="ar"/>
                    </w:rPr>
                  </w:pPr>
                  <w:r>
                    <w:rPr>
                      <w:color w:val="auto"/>
                      <w:kern w:val="0"/>
                      <w:szCs w:val="21"/>
                      <w:lang w:bidi="ar"/>
                    </w:rPr>
                    <w:t>23120</w:t>
                  </w:r>
                  <w:r>
                    <w:rPr>
                      <w:rFonts w:hint="eastAsia"/>
                      <w:color w:val="auto"/>
                      <w:kern w:val="0"/>
                      <w:szCs w:val="21"/>
                      <w:lang w:bidi="ar"/>
                    </w:rPr>
                    <w:t>m</w:t>
                  </w:r>
                  <w:r>
                    <w:rPr>
                      <w:rFonts w:hint="eastAsia"/>
                      <w:color w:val="auto"/>
                      <w:kern w:val="0"/>
                      <w:szCs w:val="21"/>
                      <w:vertAlign w:val="superscript"/>
                      <w:lang w:bidi="ar"/>
                    </w:rPr>
                    <w:t>3</w:t>
                  </w:r>
                </w:p>
              </w:tc>
            </w:tr>
            <w:tr w14:paraId="3C436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356" w:type="pct"/>
                  <w:vMerge w:val="continue"/>
                  <w:vAlign w:val="center"/>
                </w:tcPr>
                <w:p w14:paraId="7A8A91CF">
                  <w:pPr>
                    <w:widowControl/>
                    <w:jc w:val="center"/>
                    <w:rPr>
                      <w:color w:val="auto"/>
                    </w:rPr>
                  </w:pPr>
                </w:p>
              </w:tc>
              <w:tc>
                <w:tcPr>
                  <w:tcW w:w="507" w:type="pct"/>
                  <w:vAlign w:val="center"/>
                </w:tcPr>
                <w:p w14:paraId="3108A464">
                  <w:pPr>
                    <w:jc w:val="center"/>
                    <w:rPr>
                      <w:color w:val="auto"/>
                    </w:rPr>
                  </w:pPr>
                  <w:r>
                    <w:rPr>
                      <w:color w:val="auto"/>
                    </w:rPr>
                    <w:t>颗粒物</w:t>
                  </w:r>
                </w:p>
              </w:tc>
              <w:tc>
                <w:tcPr>
                  <w:tcW w:w="967" w:type="pct"/>
                  <w:vAlign w:val="center"/>
                </w:tcPr>
                <w:p w14:paraId="33976346">
                  <w:pPr>
                    <w:jc w:val="center"/>
                    <w:rPr>
                      <w:color w:val="auto"/>
                    </w:rPr>
                  </w:pPr>
                  <w:r>
                    <w:rPr>
                      <w:color w:val="auto"/>
                    </w:rPr>
                    <w:t>千克/立方米-原料</w:t>
                  </w:r>
                </w:p>
              </w:tc>
              <w:tc>
                <w:tcPr>
                  <w:tcW w:w="547" w:type="pct"/>
                  <w:vAlign w:val="center"/>
                </w:tcPr>
                <w:p w14:paraId="51C85131">
                  <w:pPr>
                    <w:pStyle w:val="43"/>
                    <w:wordWrap/>
                    <w:spacing w:line="240" w:lineRule="auto"/>
                    <w:ind w:firstLine="0" w:firstLineChars="0"/>
                    <w:jc w:val="center"/>
                    <w:rPr>
                      <w:color w:val="auto"/>
                      <w:sz w:val="21"/>
                      <w:szCs w:val="20"/>
                    </w:rPr>
                  </w:pPr>
                  <w:r>
                    <w:rPr>
                      <w:color w:val="auto"/>
                      <w:sz w:val="21"/>
                      <w:szCs w:val="20"/>
                    </w:rPr>
                    <w:t>0.000286</w:t>
                  </w:r>
                </w:p>
              </w:tc>
              <w:tc>
                <w:tcPr>
                  <w:tcW w:w="1081" w:type="dxa"/>
                  <w:vAlign w:val="center"/>
                </w:tcPr>
                <w:p w14:paraId="0CDF99B3">
                  <w:pPr>
                    <w:widowControl/>
                    <w:jc w:val="center"/>
                    <w:textAlignment w:val="center"/>
                    <w:rPr>
                      <w:color w:val="auto"/>
                      <w:szCs w:val="22"/>
                    </w:rPr>
                  </w:pPr>
                  <w:r>
                    <w:rPr>
                      <w:color w:val="auto"/>
                      <w:kern w:val="0"/>
                      <w:szCs w:val="21"/>
                      <w:lang w:bidi="ar"/>
                    </w:rPr>
                    <w:t>0.0048</w:t>
                  </w:r>
                  <w:r>
                    <w:rPr>
                      <w:rFonts w:hint="eastAsia"/>
                      <w:color w:val="auto"/>
                      <w:kern w:val="0"/>
                      <w:szCs w:val="21"/>
                      <w:lang w:bidi="ar"/>
                    </w:rPr>
                    <w:t>t/a</w:t>
                  </w:r>
                  <w:r>
                    <w:rPr>
                      <w:color w:val="auto"/>
                      <w:kern w:val="0"/>
                      <w:szCs w:val="21"/>
                      <w:lang w:bidi="ar"/>
                    </w:rPr>
                    <w:t xml:space="preserve"> </w:t>
                  </w:r>
                </w:p>
              </w:tc>
              <w:tc>
                <w:tcPr>
                  <w:tcW w:w="1089" w:type="dxa"/>
                  <w:vAlign w:val="center"/>
                </w:tcPr>
                <w:p w14:paraId="791813C8">
                  <w:pPr>
                    <w:widowControl/>
                    <w:jc w:val="center"/>
                    <w:textAlignment w:val="center"/>
                    <w:rPr>
                      <w:color w:val="auto"/>
                      <w:szCs w:val="22"/>
                    </w:rPr>
                  </w:pPr>
                  <w:r>
                    <w:rPr>
                      <w:color w:val="auto"/>
                      <w:kern w:val="0"/>
                      <w:szCs w:val="21"/>
                      <w:lang w:bidi="ar"/>
                    </w:rPr>
                    <w:t>0.0242</w:t>
                  </w:r>
                  <w:r>
                    <w:rPr>
                      <w:rFonts w:hint="eastAsia"/>
                      <w:color w:val="auto"/>
                      <w:kern w:val="0"/>
                      <w:szCs w:val="21"/>
                      <w:lang w:bidi="ar"/>
                    </w:rPr>
                    <w:t>t/a</w:t>
                  </w:r>
                  <w:r>
                    <w:rPr>
                      <w:color w:val="auto"/>
                      <w:kern w:val="0"/>
                      <w:szCs w:val="21"/>
                      <w:lang w:bidi="ar"/>
                    </w:rPr>
                    <w:t xml:space="preserve"> </w:t>
                  </w:r>
                </w:p>
              </w:tc>
              <w:tc>
                <w:tcPr>
                  <w:tcW w:w="1241" w:type="dxa"/>
                  <w:vAlign w:val="center"/>
                </w:tcPr>
                <w:p w14:paraId="2BBBE2DB">
                  <w:pPr>
                    <w:widowControl/>
                    <w:jc w:val="center"/>
                    <w:textAlignment w:val="center"/>
                    <w:rPr>
                      <w:color w:val="auto"/>
                      <w:szCs w:val="22"/>
                    </w:rPr>
                  </w:pPr>
                  <w:r>
                    <w:rPr>
                      <w:color w:val="auto"/>
                      <w:kern w:val="0"/>
                      <w:szCs w:val="21"/>
                      <w:lang w:bidi="ar"/>
                    </w:rPr>
                    <w:t>0.0242</w:t>
                  </w:r>
                  <w:r>
                    <w:rPr>
                      <w:rFonts w:hint="eastAsia"/>
                      <w:color w:val="auto"/>
                      <w:kern w:val="0"/>
                      <w:szCs w:val="21"/>
                      <w:lang w:bidi="ar"/>
                    </w:rPr>
                    <w:t>t/a</w:t>
                  </w:r>
                  <w:r>
                    <w:rPr>
                      <w:color w:val="auto"/>
                      <w:kern w:val="0"/>
                      <w:szCs w:val="21"/>
                      <w:lang w:bidi="ar"/>
                    </w:rPr>
                    <w:t xml:space="preserve"> </w:t>
                  </w:r>
                </w:p>
              </w:tc>
              <w:tc>
                <w:tcPr>
                  <w:tcW w:w="1110" w:type="dxa"/>
                  <w:vAlign w:val="center"/>
                </w:tcPr>
                <w:p w14:paraId="61FAC77E">
                  <w:pPr>
                    <w:widowControl/>
                    <w:jc w:val="center"/>
                    <w:textAlignment w:val="center"/>
                    <w:rPr>
                      <w:color w:val="auto"/>
                      <w:kern w:val="0"/>
                      <w:szCs w:val="21"/>
                      <w:lang w:bidi="ar"/>
                    </w:rPr>
                  </w:pPr>
                  <w:r>
                    <w:rPr>
                      <w:color w:val="auto"/>
                      <w:kern w:val="0"/>
                      <w:szCs w:val="21"/>
                      <w:lang w:bidi="ar"/>
                    </w:rPr>
                    <w:t>0.0242</w:t>
                  </w:r>
                  <w:r>
                    <w:rPr>
                      <w:rFonts w:hint="eastAsia"/>
                      <w:color w:val="auto"/>
                      <w:kern w:val="0"/>
                      <w:szCs w:val="21"/>
                      <w:lang w:bidi="ar"/>
                    </w:rPr>
                    <w:t>t/a</w:t>
                  </w:r>
                  <w:r>
                    <w:rPr>
                      <w:color w:val="auto"/>
                      <w:kern w:val="0"/>
                      <w:szCs w:val="21"/>
                      <w:lang w:bidi="ar"/>
                    </w:rPr>
                    <w:t xml:space="preserve"> </w:t>
                  </w:r>
                </w:p>
              </w:tc>
              <w:tc>
                <w:tcPr>
                  <w:tcW w:w="1070" w:type="dxa"/>
                  <w:vAlign w:val="center"/>
                </w:tcPr>
                <w:p w14:paraId="6CC4281A">
                  <w:pPr>
                    <w:widowControl/>
                    <w:jc w:val="center"/>
                    <w:textAlignment w:val="center"/>
                    <w:rPr>
                      <w:color w:val="auto"/>
                      <w:kern w:val="0"/>
                      <w:szCs w:val="21"/>
                      <w:lang w:bidi="ar"/>
                    </w:rPr>
                  </w:pPr>
                  <w:r>
                    <w:rPr>
                      <w:color w:val="auto"/>
                      <w:kern w:val="0"/>
                      <w:szCs w:val="21"/>
                      <w:lang w:bidi="ar"/>
                    </w:rPr>
                    <w:t>0.0005</w:t>
                  </w:r>
                  <w:r>
                    <w:rPr>
                      <w:rFonts w:hint="eastAsia"/>
                      <w:color w:val="auto"/>
                      <w:kern w:val="0"/>
                      <w:szCs w:val="21"/>
                      <w:lang w:bidi="ar"/>
                    </w:rPr>
                    <w:t>t/a</w:t>
                  </w:r>
                  <w:r>
                    <w:rPr>
                      <w:color w:val="auto"/>
                      <w:kern w:val="0"/>
                      <w:szCs w:val="21"/>
                      <w:lang w:bidi="ar"/>
                    </w:rPr>
                    <w:t xml:space="preserve"> </w:t>
                  </w:r>
                </w:p>
              </w:tc>
            </w:tr>
            <w:tr w14:paraId="0FAC9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56" w:type="pct"/>
                  <w:vMerge w:val="continue"/>
                  <w:vAlign w:val="center"/>
                </w:tcPr>
                <w:p w14:paraId="01B58C59">
                  <w:pPr>
                    <w:topLinePunct/>
                    <w:jc w:val="center"/>
                    <w:rPr>
                      <w:color w:val="auto"/>
                    </w:rPr>
                  </w:pPr>
                </w:p>
              </w:tc>
              <w:tc>
                <w:tcPr>
                  <w:tcW w:w="507" w:type="pct"/>
                  <w:vAlign w:val="center"/>
                </w:tcPr>
                <w:p w14:paraId="2CD5EF2D">
                  <w:pPr>
                    <w:jc w:val="center"/>
                    <w:rPr>
                      <w:color w:val="auto"/>
                    </w:rPr>
                  </w:pPr>
                  <w:r>
                    <w:rPr>
                      <w:color w:val="auto"/>
                    </w:rPr>
                    <w:t>二氧化硫</w:t>
                  </w:r>
                </w:p>
              </w:tc>
              <w:tc>
                <w:tcPr>
                  <w:tcW w:w="967" w:type="pct"/>
                  <w:vAlign w:val="center"/>
                </w:tcPr>
                <w:p w14:paraId="264557B6">
                  <w:pPr>
                    <w:jc w:val="center"/>
                    <w:rPr>
                      <w:color w:val="auto"/>
                    </w:rPr>
                  </w:pPr>
                  <w:r>
                    <w:rPr>
                      <w:color w:val="auto"/>
                    </w:rPr>
                    <w:t>千克/立方米-原料</w:t>
                  </w:r>
                </w:p>
              </w:tc>
              <w:tc>
                <w:tcPr>
                  <w:tcW w:w="547" w:type="pct"/>
                  <w:vAlign w:val="center"/>
                </w:tcPr>
                <w:p w14:paraId="4D429ABD">
                  <w:pPr>
                    <w:pStyle w:val="43"/>
                    <w:wordWrap/>
                    <w:spacing w:line="240" w:lineRule="auto"/>
                    <w:ind w:firstLine="0" w:firstLineChars="0"/>
                    <w:jc w:val="center"/>
                    <w:rPr>
                      <w:color w:val="auto"/>
                      <w:sz w:val="21"/>
                    </w:rPr>
                  </w:pPr>
                  <w:r>
                    <w:rPr>
                      <w:color w:val="auto"/>
                      <w:sz w:val="21"/>
                      <w:szCs w:val="20"/>
                    </w:rPr>
                    <w:t>0.000002S</w:t>
                  </w:r>
                </w:p>
              </w:tc>
              <w:tc>
                <w:tcPr>
                  <w:tcW w:w="1081" w:type="dxa"/>
                  <w:vAlign w:val="center"/>
                </w:tcPr>
                <w:p w14:paraId="0F37124A">
                  <w:pPr>
                    <w:widowControl/>
                    <w:jc w:val="center"/>
                    <w:textAlignment w:val="center"/>
                    <w:rPr>
                      <w:color w:val="auto"/>
                      <w:szCs w:val="22"/>
                    </w:rPr>
                  </w:pPr>
                  <w:r>
                    <w:rPr>
                      <w:color w:val="auto"/>
                      <w:kern w:val="0"/>
                      <w:szCs w:val="21"/>
                      <w:lang w:bidi="ar"/>
                    </w:rPr>
                    <w:t>0.0034</w:t>
                  </w:r>
                  <w:r>
                    <w:rPr>
                      <w:rFonts w:hint="eastAsia"/>
                      <w:color w:val="auto"/>
                      <w:kern w:val="0"/>
                      <w:szCs w:val="21"/>
                      <w:lang w:bidi="ar"/>
                    </w:rPr>
                    <w:t>t/a</w:t>
                  </w:r>
                  <w:r>
                    <w:rPr>
                      <w:color w:val="auto"/>
                      <w:kern w:val="0"/>
                      <w:szCs w:val="21"/>
                      <w:lang w:bidi="ar"/>
                    </w:rPr>
                    <w:t xml:space="preserve"> </w:t>
                  </w:r>
                </w:p>
              </w:tc>
              <w:tc>
                <w:tcPr>
                  <w:tcW w:w="1089" w:type="dxa"/>
                  <w:vAlign w:val="center"/>
                </w:tcPr>
                <w:p w14:paraId="4EC55B40">
                  <w:pPr>
                    <w:widowControl/>
                    <w:jc w:val="center"/>
                    <w:textAlignment w:val="center"/>
                    <w:rPr>
                      <w:color w:val="auto"/>
                      <w:szCs w:val="22"/>
                    </w:rPr>
                  </w:pPr>
                  <w:r>
                    <w:rPr>
                      <w:color w:val="auto"/>
                      <w:kern w:val="0"/>
                      <w:szCs w:val="21"/>
                      <w:lang w:bidi="ar"/>
                    </w:rPr>
                    <w:t>0.0169</w:t>
                  </w:r>
                  <w:r>
                    <w:rPr>
                      <w:rFonts w:hint="eastAsia"/>
                      <w:color w:val="auto"/>
                      <w:kern w:val="0"/>
                      <w:szCs w:val="21"/>
                      <w:lang w:bidi="ar"/>
                    </w:rPr>
                    <w:t>t/a</w:t>
                  </w:r>
                  <w:r>
                    <w:rPr>
                      <w:color w:val="auto"/>
                      <w:kern w:val="0"/>
                      <w:szCs w:val="21"/>
                      <w:lang w:bidi="ar"/>
                    </w:rPr>
                    <w:t xml:space="preserve"> </w:t>
                  </w:r>
                </w:p>
              </w:tc>
              <w:tc>
                <w:tcPr>
                  <w:tcW w:w="1241" w:type="dxa"/>
                  <w:vAlign w:val="center"/>
                </w:tcPr>
                <w:p w14:paraId="044A9333">
                  <w:pPr>
                    <w:widowControl/>
                    <w:jc w:val="center"/>
                    <w:textAlignment w:val="center"/>
                    <w:rPr>
                      <w:color w:val="auto"/>
                      <w:szCs w:val="22"/>
                    </w:rPr>
                  </w:pPr>
                  <w:r>
                    <w:rPr>
                      <w:color w:val="auto"/>
                      <w:kern w:val="0"/>
                      <w:szCs w:val="21"/>
                      <w:lang w:bidi="ar"/>
                    </w:rPr>
                    <w:t>0.0169</w:t>
                  </w:r>
                  <w:r>
                    <w:rPr>
                      <w:rFonts w:hint="eastAsia"/>
                      <w:color w:val="auto"/>
                      <w:kern w:val="0"/>
                      <w:szCs w:val="21"/>
                      <w:lang w:bidi="ar"/>
                    </w:rPr>
                    <w:t>t/a</w:t>
                  </w:r>
                  <w:r>
                    <w:rPr>
                      <w:color w:val="auto"/>
                      <w:kern w:val="0"/>
                      <w:szCs w:val="21"/>
                      <w:lang w:bidi="ar"/>
                    </w:rPr>
                    <w:t xml:space="preserve"> </w:t>
                  </w:r>
                </w:p>
              </w:tc>
              <w:tc>
                <w:tcPr>
                  <w:tcW w:w="1110" w:type="dxa"/>
                  <w:vAlign w:val="center"/>
                </w:tcPr>
                <w:p w14:paraId="3BFDC30D">
                  <w:pPr>
                    <w:widowControl/>
                    <w:jc w:val="center"/>
                    <w:textAlignment w:val="center"/>
                    <w:rPr>
                      <w:color w:val="auto"/>
                      <w:kern w:val="0"/>
                      <w:szCs w:val="21"/>
                      <w:lang w:bidi="ar"/>
                    </w:rPr>
                  </w:pPr>
                  <w:r>
                    <w:rPr>
                      <w:color w:val="auto"/>
                      <w:kern w:val="0"/>
                      <w:szCs w:val="21"/>
                      <w:lang w:bidi="ar"/>
                    </w:rPr>
                    <w:t>0.0169</w:t>
                  </w:r>
                  <w:r>
                    <w:rPr>
                      <w:rFonts w:hint="eastAsia"/>
                      <w:color w:val="auto"/>
                      <w:kern w:val="0"/>
                      <w:szCs w:val="21"/>
                      <w:lang w:bidi="ar"/>
                    </w:rPr>
                    <w:t>t/a</w:t>
                  </w:r>
                  <w:r>
                    <w:rPr>
                      <w:color w:val="auto"/>
                      <w:kern w:val="0"/>
                      <w:szCs w:val="21"/>
                      <w:lang w:bidi="ar"/>
                    </w:rPr>
                    <w:t xml:space="preserve"> </w:t>
                  </w:r>
                </w:p>
              </w:tc>
              <w:tc>
                <w:tcPr>
                  <w:tcW w:w="1070" w:type="dxa"/>
                  <w:vAlign w:val="center"/>
                </w:tcPr>
                <w:p w14:paraId="1130940E">
                  <w:pPr>
                    <w:widowControl/>
                    <w:jc w:val="center"/>
                    <w:textAlignment w:val="center"/>
                    <w:rPr>
                      <w:color w:val="auto"/>
                      <w:kern w:val="0"/>
                      <w:szCs w:val="21"/>
                      <w:lang w:bidi="ar"/>
                    </w:rPr>
                  </w:pPr>
                  <w:r>
                    <w:rPr>
                      <w:color w:val="auto"/>
                      <w:kern w:val="0"/>
                      <w:szCs w:val="21"/>
                      <w:lang w:bidi="ar"/>
                    </w:rPr>
                    <w:t>0.0003</w:t>
                  </w:r>
                  <w:r>
                    <w:rPr>
                      <w:rFonts w:hint="eastAsia"/>
                      <w:color w:val="auto"/>
                      <w:kern w:val="0"/>
                      <w:szCs w:val="21"/>
                      <w:lang w:bidi="ar"/>
                    </w:rPr>
                    <w:t>t/a</w:t>
                  </w:r>
                  <w:r>
                    <w:rPr>
                      <w:color w:val="auto"/>
                      <w:kern w:val="0"/>
                      <w:szCs w:val="21"/>
                      <w:lang w:bidi="ar"/>
                    </w:rPr>
                    <w:t xml:space="preserve"> </w:t>
                  </w:r>
                </w:p>
              </w:tc>
            </w:tr>
            <w:tr w14:paraId="20167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56" w:type="pct"/>
                  <w:vMerge w:val="continue"/>
                  <w:vAlign w:val="center"/>
                </w:tcPr>
                <w:p w14:paraId="6B46A991">
                  <w:pPr>
                    <w:topLinePunct/>
                    <w:jc w:val="center"/>
                    <w:rPr>
                      <w:color w:val="auto"/>
                    </w:rPr>
                  </w:pPr>
                </w:p>
              </w:tc>
              <w:tc>
                <w:tcPr>
                  <w:tcW w:w="507" w:type="pct"/>
                  <w:vAlign w:val="center"/>
                </w:tcPr>
                <w:p w14:paraId="10E41371">
                  <w:pPr>
                    <w:jc w:val="center"/>
                    <w:rPr>
                      <w:color w:val="auto"/>
                    </w:rPr>
                  </w:pPr>
                  <w:r>
                    <w:rPr>
                      <w:color w:val="auto"/>
                    </w:rPr>
                    <w:t>氮氧化物</w:t>
                  </w:r>
                </w:p>
              </w:tc>
              <w:tc>
                <w:tcPr>
                  <w:tcW w:w="967" w:type="pct"/>
                  <w:vAlign w:val="center"/>
                </w:tcPr>
                <w:p w14:paraId="18CAA1F5">
                  <w:pPr>
                    <w:jc w:val="center"/>
                    <w:rPr>
                      <w:color w:val="auto"/>
                    </w:rPr>
                  </w:pPr>
                  <w:r>
                    <w:rPr>
                      <w:color w:val="auto"/>
                    </w:rPr>
                    <w:t>千克/立方米-原料</w:t>
                  </w:r>
                </w:p>
              </w:tc>
              <w:tc>
                <w:tcPr>
                  <w:tcW w:w="547" w:type="pct"/>
                  <w:vAlign w:val="center"/>
                </w:tcPr>
                <w:p w14:paraId="30B3E78E">
                  <w:pPr>
                    <w:pStyle w:val="43"/>
                    <w:wordWrap/>
                    <w:spacing w:line="240" w:lineRule="auto"/>
                    <w:ind w:firstLine="0" w:firstLineChars="0"/>
                    <w:jc w:val="center"/>
                    <w:rPr>
                      <w:color w:val="auto"/>
                      <w:sz w:val="21"/>
                      <w:szCs w:val="20"/>
                    </w:rPr>
                  </w:pPr>
                  <w:r>
                    <w:rPr>
                      <w:color w:val="auto"/>
                      <w:sz w:val="21"/>
                      <w:szCs w:val="20"/>
                    </w:rPr>
                    <w:t>0.00187</w:t>
                  </w:r>
                </w:p>
              </w:tc>
              <w:tc>
                <w:tcPr>
                  <w:tcW w:w="1081" w:type="dxa"/>
                  <w:vAlign w:val="center"/>
                </w:tcPr>
                <w:p w14:paraId="00C70B3B">
                  <w:pPr>
                    <w:widowControl/>
                    <w:jc w:val="center"/>
                    <w:textAlignment w:val="center"/>
                    <w:rPr>
                      <w:color w:val="auto"/>
                      <w:szCs w:val="22"/>
                    </w:rPr>
                  </w:pPr>
                  <w:r>
                    <w:rPr>
                      <w:color w:val="auto"/>
                      <w:kern w:val="0"/>
                      <w:szCs w:val="21"/>
                      <w:lang w:bidi="ar"/>
                    </w:rPr>
                    <w:t>0.0158</w:t>
                  </w:r>
                  <w:r>
                    <w:rPr>
                      <w:rFonts w:hint="eastAsia"/>
                      <w:color w:val="auto"/>
                      <w:kern w:val="0"/>
                      <w:szCs w:val="21"/>
                      <w:lang w:bidi="ar"/>
                    </w:rPr>
                    <w:t>t/a</w:t>
                  </w:r>
                  <w:r>
                    <w:rPr>
                      <w:color w:val="auto"/>
                      <w:kern w:val="0"/>
                      <w:szCs w:val="21"/>
                      <w:lang w:bidi="ar"/>
                    </w:rPr>
                    <w:t xml:space="preserve"> </w:t>
                  </w:r>
                </w:p>
              </w:tc>
              <w:tc>
                <w:tcPr>
                  <w:tcW w:w="1089" w:type="dxa"/>
                  <w:vAlign w:val="center"/>
                </w:tcPr>
                <w:p w14:paraId="6F068556">
                  <w:pPr>
                    <w:widowControl/>
                    <w:jc w:val="center"/>
                    <w:textAlignment w:val="center"/>
                    <w:rPr>
                      <w:color w:val="auto"/>
                      <w:szCs w:val="22"/>
                    </w:rPr>
                  </w:pPr>
                  <w:r>
                    <w:rPr>
                      <w:color w:val="auto"/>
                      <w:kern w:val="0"/>
                      <w:szCs w:val="21"/>
                      <w:lang w:bidi="ar"/>
                    </w:rPr>
                    <w:t>0.0792</w:t>
                  </w:r>
                  <w:r>
                    <w:rPr>
                      <w:rFonts w:hint="eastAsia"/>
                      <w:color w:val="auto"/>
                      <w:kern w:val="0"/>
                      <w:szCs w:val="21"/>
                      <w:lang w:bidi="ar"/>
                    </w:rPr>
                    <w:t>t/a</w:t>
                  </w:r>
                  <w:r>
                    <w:rPr>
                      <w:color w:val="auto"/>
                      <w:kern w:val="0"/>
                      <w:szCs w:val="21"/>
                      <w:lang w:bidi="ar"/>
                    </w:rPr>
                    <w:t xml:space="preserve"> </w:t>
                  </w:r>
                </w:p>
              </w:tc>
              <w:tc>
                <w:tcPr>
                  <w:tcW w:w="1241" w:type="dxa"/>
                  <w:vAlign w:val="center"/>
                </w:tcPr>
                <w:p w14:paraId="68362934">
                  <w:pPr>
                    <w:widowControl/>
                    <w:jc w:val="center"/>
                    <w:textAlignment w:val="center"/>
                    <w:rPr>
                      <w:color w:val="auto"/>
                      <w:szCs w:val="22"/>
                    </w:rPr>
                  </w:pPr>
                  <w:r>
                    <w:rPr>
                      <w:color w:val="auto"/>
                      <w:kern w:val="0"/>
                      <w:szCs w:val="21"/>
                      <w:lang w:bidi="ar"/>
                    </w:rPr>
                    <w:t>0.0792</w:t>
                  </w:r>
                  <w:r>
                    <w:rPr>
                      <w:rFonts w:hint="eastAsia"/>
                      <w:color w:val="auto"/>
                      <w:kern w:val="0"/>
                      <w:szCs w:val="21"/>
                      <w:lang w:bidi="ar"/>
                    </w:rPr>
                    <w:t>t/a</w:t>
                  </w:r>
                  <w:r>
                    <w:rPr>
                      <w:color w:val="auto"/>
                      <w:kern w:val="0"/>
                      <w:szCs w:val="21"/>
                      <w:lang w:bidi="ar"/>
                    </w:rPr>
                    <w:t xml:space="preserve"> </w:t>
                  </w:r>
                </w:p>
              </w:tc>
              <w:tc>
                <w:tcPr>
                  <w:tcW w:w="1110" w:type="dxa"/>
                  <w:vAlign w:val="center"/>
                </w:tcPr>
                <w:p w14:paraId="00D7AA1A">
                  <w:pPr>
                    <w:widowControl/>
                    <w:jc w:val="center"/>
                    <w:textAlignment w:val="center"/>
                    <w:rPr>
                      <w:color w:val="auto"/>
                      <w:kern w:val="0"/>
                      <w:szCs w:val="21"/>
                      <w:lang w:bidi="ar"/>
                    </w:rPr>
                  </w:pPr>
                  <w:r>
                    <w:rPr>
                      <w:color w:val="auto"/>
                      <w:kern w:val="0"/>
                      <w:szCs w:val="21"/>
                      <w:lang w:bidi="ar"/>
                    </w:rPr>
                    <w:t>0.0792</w:t>
                  </w:r>
                  <w:r>
                    <w:rPr>
                      <w:rFonts w:hint="eastAsia"/>
                      <w:color w:val="auto"/>
                      <w:kern w:val="0"/>
                      <w:szCs w:val="21"/>
                      <w:lang w:bidi="ar"/>
                    </w:rPr>
                    <w:t>t/a</w:t>
                  </w:r>
                  <w:r>
                    <w:rPr>
                      <w:color w:val="auto"/>
                      <w:kern w:val="0"/>
                      <w:szCs w:val="21"/>
                      <w:lang w:bidi="ar"/>
                    </w:rPr>
                    <w:t xml:space="preserve"> </w:t>
                  </w:r>
                </w:p>
              </w:tc>
              <w:tc>
                <w:tcPr>
                  <w:tcW w:w="1070" w:type="dxa"/>
                  <w:vAlign w:val="center"/>
                </w:tcPr>
                <w:p w14:paraId="6CA564BC">
                  <w:pPr>
                    <w:widowControl/>
                    <w:jc w:val="center"/>
                    <w:textAlignment w:val="center"/>
                    <w:rPr>
                      <w:color w:val="auto"/>
                      <w:kern w:val="0"/>
                      <w:szCs w:val="21"/>
                      <w:lang w:bidi="ar"/>
                    </w:rPr>
                  </w:pPr>
                  <w:r>
                    <w:rPr>
                      <w:color w:val="auto"/>
                      <w:kern w:val="0"/>
                      <w:szCs w:val="21"/>
                      <w:lang w:bidi="ar"/>
                    </w:rPr>
                    <w:t>0.0016</w:t>
                  </w:r>
                  <w:r>
                    <w:rPr>
                      <w:rFonts w:hint="eastAsia"/>
                      <w:color w:val="auto"/>
                      <w:kern w:val="0"/>
                      <w:szCs w:val="21"/>
                      <w:lang w:bidi="ar"/>
                    </w:rPr>
                    <w:t>t/a</w:t>
                  </w:r>
                  <w:r>
                    <w:rPr>
                      <w:color w:val="auto"/>
                      <w:kern w:val="0"/>
                      <w:szCs w:val="21"/>
                      <w:lang w:bidi="ar"/>
                    </w:rPr>
                    <w:t xml:space="preserve"> </w:t>
                  </w:r>
                </w:p>
              </w:tc>
            </w:tr>
          </w:tbl>
          <w:p w14:paraId="17E56777">
            <w:pPr>
              <w:pStyle w:val="2"/>
              <w:spacing w:before="0" w:after="0" w:line="360" w:lineRule="auto"/>
              <w:ind w:right="0" w:firstLine="360" w:firstLineChars="200"/>
              <w:jc w:val="left"/>
              <w:rPr>
                <w:color w:val="auto"/>
              </w:rPr>
            </w:pPr>
            <w:r>
              <w:rPr>
                <w:color w:val="auto"/>
              </w:rPr>
              <w:t>备注：（1）S</w:t>
            </w:r>
            <w:r>
              <w:rPr>
                <w:rFonts w:hint="eastAsia"/>
                <w:color w:val="auto"/>
              </w:rPr>
              <w:t>——收到基硫分（取值范围0-100），本报告取100</w:t>
            </w:r>
            <w:r>
              <w:rPr>
                <w:color w:val="auto"/>
              </w:rPr>
              <w:t>。</w:t>
            </w:r>
          </w:p>
          <w:p w14:paraId="56BEF8BA">
            <w:pPr>
              <w:pStyle w:val="2"/>
              <w:spacing w:before="0" w:after="0" w:line="360" w:lineRule="auto"/>
              <w:ind w:right="0" w:firstLine="900" w:firstLineChars="500"/>
              <w:jc w:val="left"/>
              <w:rPr>
                <w:color w:val="auto"/>
              </w:rPr>
            </w:pPr>
            <w:r>
              <w:rPr>
                <w:color w:val="auto"/>
              </w:rPr>
              <w:t>（2）项目燃烧器采用低氮燃烧器，根据《排放源统计调查产排污核算方法和系数手册》低氮燃烧法治理技术效率为50%，本次氮氧化物产生量考虑了低氮燃烧的治理效率。</w:t>
            </w:r>
          </w:p>
          <w:p w14:paraId="7758CFC2">
            <w:pPr>
              <w:adjustRightInd w:val="0"/>
              <w:snapToGrid w:val="0"/>
              <w:spacing w:line="360" w:lineRule="auto"/>
              <w:ind w:firstLine="420"/>
              <w:jc w:val="left"/>
              <w:rPr>
                <w:b/>
                <w:bCs/>
                <w:color w:val="auto"/>
                <w:sz w:val="24"/>
              </w:rPr>
            </w:pPr>
            <w:r>
              <w:rPr>
                <w:b/>
                <w:bCs/>
                <w:color w:val="auto"/>
                <w:sz w:val="24"/>
              </w:rPr>
              <w:t>（</w:t>
            </w:r>
            <w:r>
              <w:rPr>
                <w:rFonts w:hint="eastAsia"/>
                <w:b/>
                <w:bCs/>
                <w:color w:val="auto"/>
                <w:sz w:val="24"/>
              </w:rPr>
              <w:t>8</w:t>
            </w:r>
            <w:r>
              <w:rPr>
                <w:b/>
                <w:bCs/>
                <w:color w:val="auto"/>
                <w:sz w:val="24"/>
              </w:rPr>
              <w:t>）自建</w:t>
            </w:r>
            <w:r>
              <w:rPr>
                <w:rFonts w:hint="eastAsia"/>
                <w:b/>
                <w:bCs/>
                <w:color w:val="auto"/>
                <w:sz w:val="24"/>
              </w:rPr>
              <w:t>废水处理设施</w:t>
            </w:r>
            <w:r>
              <w:rPr>
                <w:b/>
                <w:bCs/>
                <w:color w:val="auto"/>
                <w:sz w:val="24"/>
              </w:rPr>
              <w:t>恶臭气体</w:t>
            </w:r>
          </w:p>
          <w:p w14:paraId="25273DAA">
            <w:pPr>
              <w:adjustRightInd w:val="0"/>
              <w:snapToGrid w:val="0"/>
              <w:spacing w:line="360" w:lineRule="auto"/>
              <w:ind w:firstLine="480" w:firstLineChars="200"/>
              <w:jc w:val="left"/>
              <w:rPr>
                <w:color w:val="auto"/>
                <w:sz w:val="24"/>
              </w:rPr>
            </w:pPr>
            <w:r>
              <w:rPr>
                <w:color w:val="auto"/>
                <w:sz w:val="24"/>
              </w:rPr>
              <w:t>根据建设单位提供的自建</w:t>
            </w:r>
            <w:r>
              <w:rPr>
                <w:rFonts w:hint="eastAsia"/>
                <w:color w:val="auto"/>
                <w:sz w:val="24"/>
              </w:rPr>
              <w:t>废水处理设施</w:t>
            </w:r>
            <w:r>
              <w:rPr>
                <w:color w:val="auto"/>
                <w:sz w:val="24"/>
              </w:rPr>
              <w:t>处理工艺，自建</w:t>
            </w:r>
            <w:r>
              <w:rPr>
                <w:rFonts w:hint="eastAsia"/>
                <w:color w:val="auto"/>
                <w:sz w:val="24"/>
              </w:rPr>
              <w:t>废水处理设施</w:t>
            </w:r>
            <w:r>
              <w:rPr>
                <w:color w:val="auto"/>
                <w:sz w:val="24"/>
              </w:rPr>
              <w:t>恶臭气体主要产生于</w:t>
            </w:r>
            <w:r>
              <w:rPr>
                <w:rFonts w:hint="eastAsia"/>
                <w:color w:val="auto"/>
                <w:sz w:val="24"/>
              </w:rPr>
              <w:t>污泥浓缩池</w:t>
            </w:r>
            <w:r>
              <w:rPr>
                <w:color w:val="auto"/>
                <w:sz w:val="24"/>
              </w:rPr>
              <w:t>及污泥压滤区等，主要污染因子为氨、硫化氢。由于恶臭物质和挥发性物质的逸出和扩散机理较为复杂，难以准确估算其产生量，因此本评价不对其进行定量分析。项目恶臭产生源均位于生产车间内，通过厂房隔档、厂区绿化等措施处理后无组织排放。</w:t>
            </w:r>
            <w:r>
              <w:rPr>
                <w:color w:val="auto"/>
                <w:kern w:val="0"/>
                <w:sz w:val="24"/>
                <w:lang w:bidi="ar"/>
              </w:rPr>
              <w:t>此外，建设单位将定时喷洒除臭剂。通过采取上述措施，恶臭污染物的排放对周围环境的影响会大幅减小，厂界臭气浓度不会超过</w:t>
            </w:r>
            <w:r>
              <w:rPr>
                <w:color w:val="auto"/>
                <w:sz w:val="24"/>
              </w:rPr>
              <w:t>《恶臭污染物排放标准》（GB14554-1993）表1恶臭污染物厂界二级新扩改建标准值</w:t>
            </w:r>
            <w:r>
              <w:rPr>
                <w:color w:val="auto"/>
                <w:kern w:val="0"/>
                <w:sz w:val="24"/>
                <w:lang w:bidi="ar"/>
              </w:rPr>
              <w:t>要求，对周围及敏感点的环境空气质量影响较小。</w:t>
            </w:r>
          </w:p>
          <w:p w14:paraId="6D7563B8">
            <w:pPr>
              <w:adjustRightInd w:val="0"/>
              <w:snapToGrid w:val="0"/>
              <w:spacing w:line="360" w:lineRule="auto"/>
              <w:ind w:firstLine="482" w:firstLineChars="200"/>
              <w:jc w:val="left"/>
              <w:rPr>
                <w:b/>
                <w:bCs/>
                <w:color w:val="auto"/>
                <w:sz w:val="24"/>
              </w:rPr>
            </w:pPr>
            <w:r>
              <w:rPr>
                <w:rFonts w:hint="eastAsia"/>
                <w:b/>
                <w:bCs/>
                <w:color w:val="auto"/>
                <w:sz w:val="24"/>
              </w:rPr>
              <w:t>2、废气风量核算</w:t>
            </w:r>
          </w:p>
          <w:p w14:paraId="4B7F7631">
            <w:pPr>
              <w:adjustRightInd w:val="0"/>
              <w:snapToGrid w:val="0"/>
              <w:spacing w:line="360" w:lineRule="auto"/>
              <w:ind w:firstLine="482" w:firstLineChars="200"/>
              <w:jc w:val="left"/>
              <w:rPr>
                <w:b/>
                <w:bCs/>
                <w:color w:val="auto"/>
                <w:sz w:val="24"/>
              </w:rPr>
            </w:pPr>
            <w:r>
              <w:rPr>
                <w:rFonts w:hint="eastAsia"/>
                <w:b/>
                <w:bCs/>
                <w:color w:val="auto"/>
                <w:sz w:val="24"/>
              </w:rPr>
              <w:t>（1）除锈槽、烘烤柜炉</w:t>
            </w:r>
          </w:p>
          <w:p w14:paraId="73E60273">
            <w:pPr>
              <w:adjustRightInd w:val="0"/>
              <w:snapToGrid w:val="0"/>
              <w:spacing w:line="360" w:lineRule="auto"/>
              <w:ind w:firstLine="482" w:firstLineChars="200"/>
              <w:jc w:val="left"/>
              <w:rPr>
                <w:color w:val="auto"/>
                <w:sz w:val="24"/>
              </w:rPr>
            </w:pPr>
            <w:r>
              <w:rPr>
                <w:rFonts w:hint="eastAsia"/>
                <w:b/>
                <w:bCs/>
                <w:color w:val="auto"/>
                <w:sz w:val="24"/>
              </w:rPr>
              <w:t>1）除锈槽</w:t>
            </w:r>
          </w:p>
          <w:p w14:paraId="59F8EF03">
            <w:pPr>
              <w:adjustRightInd w:val="0"/>
              <w:snapToGrid w:val="0"/>
              <w:spacing w:line="360" w:lineRule="auto"/>
              <w:ind w:firstLine="480" w:firstLineChars="200"/>
              <w:jc w:val="left"/>
              <w:rPr>
                <w:color w:val="auto"/>
                <w:sz w:val="24"/>
              </w:rPr>
            </w:pPr>
            <w:r>
              <w:rPr>
                <w:rFonts w:hint="eastAsia"/>
                <w:color w:val="auto"/>
                <w:sz w:val="24"/>
              </w:rPr>
              <w:t>项目除锈槽作业产生的硫酸雾通过在槽体侧边设置集气罩，并保持较高的吸气速度，诱导废气向集气罩流动，对废气进行收集。集气罩的罩口应尽可能靠近废气产生点，使其局限在较小空间内，可能减少吸气范围，以防止横向气流影响。集气罩的吸气方向应与污染气流运动方向一致，充分利用污染气流的初始动能。集气罩的罩口长度不应小于槽体长度，保证集气罩吸风均匀，同时设置活动挡板，在槽体暂停工作时盖在槽面上，减少有害气体挥发。同时，车间拟对前处理线的加工区域进行围蔽，不设置抽风扇和窗户，不采用抽风扇和车间门窗等途径向外环境排放废气，另通过集气罩抽排风，使围闭区域废气抽风量大于所需的换气风量，密闭区域呈微负压状态。</w:t>
            </w:r>
          </w:p>
          <w:p w14:paraId="3DF61C08">
            <w:pPr>
              <w:adjustRightInd w:val="0"/>
              <w:snapToGrid w:val="0"/>
              <w:spacing w:line="360" w:lineRule="auto"/>
              <w:ind w:firstLine="480" w:firstLineChars="200"/>
              <w:jc w:val="left"/>
              <w:rPr>
                <w:color w:val="auto"/>
                <w:sz w:val="24"/>
              </w:rPr>
            </w:pPr>
            <w:r>
              <w:rPr>
                <w:rFonts w:hint="eastAsia"/>
                <w:color w:val="auto"/>
                <w:sz w:val="24"/>
              </w:rPr>
              <w:t>侧吸罩吸风量参照《废气处理工程技术手册》(北京化学工业出版社)，采用高截面双侧排风(总风量)公式计算：</w:t>
            </w:r>
          </w:p>
          <w:p w14:paraId="259E45DC">
            <w:pPr>
              <w:pStyle w:val="43"/>
              <w:jc w:val="center"/>
              <w:rPr>
                <w:color w:val="auto"/>
                <w:sz w:val="21"/>
                <w:szCs w:val="20"/>
              </w:rPr>
            </w:pPr>
            <w:r>
              <w:rPr>
                <w:color w:val="auto"/>
              </w:rPr>
              <w:drawing>
                <wp:inline distT="0" distB="0" distL="114300" distR="114300">
                  <wp:extent cx="2190750" cy="742950"/>
                  <wp:effectExtent l="0" t="0" r="6350" b="6350"/>
                  <wp:docPr id="15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22"/>
                          <pic:cNvPicPr>
                            <a:picLocks noChangeAspect="1"/>
                          </pic:cNvPicPr>
                        </pic:nvPicPr>
                        <pic:blipFill>
                          <a:blip r:embed="rId37"/>
                          <a:stretch>
                            <a:fillRect/>
                          </a:stretch>
                        </pic:blipFill>
                        <pic:spPr>
                          <a:xfrm>
                            <a:off x="0" y="0"/>
                            <a:ext cx="2190750" cy="742950"/>
                          </a:xfrm>
                          <a:prstGeom prst="rect">
                            <a:avLst/>
                          </a:prstGeom>
                          <a:noFill/>
                          <a:ln>
                            <a:noFill/>
                          </a:ln>
                        </pic:spPr>
                      </pic:pic>
                    </a:graphicData>
                  </a:graphic>
                </wp:inline>
              </w:drawing>
            </w:r>
          </w:p>
          <w:p w14:paraId="43EAD26D">
            <w:pPr>
              <w:adjustRightInd w:val="0"/>
              <w:snapToGrid w:val="0"/>
              <w:spacing w:line="360" w:lineRule="auto"/>
              <w:ind w:firstLine="480" w:firstLineChars="200"/>
              <w:jc w:val="left"/>
              <w:rPr>
                <w:color w:val="auto"/>
                <w:sz w:val="24"/>
              </w:rPr>
            </w:pPr>
            <w:r>
              <w:rPr>
                <w:rFonts w:hint="eastAsia"/>
                <w:color w:val="auto"/>
                <w:sz w:val="24"/>
              </w:rPr>
              <w:t xml:space="preserve">式中：A-槽长，m； </w:t>
            </w:r>
          </w:p>
          <w:p w14:paraId="229780B5">
            <w:pPr>
              <w:adjustRightInd w:val="0"/>
              <w:snapToGrid w:val="0"/>
              <w:spacing w:line="360" w:lineRule="auto"/>
              <w:ind w:firstLine="480" w:firstLineChars="200"/>
              <w:jc w:val="left"/>
              <w:rPr>
                <w:color w:val="auto"/>
                <w:sz w:val="24"/>
              </w:rPr>
            </w:pPr>
            <w:r>
              <w:rPr>
                <w:rFonts w:hint="eastAsia"/>
                <w:color w:val="auto"/>
                <w:sz w:val="24"/>
              </w:rPr>
              <w:t>B-槽宽，m；</w:t>
            </w:r>
          </w:p>
          <w:p w14:paraId="293162D1">
            <w:pPr>
              <w:adjustRightInd w:val="0"/>
              <w:snapToGrid w:val="0"/>
              <w:spacing w:line="360" w:lineRule="auto"/>
              <w:ind w:firstLine="480" w:firstLineChars="200"/>
              <w:jc w:val="left"/>
              <w:rPr>
                <w:color w:val="auto"/>
                <w:sz w:val="24"/>
              </w:rPr>
            </w:pPr>
            <w:r>
              <w:rPr>
                <w:rFonts w:hint="eastAsia"/>
                <w:color w:val="auto"/>
                <w:sz w:val="24"/>
              </w:rPr>
              <w:t>Vx-边缘控制点的控制风速，m/s，一般危害性小的控制风速为0.20~0.40m/s，危害性大的控制风速为0.25~0.50m/s。项目主要排放污染物为硫酸雾，经处理后对环境危害性不算很大，因此边缘控制点控制风速全部按0.25m/s计。</w:t>
            </w:r>
          </w:p>
          <w:p w14:paraId="66A8B534">
            <w:pPr>
              <w:adjustRightInd w:val="0"/>
              <w:snapToGrid w:val="0"/>
              <w:spacing w:line="360" w:lineRule="auto"/>
              <w:ind w:firstLine="480" w:firstLineChars="200"/>
              <w:jc w:val="left"/>
              <w:rPr>
                <w:color w:val="auto"/>
                <w:sz w:val="24"/>
              </w:rPr>
            </w:pPr>
            <w:r>
              <w:rPr>
                <w:rFonts w:hint="eastAsia"/>
                <w:color w:val="auto"/>
                <w:sz w:val="24"/>
              </w:rPr>
              <w:t>集气罩尺寸设置原则：为了保证有效的收集率，集气罩的罩口应尽可能包围或靠近废气排放点，使其局限在较小空间内，尽可能减少吸气范围，以防止横向气流影响；集气罩的吸气方向应与污染气流运动方向一致，充分利用污染气流的初始动能；集气罩的罩口长度不应小于产污点的长度，保证集气罩吸风均匀。集气管收集风量计算见下表。</w:t>
            </w:r>
          </w:p>
          <w:p w14:paraId="713C7E74">
            <w:pPr>
              <w:pStyle w:val="77"/>
              <w:numPr>
                <w:ilvl w:val="0"/>
                <w:numId w:val="18"/>
              </w:numPr>
              <w:adjustRightInd w:val="0"/>
              <w:snapToGrid w:val="0"/>
              <w:jc w:val="center"/>
              <w:rPr>
                <w:b/>
                <w:bCs/>
                <w:color w:val="auto"/>
                <w:szCs w:val="21"/>
              </w:rPr>
            </w:pPr>
            <w:r>
              <w:rPr>
                <w:rFonts w:hint="eastAsia"/>
                <w:b/>
                <w:bCs/>
                <w:color w:val="auto"/>
                <w:szCs w:val="21"/>
              </w:rPr>
              <w:t xml:space="preserve"> 项目酸雾收集风量一览表</w:t>
            </w:r>
          </w:p>
          <w:tbl>
            <w:tblPr>
              <w:tblStyle w:val="35"/>
              <w:tblW w:w="4998" w:type="pct"/>
              <w:jc w:val="center"/>
              <w:tblLayout w:type="autofit"/>
              <w:tblCellMar>
                <w:top w:w="0" w:type="dxa"/>
                <w:left w:w="108" w:type="dxa"/>
                <w:bottom w:w="0" w:type="dxa"/>
                <w:right w:w="108" w:type="dxa"/>
              </w:tblCellMar>
            </w:tblPr>
            <w:tblGrid>
              <w:gridCol w:w="1790"/>
              <w:gridCol w:w="1886"/>
              <w:gridCol w:w="2083"/>
              <w:gridCol w:w="1674"/>
              <w:gridCol w:w="1689"/>
              <w:gridCol w:w="1577"/>
            </w:tblGrid>
            <w:tr w14:paraId="59FE235F">
              <w:tblPrEx>
                <w:tblCellMar>
                  <w:top w:w="0" w:type="dxa"/>
                  <w:left w:w="108" w:type="dxa"/>
                  <w:bottom w:w="0" w:type="dxa"/>
                  <w:right w:w="108" w:type="dxa"/>
                </w:tblCellMar>
              </w:tblPrEx>
              <w:trPr>
                <w:trHeight w:val="270" w:hRule="atLeast"/>
                <w:jc w:val="center"/>
              </w:trPr>
              <w:tc>
                <w:tcPr>
                  <w:tcW w:w="836" w:type="pct"/>
                  <w:tcBorders>
                    <w:top w:val="single" w:color="000000" w:sz="4" w:space="0"/>
                    <w:left w:val="single" w:color="000000" w:sz="4" w:space="0"/>
                    <w:bottom w:val="single" w:color="000000" w:sz="4" w:space="0"/>
                    <w:right w:val="single" w:color="000000" w:sz="4" w:space="0"/>
                  </w:tcBorders>
                  <w:vAlign w:val="center"/>
                </w:tcPr>
                <w:p w14:paraId="38CC1DEE">
                  <w:pPr>
                    <w:pStyle w:val="43"/>
                    <w:wordWrap/>
                    <w:spacing w:line="240" w:lineRule="auto"/>
                    <w:ind w:firstLine="0" w:firstLineChars="0"/>
                    <w:jc w:val="center"/>
                    <w:rPr>
                      <w:b/>
                      <w:bCs/>
                      <w:color w:val="auto"/>
                      <w:sz w:val="21"/>
                      <w:szCs w:val="20"/>
                    </w:rPr>
                  </w:pPr>
                  <w:r>
                    <w:rPr>
                      <w:b/>
                      <w:bCs/>
                      <w:color w:val="auto"/>
                      <w:sz w:val="21"/>
                      <w:szCs w:val="20"/>
                    </w:rPr>
                    <w:t>产生环节</w:t>
                  </w:r>
                </w:p>
              </w:tc>
              <w:tc>
                <w:tcPr>
                  <w:tcW w:w="881" w:type="pct"/>
                  <w:tcBorders>
                    <w:top w:val="single" w:color="000000" w:sz="4" w:space="0"/>
                    <w:left w:val="single" w:color="000000" w:sz="4" w:space="0"/>
                    <w:bottom w:val="single" w:color="000000" w:sz="4" w:space="0"/>
                    <w:right w:val="single" w:color="000000" w:sz="4" w:space="0"/>
                  </w:tcBorders>
                  <w:vAlign w:val="center"/>
                </w:tcPr>
                <w:p w14:paraId="09A4FB9F">
                  <w:pPr>
                    <w:pStyle w:val="43"/>
                    <w:wordWrap/>
                    <w:spacing w:line="240" w:lineRule="auto"/>
                    <w:ind w:firstLine="0" w:firstLineChars="0"/>
                    <w:jc w:val="center"/>
                    <w:rPr>
                      <w:b/>
                      <w:bCs/>
                      <w:color w:val="auto"/>
                      <w:sz w:val="21"/>
                      <w:szCs w:val="20"/>
                    </w:rPr>
                  </w:pPr>
                  <w:r>
                    <w:rPr>
                      <w:rFonts w:hint="eastAsia"/>
                      <w:b/>
                      <w:bCs/>
                      <w:color w:val="auto"/>
                      <w:sz w:val="21"/>
                      <w:szCs w:val="20"/>
                    </w:rPr>
                    <w:t>污染因子</w:t>
                  </w:r>
                </w:p>
              </w:tc>
              <w:tc>
                <w:tcPr>
                  <w:tcW w:w="973" w:type="pct"/>
                  <w:tcBorders>
                    <w:top w:val="single" w:color="000000" w:sz="4" w:space="0"/>
                    <w:left w:val="single" w:color="000000" w:sz="4" w:space="0"/>
                    <w:bottom w:val="single" w:color="000000" w:sz="4" w:space="0"/>
                    <w:right w:val="single" w:color="000000" w:sz="4" w:space="0"/>
                  </w:tcBorders>
                  <w:vAlign w:val="center"/>
                </w:tcPr>
                <w:p w14:paraId="1955B32B">
                  <w:pPr>
                    <w:pStyle w:val="43"/>
                    <w:wordWrap/>
                    <w:spacing w:line="240" w:lineRule="auto"/>
                    <w:ind w:firstLine="0" w:firstLineChars="0"/>
                    <w:jc w:val="center"/>
                    <w:rPr>
                      <w:b/>
                      <w:bCs/>
                      <w:color w:val="auto"/>
                      <w:sz w:val="21"/>
                      <w:szCs w:val="20"/>
                    </w:rPr>
                  </w:pPr>
                  <w:r>
                    <w:rPr>
                      <w:b/>
                      <w:bCs/>
                      <w:color w:val="auto"/>
                      <w:sz w:val="21"/>
                      <w:szCs w:val="20"/>
                    </w:rPr>
                    <w:t>槽体长×宽m</w:t>
                  </w:r>
                </w:p>
              </w:tc>
              <w:tc>
                <w:tcPr>
                  <w:tcW w:w="782" w:type="pct"/>
                  <w:tcBorders>
                    <w:top w:val="single" w:color="000000" w:sz="4" w:space="0"/>
                    <w:left w:val="single" w:color="000000" w:sz="4" w:space="0"/>
                    <w:bottom w:val="single" w:color="000000" w:sz="4" w:space="0"/>
                    <w:right w:val="single" w:color="000000" w:sz="4" w:space="0"/>
                  </w:tcBorders>
                  <w:vAlign w:val="center"/>
                </w:tcPr>
                <w:p w14:paraId="07C73923">
                  <w:pPr>
                    <w:pStyle w:val="43"/>
                    <w:wordWrap/>
                    <w:spacing w:line="240" w:lineRule="auto"/>
                    <w:ind w:firstLine="0" w:firstLineChars="0"/>
                    <w:jc w:val="center"/>
                    <w:rPr>
                      <w:b/>
                      <w:bCs/>
                      <w:color w:val="auto"/>
                      <w:sz w:val="21"/>
                      <w:szCs w:val="20"/>
                    </w:rPr>
                  </w:pPr>
                  <w:r>
                    <w:rPr>
                      <w:b/>
                      <w:bCs/>
                      <w:color w:val="auto"/>
                      <w:sz w:val="21"/>
                      <w:szCs w:val="20"/>
                    </w:rPr>
                    <w:t>槽体个数</w:t>
                  </w:r>
                </w:p>
              </w:tc>
              <w:tc>
                <w:tcPr>
                  <w:tcW w:w="789" w:type="pct"/>
                  <w:tcBorders>
                    <w:top w:val="single" w:color="000000" w:sz="4" w:space="0"/>
                    <w:left w:val="single" w:color="000000" w:sz="4" w:space="0"/>
                    <w:bottom w:val="single" w:color="000000" w:sz="4" w:space="0"/>
                    <w:right w:val="single" w:color="000000" w:sz="4" w:space="0"/>
                  </w:tcBorders>
                  <w:vAlign w:val="center"/>
                </w:tcPr>
                <w:p w14:paraId="00E7B641">
                  <w:pPr>
                    <w:pStyle w:val="43"/>
                    <w:wordWrap/>
                    <w:spacing w:line="240" w:lineRule="auto"/>
                    <w:ind w:firstLine="0" w:firstLineChars="0"/>
                    <w:jc w:val="center"/>
                    <w:rPr>
                      <w:b/>
                      <w:bCs/>
                      <w:color w:val="auto"/>
                      <w:sz w:val="21"/>
                      <w:szCs w:val="20"/>
                    </w:rPr>
                  </w:pPr>
                  <w:r>
                    <w:rPr>
                      <w:b/>
                      <w:bCs/>
                      <w:color w:val="auto"/>
                      <w:sz w:val="21"/>
                      <w:szCs w:val="20"/>
                    </w:rPr>
                    <w:t>控制风速m/s</w:t>
                  </w:r>
                </w:p>
              </w:tc>
              <w:tc>
                <w:tcPr>
                  <w:tcW w:w="736" w:type="pct"/>
                  <w:tcBorders>
                    <w:top w:val="single" w:color="000000" w:sz="4" w:space="0"/>
                    <w:left w:val="single" w:color="000000" w:sz="4" w:space="0"/>
                    <w:bottom w:val="single" w:color="000000" w:sz="4" w:space="0"/>
                    <w:right w:val="single" w:color="000000" w:sz="4" w:space="0"/>
                  </w:tcBorders>
                  <w:vAlign w:val="center"/>
                </w:tcPr>
                <w:p w14:paraId="54479A7A">
                  <w:pPr>
                    <w:pStyle w:val="43"/>
                    <w:wordWrap/>
                    <w:spacing w:line="240" w:lineRule="auto"/>
                    <w:ind w:firstLine="0" w:firstLineChars="0"/>
                    <w:jc w:val="center"/>
                    <w:rPr>
                      <w:b/>
                      <w:bCs/>
                      <w:color w:val="auto"/>
                      <w:sz w:val="21"/>
                      <w:szCs w:val="20"/>
                    </w:rPr>
                  </w:pPr>
                  <w:r>
                    <w:rPr>
                      <w:rFonts w:hint="eastAsia"/>
                      <w:b/>
                      <w:bCs/>
                      <w:color w:val="auto"/>
                      <w:sz w:val="21"/>
                      <w:szCs w:val="20"/>
                    </w:rPr>
                    <w:t>理论</w:t>
                  </w:r>
                  <w:r>
                    <w:rPr>
                      <w:b/>
                      <w:bCs/>
                      <w:color w:val="auto"/>
                      <w:sz w:val="21"/>
                      <w:szCs w:val="20"/>
                    </w:rPr>
                    <w:t>风量m</w:t>
                  </w:r>
                  <w:r>
                    <w:rPr>
                      <w:b/>
                      <w:bCs/>
                      <w:color w:val="auto"/>
                      <w:sz w:val="21"/>
                      <w:szCs w:val="20"/>
                      <w:vertAlign w:val="superscript"/>
                    </w:rPr>
                    <w:t>3</w:t>
                  </w:r>
                  <w:r>
                    <w:rPr>
                      <w:b/>
                      <w:bCs/>
                      <w:color w:val="auto"/>
                      <w:sz w:val="21"/>
                      <w:szCs w:val="20"/>
                    </w:rPr>
                    <w:t>/h</w:t>
                  </w:r>
                </w:p>
              </w:tc>
            </w:tr>
            <w:tr w14:paraId="5E5B3288">
              <w:tblPrEx>
                <w:tblCellMar>
                  <w:top w:w="0" w:type="dxa"/>
                  <w:left w:w="108" w:type="dxa"/>
                  <w:bottom w:w="0" w:type="dxa"/>
                  <w:right w:w="108" w:type="dxa"/>
                </w:tblCellMar>
              </w:tblPrEx>
              <w:trPr>
                <w:trHeight w:val="270" w:hRule="atLeast"/>
                <w:jc w:val="center"/>
              </w:trPr>
              <w:tc>
                <w:tcPr>
                  <w:tcW w:w="836" w:type="pct"/>
                  <w:tcBorders>
                    <w:top w:val="single" w:color="000000" w:sz="4" w:space="0"/>
                    <w:left w:val="single" w:color="000000" w:sz="4" w:space="0"/>
                    <w:bottom w:val="single" w:color="000000" w:sz="4" w:space="0"/>
                    <w:right w:val="single" w:color="000000" w:sz="4" w:space="0"/>
                  </w:tcBorders>
                  <w:vAlign w:val="center"/>
                </w:tcPr>
                <w:p w14:paraId="059FCBC8">
                  <w:pPr>
                    <w:pStyle w:val="43"/>
                    <w:wordWrap/>
                    <w:spacing w:line="240" w:lineRule="auto"/>
                    <w:ind w:firstLine="0" w:firstLineChars="0"/>
                    <w:jc w:val="center"/>
                    <w:rPr>
                      <w:color w:val="auto"/>
                      <w:sz w:val="21"/>
                      <w:szCs w:val="20"/>
                    </w:rPr>
                  </w:pPr>
                  <w:r>
                    <w:rPr>
                      <w:rFonts w:hint="eastAsia"/>
                      <w:color w:val="auto"/>
                      <w:sz w:val="21"/>
                      <w:szCs w:val="20"/>
                    </w:rPr>
                    <w:t>除锈槽</w:t>
                  </w:r>
                </w:p>
              </w:tc>
              <w:tc>
                <w:tcPr>
                  <w:tcW w:w="881" w:type="pct"/>
                  <w:tcBorders>
                    <w:top w:val="single" w:color="000000" w:sz="4" w:space="0"/>
                    <w:left w:val="single" w:color="000000" w:sz="4" w:space="0"/>
                    <w:bottom w:val="single" w:color="000000" w:sz="4" w:space="0"/>
                    <w:right w:val="single" w:color="000000" w:sz="4" w:space="0"/>
                  </w:tcBorders>
                  <w:vAlign w:val="center"/>
                </w:tcPr>
                <w:p w14:paraId="5E596A15">
                  <w:pPr>
                    <w:pStyle w:val="43"/>
                    <w:wordWrap/>
                    <w:spacing w:line="240" w:lineRule="auto"/>
                    <w:ind w:firstLine="0" w:firstLineChars="0"/>
                    <w:jc w:val="center"/>
                    <w:rPr>
                      <w:color w:val="auto"/>
                      <w:sz w:val="21"/>
                      <w:szCs w:val="20"/>
                    </w:rPr>
                  </w:pPr>
                  <w:r>
                    <w:rPr>
                      <w:rFonts w:hint="eastAsia"/>
                      <w:color w:val="auto"/>
                      <w:sz w:val="21"/>
                      <w:szCs w:val="20"/>
                    </w:rPr>
                    <w:t>硫酸雾</w:t>
                  </w:r>
                </w:p>
              </w:tc>
              <w:tc>
                <w:tcPr>
                  <w:tcW w:w="973" w:type="pct"/>
                  <w:tcBorders>
                    <w:top w:val="single" w:color="000000" w:sz="4" w:space="0"/>
                    <w:left w:val="single" w:color="000000" w:sz="4" w:space="0"/>
                    <w:bottom w:val="single" w:color="000000" w:sz="4" w:space="0"/>
                    <w:right w:val="single" w:color="000000" w:sz="4" w:space="0"/>
                  </w:tcBorders>
                  <w:vAlign w:val="center"/>
                </w:tcPr>
                <w:p w14:paraId="27478AD6">
                  <w:pPr>
                    <w:pStyle w:val="43"/>
                    <w:wordWrap/>
                    <w:spacing w:line="240" w:lineRule="auto"/>
                    <w:ind w:firstLine="0" w:firstLineChars="0"/>
                    <w:jc w:val="center"/>
                    <w:rPr>
                      <w:color w:val="auto"/>
                      <w:sz w:val="21"/>
                      <w:szCs w:val="20"/>
                    </w:rPr>
                  </w:pPr>
                  <w:r>
                    <w:rPr>
                      <w:color w:val="auto"/>
                      <w:sz w:val="21"/>
                      <w:szCs w:val="20"/>
                    </w:rPr>
                    <w:t>2.4×1.4</w:t>
                  </w:r>
                </w:p>
              </w:tc>
              <w:tc>
                <w:tcPr>
                  <w:tcW w:w="782" w:type="pct"/>
                  <w:tcBorders>
                    <w:top w:val="single" w:color="000000" w:sz="4" w:space="0"/>
                    <w:left w:val="single" w:color="000000" w:sz="4" w:space="0"/>
                    <w:bottom w:val="single" w:color="000000" w:sz="4" w:space="0"/>
                    <w:right w:val="single" w:color="000000" w:sz="4" w:space="0"/>
                  </w:tcBorders>
                  <w:vAlign w:val="center"/>
                </w:tcPr>
                <w:p w14:paraId="7EA5FA19">
                  <w:pPr>
                    <w:pStyle w:val="43"/>
                    <w:wordWrap/>
                    <w:spacing w:line="240" w:lineRule="auto"/>
                    <w:ind w:firstLine="0" w:firstLineChars="0"/>
                    <w:jc w:val="center"/>
                    <w:rPr>
                      <w:color w:val="auto"/>
                      <w:sz w:val="21"/>
                      <w:szCs w:val="20"/>
                    </w:rPr>
                  </w:pPr>
                  <w:r>
                    <w:rPr>
                      <w:rFonts w:hint="eastAsia"/>
                      <w:color w:val="auto"/>
                      <w:sz w:val="21"/>
                      <w:szCs w:val="20"/>
                    </w:rPr>
                    <w:t>1</w:t>
                  </w:r>
                </w:p>
              </w:tc>
              <w:tc>
                <w:tcPr>
                  <w:tcW w:w="789" w:type="pct"/>
                  <w:tcBorders>
                    <w:top w:val="single" w:color="000000" w:sz="4" w:space="0"/>
                    <w:left w:val="single" w:color="000000" w:sz="4" w:space="0"/>
                    <w:bottom w:val="single" w:color="000000" w:sz="4" w:space="0"/>
                    <w:right w:val="single" w:color="000000" w:sz="4" w:space="0"/>
                  </w:tcBorders>
                  <w:vAlign w:val="center"/>
                </w:tcPr>
                <w:p w14:paraId="4078806D">
                  <w:pPr>
                    <w:pStyle w:val="43"/>
                    <w:wordWrap/>
                    <w:spacing w:line="240" w:lineRule="auto"/>
                    <w:ind w:firstLine="0" w:firstLineChars="0"/>
                    <w:jc w:val="center"/>
                    <w:rPr>
                      <w:color w:val="auto"/>
                      <w:sz w:val="21"/>
                      <w:szCs w:val="20"/>
                    </w:rPr>
                  </w:pPr>
                  <w:r>
                    <w:rPr>
                      <w:color w:val="auto"/>
                      <w:sz w:val="21"/>
                      <w:szCs w:val="20"/>
                    </w:rPr>
                    <w:t>0.25</w:t>
                  </w:r>
                </w:p>
              </w:tc>
              <w:tc>
                <w:tcPr>
                  <w:tcW w:w="736" w:type="pct"/>
                  <w:tcBorders>
                    <w:top w:val="single" w:color="000000" w:sz="4" w:space="0"/>
                    <w:left w:val="single" w:color="000000" w:sz="4" w:space="0"/>
                    <w:bottom w:val="single" w:color="000000" w:sz="4" w:space="0"/>
                    <w:right w:val="single" w:color="000000" w:sz="4" w:space="0"/>
                  </w:tcBorders>
                  <w:vAlign w:val="center"/>
                </w:tcPr>
                <w:p w14:paraId="69E3AC70">
                  <w:pPr>
                    <w:pStyle w:val="43"/>
                    <w:wordWrap/>
                    <w:spacing w:line="240" w:lineRule="auto"/>
                    <w:ind w:firstLine="0" w:firstLineChars="0"/>
                    <w:jc w:val="center"/>
                    <w:rPr>
                      <w:color w:val="auto"/>
                      <w:sz w:val="21"/>
                      <w:szCs w:val="20"/>
                    </w:rPr>
                  </w:pPr>
                  <w:r>
                    <w:rPr>
                      <w:rFonts w:hint="eastAsia"/>
                      <w:color w:val="auto"/>
                      <w:sz w:val="21"/>
                      <w:szCs w:val="20"/>
                    </w:rPr>
                    <w:t>4727</w:t>
                  </w:r>
                </w:p>
              </w:tc>
            </w:tr>
          </w:tbl>
          <w:p w14:paraId="6BAE702F">
            <w:pPr>
              <w:spacing w:line="360" w:lineRule="auto"/>
              <w:ind w:firstLine="482" w:firstLineChars="200"/>
              <w:rPr>
                <w:color w:val="auto"/>
                <w:sz w:val="24"/>
              </w:rPr>
            </w:pPr>
            <w:r>
              <w:rPr>
                <w:rFonts w:hint="eastAsia"/>
                <w:b/>
                <w:bCs/>
                <w:color w:val="auto"/>
                <w:sz w:val="24"/>
              </w:rPr>
              <w:t>2）烘烤柜炉</w:t>
            </w:r>
          </w:p>
          <w:p w14:paraId="1E12A0AE">
            <w:pPr>
              <w:spacing w:line="360" w:lineRule="auto"/>
              <w:ind w:firstLine="480" w:firstLineChars="200"/>
              <w:rPr>
                <w:color w:val="auto"/>
                <w:sz w:val="24"/>
              </w:rPr>
            </w:pPr>
            <w:r>
              <w:rPr>
                <w:rFonts w:hint="eastAsia"/>
                <w:color w:val="auto"/>
                <w:sz w:val="24"/>
              </w:rPr>
              <w:t>项目前处理后工件的烘干在密闭的烘烤柜炉中进行，通过管道将</w:t>
            </w:r>
            <w:r>
              <w:rPr>
                <w:color w:val="auto"/>
                <w:sz w:val="24"/>
              </w:rPr>
              <w:t>天然气燃烧机燃烧产生的热风经过滤后引入</w:t>
            </w:r>
            <w:r>
              <w:rPr>
                <w:rFonts w:hint="eastAsia"/>
                <w:color w:val="auto"/>
                <w:sz w:val="24"/>
              </w:rPr>
              <w:t>烘烤柜炉实现设备加热，此过程需收集烘烤柜炉内的天然气燃烧废气</w:t>
            </w:r>
            <w:r>
              <w:rPr>
                <w:color w:val="auto"/>
                <w:sz w:val="24"/>
              </w:rPr>
              <w:t>，</w:t>
            </w:r>
            <w:r>
              <w:rPr>
                <w:rFonts w:hint="eastAsia"/>
                <w:color w:val="auto"/>
                <w:sz w:val="24"/>
              </w:rPr>
              <w:t>拟采取在炉内设置风管直连的方式收集作业废气，直连风管风量核算</w:t>
            </w:r>
            <w:r>
              <w:rPr>
                <w:color w:val="auto"/>
                <w:sz w:val="24"/>
              </w:rPr>
              <w:t>参照《印刷工业污染防治可行技术指南》（HJ1089-2020）中无人员作业的密闭空间的风量计算公式：</w:t>
            </w:r>
          </w:p>
          <w:p w14:paraId="4BAAF260">
            <w:pPr>
              <w:adjustRightInd w:val="0"/>
              <w:snapToGrid w:val="0"/>
              <w:spacing w:line="360" w:lineRule="auto"/>
              <w:ind w:firstLine="480" w:firstLineChars="200"/>
              <w:jc w:val="center"/>
              <w:rPr>
                <w:color w:val="auto"/>
                <w:sz w:val="24"/>
              </w:rPr>
            </w:pPr>
            <w:r>
              <w:rPr>
                <w:color w:val="auto"/>
                <w:sz w:val="24"/>
              </w:rPr>
              <w:t>L</w:t>
            </w:r>
            <w:r>
              <w:rPr>
                <w:color w:val="auto"/>
                <w:sz w:val="24"/>
                <w:vertAlign w:val="subscript"/>
              </w:rPr>
              <w:t>2</w:t>
            </w:r>
            <w:r>
              <w:rPr>
                <w:color w:val="auto"/>
                <w:sz w:val="24"/>
              </w:rPr>
              <w:t>=V</w:t>
            </w:r>
            <w:r>
              <w:rPr>
                <w:color w:val="auto"/>
                <w:sz w:val="24"/>
                <w:vertAlign w:val="subscript"/>
              </w:rPr>
              <w:t>2</w:t>
            </w:r>
            <w:r>
              <w:rPr>
                <w:color w:val="auto"/>
                <w:sz w:val="24"/>
              </w:rPr>
              <w:t>×G</w:t>
            </w:r>
            <w:r>
              <w:rPr>
                <w:color w:val="auto"/>
                <w:sz w:val="24"/>
                <w:vertAlign w:val="subscript"/>
              </w:rPr>
              <w:t>2</w:t>
            </w:r>
            <w:r>
              <w:rPr>
                <w:color w:val="auto"/>
                <w:sz w:val="24"/>
              </w:rPr>
              <w:t>×3600</w:t>
            </w:r>
          </w:p>
          <w:p w14:paraId="78212B6E">
            <w:pPr>
              <w:adjustRightInd w:val="0"/>
              <w:snapToGrid w:val="0"/>
              <w:spacing w:line="360" w:lineRule="auto"/>
              <w:ind w:firstLine="480" w:firstLineChars="200"/>
              <w:jc w:val="left"/>
              <w:rPr>
                <w:color w:val="auto"/>
                <w:sz w:val="24"/>
              </w:rPr>
            </w:pPr>
            <w:r>
              <w:rPr>
                <w:color w:val="auto"/>
                <w:sz w:val="24"/>
              </w:rPr>
              <w:t>式中：L</w:t>
            </w:r>
            <w:r>
              <w:rPr>
                <w:color w:val="auto"/>
                <w:sz w:val="24"/>
                <w:vertAlign w:val="subscript"/>
              </w:rPr>
              <w:t>2</w:t>
            </w:r>
            <w:r>
              <w:rPr>
                <w:color w:val="auto"/>
                <w:sz w:val="24"/>
              </w:rPr>
              <w:t>——总风量，m</w:t>
            </w:r>
            <w:r>
              <w:rPr>
                <w:color w:val="auto"/>
                <w:sz w:val="24"/>
                <w:vertAlign w:val="superscript"/>
              </w:rPr>
              <w:t>3</w:t>
            </w:r>
            <w:r>
              <w:rPr>
                <w:color w:val="auto"/>
                <w:sz w:val="24"/>
              </w:rPr>
              <w:t>/h；</w:t>
            </w:r>
          </w:p>
          <w:p w14:paraId="2B8C2402">
            <w:pPr>
              <w:adjustRightInd w:val="0"/>
              <w:snapToGrid w:val="0"/>
              <w:spacing w:line="360" w:lineRule="auto"/>
              <w:ind w:firstLine="480" w:firstLineChars="200"/>
              <w:jc w:val="left"/>
              <w:rPr>
                <w:color w:val="auto"/>
                <w:sz w:val="24"/>
              </w:rPr>
            </w:pPr>
            <w:r>
              <w:rPr>
                <w:color w:val="auto"/>
                <w:sz w:val="24"/>
              </w:rPr>
              <w:t>V</w:t>
            </w:r>
            <w:r>
              <w:rPr>
                <w:color w:val="auto"/>
                <w:sz w:val="24"/>
                <w:vertAlign w:val="subscript"/>
              </w:rPr>
              <w:t>2</w:t>
            </w:r>
            <w:r>
              <w:rPr>
                <w:color w:val="auto"/>
                <w:sz w:val="24"/>
              </w:rPr>
              <w:t>——开口面控制风速，m/s。与大气连通的开口面，一般取1.2~</w:t>
            </w:r>
            <w:r>
              <w:rPr>
                <w:rFonts w:hint="eastAsia"/>
                <w:color w:val="auto"/>
                <w:sz w:val="24"/>
              </w:rPr>
              <w:t>3</w:t>
            </w:r>
            <w:r>
              <w:rPr>
                <w:color w:val="auto"/>
                <w:sz w:val="24"/>
              </w:rPr>
              <w:t>m/s；其他开口面，一般取0.4~0.6m/s，项目取值</w:t>
            </w:r>
            <w:r>
              <w:rPr>
                <w:rFonts w:hint="eastAsia"/>
                <w:color w:val="auto"/>
                <w:sz w:val="24"/>
              </w:rPr>
              <w:t>0.6</w:t>
            </w:r>
            <w:r>
              <w:rPr>
                <w:color w:val="auto"/>
                <w:sz w:val="24"/>
              </w:rPr>
              <w:t>m/s；</w:t>
            </w:r>
          </w:p>
          <w:p w14:paraId="3A4E1CBF">
            <w:pPr>
              <w:adjustRightInd w:val="0"/>
              <w:snapToGrid w:val="0"/>
              <w:spacing w:line="360" w:lineRule="auto"/>
              <w:ind w:firstLine="480" w:firstLineChars="200"/>
              <w:jc w:val="left"/>
              <w:rPr>
                <w:color w:val="auto"/>
                <w:sz w:val="24"/>
              </w:rPr>
            </w:pPr>
            <w:r>
              <w:rPr>
                <w:color w:val="auto"/>
                <w:sz w:val="24"/>
              </w:rPr>
              <w:t>G</w:t>
            </w:r>
            <w:r>
              <w:rPr>
                <w:color w:val="auto"/>
                <w:sz w:val="24"/>
                <w:vertAlign w:val="subscript"/>
              </w:rPr>
              <w:t>2</w:t>
            </w:r>
            <w:r>
              <w:rPr>
                <w:color w:val="auto"/>
                <w:sz w:val="24"/>
              </w:rPr>
              <w:t>——开口面面积，m</w:t>
            </w:r>
            <w:r>
              <w:rPr>
                <w:color w:val="auto"/>
                <w:sz w:val="24"/>
                <w:vertAlign w:val="superscript"/>
              </w:rPr>
              <w:t>2</w:t>
            </w:r>
            <w:r>
              <w:rPr>
                <w:color w:val="auto"/>
                <w:sz w:val="24"/>
              </w:rPr>
              <w:t>。</w:t>
            </w:r>
          </w:p>
          <w:p w14:paraId="61B191D1">
            <w:pPr>
              <w:pStyle w:val="77"/>
              <w:numPr>
                <w:ilvl w:val="0"/>
                <w:numId w:val="18"/>
              </w:numPr>
              <w:adjustRightInd w:val="0"/>
              <w:snapToGrid w:val="0"/>
              <w:jc w:val="center"/>
              <w:rPr>
                <w:b/>
                <w:bCs/>
                <w:color w:val="auto"/>
                <w:szCs w:val="21"/>
              </w:rPr>
            </w:pPr>
            <w:r>
              <w:rPr>
                <w:rFonts w:hint="eastAsia"/>
                <w:b/>
                <w:bCs/>
                <w:color w:val="auto"/>
                <w:szCs w:val="21"/>
              </w:rPr>
              <w:t>项目烘烤柜炉废气收集风量一览表</w:t>
            </w:r>
          </w:p>
          <w:tbl>
            <w:tblPr>
              <w:tblStyle w:val="35"/>
              <w:tblW w:w="4998" w:type="pct"/>
              <w:jc w:val="center"/>
              <w:tblLayout w:type="autofit"/>
              <w:tblCellMar>
                <w:top w:w="0" w:type="dxa"/>
                <w:left w:w="108" w:type="dxa"/>
                <w:bottom w:w="0" w:type="dxa"/>
                <w:right w:w="108" w:type="dxa"/>
              </w:tblCellMar>
            </w:tblPr>
            <w:tblGrid>
              <w:gridCol w:w="1721"/>
              <w:gridCol w:w="1721"/>
              <w:gridCol w:w="1259"/>
              <w:gridCol w:w="1334"/>
              <w:gridCol w:w="1081"/>
              <w:gridCol w:w="2053"/>
              <w:gridCol w:w="1530"/>
            </w:tblGrid>
            <w:tr w14:paraId="2426A614">
              <w:tblPrEx>
                <w:tblCellMar>
                  <w:top w:w="0" w:type="dxa"/>
                  <w:left w:w="108" w:type="dxa"/>
                  <w:bottom w:w="0" w:type="dxa"/>
                  <w:right w:w="108" w:type="dxa"/>
                </w:tblCellMar>
              </w:tblPrEx>
              <w:trPr>
                <w:trHeight w:val="270" w:hRule="atLeast"/>
                <w:jc w:val="center"/>
              </w:trPr>
              <w:tc>
                <w:tcPr>
                  <w:tcW w:w="804" w:type="pct"/>
                  <w:tcBorders>
                    <w:top w:val="single" w:color="000000" w:sz="4" w:space="0"/>
                    <w:left w:val="single" w:color="000000" w:sz="4" w:space="0"/>
                    <w:bottom w:val="single" w:color="000000" w:sz="4" w:space="0"/>
                    <w:right w:val="single" w:color="000000" w:sz="4" w:space="0"/>
                  </w:tcBorders>
                  <w:vAlign w:val="center"/>
                </w:tcPr>
                <w:p w14:paraId="7433F53C">
                  <w:pPr>
                    <w:pStyle w:val="43"/>
                    <w:wordWrap/>
                    <w:spacing w:line="240" w:lineRule="auto"/>
                    <w:ind w:firstLine="0" w:firstLineChars="0"/>
                    <w:jc w:val="center"/>
                    <w:rPr>
                      <w:b/>
                      <w:bCs/>
                      <w:color w:val="auto"/>
                      <w:sz w:val="21"/>
                      <w:szCs w:val="20"/>
                    </w:rPr>
                  </w:pPr>
                  <w:r>
                    <w:rPr>
                      <w:rFonts w:hint="eastAsia"/>
                      <w:b/>
                      <w:bCs/>
                      <w:color w:val="auto"/>
                      <w:sz w:val="21"/>
                      <w:szCs w:val="20"/>
                    </w:rPr>
                    <w:t>设备名称</w:t>
                  </w:r>
                </w:p>
              </w:tc>
              <w:tc>
                <w:tcPr>
                  <w:tcW w:w="804" w:type="pct"/>
                  <w:tcBorders>
                    <w:top w:val="single" w:color="000000" w:sz="4" w:space="0"/>
                    <w:left w:val="single" w:color="000000" w:sz="4" w:space="0"/>
                    <w:bottom w:val="single" w:color="000000" w:sz="4" w:space="0"/>
                    <w:right w:val="single" w:color="000000" w:sz="4" w:space="0"/>
                  </w:tcBorders>
                  <w:vAlign w:val="center"/>
                </w:tcPr>
                <w:p w14:paraId="0853F7BC">
                  <w:pPr>
                    <w:pStyle w:val="43"/>
                    <w:wordWrap/>
                    <w:spacing w:line="240" w:lineRule="auto"/>
                    <w:ind w:firstLine="0" w:firstLineChars="0"/>
                    <w:jc w:val="center"/>
                    <w:rPr>
                      <w:b/>
                      <w:bCs/>
                      <w:color w:val="auto"/>
                      <w:sz w:val="21"/>
                      <w:szCs w:val="20"/>
                    </w:rPr>
                  </w:pPr>
                  <w:r>
                    <w:rPr>
                      <w:rFonts w:hint="eastAsia"/>
                      <w:b/>
                      <w:bCs/>
                      <w:color w:val="auto"/>
                      <w:sz w:val="21"/>
                      <w:szCs w:val="20"/>
                    </w:rPr>
                    <w:t>规格</w:t>
                  </w:r>
                  <w:r>
                    <w:rPr>
                      <w:b/>
                      <w:bCs/>
                      <w:color w:val="auto"/>
                      <w:sz w:val="21"/>
                      <w:szCs w:val="20"/>
                    </w:rPr>
                    <w:t>长×宽×</w:t>
                  </w:r>
                  <w:r>
                    <w:rPr>
                      <w:rFonts w:hint="eastAsia"/>
                      <w:b/>
                      <w:bCs/>
                      <w:color w:val="auto"/>
                      <w:sz w:val="21"/>
                      <w:szCs w:val="20"/>
                    </w:rPr>
                    <w:t>高</w:t>
                  </w:r>
                  <w:r>
                    <w:rPr>
                      <w:b/>
                      <w:bCs/>
                      <w:color w:val="auto"/>
                      <w:sz w:val="21"/>
                      <w:szCs w:val="20"/>
                    </w:rPr>
                    <w:t>m</w:t>
                  </w:r>
                </w:p>
              </w:tc>
              <w:tc>
                <w:tcPr>
                  <w:tcW w:w="588" w:type="pct"/>
                  <w:tcBorders>
                    <w:top w:val="single" w:color="000000" w:sz="4" w:space="0"/>
                    <w:left w:val="single" w:color="000000" w:sz="4" w:space="0"/>
                    <w:bottom w:val="single" w:color="000000" w:sz="4" w:space="0"/>
                    <w:right w:val="single" w:color="000000" w:sz="4" w:space="0"/>
                  </w:tcBorders>
                  <w:vAlign w:val="center"/>
                </w:tcPr>
                <w:p w14:paraId="1853A15E">
                  <w:pPr>
                    <w:pStyle w:val="43"/>
                    <w:wordWrap/>
                    <w:spacing w:line="240" w:lineRule="auto"/>
                    <w:ind w:firstLine="0" w:firstLineChars="0"/>
                    <w:jc w:val="center"/>
                    <w:rPr>
                      <w:b/>
                      <w:bCs/>
                      <w:color w:val="auto"/>
                      <w:sz w:val="21"/>
                      <w:szCs w:val="20"/>
                    </w:rPr>
                  </w:pPr>
                  <w:r>
                    <w:rPr>
                      <w:rFonts w:hint="eastAsia"/>
                      <w:b/>
                      <w:bCs/>
                      <w:color w:val="auto"/>
                      <w:sz w:val="21"/>
                      <w:szCs w:val="20"/>
                    </w:rPr>
                    <w:t>风管管径m</w:t>
                  </w:r>
                </w:p>
              </w:tc>
              <w:tc>
                <w:tcPr>
                  <w:tcW w:w="623" w:type="pct"/>
                  <w:tcBorders>
                    <w:top w:val="single" w:color="000000" w:sz="4" w:space="0"/>
                    <w:left w:val="single" w:color="000000" w:sz="4" w:space="0"/>
                    <w:bottom w:val="single" w:color="000000" w:sz="4" w:space="0"/>
                    <w:right w:val="single" w:color="000000" w:sz="4" w:space="0"/>
                  </w:tcBorders>
                  <w:vAlign w:val="center"/>
                </w:tcPr>
                <w:p w14:paraId="5B626438">
                  <w:pPr>
                    <w:pStyle w:val="43"/>
                    <w:wordWrap/>
                    <w:spacing w:line="240" w:lineRule="auto"/>
                    <w:ind w:firstLine="0" w:firstLineChars="0"/>
                    <w:jc w:val="center"/>
                    <w:rPr>
                      <w:b/>
                      <w:bCs/>
                      <w:color w:val="auto"/>
                      <w:sz w:val="21"/>
                      <w:szCs w:val="20"/>
                    </w:rPr>
                  </w:pPr>
                  <w:r>
                    <w:rPr>
                      <w:rFonts w:hint="eastAsia"/>
                      <w:b/>
                      <w:bCs/>
                      <w:color w:val="auto"/>
                      <w:sz w:val="21"/>
                      <w:szCs w:val="20"/>
                    </w:rPr>
                    <w:t>开口面积</w:t>
                  </w:r>
                  <w:r>
                    <w:rPr>
                      <w:b/>
                      <w:bCs/>
                      <w:color w:val="auto"/>
                      <w:sz w:val="21"/>
                      <w:szCs w:val="20"/>
                    </w:rPr>
                    <w:t>m</w:t>
                  </w:r>
                  <w:r>
                    <w:rPr>
                      <w:rFonts w:hint="eastAsia"/>
                      <w:b/>
                      <w:bCs/>
                      <w:color w:val="auto"/>
                      <w:sz w:val="21"/>
                      <w:szCs w:val="20"/>
                      <w:vertAlign w:val="superscript"/>
                    </w:rPr>
                    <w:t>2</w:t>
                  </w:r>
                </w:p>
              </w:tc>
              <w:tc>
                <w:tcPr>
                  <w:tcW w:w="505" w:type="pct"/>
                  <w:tcBorders>
                    <w:top w:val="single" w:color="000000" w:sz="4" w:space="0"/>
                    <w:left w:val="single" w:color="000000" w:sz="4" w:space="0"/>
                    <w:bottom w:val="single" w:color="000000" w:sz="4" w:space="0"/>
                    <w:right w:val="single" w:color="000000" w:sz="4" w:space="0"/>
                  </w:tcBorders>
                  <w:vAlign w:val="center"/>
                </w:tcPr>
                <w:p w14:paraId="68ABA6B6">
                  <w:pPr>
                    <w:pStyle w:val="43"/>
                    <w:wordWrap/>
                    <w:spacing w:line="240" w:lineRule="auto"/>
                    <w:ind w:firstLine="0" w:firstLineChars="0"/>
                    <w:jc w:val="center"/>
                    <w:rPr>
                      <w:b/>
                      <w:bCs/>
                      <w:color w:val="auto"/>
                      <w:sz w:val="21"/>
                      <w:szCs w:val="20"/>
                    </w:rPr>
                  </w:pPr>
                  <w:r>
                    <w:rPr>
                      <w:rFonts w:hint="eastAsia"/>
                      <w:b/>
                      <w:bCs/>
                      <w:color w:val="auto"/>
                      <w:sz w:val="21"/>
                      <w:szCs w:val="20"/>
                    </w:rPr>
                    <w:t>风管数量</w:t>
                  </w:r>
                </w:p>
              </w:tc>
              <w:tc>
                <w:tcPr>
                  <w:tcW w:w="959" w:type="pct"/>
                  <w:tcBorders>
                    <w:top w:val="single" w:color="000000" w:sz="4" w:space="0"/>
                    <w:left w:val="single" w:color="000000" w:sz="4" w:space="0"/>
                    <w:bottom w:val="single" w:color="000000" w:sz="4" w:space="0"/>
                    <w:right w:val="single" w:color="000000" w:sz="4" w:space="0"/>
                  </w:tcBorders>
                  <w:vAlign w:val="center"/>
                </w:tcPr>
                <w:p w14:paraId="1C278350">
                  <w:pPr>
                    <w:pStyle w:val="43"/>
                    <w:wordWrap/>
                    <w:spacing w:line="240" w:lineRule="auto"/>
                    <w:ind w:firstLine="0" w:firstLineChars="0"/>
                    <w:jc w:val="center"/>
                    <w:rPr>
                      <w:b/>
                      <w:bCs/>
                      <w:color w:val="auto"/>
                      <w:sz w:val="21"/>
                      <w:szCs w:val="20"/>
                    </w:rPr>
                  </w:pPr>
                  <w:r>
                    <w:rPr>
                      <w:b/>
                      <w:bCs/>
                      <w:color w:val="auto"/>
                      <w:sz w:val="21"/>
                      <w:szCs w:val="20"/>
                    </w:rPr>
                    <w:t>开口面控制风速m/s</w:t>
                  </w:r>
                </w:p>
              </w:tc>
              <w:tc>
                <w:tcPr>
                  <w:tcW w:w="714" w:type="pct"/>
                  <w:tcBorders>
                    <w:top w:val="single" w:color="000000" w:sz="4" w:space="0"/>
                    <w:left w:val="single" w:color="000000" w:sz="4" w:space="0"/>
                    <w:bottom w:val="single" w:color="000000" w:sz="4" w:space="0"/>
                    <w:right w:val="single" w:color="000000" w:sz="4" w:space="0"/>
                  </w:tcBorders>
                  <w:vAlign w:val="center"/>
                </w:tcPr>
                <w:p w14:paraId="32E55CD2">
                  <w:pPr>
                    <w:pStyle w:val="43"/>
                    <w:wordWrap/>
                    <w:spacing w:line="240" w:lineRule="auto"/>
                    <w:ind w:firstLine="0" w:firstLineChars="0"/>
                    <w:jc w:val="center"/>
                    <w:rPr>
                      <w:b/>
                      <w:bCs/>
                      <w:color w:val="auto"/>
                      <w:sz w:val="21"/>
                      <w:szCs w:val="20"/>
                    </w:rPr>
                  </w:pPr>
                  <w:r>
                    <w:rPr>
                      <w:rFonts w:hint="eastAsia"/>
                      <w:b/>
                      <w:bCs/>
                      <w:color w:val="auto"/>
                      <w:sz w:val="21"/>
                      <w:szCs w:val="20"/>
                    </w:rPr>
                    <w:t>理论</w:t>
                  </w:r>
                  <w:r>
                    <w:rPr>
                      <w:b/>
                      <w:bCs/>
                      <w:color w:val="auto"/>
                      <w:sz w:val="21"/>
                      <w:szCs w:val="20"/>
                    </w:rPr>
                    <w:t>风量m</w:t>
                  </w:r>
                  <w:r>
                    <w:rPr>
                      <w:b/>
                      <w:bCs/>
                      <w:color w:val="auto"/>
                      <w:sz w:val="21"/>
                      <w:szCs w:val="20"/>
                      <w:vertAlign w:val="superscript"/>
                    </w:rPr>
                    <w:t>3</w:t>
                  </w:r>
                  <w:r>
                    <w:rPr>
                      <w:b/>
                      <w:bCs/>
                      <w:color w:val="auto"/>
                      <w:sz w:val="21"/>
                      <w:szCs w:val="20"/>
                    </w:rPr>
                    <w:t>/h</w:t>
                  </w:r>
                </w:p>
              </w:tc>
            </w:tr>
            <w:tr w14:paraId="6D69AA8E">
              <w:tblPrEx>
                <w:tblCellMar>
                  <w:top w:w="0" w:type="dxa"/>
                  <w:left w:w="108" w:type="dxa"/>
                  <w:bottom w:w="0" w:type="dxa"/>
                  <w:right w:w="108" w:type="dxa"/>
                </w:tblCellMar>
              </w:tblPrEx>
              <w:trPr>
                <w:trHeight w:val="270" w:hRule="atLeast"/>
                <w:jc w:val="center"/>
              </w:trPr>
              <w:tc>
                <w:tcPr>
                  <w:tcW w:w="804" w:type="pct"/>
                  <w:tcBorders>
                    <w:top w:val="single" w:color="000000" w:sz="4" w:space="0"/>
                    <w:left w:val="single" w:color="000000" w:sz="4" w:space="0"/>
                    <w:bottom w:val="single" w:color="000000" w:sz="4" w:space="0"/>
                    <w:right w:val="single" w:color="000000" w:sz="4" w:space="0"/>
                  </w:tcBorders>
                  <w:vAlign w:val="center"/>
                </w:tcPr>
                <w:p w14:paraId="79BE132C">
                  <w:pPr>
                    <w:pStyle w:val="43"/>
                    <w:wordWrap/>
                    <w:spacing w:line="240" w:lineRule="auto"/>
                    <w:ind w:firstLine="0" w:firstLineChars="0"/>
                    <w:jc w:val="center"/>
                    <w:rPr>
                      <w:color w:val="auto"/>
                      <w:sz w:val="21"/>
                      <w:szCs w:val="20"/>
                    </w:rPr>
                  </w:pPr>
                  <w:r>
                    <w:rPr>
                      <w:rFonts w:hint="eastAsia"/>
                      <w:color w:val="auto"/>
                      <w:sz w:val="21"/>
                      <w:szCs w:val="20"/>
                    </w:rPr>
                    <w:t>烘烤柜炉</w:t>
                  </w:r>
                </w:p>
              </w:tc>
              <w:tc>
                <w:tcPr>
                  <w:tcW w:w="804" w:type="pct"/>
                  <w:tcBorders>
                    <w:top w:val="single" w:color="000000" w:sz="4" w:space="0"/>
                    <w:left w:val="single" w:color="000000" w:sz="4" w:space="0"/>
                    <w:bottom w:val="single" w:color="000000" w:sz="4" w:space="0"/>
                    <w:right w:val="single" w:color="000000" w:sz="4" w:space="0"/>
                  </w:tcBorders>
                  <w:vAlign w:val="center"/>
                </w:tcPr>
                <w:p w14:paraId="0BF26AE2">
                  <w:pPr>
                    <w:pStyle w:val="43"/>
                    <w:wordWrap/>
                    <w:spacing w:line="240" w:lineRule="auto"/>
                    <w:ind w:firstLine="0" w:firstLineChars="0"/>
                    <w:jc w:val="center"/>
                    <w:rPr>
                      <w:color w:val="auto"/>
                      <w:sz w:val="21"/>
                      <w:szCs w:val="20"/>
                    </w:rPr>
                  </w:pPr>
                  <w:r>
                    <w:rPr>
                      <w:color w:val="auto"/>
                      <w:sz w:val="21"/>
                      <w:szCs w:val="20"/>
                    </w:rPr>
                    <w:t>2.6×1.4×1.6</w:t>
                  </w:r>
                </w:p>
              </w:tc>
              <w:tc>
                <w:tcPr>
                  <w:tcW w:w="588" w:type="pct"/>
                  <w:tcBorders>
                    <w:top w:val="single" w:color="000000" w:sz="4" w:space="0"/>
                    <w:left w:val="single" w:color="000000" w:sz="4" w:space="0"/>
                    <w:bottom w:val="single" w:color="000000" w:sz="4" w:space="0"/>
                    <w:right w:val="single" w:color="000000" w:sz="4" w:space="0"/>
                  </w:tcBorders>
                  <w:vAlign w:val="center"/>
                </w:tcPr>
                <w:p w14:paraId="6DFB2927">
                  <w:pPr>
                    <w:widowControl/>
                    <w:jc w:val="center"/>
                    <w:textAlignment w:val="center"/>
                    <w:rPr>
                      <w:color w:val="auto"/>
                      <w:szCs w:val="20"/>
                    </w:rPr>
                  </w:pPr>
                  <w:r>
                    <w:rPr>
                      <w:color w:val="auto"/>
                      <w:kern w:val="0"/>
                      <w:szCs w:val="21"/>
                      <w:lang w:bidi="ar"/>
                    </w:rPr>
                    <w:t>0.4</w:t>
                  </w:r>
                </w:p>
              </w:tc>
              <w:tc>
                <w:tcPr>
                  <w:tcW w:w="623" w:type="pct"/>
                  <w:tcBorders>
                    <w:top w:val="single" w:color="000000" w:sz="4" w:space="0"/>
                    <w:left w:val="single" w:color="000000" w:sz="4" w:space="0"/>
                    <w:bottom w:val="single" w:color="000000" w:sz="4" w:space="0"/>
                    <w:right w:val="single" w:color="000000" w:sz="4" w:space="0"/>
                  </w:tcBorders>
                  <w:vAlign w:val="center"/>
                </w:tcPr>
                <w:p w14:paraId="5766C131">
                  <w:pPr>
                    <w:widowControl/>
                    <w:jc w:val="center"/>
                    <w:textAlignment w:val="center"/>
                    <w:rPr>
                      <w:color w:val="auto"/>
                      <w:szCs w:val="20"/>
                    </w:rPr>
                  </w:pPr>
                  <w:r>
                    <w:rPr>
                      <w:color w:val="auto"/>
                      <w:kern w:val="0"/>
                      <w:szCs w:val="21"/>
                      <w:lang w:bidi="ar"/>
                    </w:rPr>
                    <w:t>0.1257</w:t>
                  </w:r>
                </w:p>
              </w:tc>
              <w:tc>
                <w:tcPr>
                  <w:tcW w:w="505" w:type="pct"/>
                  <w:tcBorders>
                    <w:top w:val="single" w:color="000000" w:sz="4" w:space="0"/>
                    <w:left w:val="single" w:color="000000" w:sz="4" w:space="0"/>
                    <w:bottom w:val="single" w:color="000000" w:sz="4" w:space="0"/>
                    <w:right w:val="single" w:color="000000" w:sz="4" w:space="0"/>
                  </w:tcBorders>
                  <w:vAlign w:val="center"/>
                </w:tcPr>
                <w:p w14:paraId="1C0E50BE">
                  <w:pPr>
                    <w:widowControl/>
                    <w:jc w:val="center"/>
                    <w:textAlignment w:val="center"/>
                    <w:rPr>
                      <w:color w:val="auto"/>
                      <w:szCs w:val="20"/>
                    </w:rPr>
                  </w:pPr>
                  <w:r>
                    <w:rPr>
                      <w:rFonts w:hint="eastAsia"/>
                      <w:color w:val="auto"/>
                      <w:kern w:val="0"/>
                      <w:szCs w:val="21"/>
                      <w:lang w:bidi="ar"/>
                    </w:rPr>
                    <w:t>2</w:t>
                  </w:r>
                </w:p>
              </w:tc>
              <w:tc>
                <w:tcPr>
                  <w:tcW w:w="959" w:type="pct"/>
                  <w:tcBorders>
                    <w:top w:val="single" w:color="000000" w:sz="4" w:space="0"/>
                    <w:left w:val="single" w:color="000000" w:sz="4" w:space="0"/>
                    <w:bottom w:val="single" w:color="000000" w:sz="4" w:space="0"/>
                    <w:right w:val="single" w:color="000000" w:sz="4" w:space="0"/>
                  </w:tcBorders>
                  <w:vAlign w:val="center"/>
                </w:tcPr>
                <w:p w14:paraId="6C3C37A0">
                  <w:pPr>
                    <w:widowControl/>
                    <w:jc w:val="center"/>
                    <w:textAlignment w:val="center"/>
                    <w:rPr>
                      <w:color w:val="auto"/>
                      <w:szCs w:val="20"/>
                    </w:rPr>
                  </w:pPr>
                  <w:r>
                    <w:rPr>
                      <w:color w:val="auto"/>
                      <w:kern w:val="0"/>
                      <w:szCs w:val="21"/>
                      <w:lang w:bidi="ar"/>
                    </w:rPr>
                    <w:t>0.6</w:t>
                  </w:r>
                </w:p>
              </w:tc>
              <w:tc>
                <w:tcPr>
                  <w:tcW w:w="714" w:type="pct"/>
                  <w:tcBorders>
                    <w:top w:val="single" w:color="000000" w:sz="4" w:space="0"/>
                    <w:left w:val="single" w:color="000000" w:sz="4" w:space="0"/>
                    <w:bottom w:val="single" w:color="000000" w:sz="4" w:space="0"/>
                    <w:right w:val="single" w:color="000000" w:sz="4" w:space="0"/>
                  </w:tcBorders>
                  <w:vAlign w:val="center"/>
                </w:tcPr>
                <w:p w14:paraId="5D2EF494">
                  <w:pPr>
                    <w:widowControl/>
                    <w:jc w:val="center"/>
                    <w:textAlignment w:val="center"/>
                    <w:rPr>
                      <w:color w:val="auto"/>
                      <w:szCs w:val="20"/>
                    </w:rPr>
                  </w:pPr>
                  <w:r>
                    <w:rPr>
                      <w:rFonts w:hint="eastAsia"/>
                      <w:color w:val="auto"/>
                      <w:kern w:val="0"/>
                      <w:szCs w:val="21"/>
                      <w:lang w:bidi="ar"/>
                    </w:rPr>
                    <w:t>543</w:t>
                  </w:r>
                </w:p>
              </w:tc>
            </w:tr>
          </w:tbl>
          <w:p w14:paraId="09C0ECCB">
            <w:pPr>
              <w:adjustRightInd w:val="0"/>
              <w:snapToGrid w:val="0"/>
              <w:spacing w:line="360" w:lineRule="auto"/>
              <w:ind w:firstLine="482" w:firstLineChars="200"/>
              <w:jc w:val="left"/>
              <w:rPr>
                <w:b/>
                <w:bCs/>
                <w:color w:val="auto"/>
                <w:sz w:val="24"/>
              </w:rPr>
            </w:pPr>
          </w:p>
          <w:p w14:paraId="4948EE1B">
            <w:pPr>
              <w:adjustRightInd w:val="0"/>
              <w:snapToGrid w:val="0"/>
              <w:spacing w:line="360" w:lineRule="auto"/>
              <w:ind w:firstLine="480" w:firstLineChars="200"/>
              <w:jc w:val="left"/>
              <w:rPr>
                <w:color w:val="auto"/>
                <w:sz w:val="24"/>
              </w:rPr>
            </w:pPr>
            <w:r>
              <w:rPr>
                <w:rFonts w:hint="eastAsia"/>
                <w:color w:val="auto"/>
                <w:sz w:val="24"/>
              </w:rPr>
              <w:t>针对除锈槽和烘烤柜炉的作业废气，建设单位拟设至1套废气设施收集处理作业废气，设施的风机风量计算情况如下：</w:t>
            </w:r>
          </w:p>
          <w:p w14:paraId="0DE34ACB">
            <w:pPr>
              <w:pStyle w:val="77"/>
              <w:numPr>
                <w:ilvl w:val="0"/>
                <w:numId w:val="18"/>
              </w:numPr>
              <w:adjustRightInd w:val="0"/>
              <w:snapToGrid w:val="0"/>
              <w:jc w:val="center"/>
              <w:rPr>
                <w:b/>
                <w:bCs/>
                <w:color w:val="auto"/>
                <w:szCs w:val="21"/>
              </w:rPr>
            </w:pPr>
            <w:r>
              <w:rPr>
                <w:rFonts w:hint="eastAsia"/>
                <w:b/>
                <w:bCs/>
                <w:color w:val="auto"/>
                <w:szCs w:val="21"/>
              </w:rPr>
              <w:t>项目</w:t>
            </w:r>
            <w:r>
              <w:rPr>
                <w:rFonts w:hint="eastAsia"/>
                <w:b/>
                <w:bCs/>
                <w:color w:val="auto"/>
                <w:szCs w:val="21"/>
                <w:lang w:val="en-US" w:eastAsia="zh-CN"/>
              </w:rPr>
              <w:t>除锈槽</w:t>
            </w:r>
            <w:r>
              <w:rPr>
                <w:rFonts w:hint="eastAsia"/>
                <w:b/>
                <w:bCs/>
                <w:color w:val="auto"/>
                <w:szCs w:val="21"/>
              </w:rPr>
              <w:t>、烘烤柜炉收集风量一览表</w:t>
            </w:r>
          </w:p>
          <w:tbl>
            <w:tblPr>
              <w:tblStyle w:val="35"/>
              <w:tblW w:w="10672" w:type="dxa"/>
              <w:jc w:val="center"/>
              <w:tblLayout w:type="autofit"/>
              <w:tblCellMar>
                <w:top w:w="0" w:type="dxa"/>
                <w:left w:w="108" w:type="dxa"/>
                <w:bottom w:w="0" w:type="dxa"/>
                <w:right w:w="108" w:type="dxa"/>
              </w:tblCellMar>
            </w:tblPr>
            <w:tblGrid>
              <w:gridCol w:w="1328"/>
              <w:gridCol w:w="1300"/>
              <w:gridCol w:w="1949"/>
              <w:gridCol w:w="3762"/>
              <w:gridCol w:w="1166"/>
              <w:gridCol w:w="1167"/>
            </w:tblGrid>
            <w:tr w14:paraId="171AD046">
              <w:tblPrEx>
                <w:tblCellMar>
                  <w:top w:w="0" w:type="dxa"/>
                  <w:left w:w="108" w:type="dxa"/>
                  <w:bottom w:w="0" w:type="dxa"/>
                  <w:right w:w="108" w:type="dxa"/>
                </w:tblCellMar>
              </w:tblPrEx>
              <w:trPr>
                <w:trHeight w:val="270" w:hRule="atLeast"/>
                <w:jc w:val="center"/>
              </w:trPr>
              <w:tc>
                <w:tcPr>
                  <w:tcW w:w="622" w:type="pct"/>
                  <w:tcBorders>
                    <w:top w:val="single" w:color="000000" w:sz="4" w:space="0"/>
                    <w:left w:val="single" w:color="000000" w:sz="4" w:space="0"/>
                    <w:bottom w:val="single" w:color="auto" w:sz="4" w:space="0"/>
                    <w:right w:val="single" w:color="000000" w:sz="4" w:space="0"/>
                  </w:tcBorders>
                  <w:vAlign w:val="center"/>
                </w:tcPr>
                <w:p w14:paraId="63B8FE13">
                  <w:pPr>
                    <w:pStyle w:val="43"/>
                    <w:wordWrap/>
                    <w:spacing w:line="240" w:lineRule="auto"/>
                    <w:ind w:firstLine="0" w:firstLineChars="0"/>
                    <w:jc w:val="center"/>
                    <w:rPr>
                      <w:b/>
                      <w:bCs/>
                      <w:color w:val="auto"/>
                      <w:sz w:val="21"/>
                      <w:szCs w:val="20"/>
                    </w:rPr>
                  </w:pPr>
                  <w:r>
                    <w:rPr>
                      <w:b/>
                      <w:bCs/>
                      <w:color w:val="auto"/>
                      <w:sz w:val="21"/>
                      <w:szCs w:val="20"/>
                    </w:rPr>
                    <w:t>排气筒编号</w:t>
                  </w:r>
                </w:p>
              </w:tc>
              <w:tc>
                <w:tcPr>
                  <w:tcW w:w="609" w:type="pct"/>
                  <w:tcBorders>
                    <w:top w:val="single" w:color="000000" w:sz="4" w:space="0"/>
                    <w:left w:val="single" w:color="000000" w:sz="4" w:space="0"/>
                    <w:bottom w:val="single" w:color="auto" w:sz="4" w:space="0"/>
                    <w:right w:val="single" w:color="000000" w:sz="4" w:space="0"/>
                  </w:tcBorders>
                  <w:vAlign w:val="center"/>
                </w:tcPr>
                <w:p w14:paraId="4AF7FECF">
                  <w:pPr>
                    <w:pStyle w:val="43"/>
                    <w:wordWrap/>
                    <w:spacing w:line="240" w:lineRule="auto"/>
                    <w:ind w:firstLine="0" w:firstLineChars="0"/>
                    <w:jc w:val="center"/>
                    <w:rPr>
                      <w:b/>
                      <w:bCs/>
                      <w:color w:val="auto"/>
                      <w:sz w:val="21"/>
                      <w:szCs w:val="20"/>
                    </w:rPr>
                  </w:pPr>
                  <w:r>
                    <w:rPr>
                      <w:rFonts w:hint="eastAsia"/>
                      <w:b/>
                      <w:bCs/>
                      <w:color w:val="auto"/>
                      <w:sz w:val="21"/>
                      <w:szCs w:val="20"/>
                    </w:rPr>
                    <w:t>污染源</w:t>
                  </w:r>
                </w:p>
              </w:tc>
              <w:tc>
                <w:tcPr>
                  <w:tcW w:w="913" w:type="pct"/>
                  <w:tcBorders>
                    <w:top w:val="single" w:color="000000" w:sz="4" w:space="0"/>
                    <w:left w:val="single" w:color="000000" w:sz="4" w:space="0"/>
                    <w:bottom w:val="single" w:color="auto" w:sz="4" w:space="0"/>
                    <w:right w:val="single" w:color="000000" w:sz="4" w:space="0"/>
                  </w:tcBorders>
                  <w:vAlign w:val="center"/>
                </w:tcPr>
                <w:p w14:paraId="26F73839">
                  <w:pPr>
                    <w:pStyle w:val="43"/>
                    <w:wordWrap/>
                    <w:spacing w:line="240" w:lineRule="auto"/>
                    <w:ind w:firstLine="0" w:firstLineChars="0"/>
                    <w:jc w:val="center"/>
                    <w:rPr>
                      <w:b/>
                      <w:bCs/>
                      <w:color w:val="auto"/>
                      <w:sz w:val="21"/>
                      <w:szCs w:val="20"/>
                    </w:rPr>
                  </w:pPr>
                  <w:r>
                    <w:rPr>
                      <w:rFonts w:hint="eastAsia"/>
                      <w:b/>
                      <w:bCs/>
                      <w:color w:val="auto"/>
                      <w:sz w:val="21"/>
                      <w:szCs w:val="20"/>
                    </w:rPr>
                    <w:t>收集方式</w:t>
                  </w:r>
                </w:p>
              </w:tc>
              <w:tc>
                <w:tcPr>
                  <w:tcW w:w="1762" w:type="pct"/>
                  <w:tcBorders>
                    <w:top w:val="single" w:color="000000" w:sz="4" w:space="0"/>
                    <w:left w:val="single" w:color="000000" w:sz="4" w:space="0"/>
                    <w:bottom w:val="single" w:color="auto" w:sz="4" w:space="0"/>
                    <w:right w:val="single" w:color="000000" w:sz="4" w:space="0"/>
                  </w:tcBorders>
                  <w:vAlign w:val="center"/>
                </w:tcPr>
                <w:p w14:paraId="7534A132">
                  <w:pPr>
                    <w:pStyle w:val="43"/>
                    <w:wordWrap/>
                    <w:spacing w:line="240" w:lineRule="auto"/>
                    <w:ind w:firstLine="0" w:firstLineChars="0"/>
                    <w:jc w:val="center"/>
                    <w:rPr>
                      <w:b/>
                      <w:bCs/>
                      <w:color w:val="auto"/>
                      <w:sz w:val="21"/>
                      <w:szCs w:val="20"/>
                    </w:rPr>
                  </w:pPr>
                  <w:r>
                    <w:rPr>
                      <w:rFonts w:hint="eastAsia"/>
                      <w:b/>
                      <w:bCs/>
                      <w:color w:val="auto"/>
                      <w:sz w:val="21"/>
                      <w:szCs w:val="20"/>
                    </w:rPr>
                    <w:t>收集区域</w:t>
                  </w:r>
                </w:p>
              </w:tc>
              <w:tc>
                <w:tcPr>
                  <w:tcW w:w="546" w:type="pct"/>
                  <w:tcBorders>
                    <w:top w:val="single" w:color="000000" w:sz="4" w:space="0"/>
                    <w:left w:val="single" w:color="000000" w:sz="4" w:space="0"/>
                    <w:bottom w:val="single" w:color="auto" w:sz="4" w:space="0"/>
                    <w:right w:val="single" w:color="000000" w:sz="4" w:space="0"/>
                  </w:tcBorders>
                  <w:vAlign w:val="center"/>
                </w:tcPr>
                <w:p w14:paraId="7F18E7BB">
                  <w:pPr>
                    <w:pStyle w:val="43"/>
                    <w:wordWrap/>
                    <w:spacing w:line="240" w:lineRule="auto"/>
                    <w:ind w:firstLine="0" w:firstLineChars="0"/>
                    <w:jc w:val="center"/>
                    <w:rPr>
                      <w:b/>
                      <w:bCs/>
                      <w:color w:val="auto"/>
                      <w:sz w:val="21"/>
                      <w:szCs w:val="20"/>
                    </w:rPr>
                  </w:pPr>
                  <w:r>
                    <w:rPr>
                      <w:rFonts w:hint="eastAsia"/>
                      <w:b/>
                      <w:bCs/>
                      <w:color w:val="auto"/>
                      <w:sz w:val="21"/>
                      <w:szCs w:val="20"/>
                    </w:rPr>
                    <w:t>理论</w:t>
                  </w:r>
                  <w:r>
                    <w:rPr>
                      <w:b/>
                      <w:bCs/>
                      <w:color w:val="auto"/>
                      <w:sz w:val="21"/>
                      <w:szCs w:val="20"/>
                    </w:rPr>
                    <w:t>风量m</w:t>
                  </w:r>
                  <w:r>
                    <w:rPr>
                      <w:b/>
                      <w:bCs/>
                      <w:color w:val="auto"/>
                      <w:sz w:val="21"/>
                      <w:szCs w:val="20"/>
                      <w:vertAlign w:val="superscript"/>
                    </w:rPr>
                    <w:t>3</w:t>
                  </w:r>
                  <w:r>
                    <w:rPr>
                      <w:b/>
                      <w:bCs/>
                      <w:color w:val="auto"/>
                      <w:sz w:val="21"/>
                      <w:szCs w:val="20"/>
                    </w:rPr>
                    <w:t>/h</w:t>
                  </w:r>
                </w:p>
              </w:tc>
              <w:tc>
                <w:tcPr>
                  <w:tcW w:w="546" w:type="pct"/>
                  <w:tcBorders>
                    <w:top w:val="single" w:color="000000" w:sz="4" w:space="0"/>
                    <w:left w:val="single" w:color="000000" w:sz="4" w:space="0"/>
                    <w:bottom w:val="single" w:color="auto" w:sz="4" w:space="0"/>
                    <w:right w:val="single" w:color="000000" w:sz="4" w:space="0"/>
                  </w:tcBorders>
                  <w:vAlign w:val="center"/>
                </w:tcPr>
                <w:p w14:paraId="797EF8C7">
                  <w:pPr>
                    <w:pStyle w:val="43"/>
                    <w:wordWrap/>
                    <w:spacing w:line="240" w:lineRule="auto"/>
                    <w:ind w:firstLine="0" w:firstLineChars="0"/>
                    <w:jc w:val="center"/>
                    <w:rPr>
                      <w:b/>
                      <w:bCs/>
                      <w:color w:val="auto"/>
                      <w:sz w:val="21"/>
                      <w:szCs w:val="20"/>
                    </w:rPr>
                  </w:pPr>
                  <w:r>
                    <w:rPr>
                      <w:rFonts w:hint="eastAsia"/>
                      <w:b/>
                      <w:bCs/>
                      <w:color w:val="auto"/>
                      <w:sz w:val="21"/>
                      <w:szCs w:val="20"/>
                    </w:rPr>
                    <w:t>设计</w:t>
                  </w:r>
                  <w:r>
                    <w:rPr>
                      <w:b/>
                      <w:bCs/>
                      <w:color w:val="auto"/>
                      <w:sz w:val="21"/>
                      <w:szCs w:val="20"/>
                    </w:rPr>
                    <w:t>风量m</w:t>
                  </w:r>
                  <w:r>
                    <w:rPr>
                      <w:b/>
                      <w:bCs/>
                      <w:color w:val="auto"/>
                      <w:sz w:val="21"/>
                      <w:szCs w:val="20"/>
                      <w:vertAlign w:val="superscript"/>
                    </w:rPr>
                    <w:t>3</w:t>
                  </w:r>
                  <w:r>
                    <w:rPr>
                      <w:b/>
                      <w:bCs/>
                      <w:color w:val="auto"/>
                      <w:sz w:val="21"/>
                      <w:szCs w:val="20"/>
                    </w:rPr>
                    <w:t>/h</w:t>
                  </w:r>
                </w:p>
              </w:tc>
            </w:tr>
            <w:tr w14:paraId="5C35C3AC">
              <w:tblPrEx>
                <w:tblCellMar>
                  <w:top w:w="0" w:type="dxa"/>
                  <w:left w:w="108" w:type="dxa"/>
                  <w:bottom w:w="0" w:type="dxa"/>
                  <w:right w:w="108" w:type="dxa"/>
                </w:tblCellMar>
              </w:tblPrEx>
              <w:trPr>
                <w:trHeight w:val="87" w:hRule="atLeast"/>
                <w:jc w:val="center"/>
              </w:trPr>
              <w:tc>
                <w:tcPr>
                  <w:tcW w:w="622" w:type="pct"/>
                  <w:vMerge w:val="restart"/>
                  <w:tcBorders>
                    <w:top w:val="single" w:color="auto" w:sz="4" w:space="0"/>
                    <w:left w:val="single" w:color="auto" w:sz="4" w:space="0"/>
                    <w:right w:val="single" w:color="auto" w:sz="4" w:space="0"/>
                  </w:tcBorders>
                  <w:vAlign w:val="center"/>
                </w:tcPr>
                <w:p w14:paraId="7AB4C925">
                  <w:pPr>
                    <w:pStyle w:val="43"/>
                    <w:wordWrap/>
                    <w:spacing w:line="240" w:lineRule="auto"/>
                    <w:ind w:firstLine="0" w:firstLineChars="0"/>
                    <w:jc w:val="center"/>
                    <w:rPr>
                      <w:color w:val="auto"/>
                      <w:sz w:val="21"/>
                      <w:szCs w:val="20"/>
                    </w:rPr>
                  </w:pPr>
                  <w:r>
                    <w:rPr>
                      <w:color w:val="auto"/>
                      <w:sz w:val="21"/>
                      <w:szCs w:val="20"/>
                    </w:rPr>
                    <w:t>DA00</w:t>
                  </w:r>
                  <w:r>
                    <w:rPr>
                      <w:rFonts w:hint="eastAsia"/>
                      <w:color w:val="auto"/>
                      <w:sz w:val="21"/>
                      <w:szCs w:val="20"/>
                    </w:rPr>
                    <w:t>6</w:t>
                  </w:r>
                </w:p>
              </w:tc>
              <w:tc>
                <w:tcPr>
                  <w:tcW w:w="609" w:type="pct"/>
                  <w:tcBorders>
                    <w:top w:val="single" w:color="auto" w:sz="4" w:space="0"/>
                    <w:left w:val="single" w:color="auto" w:sz="4" w:space="0"/>
                    <w:bottom w:val="single" w:color="auto" w:sz="4" w:space="0"/>
                    <w:right w:val="single" w:color="auto" w:sz="4" w:space="0"/>
                  </w:tcBorders>
                  <w:vAlign w:val="center"/>
                </w:tcPr>
                <w:p w14:paraId="049587BB">
                  <w:pPr>
                    <w:pStyle w:val="43"/>
                    <w:wordWrap/>
                    <w:spacing w:line="240" w:lineRule="auto"/>
                    <w:ind w:firstLine="0" w:firstLineChars="0"/>
                    <w:jc w:val="center"/>
                    <w:rPr>
                      <w:color w:val="auto"/>
                      <w:sz w:val="21"/>
                      <w:szCs w:val="20"/>
                    </w:rPr>
                  </w:pPr>
                  <w:r>
                    <w:rPr>
                      <w:rFonts w:hint="eastAsia"/>
                      <w:color w:val="auto"/>
                      <w:sz w:val="21"/>
                      <w:szCs w:val="20"/>
                    </w:rPr>
                    <w:t>除锈槽</w:t>
                  </w:r>
                </w:p>
              </w:tc>
              <w:tc>
                <w:tcPr>
                  <w:tcW w:w="913" w:type="pct"/>
                  <w:tcBorders>
                    <w:top w:val="single" w:color="auto" w:sz="4" w:space="0"/>
                    <w:left w:val="single" w:color="auto" w:sz="4" w:space="0"/>
                    <w:bottom w:val="single" w:color="auto" w:sz="4" w:space="0"/>
                    <w:right w:val="single" w:color="auto" w:sz="4" w:space="0"/>
                  </w:tcBorders>
                  <w:vAlign w:val="center"/>
                </w:tcPr>
                <w:p w14:paraId="7784CB00">
                  <w:pPr>
                    <w:pStyle w:val="43"/>
                    <w:wordWrap/>
                    <w:spacing w:line="240" w:lineRule="auto"/>
                    <w:ind w:firstLine="0" w:firstLineChars="0"/>
                    <w:jc w:val="center"/>
                    <w:rPr>
                      <w:color w:val="auto"/>
                      <w:sz w:val="21"/>
                      <w:szCs w:val="20"/>
                    </w:rPr>
                  </w:pPr>
                  <w:r>
                    <w:rPr>
                      <w:rFonts w:hint="eastAsia"/>
                      <w:color w:val="auto"/>
                      <w:sz w:val="21"/>
                      <w:szCs w:val="20"/>
                    </w:rPr>
                    <w:t>单层密闭负压</w:t>
                  </w:r>
                </w:p>
              </w:tc>
              <w:tc>
                <w:tcPr>
                  <w:tcW w:w="1762" w:type="pct"/>
                  <w:vMerge w:val="restart"/>
                  <w:tcBorders>
                    <w:top w:val="single" w:color="auto" w:sz="4" w:space="0"/>
                    <w:left w:val="single" w:color="auto" w:sz="4" w:space="0"/>
                    <w:bottom w:val="single" w:color="auto" w:sz="4" w:space="0"/>
                    <w:right w:val="single" w:color="auto" w:sz="4" w:space="0"/>
                  </w:tcBorders>
                  <w:vAlign w:val="center"/>
                </w:tcPr>
                <w:p w14:paraId="3C6CB670">
                  <w:pPr>
                    <w:pStyle w:val="43"/>
                    <w:wordWrap/>
                    <w:spacing w:line="240" w:lineRule="auto"/>
                    <w:ind w:firstLine="0" w:firstLineChars="0"/>
                    <w:jc w:val="center"/>
                    <w:rPr>
                      <w:color w:val="auto"/>
                      <w:sz w:val="21"/>
                      <w:szCs w:val="20"/>
                    </w:rPr>
                  </w:pPr>
                  <w:r>
                    <w:rPr>
                      <w:rFonts w:hint="eastAsia"/>
                      <w:color w:val="auto"/>
                      <w:sz w:val="21"/>
                      <w:szCs w:val="20"/>
                    </w:rPr>
                    <w:t>收集除锈槽、烘烤柜炉的作业废气</w:t>
                  </w:r>
                </w:p>
              </w:tc>
              <w:tc>
                <w:tcPr>
                  <w:tcW w:w="546" w:type="pct"/>
                  <w:tcBorders>
                    <w:top w:val="single" w:color="auto" w:sz="4" w:space="0"/>
                    <w:left w:val="single" w:color="auto" w:sz="4" w:space="0"/>
                    <w:bottom w:val="single" w:color="auto" w:sz="4" w:space="0"/>
                    <w:right w:val="single" w:color="auto" w:sz="4" w:space="0"/>
                  </w:tcBorders>
                  <w:vAlign w:val="center"/>
                </w:tcPr>
                <w:p w14:paraId="319FAED8">
                  <w:pPr>
                    <w:widowControl/>
                    <w:jc w:val="center"/>
                    <w:textAlignment w:val="center"/>
                    <w:rPr>
                      <w:color w:val="auto"/>
                      <w:szCs w:val="20"/>
                    </w:rPr>
                  </w:pPr>
                  <w:r>
                    <w:rPr>
                      <w:rFonts w:hint="eastAsia"/>
                      <w:color w:val="auto"/>
                      <w:kern w:val="0"/>
                      <w:szCs w:val="21"/>
                      <w:lang w:bidi="ar"/>
                    </w:rPr>
                    <w:t>4727</w:t>
                  </w:r>
                </w:p>
              </w:tc>
              <w:tc>
                <w:tcPr>
                  <w:tcW w:w="546" w:type="pct"/>
                  <w:tcBorders>
                    <w:top w:val="single" w:color="auto" w:sz="4" w:space="0"/>
                    <w:left w:val="single" w:color="auto" w:sz="4" w:space="0"/>
                    <w:bottom w:val="single" w:color="auto" w:sz="4" w:space="0"/>
                    <w:right w:val="single" w:color="auto" w:sz="4" w:space="0"/>
                  </w:tcBorders>
                  <w:vAlign w:val="center"/>
                </w:tcPr>
                <w:p w14:paraId="56036B3C">
                  <w:pPr>
                    <w:widowControl/>
                    <w:jc w:val="center"/>
                    <w:textAlignment w:val="center"/>
                    <w:rPr>
                      <w:color w:val="auto"/>
                      <w:szCs w:val="20"/>
                    </w:rPr>
                  </w:pPr>
                  <w:r>
                    <w:rPr>
                      <w:color w:val="auto"/>
                      <w:kern w:val="0"/>
                      <w:szCs w:val="21"/>
                      <w:lang w:bidi="ar"/>
                    </w:rPr>
                    <w:t>/</w:t>
                  </w:r>
                </w:p>
              </w:tc>
            </w:tr>
            <w:tr w14:paraId="6EDBFE65">
              <w:tblPrEx>
                <w:tblCellMar>
                  <w:top w:w="0" w:type="dxa"/>
                  <w:left w:w="108" w:type="dxa"/>
                  <w:bottom w:w="0" w:type="dxa"/>
                  <w:right w:w="108" w:type="dxa"/>
                </w:tblCellMar>
              </w:tblPrEx>
              <w:trPr>
                <w:trHeight w:val="87" w:hRule="atLeast"/>
                <w:jc w:val="center"/>
              </w:trPr>
              <w:tc>
                <w:tcPr>
                  <w:tcW w:w="622" w:type="pct"/>
                  <w:vMerge w:val="continue"/>
                  <w:tcBorders>
                    <w:left w:val="single" w:color="auto" w:sz="4" w:space="0"/>
                    <w:right w:val="single" w:color="auto" w:sz="4" w:space="0"/>
                  </w:tcBorders>
                  <w:vAlign w:val="center"/>
                </w:tcPr>
                <w:p w14:paraId="15A08663">
                  <w:pPr>
                    <w:pStyle w:val="43"/>
                    <w:wordWrap/>
                    <w:spacing w:line="240" w:lineRule="auto"/>
                    <w:ind w:firstLine="0" w:firstLineChars="0"/>
                    <w:jc w:val="center"/>
                    <w:rPr>
                      <w:color w:val="auto"/>
                    </w:rPr>
                  </w:pPr>
                </w:p>
              </w:tc>
              <w:tc>
                <w:tcPr>
                  <w:tcW w:w="609" w:type="pct"/>
                  <w:tcBorders>
                    <w:top w:val="single" w:color="auto" w:sz="4" w:space="0"/>
                    <w:left w:val="single" w:color="auto" w:sz="4" w:space="0"/>
                    <w:bottom w:val="single" w:color="auto" w:sz="4" w:space="0"/>
                    <w:right w:val="single" w:color="auto" w:sz="4" w:space="0"/>
                  </w:tcBorders>
                  <w:vAlign w:val="center"/>
                </w:tcPr>
                <w:p w14:paraId="4A5042D4">
                  <w:pPr>
                    <w:pStyle w:val="43"/>
                    <w:wordWrap/>
                    <w:spacing w:line="240" w:lineRule="auto"/>
                    <w:ind w:firstLine="0" w:firstLineChars="0"/>
                    <w:jc w:val="center"/>
                    <w:rPr>
                      <w:color w:val="auto"/>
                      <w:sz w:val="21"/>
                      <w:szCs w:val="20"/>
                    </w:rPr>
                  </w:pPr>
                  <w:r>
                    <w:rPr>
                      <w:rFonts w:hint="eastAsia"/>
                      <w:color w:val="auto"/>
                      <w:sz w:val="21"/>
                      <w:szCs w:val="20"/>
                    </w:rPr>
                    <w:t>烘烤柜炉</w:t>
                  </w:r>
                </w:p>
              </w:tc>
              <w:tc>
                <w:tcPr>
                  <w:tcW w:w="913" w:type="pct"/>
                  <w:tcBorders>
                    <w:top w:val="single" w:color="auto" w:sz="4" w:space="0"/>
                    <w:left w:val="single" w:color="auto" w:sz="4" w:space="0"/>
                    <w:bottom w:val="single" w:color="auto" w:sz="4" w:space="0"/>
                    <w:right w:val="single" w:color="auto" w:sz="4" w:space="0"/>
                  </w:tcBorders>
                  <w:vAlign w:val="center"/>
                </w:tcPr>
                <w:p w14:paraId="0420A812">
                  <w:pPr>
                    <w:pStyle w:val="43"/>
                    <w:wordWrap/>
                    <w:spacing w:line="240" w:lineRule="auto"/>
                    <w:ind w:firstLine="0" w:firstLineChars="0"/>
                    <w:jc w:val="center"/>
                    <w:rPr>
                      <w:color w:val="auto"/>
                      <w:sz w:val="21"/>
                      <w:szCs w:val="20"/>
                    </w:rPr>
                  </w:pPr>
                  <w:r>
                    <w:rPr>
                      <w:rFonts w:hint="eastAsia"/>
                      <w:color w:val="auto"/>
                      <w:sz w:val="21"/>
                      <w:szCs w:val="20"/>
                    </w:rPr>
                    <w:t>设备废气排口直连</w:t>
                  </w:r>
                </w:p>
              </w:tc>
              <w:tc>
                <w:tcPr>
                  <w:tcW w:w="1762" w:type="pct"/>
                  <w:vMerge w:val="continue"/>
                  <w:tcBorders>
                    <w:top w:val="single" w:color="auto" w:sz="4" w:space="0"/>
                    <w:left w:val="single" w:color="auto" w:sz="4" w:space="0"/>
                    <w:bottom w:val="single" w:color="auto" w:sz="4" w:space="0"/>
                    <w:right w:val="single" w:color="auto" w:sz="4" w:space="0"/>
                  </w:tcBorders>
                  <w:vAlign w:val="center"/>
                </w:tcPr>
                <w:p w14:paraId="73DC60F9">
                  <w:pPr>
                    <w:pStyle w:val="43"/>
                    <w:wordWrap/>
                    <w:spacing w:line="240" w:lineRule="auto"/>
                    <w:ind w:firstLine="0" w:firstLineChars="0"/>
                    <w:jc w:val="center"/>
                    <w:rPr>
                      <w:color w:val="auto"/>
                      <w:sz w:val="21"/>
                      <w:szCs w:val="20"/>
                    </w:rPr>
                  </w:pPr>
                </w:p>
              </w:tc>
              <w:tc>
                <w:tcPr>
                  <w:tcW w:w="546" w:type="pct"/>
                  <w:tcBorders>
                    <w:top w:val="single" w:color="auto" w:sz="4" w:space="0"/>
                    <w:left w:val="single" w:color="auto" w:sz="4" w:space="0"/>
                    <w:bottom w:val="single" w:color="auto" w:sz="4" w:space="0"/>
                    <w:right w:val="single" w:color="auto" w:sz="4" w:space="0"/>
                  </w:tcBorders>
                  <w:vAlign w:val="center"/>
                </w:tcPr>
                <w:p w14:paraId="688137A0">
                  <w:pPr>
                    <w:widowControl/>
                    <w:jc w:val="center"/>
                    <w:textAlignment w:val="center"/>
                    <w:rPr>
                      <w:color w:val="auto"/>
                      <w:szCs w:val="20"/>
                    </w:rPr>
                  </w:pPr>
                  <w:r>
                    <w:rPr>
                      <w:rFonts w:hint="eastAsia"/>
                      <w:color w:val="auto"/>
                      <w:kern w:val="0"/>
                      <w:szCs w:val="21"/>
                      <w:lang w:bidi="ar"/>
                    </w:rPr>
                    <w:t>543</w:t>
                  </w:r>
                </w:p>
              </w:tc>
              <w:tc>
                <w:tcPr>
                  <w:tcW w:w="546" w:type="pct"/>
                  <w:tcBorders>
                    <w:top w:val="single" w:color="auto" w:sz="4" w:space="0"/>
                    <w:left w:val="single" w:color="auto" w:sz="4" w:space="0"/>
                    <w:bottom w:val="single" w:color="auto" w:sz="4" w:space="0"/>
                    <w:right w:val="single" w:color="auto" w:sz="4" w:space="0"/>
                  </w:tcBorders>
                  <w:vAlign w:val="center"/>
                </w:tcPr>
                <w:p w14:paraId="403FE90A">
                  <w:pPr>
                    <w:widowControl/>
                    <w:jc w:val="center"/>
                    <w:textAlignment w:val="center"/>
                    <w:rPr>
                      <w:color w:val="auto"/>
                      <w:szCs w:val="20"/>
                    </w:rPr>
                  </w:pPr>
                  <w:r>
                    <w:rPr>
                      <w:color w:val="auto"/>
                      <w:kern w:val="0"/>
                      <w:szCs w:val="21"/>
                      <w:lang w:bidi="ar"/>
                    </w:rPr>
                    <w:t>/</w:t>
                  </w:r>
                </w:p>
              </w:tc>
            </w:tr>
            <w:tr w14:paraId="780B7451">
              <w:tblPrEx>
                <w:tblCellMar>
                  <w:top w:w="0" w:type="dxa"/>
                  <w:left w:w="108" w:type="dxa"/>
                  <w:bottom w:w="0" w:type="dxa"/>
                  <w:right w:w="108" w:type="dxa"/>
                </w:tblCellMar>
              </w:tblPrEx>
              <w:trPr>
                <w:trHeight w:val="87" w:hRule="atLeast"/>
                <w:jc w:val="center"/>
              </w:trPr>
              <w:tc>
                <w:tcPr>
                  <w:tcW w:w="622" w:type="pct"/>
                  <w:vMerge w:val="continue"/>
                  <w:tcBorders>
                    <w:left w:val="single" w:color="auto" w:sz="4" w:space="0"/>
                    <w:bottom w:val="single" w:color="auto" w:sz="4" w:space="0"/>
                    <w:right w:val="single" w:color="auto" w:sz="4" w:space="0"/>
                  </w:tcBorders>
                  <w:vAlign w:val="center"/>
                </w:tcPr>
                <w:p w14:paraId="08BB59C3">
                  <w:pPr>
                    <w:pStyle w:val="43"/>
                    <w:wordWrap/>
                    <w:spacing w:line="240" w:lineRule="auto"/>
                    <w:ind w:firstLine="0" w:firstLineChars="0"/>
                    <w:jc w:val="center"/>
                    <w:rPr>
                      <w:color w:val="auto"/>
                    </w:rPr>
                  </w:pPr>
                </w:p>
              </w:tc>
              <w:tc>
                <w:tcPr>
                  <w:tcW w:w="3284" w:type="pct"/>
                  <w:gridSpan w:val="3"/>
                  <w:tcBorders>
                    <w:top w:val="single" w:color="auto" w:sz="4" w:space="0"/>
                    <w:left w:val="single" w:color="auto" w:sz="4" w:space="0"/>
                    <w:bottom w:val="single" w:color="auto" w:sz="4" w:space="0"/>
                    <w:right w:val="single" w:color="auto" w:sz="4" w:space="0"/>
                  </w:tcBorders>
                  <w:vAlign w:val="center"/>
                </w:tcPr>
                <w:p w14:paraId="166F4511">
                  <w:pPr>
                    <w:pStyle w:val="43"/>
                    <w:wordWrap/>
                    <w:spacing w:line="240" w:lineRule="auto"/>
                    <w:ind w:firstLine="0" w:firstLineChars="0"/>
                    <w:jc w:val="center"/>
                    <w:rPr>
                      <w:color w:val="auto"/>
                      <w:sz w:val="21"/>
                      <w:szCs w:val="20"/>
                    </w:rPr>
                  </w:pPr>
                  <w:r>
                    <w:rPr>
                      <w:rFonts w:hint="eastAsia"/>
                      <w:color w:val="auto"/>
                      <w:sz w:val="21"/>
                      <w:szCs w:val="20"/>
                    </w:rPr>
                    <w:t>合计</w:t>
                  </w:r>
                </w:p>
              </w:tc>
              <w:tc>
                <w:tcPr>
                  <w:tcW w:w="546" w:type="pct"/>
                  <w:tcBorders>
                    <w:top w:val="single" w:color="auto" w:sz="4" w:space="0"/>
                    <w:left w:val="single" w:color="auto" w:sz="4" w:space="0"/>
                    <w:bottom w:val="single" w:color="auto" w:sz="4" w:space="0"/>
                    <w:right w:val="single" w:color="auto" w:sz="4" w:space="0"/>
                  </w:tcBorders>
                  <w:vAlign w:val="center"/>
                </w:tcPr>
                <w:p w14:paraId="45B94BA2">
                  <w:pPr>
                    <w:widowControl/>
                    <w:jc w:val="center"/>
                    <w:textAlignment w:val="center"/>
                    <w:rPr>
                      <w:color w:val="auto"/>
                      <w:kern w:val="0"/>
                      <w:szCs w:val="21"/>
                      <w:lang w:bidi="ar"/>
                    </w:rPr>
                  </w:pPr>
                  <w:r>
                    <w:rPr>
                      <w:rFonts w:hint="eastAsia"/>
                      <w:color w:val="auto"/>
                      <w:kern w:val="0"/>
                      <w:szCs w:val="21"/>
                      <w:lang w:bidi="ar"/>
                    </w:rPr>
                    <w:t>5270</w:t>
                  </w:r>
                </w:p>
              </w:tc>
              <w:tc>
                <w:tcPr>
                  <w:tcW w:w="546" w:type="pct"/>
                  <w:tcBorders>
                    <w:top w:val="single" w:color="auto" w:sz="4" w:space="0"/>
                    <w:left w:val="single" w:color="auto" w:sz="4" w:space="0"/>
                    <w:bottom w:val="single" w:color="auto" w:sz="4" w:space="0"/>
                    <w:right w:val="single" w:color="auto" w:sz="4" w:space="0"/>
                  </w:tcBorders>
                  <w:vAlign w:val="center"/>
                </w:tcPr>
                <w:p w14:paraId="70975101">
                  <w:pPr>
                    <w:widowControl/>
                    <w:jc w:val="center"/>
                    <w:textAlignment w:val="center"/>
                    <w:rPr>
                      <w:color w:val="auto"/>
                      <w:kern w:val="0"/>
                      <w:szCs w:val="21"/>
                      <w:lang w:bidi="ar"/>
                    </w:rPr>
                  </w:pPr>
                  <w:r>
                    <w:rPr>
                      <w:rFonts w:hint="eastAsia"/>
                      <w:color w:val="auto"/>
                      <w:kern w:val="0"/>
                      <w:szCs w:val="21"/>
                      <w:lang w:bidi="ar"/>
                    </w:rPr>
                    <w:t>7000</w:t>
                  </w:r>
                </w:p>
              </w:tc>
            </w:tr>
          </w:tbl>
          <w:p w14:paraId="6A7A496D">
            <w:pPr>
              <w:adjustRightInd w:val="0"/>
              <w:snapToGrid w:val="0"/>
              <w:spacing w:line="360" w:lineRule="auto"/>
              <w:ind w:firstLine="482" w:firstLineChars="200"/>
              <w:jc w:val="left"/>
              <w:rPr>
                <w:b/>
                <w:bCs/>
                <w:color w:val="auto"/>
                <w:sz w:val="24"/>
              </w:rPr>
            </w:pPr>
          </w:p>
          <w:p w14:paraId="705FBA21">
            <w:pPr>
              <w:adjustRightInd w:val="0"/>
              <w:snapToGrid w:val="0"/>
              <w:spacing w:line="360" w:lineRule="auto"/>
              <w:ind w:firstLine="482" w:firstLineChars="200"/>
              <w:jc w:val="left"/>
              <w:rPr>
                <w:b/>
                <w:bCs/>
                <w:color w:val="auto"/>
                <w:sz w:val="24"/>
              </w:rPr>
            </w:pPr>
            <w:r>
              <w:rPr>
                <w:rFonts w:hint="eastAsia"/>
                <w:b/>
                <w:bCs/>
                <w:color w:val="auto"/>
                <w:sz w:val="24"/>
              </w:rPr>
              <w:t>（2）静电喷粉柜</w:t>
            </w:r>
          </w:p>
          <w:p w14:paraId="23747488">
            <w:pPr>
              <w:adjustRightInd w:val="0"/>
              <w:snapToGrid w:val="0"/>
              <w:spacing w:line="360" w:lineRule="auto"/>
              <w:ind w:firstLine="480" w:firstLineChars="200"/>
              <w:jc w:val="left"/>
              <w:rPr>
                <w:color w:val="auto"/>
                <w:sz w:val="24"/>
              </w:rPr>
            </w:pPr>
            <w:r>
              <w:rPr>
                <w:color w:val="auto"/>
                <w:sz w:val="24"/>
              </w:rPr>
              <w:t>根据《涂装车间设计手册》（第二版）（王锡春主编），喷粉室内的风速和换气风量根据作业环境，粉尘爆炸浓度的下限和涂着效率等综合考虑决定。作为标注的被涂物表面风速为0.5m/s左右，一般以0.3~0.7m/s为宜。风量可通过下列计算选定：</w:t>
            </w:r>
          </w:p>
          <w:p w14:paraId="45A758A7">
            <w:pPr>
              <w:adjustRightInd w:val="0"/>
              <w:snapToGrid w:val="0"/>
              <w:spacing w:line="360" w:lineRule="auto"/>
              <w:ind w:firstLine="480" w:firstLineChars="200"/>
              <w:jc w:val="center"/>
              <w:rPr>
                <w:color w:val="auto"/>
                <w:sz w:val="24"/>
              </w:rPr>
            </w:pPr>
            <w:r>
              <w:rPr>
                <w:color w:val="auto"/>
                <w:sz w:val="24"/>
              </w:rPr>
              <w:t>Q</w:t>
            </w:r>
            <w:r>
              <w:rPr>
                <w:color w:val="auto"/>
                <w:sz w:val="24"/>
                <w:vertAlign w:val="subscript"/>
              </w:rPr>
              <w:t>1</w:t>
            </w:r>
            <w:r>
              <w:rPr>
                <w:color w:val="auto"/>
                <w:sz w:val="24"/>
              </w:rPr>
              <w:t>=A</w:t>
            </w:r>
            <w:r>
              <w:rPr>
                <w:color w:val="auto"/>
                <w:sz w:val="24"/>
                <w:vertAlign w:val="subscript"/>
              </w:rPr>
              <w:t>1</w:t>
            </w:r>
            <w:r>
              <w:rPr>
                <w:color w:val="auto"/>
                <w:sz w:val="24"/>
              </w:rPr>
              <w:t>V</w:t>
            </w:r>
            <w:r>
              <w:rPr>
                <w:color w:val="auto"/>
                <w:sz w:val="24"/>
                <w:vertAlign w:val="subscript"/>
              </w:rPr>
              <w:t>1</w:t>
            </w:r>
          </w:p>
          <w:p w14:paraId="4000D0F1">
            <w:pPr>
              <w:adjustRightInd w:val="0"/>
              <w:snapToGrid w:val="0"/>
              <w:spacing w:line="360" w:lineRule="auto"/>
              <w:ind w:firstLine="480" w:firstLineChars="200"/>
              <w:jc w:val="left"/>
              <w:rPr>
                <w:color w:val="auto"/>
                <w:sz w:val="24"/>
              </w:rPr>
            </w:pPr>
            <w:r>
              <w:rPr>
                <w:color w:val="auto"/>
                <w:sz w:val="24"/>
              </w:rPr>
              <w:t>式中：</w:t>
            </w:r>
          </w:p>
          <w:p w14:paraId="7A5C71F5">
            <w:pPr>
              <w:adjustRightInd w:val="0"/>
              <w:snapToGrid w:val="0"/>
              <w:spacing w:line="360" w:lineRule="auto"/>
              <w:ind w:firstLine="480" w:firstLineChars="200"/>
              <w:jc w:val="left"/>
              <w:rPr>
                <w:color w:val="auto"/>
                <w:sz w:val="24"/>
              </w:rPr>
            </w:pPr>
            <w:r>
              <w:rPr>
                <w:color w:val="auto"/>
                <w:sz w:val="24"/>
              </w:rPr>
              <w:t>Q</w:t>
            </w:r>
            <w:r>
              <w:rPr>
                <w:color w:val="auto"/>
                <w:sz w:val="24"/>
                <w:vertAlign w:val="subscript"/>
              </w:rPr>
              <w:t>1</w:t>
            </w:r>
            <w:r>
              <w:rPr>
                <w:color w:val="auto"/>
                <w:sz w:val="24"/>
              </w:rPr>
              <w:t>——排风量，m</w:t>
            </w:r>
            <w:r>
              <w:rPr>
                <w:color w:val="auto"/>
                <w:sz w:val="24"/>
                <w:vertAlign w:val="superscript"/>
              </w:rPr>
              <w:t>3</w:t>
            </w:r>
            <w:r>
              <w:rPr>
                <w:color w:val="auto"/>
                <w:sz w:val="24"/>
              </w:rPr>
              <w:t>/s；</w:t>
            </w:r>
          </w:p>
          <w:p w14:paraId="478CBDFD">
            <w:pPr>
              <w:adjustRightInd w:val="0"/>
              <w:snapToGrid w:val="0"/>
              <w:spacing w:line="360" w:lineRule="auto"/>
              <w:ind w:firstLine="480" w:firstLineChars="200"/>
              <w:jc w:val="left"/>
              <w:rPr>
                <w:color w:val="auto"/>
                <w:sz w:val="24"/>
              </w:rPr>
            </w:pPr>
            <w:r>
              <w:rPr>
                <w:color w:val="auto"/>
                <w:sz w:val="24"/>
              </w:rPr>
              <w:t>A</w:t>
            </w:r>
            <w:r>
              <w:rPr>
                <w:color w:val="auto"/>
                <w:sz w:val="24"/>
                <w:vertAlign w:val="subscript"/>
              </w:rPr>
              <w:t>1</w:t>
            </w:r>
            <w:r>
              <w:rPr>
                <w:color w:val="auto"/>
                <w:sz w:val="24"/>
              </w:rPr>
              <w:t>——喷粉室作业断面面积，m</w:t>
            </w:r>
            <w:r>
              <w:rPr>
                <w:color w:val="auto"/>
                <w:sz w:val="24"/>
                <w:vertAlign w:val="superscript"/>
              </w:rPr>
              <w:t>2</w:t>
            </w:r>
            <w:r>
              <w:rPr>
                <w:color w:val="auto"/>
                <w:sz w:val="24"/>
              </w:rPr>
              <w:t>，一般指（被涂物宽度+两侧各加0.2m）×（挂距长度或链速+两头各加0.2m）所占的断面面积，项目断面面积按</w:t>
            </w:r>
            <w:r>
              <w:rPr>
                <w:rFonts w:hint="eastAsia"/>
                <w:color w:val="auto"/>
                <w:sz w:val="24"/>
              </w:rPr>
              <w:t>人工喷位开口面1.5</w:t>
            </w:r>
            <w:r>
              <w:rPr>
                <w:color w:val="auto"/>
                <w:sz w:val="24"/>
              </w:rPr>
              <w:t>m×2m计，</w:t>
            </w:r>
            <w:r>
              <w:rPr>
                <w:rFonts w:hint="eastAsia"/>
                <w:color w:val="auto"/>
                <w:sz w:val="24"/>
              </w:rPr>
              <w:t>1个静电喷粉柜共设2个人工喷位，</w:t>
            </w:r>
            <w:r>
              <w:rPr>
                <w:color w:val="auto"/>
                <w:sz w:val="24"/>
              </w:rPr>
              <w:t>合计断面为</w:t>
            </w:r>
            <w:r>
              <w:rPr>
                <w:rFonts w:hint="eastAsia"/>
                <w:color w:val="auto"/>
                <w:sz w:val="24"/>
              </w:rPr>
              <w:t>6</w:t>
            </w:r>
            <w:r>
              <w:rPr>
                <w:color w:val="auto"/>
                <w:sz w:val="24"/>
              </w:rPr>
              <w:t>m</w:t>
            </w:r>
            <w:r>
              <w:rPr>
                <w:color w:val="auto"/>
                <w:sz w:val="24"/>
                <w:vertAlign w:val="superscript"/>
              </w:rPr>
              <w:t>2</w:t>
            </w:r>
            <w:r>
              <w:rPr>
                <w:color w:val="auto"/>
                <w:sz w:val="24"/>
              </w:rPr>
              <w:t>；</w:t>
            </w:r>
          </w:p>
          <w:p w14:paraId="7D6161A8">
            <w:pPr>
              <w:adjustRightInd w:val="0"/>
              <w:snapToGrid w:val="0"/>
              <w:spacing w:line="360" w:lineRule="auto"/>
              <w:ind w:firstLine="480" w:firstLineChars="200"/>
              <w:jc w:val="left"/>
              <w:rPr>
                <w:color w:val="auto"/>
                <w:sz w:val="24"/>
              </w:rPr>
            </w:pPr>
            <w:r>
              <w:rPr>
                <w:color w:val="auto"/>
                <w:sz w:val="24"/>
              </w:rPr>
              <w:t>V</w:t>
            </w:r>
            <w:r>
              <w:rPr>
                <w:color w:val="auto"/>
                <w:sz w:val="24"/>
                <w:vertAlign w:val="subscript"/>
              </w:rPr>
              <w:t>1</w:t>
            </w:r>
            <w:r>
              <w:rPr>
                <w:color w:val="auto"/>
                <w:sz w:val="24"/>
              </w:rPr>
              <w:t>——被涂物面的风速，m/s，本次按0.5m/s。</w:t>
            </w:r>
          </w:p>
          <w:p w14:paraId="1BEC6691">
            <w:pPr>
              <w:pStyle w:val="77"/>
              <w:numPr>
                <w:ilvl w:val="0"/>
                <w:numId w:val="18"/>
              </w:numPr>
              <w:adjustRightInd w:val="0"/>
              <w:snapToGrid w:val="0"/>
              <w:jc w:val="center"/>
              <w:rPr>
                <w:b/>
                <w:bCs/>
                <w:color w:val="auto"/>
                <w:szCs w:val="21"/>
              </w:rPr>
            </w:pPr>
            <w:r>
              <w:rPr>
                <w:rFonts w:hint="eastAsia"/>
                <w:b/>
                <w:bCs/>
                <w:color w:val="auto"/>
                <w:szCs w:val="21"/>
              </w:rPr>
              <w:t>项目喷粉工序收集风量一览表</w:t>
            </w:r>
          </w:p>
          <w:tbl>
            <w:tblPr>
              <w:tblStyle w:val="35"/>
              <w:tblW w:w="4998" w:type="pct"/>
              <w:jc w:val="center"/>
              <w:tblLayout w:type="autofit"/>
              <w:tblCellMar>
                <w:top w:w="0" w:type="dxa"/>
                <w:left w:w="108" w:type="dxa"/>
                <w:bottom w:w="0" w:type="dxa"/>
                <w:right w:w="108" w:type="dxa"/>
              </w:tblCellMar>
            </w:tblPr>
            <w:tblGrid>
              <w:gridCol w:w="1583"/>
              <w:gridCol w:w="1403"/>
              <w:gridCol w:w="1332"/>
              <w:gridCol w:w="1546"/>
              <w:gridCol w:w="1244"/>
              <w:gridCol w:w="1253"/>
              <w:gridCol w:w="1169"/>
              <w:gridCol w:w="1169"/>
            </w:tblGrid>
            <w:tr w14:paraId="796D2FFF">
              <w:tblPrEx>
                <w:tblCellMar>
                  <w:top w:w="0" w:type="dxa"/>
                  <w:left w:w="108" w:type="dxa"/>
                  <w:bottom w:w="0" w:type="dxa"/>
                  <w:right w:w="108" w:type="dxa"/>
                </w:tblCellMar>
              </w:tblPrEx>
              <w:trPr>
                <w:trHeight w:val="270" w:hRule="atLeast"/>
                <w:jc w:val="center"/>
              </w:trPr>
              <w:tc>
                <w:tcPr>
                  <w:tcW w:w="739" w:type="pct"/>
                  <w:tcBorders>
                    <w:top w:val="single" w:color="000000" w:sz="4" w:space="0"/>
                    <w:left w:val="single" w:color="000000" w:sz="4" w:space="0"/>
                    <w:bottom w:val="single" w:color="000000" w:sz="4" w:space="0"/>
                    <w:right w:val="single" w:color="000000" w:sz="4" w:space="0"/>
                  </w:tcBorders>
                  <w:vAlign w:val="center"/>
                </w:tcPr>
                <w:p w14:paraId="572777F4">
                  <w:pPr>
                    <w:pStyle w:val="43"/>
                    <w:wordWrap/>
                    <w:spacing w:line="240" w:lineRule="auto"/>
                    <w:ind w:firstLine="0" w:firstLineChars="0"/>
                    <w:jc w:val="center"/>
                    <w:rPr>
                      <w:b/>
                      <w:bCs/>
                      <w:color w:val="auto"/>
                      <w:sz w:val="21"/>
                      <w:szCs w:val="20"/>
                    </w:rPr>
                  </w:pPr>
                  <w:r>
                    <w:rPr>
                      <w:b/>
                      <w:bCs/>
                      <w:color w:val="auto"/>
                      <w:sz w:val="21"/>
                      <w:szCs w:val="20"/>
                    </w:rPr>
                    <w:t>排气筒编号</w:t>
                  </w:r>
                </w:p>
              </w:tc>
              <w:tc>
                <w:tcPr>
                  <w:tcW w:w="655" w:type="pct"/>
                  <w:tcBorders>
                    <w:top w:val="single" w:color="000000" w:sz="4" w:space="0"/>
                    <w:left w:val="single" w:color="000000" w:sz="4" w:space="0"/>
                    <w:bottom w:val="single" w:color="000000" w:sz="4" w:space="0"/>
                    <w:right w:val="single" w:color="000000" w:sz="4" w:space="0"/>
                  </w:tcBorders>
                  <w:vAlign w:val="center"/>
                </w:tcPr>
                <w:p w14:paraId="2031BD16">
                  <w:pPr>
                    <w:pStyle w:val="43"/>
                    <w:wordWrap/>
                    <w:spacing w:line="240" w:lineRule="auto"/>
                    <w:ind w:firstLine="0" w:firstLineChars="0"/>
                    <w:jc w:val="center"/>
                    <w:rPr>
                      <w:b/>
                      <w:bCs/>
                      <w:color w:val="auto"/>
                      <w:sz w:val="21"/>
                      <w:szCs w:val="20"/>
                    </w:rPr>
                  </w:pPr>
                  <w:r>
                    <w:rPr>
                      <w:b/>
                      <w:bCs/>
                      <w:color w:val="auto"/>
                      <w:sz w:val="21"/>
                      <w:szCs w:val="20"/>
                    </w:rPr>
                    <w:t>废气类别</w:t>
                  </w:r>
                </w:p>
              </w:tc>
              <w:tc>
                <w:tcPr>
                  <w:tcW w:w="622" w:type="pct"/>
                  <w:tcBorders>
                    <w:top w:val="single" w:color="000000" w:sz="4" w:space="0"/>
                    <w:left w:val="single" w:color="000000" w:sz="4" w:space="0"/>
                    <w:bottom w:val="single" w:color="000000" w:sz="4" w:space="0"/>
                    <w:right w:val="single" w:color="000000" w:sz="4" w:space="0"/>
                  </w:tcBorders>
                  <w:vAlign w:val="center"/>
                </w:tcPr>
                <w:p w14:paraId="2F2FA89E">
                  <w:pPr>
                    <w:pStyle w:val="43"/>
                    <w:wordWrap/>
                    <w:spacing w:line="240" w:lineRule="auto"/>
                    <w:ind w:firstLine="0" w:firstLineChars="0"/>
                    <w:jc w:val="center"/>
                    <w:rPr>
                      <w:b/>
                      <w:bCs/>
                      <w:color w:val="auto"/>
                      <w:sz w:val="21"/>
                      <w:szCs w:val="20"/>
                    </w:rPr>
                  </w:pPr>
                  <w:r>
                    <w:rPr>
                      <w:b/>
                      <w:bCs/>
                      <w:color w:val="auto"/>
                      <w:sz w:val="21"/>
                      <w:szCs w:val="20"/>
                    </w:rPr>
                    <w:t>产生环节</w:t>
                  </w:r>
                </w:p>
              </w:tc>
              <w:tc>
                <w:tcPr>
                  <w:tcW w:w="722" w:type="pct"/>
                  <w:tcBorders>
                    <w:top w:val="single" w:color="000000" w:sz="4" w:space="0"/>
                    <w:left w:val="single" w:color="000000" w:sz="4" w:space="0"/>
                    <w:bottom w:val="single" w:color="000000" w:sz="4" w:space="0"/>
                    <w:right w:val="single" w:color="000000" w:sz="4" w:space="0"/>
                  </w:tcBorders>
                  <w:vAlign w:val="center"/>
                </w:tcPr>
                <w:p w14:paraId="52649502">
                  <w:pPr>
                    <w:pStyle w:val="43"/>
                    <w:wordWrap/>
                    <w:spacing w:line="240" w:lineRule="auto"/>
                    <w:ind w:firstLine="0" w:firstLineChars="0"/>
                    <w:jc w:val="center"/>
                    <w:rPr>
                      <w:b/>
                      <w:bCs/>
                      <w:color w:val="auto"/>
                      <w:sz w:val="21"/>
                      <w:szCs w:val="20"/>
                    </w:rPr>
                  </w:pPr>
                  <w:r>
                    <w:rPr>
                      <w:rFonts w:hint="eastAsia"/>
                      <w:b/>
                      <w:bCs/>
                      <w:color w:val="auto"/>
                      <w:sz w:val="21"/>
                      <w:szCs w:val="20"/>
                    </w:rPr>
                    <w:t>喷位</w:t>
                  </w:r>
                  <w:r>
                    <w:rPr>
                      <w:b/>
                      <w:bCs/>
                      <w:color w:val="auto"/>
                      <w:sz w:val="21"/>
                      <w:szCs w:val="20"/>
                    </w:rPr>
                    <w:t>长×宽m</w:t>
                  </w:r>
                </w:p>
              </w:tc>
              <w:tc>
                <w:tcPr>
                  <w:tcW w:w="581" w:type="pct"/>
                  <w:tcBorders>
                    <w:top w:val="single" w:color="000000" w:sz="4" w:space="0"/>
                    <w:left w:val="single" w:color="000000" w:sz="4" w:space="0"/>
                    <w:bottom w:val="single" w:color="000000" w:sz="4" w:space="0"/>
                    <w:right w:val="single" w:color="000000" w:sz="4" w:space="0"/>
                  </w:tcBorders>
                  <w:vAlign w:val="center"/>
                </w:tcPr>
                <w:p w14:paraId="77B53EDF">
                  <w:pPr>
                    <w:pStyle w:val="43"/>
                    <w:wordWrap/>
                    <w:spacing w:line="240" w:lineRule="auto"/>
                    <w:ind w:firstLine="0" w:firstLineChars="0"/>
                    <w:jc w:val="center"/>
                    <w:rPr>
                      <w:b/>
                      <w:bCs/>
                      <w:color w:val="auto"/>
                      <w:sz w:val="21"/>
                      <w:szCs w:val="20"/>
                    </w:rPr>
                  </w:pPr>
                  <w:r>
                    <w:rPr>
                      <w:rFonts w:hint="eastAsia"/>
                      <w:b/>
                      <w:bCs/>
                      <w:color w:val="auto"/>
                      <w:sz w:val="21"/>
                      <w:szCs w:val="20"/>
                    </w:rPr>
                    <w:t>喷位</w:t>
                  </w:r>
                  <w:r>
                    <w:rPr>
                      <w:b/>
                      <w:bCs/>
                      <w:color w:val="auto"/>
                      <w:sz w:val="21"/>
                      <w:szCs w:val="20"/>
                    </w:rPr>
                    <w:t>个数</w:t>
                  </w:r>
                </w:p>
              </w:tc>
              <w:tc>
                <w:tcPr>
                  <w:tcW w:w="585" w:type="pct"/>
                  <w:tcBorders>
                    <w:top w:val="single" w:color="000000" w:sz="4" w:space="0"/>
                    <w:left w:val="single" w:color="000000" w:sz="4" w:space="0"/>
                    <w:bottom w:val="single" w:color="000000" w:sz="4" w:space="0"/>
                    <w:right w:val="single" w:color="000000" w:sz="4" w:space="0"/>
                  </w:tcBorders>
                  <w:vAlign w:val="center"/>
                </w:tcPr>
                <w:p w14:paraId="7F39E659">
                  <w:pPr>
                    <w:pStyle w:val="43"/>
                    <w:wordWrap/>
                    <w:spacing w:line="240" w:lineRule="auto"/>
                    <w:ind w:firstLine="0" w:firstLineChars="0"/>
                    <w:jc w:val="center"/>
                    <w:rPr>
                      <w:b/>
                      <w:bCs/>
                      <w:color w:val="auto"/>
                      <w:sz w:val="21"/>
                      <w:szCs w:val="20"/>
                    </w:rPr>
                  </w:pPr>
                  <w:r>
                    <w:rPr>
                      <w:b/>
                      <w:bCs/>
                      <w:color w:val="auto"/>
                      <w:sz w:val="21"/>
                      <w:szCs w:val="20"/>
                    </w:rPr>
                    <w:t>风速</w:t>
                  </w:r>
                  <w:r>
                    <w:rPr>
                      <w:rFonts w:hint="eastAsia"/>
                      <w:b/>
                      <w:bCs/>
                      <w:color w:val="auto"/>
                      <w:sz w:val="21"/>
                      <w:szCs w:val="20"/>
                    </w:rPr>
                    <w:t>V1</w:t>
                  </w:r>
                  <w:r>
                    <w:rPr>
                      <w:b/>
                      <w:bCs/>
                      <w:color w:val="auto"/>
                      <w:sz w:val="21"/>
                      <w:szCs w:val="20"/>
                    </w:rPr>
                    <w:t>m/s</w:t>
                  </w:r>
                </w:p>
              </w:tc>
              <w:tc>
                <w:tcPr>
                  <w:tcW w:w="546" w:type="pct"/>
                  <w:tcBorders>
                    <w:top w:val="single" w:color="000000" w:sz="4" w:space="0"/>
                    <w:left w:val="single" w:color="000000" w:sz="4" w:space="0"/>
                    <w:bottom w:val="single" w:color="000000" w:sz="4" w:space="0"/>
                    <w:right w:val="single" w:color="000000" w:sz="4" w:space="0"/>
                  </w:tcBorders>
                  <w:vAlign w:val="center"/>
                </w:tcPr>
                <w:p w14:paraId="6B46CF8D">
                  <w:pPr>
                    <w:pStyle w:val="43"/>
                    <w:wordWrap/>
                    <w:spacing w:line="240" w:lineRule="auto"/>
                    <w:ind w:firstLine="0" w:firstLineChars="0"/>
                    <w:jc w:val="center"/>
                    <w:rPr>
                      <w:b/>
                      <w:bCs/>
                      <w:color w:val="auto"/>
                      <w:sz w:val="21"/>
                      <w:szCs w:val="20"/>
                    </w:rPr>
                  </w:pPr>
                  <w:r>
                    <w:rPr>
                      <w:rFonts w:hint="eastAsia"/>
                      <w:b/>
                      <w:bCs/>
                      <w:color w:val="auto"/>
                      <w:sz w:val="21"/>
                      <w:szCs w:val="20"/>
                    </w:rPr>
                    <w:t>理论</w:t>
                  </w:r>
                  <w:r>
                    <w:rPr>
                      <w:b/>
                      <w:bCs/>
                      <w:color w:val="auto"/>
                      <w:sz w:val="21"/>
                      <w:szCs w:val="20"/>
                    </w:rPr>
                    <w:t>风量m</w:t>
                  </w:r>
                  <w:r>
                    <w:rPr>
                      <w:b/>
                      <w:bCs/>
                      <w:color w:val="auto"/>
                      <w:sz w:val="21"/>
                      <w:szCs w:val="20"/>
                      <w:vertAlign w:val="superscript"/>
                    </w:rPr>
                    <w:t>3</w:t>
                  </w:r>
                  <w:r>
                    <w:rPr>
                      <w:b/>
                      <w:bCs/>
                      <w:color w:val="auto"/>
                      <w:sz w:val="21"/>
                      <w:szCs w:val="20"/>
                    </w:rPr>
                    <w:t>/h</w:t>
                  </w:r>
                </w:p>
              </w:tc>
              <w:tc>
                <w:tcPr>
                  <w:tcW w:w="546" w:type="pct"/>
                  <w:tcBorders>
                    <w:top w:val="single" w:color="000000" w:sz="4" w:space="0"/>
                    <w:left w:val="single" w:color="000000" w:sz="4" w:space="0"/>
                    <w:bottom w:val="single" w:color="000000" w:sz="4" w:space="0"/>
                    <w:right w:val="single" w:color="000000" w:sz="4" w:space="0"/>
                  </w:tcBorders>
                  <w:vAlign w:val="center"/>
                </w:tcPr>
                <w:p w14:paraId="169551BB">
                  <w:pPr>
                    <w:pStyle w:val="43"/>
                    <w:wordWrap/>
                    <w:spacing w:line="240" w:lineRule="auto"/>
                    <w:ind w:firstLine="0" w:firstLineChars="0"/>
                    <w:jc w:val="center"/>
                    <w:rPr>
                      <w:b/>
                      <w:bCs/>
                      <w:color w:val="auto"/>
                      <w:sz w:val="21"/>
                      <w:szCs w:val="20"/>
                    </w:rPr>
                  </w:pPr>
                  <w:r>
                    <w:rPr>
                      <w:rFonts w:hint="eastAsia"/>
                      <w:b/>
                      <w:bCs/>
                      <w:color w:val="auto"/>
                      <w:sz w:val="21"/>
                      <w:szCs w:val="20"/>
                    </w:rPr>
                    <w:t>设计</w:t>
                  </w:r>
                  <w:r>
                    <w:rPr>
                      <w:b/>
                      <w:bCs/>
                      <w:color w:val="auto"/>
                      <w:sz w:val="21"/>
                      <w:szCs w:val="20"/>
                    </w:rPr>
                    <w:t>风量m</w:t>
                  </w:r>
                  <w:r>
                    <w:rPr>
                      <w:b/>
                      <w:bCs/>
                      <w:color w:val="auto"/>
                      <w:sz w:val="21"/>
                      <w:szCs w:val="20"/>
                      <w:vertAlign w:val="superscript"/>
                    </w:rPr>
                    <w:t>3</w:t>
                  </w:r>
                  <w:r>
                    <w:rPr>
                      <w:b/>
                      <w:bCs/>
                      <w:color w:val="auto"/>
                      <w:sz w:val="21"/>
                      <w:szCs w:val="20"/>
                    </w:rPr>
                    <w:t>/h</w:t>
                  </w:r>
                </w:p>
              </w:tc>
            </w:tr>
            <w:tr w14:paraId="1C98A4AC">
              <w:tblPrEx>
                <w:tblCellMar>
                  <w:top w:w="0" w:type="dxa"/>
                  <w:left w:w="108" w:type="dxa"/>
                  <w:bottom w:w="0" w:type="dxa"/>
                  <w:right w:w="108" w:type="dxa"/>
                </w:tblCellMar>
              </w:tblPrEx>
              <w:trPr>
                <w:trHeight w:val="270" w:hRule="atLeast"/>
                <w:jc w:val="center"/>
              </w:trPr>
              <w:tc>
                <w:tcPr>
                  <w:tcW w:w="739" w:type="pct"/>
                  <w:tcBorders>
                    <w:top w:val="single" w:color="000000" w:sz="4" w:space="0"/>
                    <w:left w:val="single" w:color="000000" w:sz="4" w:space="0"/>
                    <w:bottom w:val="single" w:color="000000" w:sz="4" w:space="0"/>
                    <w:right w:val="single" w:color="000000" w:sz="4" w:space="0"/>
                  </w:tcBorders>
                  <w:vAlign w:val="center"/>
                </w:tcPr>
                <w:p w14:paraId="6CD74B43">
                  <w:pPr>
                    <w:pStyle w:val="43"/>
                    <w:wordWrap/>
                    <w:spacing w:line="240" w:lineRule="auto"/>
                    <w:ind w:firstLine="0" w:firstLineChars="0"/>
                    <w:jc w:val="center"/>
                    <w:rPr>
                      <w:color w:val="auto"/>
                      <w:sz w:val="21"/>
                      <w:szCs w:val="20"/>
                    </w:rPr>
                  </w:pPr>
                  <w:r>
                    <w:rPr>
                      <w:color w:val="auto"/>
                      <w:sz w:val="21"/>
                      <w:szCs w:val="20"/>
                    </w:rPr>
                    <w:t>DA00</w:t>
                  </w:r>
                  <w:r>
                    <w:rPr>
                      <w:rFonts w:hint="eastAsia"/>
                      <w:color w:val="auto"/>
                      <w:sz w:val="21"/>
                      <w:szCs w:val="20"/>
                    </w:rPr>
                    <w:t>1</w:t>
                  </w:r>
                </w:p>
              </w:tc>
              <w:tc>
                <w:tcPr>
                  <w:tcW w:w="655" w:type="pct"/>
                  <w:tcBorders>
                    <w:top w:val="single" w:color="000000" w:sz="4" w:space="0"/>
                    <w:left w:val="single" w:color="000000" w:sz="4" w:space="0"/>
                    <w:bottom w:val="single" w:color="000000" w:sz="4" w:space="0"/>
                    <w:right w:val="single" w:color="000000" w:sz="4" w:space="0"/>
                  </w:tcBorders>
                  <w:vAlign w:val="center"/>
                </w:tcPr>
                <w:p w14:paraId="1A6F2C79">
                  <w:pPr>
                    <w:pStyle w:val="43"/>
                    <w:wordWrap/>
                    <w:spacing w:line="240" w:lineRule="auto"/>
                    <w:ind w:firstLine="0" w:firstLineChars="0"/>
                    <w:jc w:val="center"/>
                    <w:rPr>
                      <w:color w:val="auto"/>
                      <w:sz w:val="21"/>
                      <w:szCs w:val="20"/>
                    </w:rPr>
                  </w:pPr>
                  <w:r>
                    <w:rPr>
                      <w:rFonts w:hint="eastAsia"/>
                      <w:color w:val="auto"/>
                      <w:sz w:val="21"/>
                      <w:szCs w:val="20"/>
                    </w:rPr>
                    <w:t>颗粒物</w:t>
                  </w:r>
                </w:p>
              </w:tc>
              <w:tc>
                <w:tcPr>
                  <w:tcW w:w="622" w:type="pct"/>
                  <w:tcBorders>
                    <w:top w:val="single" w:color="000000" w:sz="4" w:space="0"/>
                    <w:left w:val="single" w:color="000000" w:sz="4" w:space="0"/>
                    <w:bottom w:val="single" w:color="000000" w:sz="4" w:space="0"/>
                    <w:right w:val="single" w:color="000000" w:sz="4" w:space="0"/>
                  </w:tcBorders>
                  <w:vAlign w:val="center"/>
                </w:tcPr>
                <w:p w14:paraId="3609DD6C">
                  <w:pPr>
                    <w:pStyle w:val="43"/>
                    <w:wordWrap/>
                    <w:spacing w:line="240" w:lineRule="auto"/>
                    <w:ind w:firstLine="0" w:firstLineChars="0"/>
                    <w:jc w:val="center"/>
                    <w:rPr>
                      <w:color w:val="auto"/>
                      <w:sz w:val="21"/>
                      <w:szCs w:val="20"/>
                    </w:rPr>
                  </w:pPr>
                  <w:r>
                    <w:rPr>
                      <w:rFonts w:hint="eastAsia"/>
                      <w:color w:val="auto"/>
                      <w:sz w:val="21"/>
                      <w:szCs w:val="20"/>
                    </w:rPr>
                    <w:t>喷粉</w:t>
                  </w:r>
                </w:p>
              </w:tc>
              <w:tc>
                <w:tcPr>
                  <w:tcW w:w="722" w:type="pct"/>
                  <w:tcBorders>
                    <w:top w:val="single" w:color="000000" w:sz="4" w:space="0"/>
                    <w:left w:val="single" w:color="000000" w:sz="4" w:space="0"/>
                    <w:bottom w:val="single" w:color="000000" w:sz="4" w:space="0"/>
                    <w:right w:val="single" w:color="000000" w:sz="4" w:space="0"/>
                  </w:tcBorders>
                  <w:vAlign w:val="center"/>
                </w:tcPr>
                <w:p w14:paraId="33804C4E">
                  <w:pPr>
                    <w:pStyle w:val="43"/>
                    <w:wordWrap/>
                    <w:spacing w:line="240" w:lineRule="auto"/>
                    <w:ind w:firstLine="0" w:firstLineChars="0"/>
                    <w:jc w:val="center"/>
                    <w:rPr>
                      <w:color w:val="auto"/>
                      <w:sz w:val="21"/>
                      <w:szCs w:val="20"/>
                    </w:rPr>
                  </w:pPr>
                  <w:r>
                    <w:rPr>
                      <w:rFonts w:hint="eastAsia"/>
                      <w:color w:val="auto"/>
                      <w:sz w:val="21"/>
                      <w:szCs w:val="20"/>
                    </w:rPr>
                    <w:t>1.5</w:t>
                  </w:r>
                  <w:r>
                    <w:rPr>
                      <w:color w:val="auto"/>
                      <w:sz w:val="21"/>
                      <w:szCs w:val="20"/>
                    </w:rPr>
                    <w:t>×</w:t>
                  </w:r>
                  <w:r>
                    <w:rPr>
                      <w:rFonts w:hint="eastAsia"/>
                      <w:color w:val="auto"/>
                      <w:sz w:val="21"/>
                      <w:szCs w:val="20"/>
                    </w:rPr>
                    <w:t>2</w:t>
                  </w:r>
                </w:p>
              </w:tc>
              <w:tc>
                <w:tcPr>
                  <w:tcW w:w="581" w:type="pct"/>
                  <w:tcBorders>
                    <w:top w:val="single" w:color="000000" w:sz="4" w:space="0"/>
                    <w:left w:val="single" w:color="000000" w:sz="4" w:space="0"/>
                    <w:bottom w:val="single" w:color="000000" w:sz="4" w:space="0"/>
                    <w:right w:val="single" w:color="000000" w:sz="4" w:space="0"/>
                  </w:tcBorders>
                  <w:vAlign w:val="center"/>
                </w:tcPr>
                <w:p w14:paraId="5BFC1E88">
                  <w:pPr>
                    <w:pStyle w:val="43"/>
                    <w:wordWrap/>
                    <w:spacing w:line="240" w:lineRule="auto"/>
                    <w:ind w:firstLine="0" w:firstLineChars="0"/>
                    <w:jc w:val="center"/>
                    <w:rPr>
                      <w:color w:val="auto"/>
                      <w:sz w:val="21"/>
                      <w:szCs w:val="20"/>
                    </w:rPr>
                  </w:pPr>
                  <w:r>
                    <w:rPr>
                      <w:rFonts w:hint="eastAsia"/>
                      <w:color w:val="auto"/>
                      <w:sz w:val="21"/>
                      <w:szCs w:val="20"/>
                    </w:rPr>
                    <w:t>2</w:t>
                  </w:r>
                </w:p>
              </w:tc>
              <w:tc>
                <w:tcPr>
                  <w:tcW w:w="585" w:type="pct"/>
                  <w:tcBorders>
                    <w:top w:val="single" w:color="000000" w:sz="4" w:space="0"/>
                    <w:left w:val="single" w:color="000000" w:sz="4" w:space="0"/>
                    <w:bottom w:val="single" w:color="000000" w:sz="4" w:space="0"/>
                    <w:right w:val="single" w:color="000000" w:sz="4" w:space="0"/>
                  </w:tcBorders>
                  <w:vAlign w:val="center"/>
                </w:tcPr>
                <w:p w14:paraId="722C2B35">
                  <w:pPr>
                    <w:pStyle w:val="43"/>
                    <w:wordWrap/>
                    <w:spacing w:line="240" w:lineRule="auto"/>
                    <w:ind w:firstLine="0" w:firstLineChars="0"/>
                    <w:jc w:val="center"/>
                    <w:rPr>
                      <w:color w:val="auto"/>
                      <w:sz w:val="21"/>
                      <w:szCs w:val="20"/>
                    </w:rPr>
                  </w:pPr>
                  <w:r>
                    <w:rPr>
                      <w:rFonts w:hint="eastAsia"/>
                      <w:color w:val="auto"/>
                      <w:sz w:val="21"/>
                      <w:szCs w:val="20"/>
                    </w:rPr>
                    <w:t>0.5</w:t>
                  </w:r>
                </w:p>
              </w:tc>
              <w:tc>
                <w:tcPr>
                  <w:tcW w:w="546" w:type="pct"/>
                  <w:tcBorders>
                    <w:top w:val="single" w:color="000000" w:sz="4" w:space="0"/>
                    <w:left w:val="single" w:color="000000" w:sz="4" w:space="0"/>
                    <w:bottom w:val="single" w:color="000000" w:sz="4" w:space="0"/>
                    <w:right w:val="single" w:color="000000" w:sz="4" w:space="0"/>
                  </w:tcBorders>
                  <w:vAlign w:val="center"/>
                </w:tcPr>
                <w:p w14:paraId="23828E5C">
                  <w:pPr>
                    <w:pStyle w:val="43"/>
                    <w:wordWrap/>
                    <w:spacing w:line="240" w:lineRule="auto"/>
                    <w:ind w:firstLine="0" w:firstLineChars="0"/>
                    <w:jc w:val="center"/>
                    <w:rPr>
                      <w:color w:val="auto"/>
                      <w:sz w:val="21"/>
                      <w:szCs w:val="20"/>
                    </w:rPr>
                  </w:pPr>
                  <w:r>
                    <w:rPr>
                      <w:rFonts w:hint="eastAsia"/>
                      <w:color w:val="auto"/>
                      <w:sz w:val="21"/>
                      <w:szCs w:val="20"/>
                    </w:rPr>
                    <w:t>10800</w:t>
                  </w:r>
                </w:p>
              </w:tc>
              <w:tc>
                <w:tcPr>
                  <w:tcW w:w="546" w:type="pct"/>
                  <w:tcBorders>
                    <w:top w:val="single" w:color="000000" w:sz="4" w:space="0"/>
                    <w:left w:val="single" w:color="000000" w:sz="4" w:space="0"/>
                    <w:bottom w:val="single" w:color="000000" w:sz="4" w:space="0"/>
                    <w:right w:val="single" w:color="000000" w:sz="4" w:space="0"/>
                  </w:tcBorders>
                  <w:vAlign w:val="center"/>
                </w:tcPr>
                <w:p w14:paraId="629C2DDF">
                  <w:pPr>
                    <w:pStyle w:val="43"/>
                    <w:wordWrap/>
                    <w:spacing w:line="240" w:lineRule="auto"/>
                    <w:ind w:firstLine="0" w:firstLineChars="0"/>
                    <w:jc w:val="center"/>
                    <w:rPr>
                      <w:color w:val="auto"/>
                      <w:sz w:val="21"/>
                      <w:szCs w:val="20"/>
                    </w:rPr>
                  </w:pPr>
                  <w:r>
                    <w:rPr>
                      <w:rFonts w:hint="eastAsia"/>
                      <w:color w:val="auto"/>
                      <w:sz w:val="21"/>
                      <w:szCs w:val="20"/>
                    </w:rPr>
                    <w:t>13000</w:t>
                  </w:r>
                </w:p>
              </w:tc>
            </w:tr>
            <w:tr w14:paraId="375F6741">
              <w:tblPrEx>
                <w:tblCellMar>
                  <w:top w:w="0" w:type="dxa"/>
                  <w:left w:w="108" w:type="dxa"/>
                  <w:bottom w:w="0" w:type="dxa"/>
                  <w:right w:w="108" w:type="dxa"/>
                </w:tblCellMar>
              </w:tblPrEx>
              <w:trPr>
                <w:trHeight w:val="270" w:hRule="atLeast"/>
                <w:jc w:val="center"/>
              </w:trPr>
              <w:tc>
                <w:tcPr>
                  <w:tcW w:w="739" w:type="pct"/>
                  <w:tcBorders>
                    <w:top w:val="single" w:color="000000" w:sz="4" w:space="0"/>
                    <w:left w:val="single" w:color="000000" w:sz="4" w:space="0"/>
                    <w:bottom w:val="single" w:color="000000" w:sz="4" w:space="0"/>
                    <w:right w:val="single" w:color="000000" w:sz="4" w:space="0"/>
                  </w:tcBorders>
                  <w:vAlign w:val="center"/>
                </w:tcPr>
                <w:p w14:paraId="26F21A1A">
                  <w:pPr>
                    <w:pStyle w:val="43"/>
                    <w:wordWrap/>
                    <w:spacing w:line="240" w:lineRule="auto"/>
                    <w:ind w:firstLine="0" w:firstLineChars="0"/>
                    <w:jc w:val="center"/>
                    <w:rPr>
                      <w:color w:val="auto"/>
                      <w:sz w:val="21"/>
                      <w:szCs w:val="20"/>
                    </w:rPr>
                  </w:pPr>
                  <w:r>
                    <w:rPr>
                      <w:rFonts w:hint="eastAsia"/>
                      <w:color w:val="auto"/>
                      <w:sz w:val="21"/>
                      <w:szCs w:val="20"/>
                    </w:rPr>
                    <w:t>DA002</w:t>
                  </w:r>
                </w:p>
              </w:tc>
              <w:tc>
                <w:tcPr>
                  <w:tcW w:w="655" w:type="pct"/>
                  <w:tcBorders>
                    <w:top w:val="single" w:color="000000" w:sz="4" w:space="0"/>
                    <w:left w:val="single" w:color="000000" w:sz="4" w:space="0"/>
                    <w:bottom w:val="single" w:color="000000" w:sz="4" w:space="0"/>
                    <w:right w:val="single" w:color="000000" w:sz="4" w:space="0"/>
                  </w:tcBorders>
                  <w:vAlign w:val="center"/>
                </w:tcPr>
                <w:p w14:paraId="30E01317">
                  <w:pPr>
                    <w:pStyle w:val="43"/>
                    <w:wordWrap/>
                    <w:spacing w:line="240" w:lineRule="auto"/>
                    <w:ind w:firstLine="0" w:firstLineChars="0"/>
                    <w:jc w:val="center"/>
                    <w:rPr>
                      <w:color w:val="auto"/>
                      <w:sz w:val="21"/>
                      <w:szCs w:val="20"/>
                    </w:rPr>
                  </w:pPr>
                  <w:r>
                    <w:rPr>
                      <w:rFonts w:hint="eastAsia"/>
                      <w:color w:val="auto"/>
                      <w:sz w:val="21"/>
                      <w:szCs w:val="20"/>
                    </w:rPr>
                    <w:t>颗粒物</w:t>
                  </w:r>
                </w:p>
              </w:tc>
              <w:tc>
                <w:tcPr>
                  <w:tcW w:w="622" w:type="pct"/>
                  <w:tcBorders>
                    <w:top w:val="single" w:color="000000" w:sz="4" w:space="0"/>
                    <w:left w:val="single" w:color="000000" w:sz="4" w:space="0"/>
                    <w:bottom w:val="single" w:color="000000" w:sz="4" w:space="0"/>
                    <w:right w:val="single" w:color="000000" w:sz="4" w:space="0"/>
                  </w:tcBorders>
                  <w:vAlign w:val="center"/>
                </w:tcPr>
                <w:p w14:paraId="1F492350">
                  <w:pPr>
                    <w:pStyle w:val="43"/>
                    <w:wordWrap/>
                    <w:spacing w:line="240" w:lineRule="auto"/>
                    <w:ind w:firstLine="0" w:firstLineChars="0"/>
                    <w:jc w:val="center"/>
                    <w:rPr>
                      <w:color w:val="auto"/>
                      <w:sz w:val="21"/>
                      <w:szCs w:val="20"/>
                    </w:rPr>
                  </w:pPr>
                  <w:r>
                    <w:rPr>
                      <w:rFonts w:hint="eastAsia"/>
                      <w:color w:val="auto"/>
                      <w:sz w:val="21"/>
                      <w:szCs w:val="20"/>
                    </w:rPr>
                    <w:t>喷粉</w:t>
                  </w:r>
                </w:p>
              </w:tc>
              <w:tc>
                <w:tcPr>
                  <w:tcW w:w="1542" w:type="dxa"/>
                  <w:tcBorders>
                    <w:top w:val="single" w:color="000000" w:sz="4" w:space="0"/>
                    <w:left w:val="single" w:color="000000" w:sz="4" w:space="0"/>
                    <w:bottom w:val="single" w:color="000000" w:sz="4" w:space="0"/>
                    <w:right w:val="single" w:color="000000" w:sz="4" w:space="0"/>
                  </w:tcBorders>
                  <w:vAlign w:val="center"/>
                </w:tcPr>
                <w:p w14:paraId="53DC7241">
                  <w:pPr>
                    <w:pStyle w:val="43"/>
                    <w:wordWrap/>
                    <w:spacing w:line="240" w:lineRule="auto"/>
                    <w:ind w:firstLine="0" w:firstLineChars="0"/>
                    <w:jc w:val="center"/>
                    <w:rPr>
                      <w:color w:val="auto"/>
                      <w:sz w:val="21"/>
                      <w:szCs w:val="20"/>
                    </w:rPr>
                  </w:pPr>
                  <w:r>
                    <w:rPr>
                      <w:rFonts w:hint="eastAsia"/>
                      <w:color w:val="auto"/>
                      <w:sz w:val="21"/>
                      <w:szCs w:val="20"/>
                    </w:rPr>
                    <w:t>1.5</w:t>
                  </w:r>
                  <w:r>
                    <w:rPr>
                      <w:color w:val="auto"/>
                      <w:sz w:val="21"/>
                      <w:szCs w:val="20"/>
                    </w:rPr>
                    <w:t>×</w:t>
                  </w:r>
                  <w:r>
                    <w:rPr>
                      <w:rFonts w:hint="eastAsia"/>
                      <w:color w:val="auto"/>
                      <w:sz w:val="21"/>
                      <w:szCs w:val="20"/>
                    </w:rPr>
                    <w:t>2</w:t>
                  </w:r>
                </w:p>
              </w:tc>
              <w:tc>
                <w:tcPr>
                  <w:tcW w:w="1241" w:type="dxa"/>
                  <w:tcBorders>
                    <w:top w:val="single" w:color="000000" w:sz="4" w:space="0"/>
                    <w:left w:val="single" w:color="000000" w:sz="4" w:space="0"/>
                    <w:bottom w:val="single" w:color="000000" w:sz="4" w:space="0"/>
                    <w:right w:val="single" w:color="000000" w:sz="4" w:space="0"/>
                  </w:tcBorders>
                  <w:vAlign w:val="center"/>
                </w:tcPr>
                <w:p w14:paraId="4B17F850">
                  <w:pPr>
                    <w:pStyle w:val="43"/>
                    <w:wordWrap/>
                    <w:spacing w:line="240" w:lineRule="auto"/>
                    <w:ind w:firstLine="0" w:firstLineChars="0"/>
                    <w:jc w:val="center"/>
                    <w:rPr>
                      <w:color w:val="auto"/>
                      <w:sz w:val="21"/>
                      <w:szCs w:val="20"/>
                    </w:rPr>
                  </w:pPr>
                  <w:r>
                    <w:rPr>
                      <w:rFonts w:hint="eastAsia"/>
                      <w:color w:val="auto"/>
                      <w:sz w:val="21"/>
                      <w:szCs w:val="20"/>
                    </w:rPr>
                    <w:t>2</w:t>
                  </w:r>
                </w:p>
              </w:tc>
              <w:tc>
                <w:tcPr>
                  <w:tcW w:w="585" w:type="pct"/>
                  <w:tcBorders>
                    <w:top w:val="single" w:color="000000" w:sz="4" w:space="0"/>
                    <w:left w:val="single" w:color="000000" w:sz="4" w:space="0"/>
                    <w:bottom w:val="single" w:color="000000" w:sz="4" w:space="0"/>
                    <w:right w:val="single" w:color="000000" w:sz="4" w:space="0"/>
                  </w:tcBorders>
                  <w:vAlign w:val="center"/>
                </w:tcPr>
                <w:p w14:paraId="719DE096">
                  <w:pPr>
                    <w:pStyle w:val="43"/>
                    <w:wordWrap/>
                    <w:spacing w:line="240" w:lineRule="auto"/>
                    <w:ind w:firstLine="0" w:firstLineChars="0"/>
                    <w:jc w:val="center"/>
                    <w:rPr>
                      <w:color w:val="auto"/>
                      <w:sz w:val="21"/>
                      <w:szCs w:val="20"/>
                    </w:rPr>
                  </w:pPr>
                  <w:r>
                    <w:rPr>
                      <w:rFonts w:hint="eastAsia"/>
                      <w:color w:val="auto"/>
                      <w:sz w:val="21"/>
                      <w:szCs w:val="20"/>
                    </w:rPr>
                    <w:t>0.5</w:t>
                  </w:r>
                </w:p>
              </w:tc>
              <w:tc>
                <w:tcPr>
                  <w:tcW w:w="1166" w:type="dxa"/>
                  <w:tcBorders>
                    <w:top w:val="single" w:color="000000" w:sz="4" w:space="0"/>
                    <w:left w:val="single" w:color="000000" w:sz="4" w:space="0"/>
                    <w:bottom w:val="single" w:color="000000" w:sz="4" w:space="0"/>
                    <w:right w:val="single" w:color="000000" w:sz="4" w:space="0"/>
                  </w:tcBorders>
                  <w:vAlign w:val="center"/>
                </w:tcPr>
                <w:p w14:paraId="50BDDE4A">
                  <w:pPr>
                    <w:pStyle w:val="43"/>
                    <w:wordWrap/>
                    <w:spacing w:line="240" w:lineRule="auto"/>
                    <w:ind w:firstLine="0" w:firstLineChars="0"/>
                    <w:jc w:val="center"/>
                    <w:rPr>
                      <w:color w:val="auto"/>
                      <w:sz w:val="21"/>
                      <w:szCs w:val="20"/>
                    </w:rPr>
                  </w:pPr>
                  <w:r>
                    <w:rPr>
                      <w:rFonts w:hint="eastAsia"/>
                      <w:color w:val="auto"/>
                      <w:sz w:val="21"/>
                      <w:szCs w:val="20"/>
                    </w:rPr>
                    <w:t>10800</w:t>
                  </w:r>
                </w:p>
              </w:tc>
              <w:tc>
                <w:tcPr>
                  <w:tcW w:w="1166" w:type="dxa"/>
                  <w:tcBorders>
                    <w:top w:val="single" w:color="000000" w:sz="4" w:space="0"/>
                    <w:left w:val="single" w:color="000000" w:sz="4" w:space="0"/>
                    <w:bottom w:val="single" w:color="000000" w:sz="4" w:space="0"/>
                    <w:right w:val="single" w:color="000000" w:sz="4" w:space="0"/>
                  </w:tcBorders>
                  <w:vAlign w:val="center"/>
                </w:tcPr>
                <w:p w14:paraId="1F05AA35">
                  <w:pPr>
                    <w:pStyle w:val="43"/>
                    <w:wordWrap/>
                    <w:spacing w:line="240" w:lineRule="auto"/>
                    <w:ind w:firstLine="0" w:firstLineChars="0"/>
                    <w:jc w:val="center"/>
                    <w:rPr>
                      <w:color w:val="auto"/>
                      <w:sz w:val="21"/>
                      <w:szCs w:val="20"/>
                    </w:rPr>
                  </w:pPr>
                  <w:r>
                    <w:rPr>
                      <w:rFonts w:hint="eastAsia"/>
                      <w:color w:val="auto"/>
                      <w:sz w:val="21"/>
                      <w:szCs w:val="20"/>
                    </w:rPr>
                    <w:t>13000</w:t>
                  </w:r>
                </w:p>
              </w:tc>
            </w:tr>
          </w:tbl>
          <w:p w14:paraId="620904B3">
            <w:pPr>
              <w:adjustRightInd w:val="0"/>
              <w:snapToGrid w:val="0"/>
              <w:spacing w:line="360" w:lineRule="auto"/>
              <w:ind w:firstLine="482" w:firstLineChars="200"/>
              <w:jc w:val="left"/>
              <w:rPr>
                <w:b/>
                <w:bCs/>
                <w:color w:val="auto"/>
                <w:sz w:val="24"/>
              </w:rPr>
            </w:pPr>
            <w:r>
              <w:rPr>
                <w:rFonts w:hint="eastAsia"/>
                <w:b/>
                <w:bCs/>
                <w:color w:val="auto"/>
                <w:sz w:val="24"/>
              </w:rPr>
              <w:t>（3）喷漆房、尾数房、固化隧道炉、烘烤隧道炉、烘烤柜炉</w:t>
            </w:r>
          </w:p>
          <w:p w14:paraId="0F0629F0">
            <w:pPr>
              <w:adjustRightInd w:val="0"/>
              <w:snapToGrid w:val="0"/>
              <w:spacing w:line="360" w:lineRule="auto"/>
              <w:ind w:firstLine="482" w:firstLineChars="200"/>
              <w:jc w:val="left"/>
              <w:rPr>
                <w:b/>
                <w:bCs/>
                <w:color w:val="auto"/>
                <w:sz w:val="24"/>
              </w:rPr>
            </w:pPr>
            <w:r>
              <w:rPr>
                <w:rFonts w:hint="eastAsia"/>
                <w:b/>
                <w:bCs/>
                <w:color w:val="auto"/>
                <w:sz w:val="24"/>
              </w:rPr>
              <w:t>1）喷漆房、尾数房</w:t>
            </w:r>
          </w:p>
          <w:p w14:paraId="7A8386AB">
            <w:pPr>
              <w:adjustRightInd w:val="0"/>
              <w:snapToGrid w:val="0"/>
              <w:spacing w:line="360" w:lineRule="auto"/>
              <w:ind w:firstLine="480" w:firstLineChars="200"/>
              <w:jc w:val="left"/>
              <w:rPr>
                <w:color w:val="auto"/>
                <w:sz w:val="24"/>
              </w:rPr>
            </w:pPr>
            <w:r>
              <w:rPr>
                <w:rFonts w:hint="eastAsia"/>
                <w:color w:val="auto"/>
                <w:sz w:val="24"/>
              </w:rPr>
              <w:t xml:space="preserve">项目铝制工件需进行喷漆处理，共需喷涂底漆、面漆、清漆三层，此过程在密闭的喷漆房内进行，项目共设置2条喷漆线，均为环形设备，工件在喷涂线上的移动由输送链系统完成，工件加工处理均由人工在生产线单侧操作，输送链长度为260m，即喷漆房为全封闭设计，仅留人工上挂、下取件口；不合格品的返工检修在尾数房内进行，尾数房除员工进出口外其他区域为全封闭设计，作业期间员工进出口常闭；通过对2个喷漆房和尾数房引入风管收集区域内作业废气，风量计算可参照王锡春主编的《涂装车间设计手册》（化工工业出版社，2013 年版）各喷漆车间风量可按以下公式计算： </w:t>
            </w:r>
          </w:p>
          <w:p w14:paraId="22D24DF3">
            <w:pPr>
              <w:adjustRightInd w:val="0"/>
              <w:snapToGrid w:val="0"/>
              <w:spacing w:line="360" w:lineRule="auto"/>
              <w:ind w:firstLine="480" w:firstLineChars="200"/>
              <w:jc w:val="center"/>
              <w:rPr>
                <w:color w:val="auto"/>
                <w:sz w:val="24"/>
              </w:rPr>
            </w:pPr>
            <w:r>
              <w:rPr>
                <w:rFonts w:hint="eastAsia"/>
                <w:color w:val="auto"/>
                <w:sz w:val="24"/>
              </w:rPr>
              <w:t>Q=AHN</w:t>
            </w:r>
          </w:p>
          <w:p w14:paraId="7905389E">
            <w:pPr>
              <w:adjustRightInd w:val="0"/>
              <w:snapToGrid w:val="0"/>
              <w:spacing w:line="360" w:lineRule="auto"/>
              <w:ind w:firstLine="480" w:firstLineChars="200"/>
              <w:jc w:val="left"/>
              <w:rPr>
                <w:color w:val="auto"/>
                <w:sz w:val="24"/>
              </w:rPr>
            </w:pPr>
            <w:r>
              <w:rPr>
                <w:rFonts w:hint="eastAsia"/>
                <w:color w:val="auto"/>
                <w:sz w:val="24"/>
              </w:rPr>
              <w:t>式中 Q：风量，m</w:t>
            </w:r>
            <w:r>
              <w:rPr>
                <w:rFonts w:hint="eastAsia"/>
                <w:color w:val="auto"/>
                <w:sz w:val="24"/>
                <w:vertAlign w:val="superscript"/>
              </w:rPr>
              <w:t>3</w:t>
            </w:r>
            <w:r>
              <w:rPr>
                <w:rFonts w:hint="eastAsia"/>
                <w:color w:val="auto"/>
                <w:sz w:val="24"/>
              </w:rPr>
              <w:t xml:space="preserve"> /h；</w:t>
            </w:r>
          </w:p>
          <w:p w14:paraId="585A0154">
            <w:pPr>
              <w:adjustRightInd w:val="0"/>
              <w:snapToGrid w:val="0"/>
              <w:spacing w:line="360" w:lineRule="auto"/>
              <w:ind w:firstLine="480" w:firstLineChars="200"/>
              <w:jc w:val="left"/>
              <w:rPr>
                <w:color w:val="auto"/>
                <w:sz w:val="24"/>
              </w:rPr>
            </w:pPr>
            <w:r>
              <w:rPr>
                <w:rFonts w:hint="eastAsia"/>
                <w:color w:val="auto"/>
                <w:sz w:val="24"/>
              </w:rPr>
              <w:t>A：隔间总面积，m</w:t>
            </w:r>
            <w:r>
              <w:rPr>
                <w:rFonts w:hint="eastAsia"/>
                <w:color w:val="auto"/>
                <w:sz w:val="24"/>
                <w:vertAlign w:val="superscript"/>
              </w:rPr>
              <w:t>2</w:t>
            </w:r>
            <w:r>
              <w:rPr>
                <w:rFonts w:hint="eastAsia"/>
                <w:color w:val="auto"/>
                <w:sz w:val="24"/>
              </w:rPr>
              <w:t>；</w:t>
            </w:r>
          </w:p>
          <w:p w14:paraId="0FF1DE24">
            <w:pPr>
              <w:adjustRightInd w:val="0"/>
              <w:snapToGrid w:val="0"/>
              <w:spacing w:line="360" w:lineRule="auto"/>
              <w:ind w:firstLine="480" w:firstLineChars="200"/>
              <w:jc w:val="left"/>
              <w:rPr>
                <w:color w:val="auto"/>
                <w:sz w:val="24"/>
              </w:rPr>
            </w:pPr>
            <w:r>
              <w:rPr>
                <w:rFonts w:hint="eastAsia"/>
                <w:color w:val="auto"/>
                <w:sz w:val="24"/>
              </w:rPr>
              <w:t>H：隔间高度，m；</w:t>
            </w:r>
          </w:p>
          <w:p w14:paraId="4CE3D0C3">
            <w:pPr>
              <w:adjustRightInd w:val="0"/>
              <w:snapToGrid w:val="0"/>
              <w:spacing w:line="360" w:lineRule="auto"/>
              <w:ind w:firstLine="480" w:firstLineChars="200"/>
              <w:jc w:val="left"/>
              <w:rPr>
                <w:color w:val="auto"/>
                <w:sz w:val="24"/>
              </w:rPr>
            </w:pPr>
            <w:r>
              <w:rPr>
                <w:rFonts w:hint="eastAsia"/>
                <w:color w:val="auto"/>
                <w:sz w:val="24"/>
              </w:rPr>
              <w:t>N：换气次数，次/h，密闭车间换气次数参照《三废处理工程技术手册废气卷》第十七章表17-1 中每小时各种场所换气次数-涂装室-换气次数 20 次。</w:t>
            </w:r>
          </w:p>
          <w:p w14:paraId="5ACC9FD5">
            <w:pPr>
              <w:adjustRightInd w:val="0"/>
              <w:snapToGrid w:val="0"/>
              <w:spacing w:line="360" w:lineRule="auto"/>
              <w:ind w:firstLine="480" w:firstLineChars="200"/>
              <w:jc w:val="left"/>
              <w:rPr>
                <w:color w:val="auto"/>
                <w:sz w:val="24"/>
              </w:rPr>
            </w:pPr>
            <w:r>
              <w:rPr>
                <w:rFonts w:hint="eastAsia"/>
                <w:color w:val="auto"/>
                <w:sz w:val="24"/>
              </w:rPr>
              <w:t>则喷漆房、尾数房的风机风量计算如下：</w:t>
            </w:r>
          </w:p>
          <w:p w14:paraId="771C83CB">
            <w:pPr>
              <w:pStyle w:val="77"/>
              <w:numPr>
                <w:ilvl w:val="0"/>
                <w:numId w:val="18"/>
              </w:numPr>
              <w:adjustRightInd w:val="0"/>
              <w:snapToGrid w:val="0"/>
              <w:jc w:val="center"/>
              <w:rPr>
                <w:b/>
                <w:bCs/>
                <w:color w:val="auto"/>
                <w:szCs w:val="21"/>
              </w:rPr>
            </w:pPr>
            <w:r>
              <w:rPr>
                <w:rFonts w:hint="eastAsia"/>
                <w:b/>
                <w:bCs/>
                <w:color w:val="auto"/>
                <w:szCs w:val="21"/>
              </w:rPr>
              <w:t xml:space="preserve"> 喷漆房、尾数房废气收集风量一览表</w:t>
            </w:r>
          </w:p>
          <w:tbl>
            <w:tblPr>
              <w:tblStyle w:val="3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561"/>
              <w:gridCol w:w="1559"/>
              <w:gridCol w:w="1414"/>
              <w:gridCol w:w="2519"/>
              <w:gridCol w:w="2167"/>
            </w:tblGrid>
            <w:tr w14:paraId="389A1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88" w:type="pct"/>
                  <w:vMerge w:val="restart"/>
                  <w:noWrap/>
                  <w:vAlign w:val="center"/>
                </w:tcPr>
                <w:p w14:paraId="1BF905A6">
                  <w:pPr>
                    <w:pStyle w:val="43"/>
                    <w:wordWrap/>
                    <w:spacing w:line="240" w:lineRule="auto"/>
                    <w:ind w:firstLine="0" w:firstLineChars="0"/>
                    <w:jc w:val="center"/>
                    <w:rPr>
                      <w:b/>
                      <w:bCs/>
                      <w:color w:val="auto"/>
                      <w:sz w:val="21"/>
                      <w:szCs w:val="20"/>
                    </w:rPr>
                  </w:pPr>
                  <w:r>
                    <w:rPr>
                      <w:rFonts w:hint="eastAsia"/>
                      <w:b/>
                      <w:bCs/>
                      <w:color w:val="auto"/>
                      <w:sz w:val="21"/>
                      <w:szCs w:val="20"/>
                    </w:rPr>
                    <w:t>位置</w:t>
                  </w:r>
                </w:p>
              </w:tc>
              <w:tc>
                <w:tcPr>
                  <w:tcW w:w="2120" w:type="pct"/>
                  <w:gridSpan w:val="3"/>
                  <w:noWrap/>
                  <w:vAlign w:val="center"/>
                </w:tcPr>
                <w:p w14:paraId="3B5A715E">
                  <w:pPr>
                    <w:pStyle w:val="43"/>
                    <w:wordWrap/>
                    <w:spacing w:line="240" w:lineRule="auto"/>
                    <w:ind w:firstLine="0" w:firstLineChars="0"/>
                    <w:jc w:val="center"/>
                    <w:rPr>
                      <w:b/>
                      <w:bCs/>
                      <w:color w:val="auto"/>
                      <w:sz w:val="21"/>
                      <w:szCs w:val="20"/>
                    </w:rPr>
                  </w:pPr>
                  <w:r>
                    <w:rPr>
                      <w:rFonts w:hint="eastAsia"/>
                      <w:b/>
                      <w:bCs/>
                      <w:color w:val="auto"/>
                      <w:sz w:val="21"/>
                      <w:szCs w:val="20"/>
                    </w:rPr>
                    <w:t>车间尺寸</w:t>
                  </w:r>
                </w:p>
              </w:tc>
              <w:tc>
                <w:tcPr>
                  <w:tcW w:w="1178" w:type="pct"/>
                  <w:vMerge w:val="restart"/>
                  <w:noWrap/>
                  <w:vAlign w:val="center"/>
                </w:tcPr>
                <w:p w14:paraId="17BC089B">
                  <w:pPr>
                    <w:pStyle w:val="43"/>
                    <w:wordWrap/>
                    <w:spacing w:line="240" w:lineRule="auto"/>
                    <w:ind w:firstLine="0" w:firstLineChars="0"/>
                    <w:jc w:val="center"/>
                    <w:rPr>
                      <w:b/>
                      <w:bCs/>
                      <w:color w:val="auto"/>
                      <w:sz w:val="21"/>
                      <w:szCs w:val="20"/>
                    </w:rPr>
                  </w:pPr>
                  <w:r>
                    <w:rPr>
                      <w:rFonts w:hint="eastAsia"/>
                      <w:b/>
                      <w:bCs/>
                      <w:color w:val="auto"/>
                      <w:sz w:val="21"/>
                      <w:szCs w:val="20"/>
                    </w:rPr>
                    <w:t>换气次数（次/h）</w:t>
                  </w:r>
                </w:p>
              </w:tc>
              <w:tc>
                <w:tcPr>
                  <w:tcW w:w="1013" w:type="pct"/>
                  <w:vMerge w:val="restart"/>
                  <w:noWrap/>
                  <w:vAlign w:val="center"/>
                </w:tcPr>
                <w:p w14:paraId="23A2D38A">
                  <w:pPr>
                    <w:pStyle w:val="43"/>
                    <w:wordWrap/>
                    <w:spacing w:line="240" w:lineRule="auto"/>
                    <w:ind w:firstLine="0" w:firstLineChars="0"/>
                    <w:jc w:val="center"/>
                    <w:rPr>
                      <w:b/>
                      <w:bCs/>
                      <w:color w:val="auto"/>
                      <w:sz w:val="21"/>
                      <w:szCs w:val="20"/>
                    </w:rPr>
                  </w:pPr>
                  <w:r>
                    <w:rPr>
                      <w:rFonts w:hint="eastAsia"/>
                      <w:b/>
                      <w:bCs/>
                      <w:color w:val="auto"/>
                      <w:sz w:val="21"/>
                      <w:szCs w:val="20"/>
                    </w:rPr>
                    <w:t>所需风量（m</w:t>
                  </w:r>
                  <w:r>
                    <w:rPr>
                      <w:rFonts w:hint="eastAsia"/>
                      <w:b/>
                      <w:bCs/>
                      <w:color w:val="auto"/>
                      <w:sz w:val="21"/>
                      <w:szCs w:val="20"/>
                      <w:vertAlign w:val="superscript"/>
                    </w:rPr>
                    <w:t>3</w:t>
                  </w:r>
                  <w:r>
                    <w:rPr>
                      <w:rFonts w:hint="eastAsia"/>
                      <w:b/>
                      <w:bCs/>
                      <w:color w:val="auto"/>
                      <w:sz w:val="21"/>
                      <w:szCs w:val="20"/>
                    </w:rPr>
                    <w:t>/h)</w:t>
                  </w:r>
                </w:p>
              </w:tc>
            </w:tr>
            <w:tr w14:paraId="7C65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88" w:type="pct"/>
                  <w:vMerge w:val="continue"/>
                  <w:noWrap/>
                  <w:vAlign w:val="center"/>
                </w:tcPr>
                <w:p w14:paraId="0A3A63F9">
                  <w:pPr>
                    <w:pStyle w:val="43"/>
                    <w:wordWrap/>
                    <w:spacing w:line="240" w:lineRule="auto"/>
                    <w:ind w:firstLine="0" w:firstLineChars="0"/>
                    <w:jc w:val="center"/>
                    <w:rPr>
                      <w:b/>
                      <w:bCs/>
                      <w:color w:val="auto"/>
                      <w:sz w:val="21"/>
                      <w:szCs w:val="20"/>
                    </w:rPr>
                  </w:pPr>
                </w:p>
              </w:tc>
              <w:tc>
                <w:tcPr>
                  <w:tcW w:w="730" w:type="pct"/>
                  <w:noWrap/>
                  <w:vAlign w:val="center"/>
                </w:tcPr>
                <w:p w14:paraId="7D1A0A71">
                  <w:pPr>
                    <w:pStyle w:val="43"/>
                    <w:wordWrap/>
                    <w:spacing w:line="240" w:lineRule="auto"/>
                    <w:ind w:firstLine="0" w:firstLineChars="0"/>
                    <w:jc w:val="center"/>
                    <w:rPr>
                      <w:b/>
                      <w:bCs/>
                      <w:color w:val="auto"/>
                      <w:sz w:val="21"/>
                      <w:szCs w:val="20"/>
                    </w:rPr>
                  </w:pPr>
                  <w:r>
                    <w:rPr>
                      <w:rFonts w:hint="eastAsia"/>
                      <w:b/>
                      <w:bCs/>
                      <w:color w:val="auto"/>
                      <w:sz w:val="21"/>
                      <w:szCs w:val="20"/>
                    </w:rPr>
                    <w:t>长（m）</w:t>
                  </w:r>
                </w:p>
              </w:tc>
              <w:tc>
                <w:tcPr>
                  <w:tcW w:w="729" w:type="pct"/>
                  <w:noWrap/>
                  <w:vAlign w:val="center"/>
                </w:tcPr>
                <w:p w14:paraId="6B0F79B9">
                  <w:pPr>
                    <w:pStyle w:val="43"/>
                    <w:wordWrap/>
                    <w:spacing w:line="240" w:lineRule="auto"/>
                    <w:ind w:firstLine="0" w:firstLineChars="0"/>
                    <w:jc w:val="center"/>
                    <w:rPr>
                      <w:b/>
                      <w:bCs/>
                      <w:color w:val="auto"/>
                      <w:sz w:val="21"/>
                      <w:szCs w:val="20"/>
                    </w:rPr>
                  </w:pPr>
                  <w:r>
                    <w:rPr>
                      <w:rFonts w:hint="eastAsia"/>
                      <w:b/>
                      <w:bCs/>
                      <w:color w:val="auto"/>
                      <w:sz w:val="21"/>
                      <w:szCs w:val="20"/>
                    </w:rPr>
                    <w:t>宽（m）</w:t>
                  </w:r>
                </w:p>
              </w:tc>
              <w:tc>
                <w:tcPr>
                  <w:tcW w:w="659" w:type="pct"/>
                  <w:noWrap/>
                  <w:vAlign w:val="center"/>
                </w:tcPr>
                <w:p w14:paraId="4BBDA4F8">
                  <w:pPr>
                    <w:pStyle w:val="43"/>
                    <w:wordWrap/>
                    <w:spacing w:line="240" w:lineRule="auto"/>
                    <w:ind w:firstLine="0" w:firstLineChars="0"/>
                    <w:jc w:val="center"/>
                    <w:rPr>
                      <w:b/>
                      <w:bCs/>
                      <w:color w:val="auto"/>
                      <w:sz w:val="21"/>
                      <w:szCs w:val="20"/>
                    </w:rPr>
                  </w:pPr>
                  <w:r>
                    <w:rPr>
                      <w:rFonts w:hint="eastAsia"/>
                      <w:b/>
                      <w:bCs/>
                      <w:color w:val="auto"/>
                      <w:sz w:val="21"/>
                      <w:szCs w:val="20"/>
                    </w:rPr>
                    <w:t>高（m）</w:t>
                  </w:r>
                </w:p>
              </w:tc>
              <w:tc>
                <w:tcPr>
                  <w:tcW w:w="1178" w:type="pct"/>
                  <w:vMerge w:val="continue"/>
                  <w:noWrap/>
                  <w:vAlign w:val="center"/>
                </w:tcPr>
                <w:p w14:paraId="456E9430">
                  <w:pPr>
                    <w:pStyle w:val="43"/>
                    <w:wordWrap/>
                    <w:spacing w:line="240" w:lineRule="auto"/>
                    <w:ind w:firstLine="0" w:firstLineChars="0"/>
                    <w:jc w:val="center"/>
                    <w:rPr>
                      <w:b/>
                      <w:bCs/>
                      <w:color w:val="auto"/>
                      <w:sz w:val="21"/>
                      <w:szCs w:val="20"/>
                    </w:rPr>
                  </w:pPr>
                </w:p>
              </w:tc>
              <w:tc>
                <w:tcPr>
                  <w:tcW w:w="1013" w:type="pct"/>
                  <w:vMerge w:val="continue"/>
                  <w:noWrap/>
                  <w:vAlign w:val="center"/>
                </w:tcPr>
                <w:p w14:paraId="3E37C3F6">
                  <w:pPr>
                    <w:pStyle w:val="43"/>
                    <w:wordWrap/>
                    <w:spacing w:line="240" w:lineRule="auto"/>
                    <w:ind w:firstLine="0" w:firstLineChars="0"/>
                    <w:jc w:val="center"/>
                    <w:rPr>
                      <w:b/>
                      <w:bCs/>
                      <w:color w:val="auto"/>
                      <w:sz w:val="21"/>
                      <w:szCs w:val="20"/>
                    </w:rPr>
                  </w:pPr>
                </w:p>
              </w:tc>
            </w:tr>
            <w:tr w14:paraId="00B80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88" w:type="pct"/>
                  <w:noWrap/>
                  <w:vAlign w:val="center"/>
                </w:tcPr>
                <w:p w14:paraId="611E4121">
                  <w:pPr>
                    <w:pStyle w:val="43"/>
                    <w:wordWrap/>
                    <w:spacing w:line="240" w:lineRule="auto"/>
                    <w:ind w:firstLine="0" w:firstLineChars="0"/>
                    <w:jc w:val="center"/>
                    <w:rPr>
                      <w:color w:val="auto"/>
                      <w:sz w:val="21"/>
                      <w:szCs w:val="20"/>
                    </w:rPr>
                  </w:pPr>
                  <w:r>
                    <w:rPr>
                      <w:rFonts w:hint="eastAsia"/>
                      <w:color w:val="auto"/>
                      <w:sz w:val="21"/>
                      <w:szCs w:val="20"/>
                    </w:rPr>
                    <w:t>面漆房</w:t>
                  </w:r>
                </w:p>
              </w:tc>
              <w:tc>
                <w:tcPr>
                  <w:tcW w:w="730" w:type="pct"/>
                  <w:noWrap/>
                  <w:vAlign w:val="center"/>
                </w:tcPr>
                <w:p w14:paraId="60B57184">
                  <w:pPr>
                    <w:pStyle w:val="43"/>
                    <w:wordWrap/>
                    <w:spacing w:line="240" w:lineRule="auto"/>
                    <w:ind w:firstLine="0" w:firstLineChars="0"/>
                    <w:jc w:val="center"/>
                    <w:rPr>
                      <w:color w:val="auto"/>
                      <w:sz w:val="21"/>
                      <w:szCs w:val="20"/>
                    </w:rPr>
                  </w:pPr>
                  <w:r>
                    <w:rPr>
                      <w:rFonts w:hint="eastAsia"/>
                      <w:color w:val="auto"/>
                      <w:sz w:val="21"/>
                      <w:szCs w:val="20"/>
                    </w:rPr>
                    <w:t>22</w:t>
                  </w:r>
                </w:p>
              </w:tc>
              <w:tc>
                <w:tcPr>
                  <w:tcW w:w="729" w:type="pct"/>
                  <w:noWrap/>
                  <w:vAlign w:val="center"/>
                </w:tcPr>
                <w:p w14:paraId="2BD0CFB0">
                  <w:pPr>
                    <w:pStyle w:val="43"/>
                    <w:wordWrap/>
                    <w:spacing w:line="240" w:lineRule="auto"/>
                    <w:ind w:firstLine="0" w:firstLineChars="0"/>
                    <w:jc w:val="center"/>
                    <w:rPr>
                      <w:color w:val="auto"/>
                      <w:sz w:val="21"/>
                      <w:szCs w:val="20"/>
                    </w:rPr>
                  </w:pPr>
                  <w:r>
                    <w:rPr>
                      <w:rFonts w:hint="eastAsia"/>
                      <w:color w:val="auto"/>
                      <w:sz w:val="21"/>
                      <w:szCs w:val="20"/>
                    </w:rPr>
                    <w:t>8</w:t>
                  </w:r>
                </w:p>
              </w:tc>
              <w:tc>
                <w:tcPr>
                  <w:tcW w:w="659" w:type="pct"/>
                  <w:noWrap/>
                  <w:vAlign w:val="center"/>
                </w:tcPr>
                <w:p w14:paraId="04BC5AA6">
                  <w:pPr>
                    <w:pStyle w:val="43"/>
                    <w:wordWrap/>
                    <w:spacing w:line="240" w:lineRule="auto"/>
                    <w:ind w:firstLine="0" w:firstLineChars="0"/>
                    <w:jc w:val="center"/>
                    <w:rPr>
                      <w:color w:val="auto"/>
                      <w:sz w:val="21"/>
                      <w:szCs w:val="20"/>
                    </w:rPr>
                  </w:pPr>
                  <w:r>
                    <w:rPr>
                      <w:rFonts w:hint="eastAsia"/>
                      <w:color w:val="auto"/>
                      <w:sz w:val="21"/>
                      <w:szCs w:val="20"/>
                    </w:rPr>
                    <w:t>3</w:t>
                  </w:r>
                </w:p>
              </w:tc>
              <w:tc>
                <w:tcPr>
                  <w:tcW w:w="1178" w:type="pct"/>
                  <w:noWrap/>
                  <w:vAlign w:val="center"/>
                </w:tcPr>
                <w:p w14:paraId="48EE3F43">
                  <w:pPr>
                    <w:pStyle w:val="43"/>
                    <w:wordWrap/>
                    <w:spacing w:line="240" w:lineRule="auto"/>
                    <w:ind w:firstLine="0" w:firstLineChars="0"/>
                    <w:jc w:val="center"/>
                    <w:rPr>
                      <w:color w:val="auto"/>
                      <w:sz w:val="21"/>
                      <w:szCs w:val="20"/>
                    </w:rPr>
                  </w:pPr>
                  <w:r>
                    <w:rPr>
                      <w:rFonts w:hint="eastAsia"/>
                      <w:color w:val="auto"/>
                      <w:sz w:val="21"/>
                      <w:szCs w:val="20"/>
                    </w:rPr>
                    <w:t>20</w:t>
                  </w:r>
                </w:p>
              </w:tc>
              <w:tc>
                <w:tcPr>
                  <w:tcW w:w="2161" w:type="dxa"/>
                  <w:noWrap/>
                  <w:vAlign w:val="center"/>
                </w:tcPr>
                <w:p w14:paraId="76FDC694">
                  <w:pPr>
                    <w:widowControl/>
                    <w:jc w:val="center"/>
                    <w:textAlignment w:val="center"/>
                    <w:rPr>
                      <w:color w:val="auto"/>
                      <w:szCs w:val="20"/>
                    </w:rPr>
                  </w:pPr>
                  <w:r>
                    <w:rPr>
                      <w:color w:val="auto"/>
                      <w:kern w:val="0"/>
                      <w:szCs w:val="21"/>
                      <w:lang w:bidi="ar"/>
                    </w:rPr>
                    <w:t>10560</w:t>
                  </w:r>
                </w:p>
              </w:tc>
            </w:tr>
            <w:tr w14:paraId="2A421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88" w:type="pct"/>
                  <w:noWrap/>
                  <w:vAlign w:val="center"/>
                </w:tcPr>
                <w:p w14:paraId="2E419704">
                  <w:pPr>
                    <w:pStyle w:val="43"/>
                    <w:wordWrap/>
                    <w:spacing w:line="240" w:lineRule="auto"/>
                    <w:ind w:firstLine="0" w:firstLineChars="0"/>
                    <w:jc w:val="center"/>
                    <w:rPr>
                      <w:color w:val="auto"/>
                      <w:sz w:val="21"/>
                      <w:szCs w:val="20"/>
                    </w:rPr>
                  </w:pPr>
                  <w:r>
                    <w:rPr>
                      <w:rFonts w:hint="eastAsia"/>
                      <w:color w:val="auto"/>
                      <w:sz w:val="21"/>
                      <w:szCs w:val="20"/>
                    </w:rPr>
                    <w:t>清漆房</w:t>
                  </w:r>
                </w:p>
              </w:tc>
              <w:tc>
                <w:tcPr>
                  <w:tcW w:w="730" w:type="pct"/>
                  <w:noWrap/>
                  <w:vAlign w:val="center"/>
                </w:tcPr>
                <w:p w14:paraId="254B4D9F">
                  <w:pPr>
                    <w:pStyle w:val="43"/>
                    <w:wordWrap/>
                    <w:spacing w:line="240" w:lineRule="auto"/>
                    <w:ind w:firstLine="0" w:firstLineChars="0"/>
                    <w:jc w:val="center"/>
                    <w:rPr>
                      <w:color w:val="auto"/>
                      <w:sz w:val="21"/>
                      <w:szCs w:val="20"/>
                    </w:rPr>
                  </w:pPr>
                  <w:r>
                    <w:rPr>
                      <w:rFonts w:hint="eastAsia"/>
                      <w:color w:val="auto"/>
                      <w:sz w:val="21"/>
                      <w:szCs w:val="20"/>
                    </w:rPr>
                    <w:t>20</w:t>
                  </w:r>
                </w:p>
              </w:tc>
              <w:tc>
                <w:tcPr>
                  <w:tcW w:w="729" w:type="pct"/>
                  <w:noWrap/>
                  <w:vAlign w:val="center"/>
                </w:tcPr>
                <w:p w14:paraId="54ED9195">
                  <w:pPr>
                    <w:pStyle w:val="43"/>
                    <w:wordWrap/>
                    <w:spacing w:line="240" w:lineRule="auto"/>
                    <w:ind w:firstLine="0" w:firstLineChars="0"/>
                    <w:jc w:val="center"/>
                    <w:rPr>
                      <w:color w:val="auto"/>
                      <w:sz w:val="21"/>
                      <w:szCs w:val="20"/>
                    </w:rPr>
                  </w:pPr>
                  <w:r>
                    <w:rPr>
                      <w:rFonts w:hint="eastAsia"/>
                      <w:color w:val="auto"/>
                      <w:sz w:val="21"/>
                      <w:szCs w:val="20"/>
                    </w:rPr>
                    <w:t>7.5</w:t>
                  </w:r>
                </w:p>
              </w:tc>
              <w:tc>
                <w:tcPr>
                  <w:tcW w:w="659" w:type="pct"/>
                  <w:noWrap/>
                  <w:vAlign w:val="center"/>
                </w:tcPr>
                <w:p w14:paraId="38F6E7E5">
                  <w:pPr>
                    <w:pStyle w:val="43"/>
                    <w:wordWrap/>
                    <w:spacing w:line="240" w:lineRule="auto"/>
                    <w:ind w:firstLine="0" w:firstLineChars="0"/>
                    <w:jc w:val="center"/>
                    <w:rPr>
                      <w:color w:val="auto"/>
                      <w:sz w:val="21"/>
                      <w:szCs w:val="20"/>
                    </w:rPr>
                  </w:pPr>
                  <w:r>
                    <w:rPr>
                      <w:rFonts w:hint="eastAsia"/>
                      <w:color w:val="auto"/>
                      <w:sz w:val="21"/>
                      <w:szCs w:val="20"/>
                    </w:rPr>
                    <w:t>3</w:t>
                  </w:r>
                </w:p>
              </w:tc>
              <w:tc>
                <w:tcPr>
                  <w:tcW w:w="1178" w:type="pct"/>
                  <w:noWrap/>
                  <w:vAlign w:val="center"/>
                </w:tcPr>
                <w:p w14:paraId="732B076B">
                  <w:pPr>
                    <w:pStyle w:val="43"/>
                    <w:wordWrap/>
                    <w:spacing w:line="240" w:lineRule="auto"/>
                    <w:ind w:firstLine="0" w:firstLineChars="0"/>
                    <w:jc w:val="center"/>
                    <w:rPr>
                      <w:color w:val="auto"/>
                      <w:sz w:val="21"/>
                      <w:szCs w:val="20"/>
                    </w:rPr>
                  </w:pPr>
                  <w:r>
                    <w:rPr>
                      <w:rFonts w:hint="eastAsia"/>
                      <w:color w:val="auto"/>
                      <w:sz w:val="21"/>
                      <w:szCs w:val="20"/>
                    </w:rPr>
                    <w:t>20</w:t>
                  </w:r>
                </w:p>
              </w:tc>
              <w:tc>
                <w:tcPr>
                  <w:tcW w:w="2161" w:type="dxa"/>
                  <w:noWrap/>
                  <w:vAlign w:val="center"/>
                </w:tcPr>
                <w:p w14:paraId="54C87BCC">
                  <w:pPr>
                    <w:widowControl/>
                    <w:jc w:val="center"/>
                    <w:textAlignment w:val="center"/>
                    <w:rPr>
                      <w:color w:val="auto"/>
                      <w:szCs w:val="20"/>
                    </w:rPr>
                  </w:pPr>
                  <w:r>
                    <w:rPr>
                      <w:color w:val="auto"/>
                      <w:kern w:val="0"/>
                      <w:szCs w:val="21"/>
                      <w:lang w:bidi="ar"/>
                    </w:rPr>
                    <w:t>9000</w:t>
                  </w:r>
                </w:p>
              </w:tc>
            </w:tr>
            <w:tr w14:paraId="287E2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88" w:type="pct"/>
                  <w:noWrap/>
                  <w:vAlign w:val="center"/>
                </w:tcPr>
                <w:p w14:paraId="44B4B216">
                  <w:pPr>
                    <w:pStyle w:val="43"/>
                    <w:wordWrap/>
                    <w:spacing w:line="240" w:lineRule="auto"/>
                    <w:ind w:firstLine="0" w:firstLineChars="0"/>
                    <w:jc w:val="center"/>
                    <w:rPr>
                      <w:color w:val="auto"/>
                      <w:sz w:val="21"/>
                      <w:szCs w:val="20"/>
                    </w:rPr>
                  </w:pPr>
                  <w:r>
                    <w:rPr>
                      <w:rFonts w:hint="eastAsia"/>
                      <w:color w:val="auto"/>
                      <w:sz w:val="21"/>
                      <w:szCs w:val="20"/>
                    </w:rPr>
                    <w:t>尾数房</w:t>
                  </w:r>
                </w:p>
              </w:tc>
              <w:tc>
                <w:tcPr>
                  <w:tcW w:w="730" w:type="pct"/>
                  <w:noWrap/>
                  <w:vAlign w:val="center"/>
                </w:tcPr>
                <w:p w14:paraId="6320E02A">
                  <w:pPr>
                    <w:pStyle w:val="43"/>
                    <w:wordWrap/>
                    <w:spacing w:line="240" w:lineRule="auto"/>
                    <w:ind w:firstLine="0" w:firstLineChars="0"/>
                    <w:jc w:val="center"/>
                    <w:rPr>
                      <w:color w:val="auto"/>
                      <w:sz w:val="21"/>
                      <w:szCs w:val="20"/>
                    </w:rPr>
                  </w:pPr>
                  <w:r>
                    <w:rPr>
                      <w:rFonts w:hint="eastAsia"/>
                      <w:color w:val="auto"/>
                      <w:sz w:val="21"/>
                      <w:szCs w:val="20"/>
                    </w:rPr>
                    <w:t>10</w:t>
                  </w:r>
                </w:p>
              </w:tc>
              <w:tc>
                <w:tcPr>
                  <w:tcW w:w="729" w:type="pct"/>
                  <w:noWrap/>
                  <w:vAlign w:val="center"/>
                </w:tcPr>
                <w:p w14:paraId="7F4493DB">
                  <w:pPr>
                    <w:pStyle w:val="43"/>
                    <w:wordWrap/>
                    <w:spacing w:line="240" w:lineRule="auto"/>
                    <w:ind w:firstLine="0" w:firstLineChars="0"/>
                    <w:jc w:val="center"/>
                    <w:rPr>
                      <w:color w:val="auto"/>
                      <w:sz w:val="21"/>
                      <w:szCs w:val="20"/>
                    </w:rPr>
                  </w:pPr>
                  <w:r>
                    <w:rPr>
                      <w:rFonts w:hint="eastAsia"/>
                      <w:color w:val="auto"/>
                      <w:sz w:val="21"/>
                      <w:szCs w:val="20"/>
                    </w:rPr>
                    <w:t>10</w:t>
                  </w:r>
                </w:p>
              </w:tc>
              <w:tc>
                <w:tcPr>
                  <w:tcW w:w="659" w:type="pct"/>
                  <w:noWrap/>
                  <w:vAlign w:val="center"/>
                </w:tcPr>
                <w:p w14:paraId="04E92848">
                  <w:pPr>
                    <w:pStyle w:val="43"/>
                    <w:wordWrap/>
                    <w:spacing w:line="240" w:lineRule="auto"/>
                    <w:ind w:firstLine="0" w:firstLineChars="0"/>
                    <w:jc w:val="center"/>
                    <w:rPr>
                      <w:color w:val="auto"/>
                      <w:sz w:val="21"/>
                      <w:szCs w:val="20"/>
                    </w:rPr>
                  </w:pPr>
                  <w:r>
                    <w:rPr>
                      <w:rFonts w:hint="eastAsia"/>
                      <w:color w:val="auto"/>
                      <w:sz w:val="21"/>
                      <w:szCs w:val="20"/>
                    </w:rPr>
                    <w:t>3</w:t>
                  </w:r>
                </w:p>
              </w:tc>
              <w:tc>
                <w:tcPr>
                  <w:tcW w:w="1178" w:type="pct"/>
                  <w:noWrap/>
                  <w:vAlign w:val="center"/>
                </w:tcPr>
                <w:p w14:paraId="7FBAFF09">
                  <w:pPr>
                    <w:pStyle w:val="43"/>
                    <w:wordWrap/>
                    <w:spacing w:line="240" w:lineRule="auto"/>
                    <w:ind w:firstLine="0" w:firstLineChars="0"/>
                    <w:jc w:val="center"/>
                    <w:rPr>
                      <w:color w:val="auto"/>
                      <w:sz w:val="21"/>
                      <w:szCs w:val="20"/>
                    </w:rPr>
                  </w:pPr>
                  <w:r>
                    <w:rPr>
                      <w:rFonts w:hint="eastAsia"/>
                      <w:color w:val="auto"/>
                      <w:sz w:val="21"/>
                      <w:szCs w:val="20"/>
                    </w:rPr>
                    <w:t>20</w:t>
                  </w:r>
                </w:p>
              </w:tc>
              <w:tc>
                <w:tcPr>
                  <w:tcW w:w="2161" w:type="dxa"/>
                  <w:noWrap/>
                  <w:vAlign w:val="center"/>
                </w:tcPr>
                <w:p w14:paraId="43D6F4E7">
                  <w:pPr>
                    <w:widowControl/>
                    <w:jc w:val="center"/>
                    <w:textAlignment w:val="center"/>
                    <w:rPr>
                      <w:color w:val="auto"/>
                      <w:szCs w:val="20"/>
                    </w:rPr>
                  </w:pPr>
                  <w:r>
                    <w:rPr>
                      <w:color w:val="auto"/>
                      <w:kern w:val="0"/>
                      <w:szCs w:val="21"/>
                      <w:lang w:bidi="ar"/>
                    </w:rPr>
                    <w:t>6000</w:t>
                  </w:r>
                </w:p>
              </w:tc>
            </w:tr>
          </w:tbl>
          <w:p w14:paraId="0B8B15AA">
            <w:pPr>
              <w:adjustRightInd w:val="0"/>
              <w:snapToGrid w:val="0"/>
              <w:spacing w:line="360" w:lineRule="auto"/>
              <w:ind w:firstLine="482" w:firstLineChars="200"/>
              <w:jc w:val="left"/>
              <w:rPr>
                <w:b/>
                <w:bCs/>
                <w:color w:val="auto"/>
                <w:sz w:val="24"/>
              </w:rPr>
            </w:pPr>
            <w:r>
              <w:rPr>
                <w:rFonts w:hint="eastAsia"/>
                <w:b/>
                <w:bCs/>
                <w:color w:val="auto"/>
                <w:sz w:val="24"/>
              </w:rPr>
              <w:t>2）固化隧道炉、烘烤隧道炉、烘烤柜炉</w:t>
            </w:r>
          </w:p>
          <w:p w14:paraId="71CAE143">
            <w:pPr>
              <w:spacing w:line="360" w:lineRule="auto"/>
              <w:ind w:firstLine="480" w:firstLineChars="200"/>
              <w:rPr>
                <w:color w:val="auto"/>
                <w:sz w:val="24"/>
              </w:rPr>
            </w:pPr>
            <w:r>
              <w:rPr>
                <w:rFonts w:hint="eastAsia"/>
                <w:color w:val="auto"/>
                <w:sz w:val="24"/>
              </w:rPr>
              <w:t>项目粉料、涂料的烘烤固化均在密闭的设备中进行，只设置一个进出口，拟采取在进出口设置顶吸集气罩、炉内设置风管直连的方式收集作业废气，直连风管风量核算</w:t>
            </w:r>
            <w:r>
              <w:rPr>
                <w:color w:val="auto"/>
                <w:sz w:val="24"/>
              </w:rPr>
              <w:t>参照《印刷工业污染防治可行技术指南》（HJ1089-2020）中无人员作业的密闭空间的风量计算公式：</w:t>
            </w:r>
          </w:p>
          <w:p w14:paraId="0F30C4A0">
            <w:pPr>
              <w:adjustRightInd w:val="0"/>
              <w:snapToGrid w:val="0"/>
              <w:spacing w:line="360" w:lineRule="auto"/>
              <w:ind w:firstLine="480" w:firstLineChars="200"/>
              <w:jc w:val="center"/>
              <w:rPr>
                <w:color w:val="auto"/>
                <w:sz w:val="24"/>
              </w:rPr>
            </w:pPr>
            <w:r>
              <w:rPr>
                <w:color w:val="auto"/>
                <w:sz w:val="24"/>
              </w:rPr>
              <w:t>L</w:t>
            </w:r>
            <w:r>
              <w:rPr>
                <w:color w:val="auto"/>
                <w:sz w:val="24"/>
                <w:vertAlign w:val="subscript"/>
              </w:rPr>
              <w:t>2</w:t>
            </w:r>
            <w:r>
              <w:rPr>
                <w:color w:val="auto"/>
                <w:sz w:val="24"/>
              </w:rPr>
              <w:t>=V</w:t>
            </w:r>
            <w:r>
              <w:rPr>
                <w:color w:val="auto"/>
                <w:sz w:val="24"/>
                <w:vertAlign w:val="subscript"/>
              </w:rPr>
              <w:t>2</w:t>
            </w:r>
            <w:r>
              <w:rPr>
                <w:color w:val="auto"/>
                <w:sz w:val="24"/>
              </w:rPr>
              <w:t>×G</w:t>
            </w:r>
            <w:r>
              <w:rPr>
                <w:color w:val="auto"/>
                <w:sz w:val="24"/>
                <w:vertAlign w:val="subscript"/>
              </w:rPr>
              <w:t>2</w:t>
            </w:r>
            <w:r>
              <w:rPr>
                <w:color w:val="auto"/>
                <w:sz w:val="24"/>
              </w:rPr>
              <w:t>×3600</w:t>
            </w:r>
          </w:p>
          <w:p w14:paraId="5CF3D636">
            <w:pPr>
              <w:adjustRightInd w:val="0"/>
              <w:snapToGrid w:val="0"/>
              <w:spacing w:line="360" w:lineRule="auto"/>
              <w:ind w:firstLine="480" w:firstLineChars="200"/>
              <w:jc w:val="left"/>
              <w:rPr>
                <w:color w:val="auto"/>
                <w:sz w:val="24"/>
              </w:rPr>
            </w:pPr>
            <w:r>
              <w:rPr>
                <w:color w:val="auto"/>
                <w:sz w:val="24"/>
              </w:rPr>
              <w:t>式中：L</w:t>
            </w:r>
            <w:r>
              <w:rPr>
                <w:color w:val="auto"/>
                <w:sz w:val="24"/>
                <w:vertAlign w:val="subscript"/>
              </w:rPr>
              <w:t>2</w:t>
            </w:r>
            <w:r>
              <w:rPr>
                <w:color w:val="auto"/>
                <w:sz w:val="24"/>
              </w:rPr>
              <w:t>——总风量，m</w:t>
            </w:r>
            <w:r>
              <w:rPr>
                <w:color w:val="auto"/>
                <w:sz w:val="24"/>
                <w:vertAlign w:val="superscript"/>
              </w:rPr>
              <w:t>3</w:t>
            </w:r>
            <w:r>
              <w:rPr>
                <w:color w:val="auto"/>
                <w:sz w:val="24"/>
              </w:rPr>
              <w:t>/h；</w:t>
            </w:r>
          </w:p>
          <w:p w14:paraId="116DB647">
            <w:pPr>
              <w:adjustRightInd w:val="0"/>
              <w:snapToGrid w:val="0"/>
              <w:spacing w:line="360" w:lineRule="auto"/>
              <w:ind w:firstLine="480" w:firstLineChars="200"/>
              <w:jc w:val="left"/>
              <w:rPr>
                <w:color w:val="auto"/>
                <w:sz w:val="24"/>
              </w:rPr>
            </w:pPr>
            <w:r>
              <w:rPr>
                <w:color w:val="auto"/>
                <w:sz w:val="24"/>
              </w:rPr>
              <w:t>V</w:t>
            </w:r>
            <w:r>
              <w:rPr>
                <w:color w:val="auto"/>
                <w:sz w:val="24"/>
                <w:vertAlign w:val="subscript"/>
              </w:rPr>
              <w:t>2</w:t>
            </w:r>
            <w:r>
              <w:rPr>
                <w:color w:val="auto"/>
                <w:sz w:val="24"/>
              </w:rPr>
              <w:t>——开口面控制风速，m/s。与大气连通的开口面，一般取1.2~</w:t>
            </w:r>
            <w:r>
              <w:rPr>
                <w:rFonts w:hint="eastAsia"/>
                <w:color w:val="auto"/>
                <w:sz w:val="24"/>
              </w:rPr>
              <w:t>3</w:t>
            </w:r>
            <w:r>
              <w:rPr>
                <w:color w:val="auto"/>
                <w:sz w:val="24"/>
              </w:rPr>
              <w:t>m/s；其他开口面，一般取0.4~0.6m/s，项目取值</w:t>
            </w:r>
            <w:r>
              <w:rPr>
                <w:rFonts w:hint="eastAsia"/>
                <w:color w:val="auto"/>
                <w:sz w:val="24"/>
              </w:rPr>
              <w:t>0.6</w:t>
            </w:r>
            <w:r>
              <w:rPr>
                <w:color w:val="auto"/>
                <w:sz w:val="24"/>
              </w:rPr>
              <w:t>m/s；</w:t>
            </w:r>
          </w:p>
          <w:p w14:paraId="38F68168">
            <w:pPr>
              <w:adjustRightInd w:val="0"/>
              <w:snapToGrid w:val="0"/>
              <w:spacing w:line="360" w:lineRule="auto"/>
              <w:ind w:firstLine="480" w:firstLineChars="200"/>
              <w:jc w:val="left"/>
              <w:rPr>
                <w:color w:val="auto"/>
                <w:sz w:val="24"/>
              </w:rPr>
            </w:pPr>
            <w:r>
              <w:rPr>
                <w:color w:val="auto"/>
                <w:sz w:val="24"/>
              </w:rPr>
              <w:t>G</w:t>
            </w:r>
            <w:r>
              <w:rPr>
                <w:color w:val="auto"/>
                <w:sz w:val="24"/>
                <w:vertAlign w:val="subscript"/>
              </w:rPr>
              <w:t>2</w:t>
            </w:r>
            <w:r>
              <w:rPr>
                <w:color w:val="auto"/>
                <w:sz w:val="24"/>
              </w:rPr>
              <w:t>——开口面面积，</w:t>
            </w:r>
            <w:r>
              <w:rPr>
                <w:rFonts w:hint="eastAsia"/>
                <w:color w:val="auto"/>
                <w:sz w:val="24"/>
              </w:rPr>
              <w:t>m</w:t>
            </w:r>
            <w:r>
              <w:rPr>
                <w:rFonts w:hint="eastAsia"/>
                <w:color w:val="auto"/>
                <w:sz w:val="24"/>
                <w:vertAlign w:val="superscript"/>
              </w:rPr>
              <w:t>2</w:t>
            </w:r>
            <w:r>
              <w:rPr>
                <w:rFonts w:hint="eastAsia"/>
                <w:color w:val="auto"/>
                <w:sz w:val="24"/>
              </w:rPr>
              <w:t>。</w:t>
            </w:r>
          </w:p>
          <w:p w14:paraId="63CF54C9">
            <w:pPr>
              <w:pStyle w:val="77"/>
              <w:numPr>
                <w:ilvl w:val="0"/>
                <w:numId w:val="18"/>
              </w:numPr>
              <w:adjustRightInd w:val="0"/>
              <w:snapToGrid w:val="0"/>
              <w:jc w:val="center"/>
              <w:rPr>
                <w:b/>
                <w:bCs/>
                <w:color w:val="auto"/>
                <w:szCs w:val="21"/>
              </w:rPr>
            </w:pPr>
            <w:r>
              <w:rPr>
                <w:rFonts w:hint="eastAsia"/>
                <w:b/>
                <w:bCs/>
                <w:color w:val="auto"/>
                <w:szCs w:val="21"/>
              </w:rPr>
              <w:t xml:space="preserve"> 项目隧道炉废气收集风量一览表</w:t>
            </w:r>
          </w:p>
          <w:tbl>
            <w:tblPr>
              <w:tblStyle w:val="35"/>
              <w:tblW w:w="10672" w:type="dxa"/>
              <w:jc w:val="center"/>
              <w:tblLayout w:type="autofit"/>
              <w:tblCellMar>
                <w:top w:w="0" w:type="dxa"/>
                <w:left w:w="108" w:type="dxa"/>
                <w:bottom w:w="0" w:type="dxa"/>
                <w:right w:w="108" w:type="dxa"/>
              </w:tblCellMar>
            </w:tblPr>
            <w:tblGrid>
              <w:gridCol w:w="1720"/>
              <w:gridCol w:w="1720"/>
              <w:gridCol w:w="1259"/>
              <w:gridCol w:w="1330"/>
              <w:gridCol w:w="1080"/>
              <w:gridCol w:w="2047"/>
              <w:gridCol w:w="1516"/>
            </w:tblGrid>
            <w:tr w14:paraId="6685CBC0">
              <w:tblPrEx>
                <w:tblCellMar>
                  <w:top w:w="0" w:type="dxa"/>
                  <w:left w:w="108" w:type="dxa"/>
                  <w:bottom w:w="0" w:type="dxa"/>
                  <w:right w:w="108" w:type="dxa"/>
                </w:tblCellMar>
              </w:tblPrEx>
              <w:trPr>
                <w:trHeight w:val="270" w:hRule="atLeast"/>
                <w:jc w:val="center"/>
              </w:trPr>
              <w:tc>
                <w:tcPr>
                  <w:tcW w:w="806" w:type="pct"/>
                  <w:tcBorders>
                    <w:top w:val="single" w:color="000000" w:sz="4" w:space="0"/>
                    <w:left w:val="single" w:color="000000" w:sz="4" w:space="0"/>
                    <w:bottom w:val="single" w:color="000000" w:sz="4" w:space="0"/>
                    <w:right w:val="single" w:color="000000" w:sz="4" w:space="0"/>
                  </w:tcBorders>
                  <w:vAlign w:val="center"/>
                </w:tcPr>
                <w:p w14:paraId="23F49357">
                  <w:pPr>
                    <w:pStyle w:val="43"/>
                    <w:wordWrap/>
                    <w:spacing w:line="240" w:lineRule="auto"/>
                    <w:ind w:firstLine="0" w:firstLineChars="0"/>
                    <w:jc w:val="center"/>
                    <w:rPr>
                      <w:b/>
                      <w:bCs/>
                      <w:color w:val="auto"/>
                      <w:sz w:val="21"/>
                      <w:szCs w:val="20"/>
                    </w:rPr>
                  </w:pPr>
                  <w:r>
                    <w:rPr>
                      <w:rFonts w:hint="eastAsia"/>
                      <w:b/>
                      <w:bCs/>
                      <w:color w:val="auto"/>
                      <w:sz w:val="21"/>
                      <w:szCs w:val="20"/>
                    </w:rPr>
                    <w:t>设备名称</w:t>
                  </w:r>
                </w:p>
              </w:tc>
              <w:tc>
                <w:tcPr>
                  <w:tcW w:w="806" w:type="pct"/>
                  <w:tcBorders>
                    <w:top w:val="single" w:color="000000" w:sz="4" w:space="0"/>
                    <w:left w:val="single" w:color="000000" w:sz="4" w:space="0"/>
                    <w:bottom w:val="single" w:color="000000" w:sz="4" w:space="0"/>
                    <w:right w:val="single" w:color="000000" w:sz="4" w:space="0"/>
                  </w:tcBorders>
                  <w:vAlign w:val="center"/>
                </w:tcPr>
                <w:p w14:paraId="78C52ECB">
                  <w:pPr>
                    <w:pStyle w:val="43"/>
                    <w:wordWrap/>
                    <w:spacing w:line="240" w:lineRule="auto"/>
                    <w:ind w:firstLine="0" w:firstLineChars="0"/>
                    <w:jc w:val="center"/>
                    <w:rPr>
                      <w:b/>
                      <w:bCs/>
                      <w:color w:val="auto"/>
                      <w:sz w:val="21"/>
                      <w:szCs w:val="20"/>
                    </w:rPr>
                  </w:pPr>
                  <w:r>
                    <w:rPr>
                      <w:rFonts w:hint="eastAsia"/>
                      <w:b/>
                      <w:bCs/>
                      <w:color w:val="auto"/>
                      <w:sz w:val="21"/>
                      <w:szCs w:val="20"/>
                    </w:rPr>
                    <w:t>规格</w:t>
                  </w:r>
                  <w:r>
                    <w:rPr>
                      <w:b/>
                      <w:bCs/>
                      <w:color w:val="auto"/>
                      <w:sz w:val="21"/>
                      <w:szCs w:val="20"/>
                    </w:rPr>
                    <w:t>长×宽×</w:t>
                  </w:r>
                  <w:r>
                    <w:rPr>
                      <w:rFonts w:hint="eastAsia"/>
                      <w:b/>
                      <w:bCs/>
                      <w:color w:val="auto"/>
                      <w:sz w:val="21"/>
                      <w:szCs w:val="20"/>
                    </w:rPr>
                    <w:t>高</w:t>
                  </w:r>
                  <w:r>
                    <w:rPr>
                      <w:b/>
                      <w:bCs/>
                      <w:color w:val="auto"/>
                      <w:sz w:val="21"/>
                      <w:szCs w:val="20"/>
                    </w:rPr>
                    <w:t>m</w:t>
                  </w:r>
                </w:p>
              </w:tc>
              <w:tc>
                <w:tcPr>
                  <w:tcW w:w="590" w:type="pct"/>
                  <w:tcBorders>
                    <w:top w:val="single" w:color="000000" w:sz="4" w:space="0"/>
                    <w:left w:val="single" w:color="000000" w:sz="4" w:space="0"/>
                    <w:bottom w:val="single" w:color="000000" w:sz="4" w:space="0"/>
                    <w:right w:val="single" w:color="000000" w:sz="4" w:space="0"/>
                  </w:tcBorders>
                  <w:vAlign w:val="center"/>
                </w:tcPr>
                <w:p w14:paraId="3FA118CF">
                  <w:pPr>
                    <w:pStyle w:val="43"/>
                    <w:wordWrap/>
                    <w:spacing w:line="240" w:lineRule="auto"/>
                    <w:ind w:firstLine="0" w:firstLineChars="0"/>
                    <w:jc w:val="center"/>
                    <w:rPr>
                      <w:b/>
                      <w:bCs/>
                      <w:color w:val="auto"/>
                      <w:sz w:val="21"/>
                      <w:szCs w:val="20"/>
                    </w:rPr>
                  </w:pPr>
                  <w:r>
                    <w:rPr>
                      <w:rFonts w:hint="eastAsia"/>
                      <w:b/>
                      <w:bCs/>
                      <w:color w:val="auto"/>
                      <w:sz w:val="21"/>
                      <w:szCs w:val="20"/>
                    </w:rPr>
                    <w:t>风管管径m</w:t>
                  </w:r>
                </w:p>
              </w:tc>
              <w:tc>
                <w:tcPr>
                  <w:tcW w:w="623" w:type="pct"/>
                  <w:tcBorders>
                    <w:top w:val="single" w:color="000000" w:sz="4" w:space="0"/>
                    <w:left w:val="single" w:color="000000" w:sz="4" w:space="0"/>
                    <w:bottom w:val="single" w:color="000000" w:sz="4" w:space="0"/>
                    <w:right w:val="single" w:color="000000" w:sz="4" w:space="0"/>
                  </w:tcBorders>
                  <w:vAlign w:val="center"/>
                </w:tcPr>
                <w:p w14:paraId="224188CE">
                  <w:pPr>
                    <w:pStyle w:val="43"/>
                    <w:wordWrap/>
                    <w:spacing w:line="240" w:lineRule="auto"/>
                    <w:ind w:firstLine="0" w:firstLineChars="0"/>
                    <w:jc w:val="center"/>
                    <w:rPr>
                      <w:b/>
                      <w:bCs/>
                      <w:color w:val="auto"/>
                      <w:sz w:val="21"/>
                      <w:szCs w:val="20"/>
                    </w:rPr>
                  </w:pPr>
                  <w:r>
                    <w:rPr>
                      <w:rFonts w:hint="eastAsia"/>
                      <w:b/>
                      <w:bCs/>
                      <w:color w:val="auto"/>
                      <w:sz w:val="21"/>
                      <w:szCs w:val="20"/>
                    </w:rPr>
                    <w:t>开口面积</w:t>
                  </w:r>
                  <w:r>
                    <w:rPr>
                      <w:b/>
                      <w:bCs/>
                      <w:color w:val="auto"/>
                      <w:sz w:val="21"/>
                      <w:szCs w:val="20"/>
                    </w:rPr>
                    <w:t>m</w:t>
                  </w:r>
                  <w:r>
                    <w:rPr>
                      <w:rFonts w:hint="eastAsia"/>
                      <w:b/>
                      <w:bCs/>
                      <w:color w:val="auto"/>
                      <w:sz w:val="21"/>
                      <w:szCs w:val="20"/>
                      <w:vertAlign w:val="superscript"/>
                    </w:rPr>
                    <w:t>2</w:t>
                  </w:r>
                </w:p>
              </w:tc>
              <w:tc>
                <w:tcPr>
                  <w:tcW w:w="506" w:type="pct"/>
                  <w:tcBorders>
                    <w:top w:val="single" w:color="000000" w:sz="4" w:space="0"/>
                    <w:left w:val="single" w:color="000000" w:sz="4" w:space="0"/>
                    <w:bottom w:val="single" w:color="000000" w:sz="4" w:space="0"/>
                    <w:right w:val="single" w:color="000000" w:sz="4" w:space="0"/>
                  </w:tcBorders>
                  <w:vAlign w:val="center"/>
                </w:tcPr>
                <w:p w14:paraId="472A04E0">
                  <w:pPr>
                    <w:pStyle w:val="43"/>
                    <w:wordWrap/>
                    <w:spacing w:line="240" w:lineRule="auto"/>
                    <w:ind w:firstLine="0" w:firstLineChars="0"/>
                    <w:jc w:val="center"/>
                    <w:rPr>
                      <w:b/>
                      <w:bCs/>
                      <w:color w:val="auto"/>
                      <w:sz w:val="21"/>
                      <w:szCs w:val="20"/>
                    </w:rPr>
                  </w:pPr>
                  <w:r>
                    <w:rPr>
                      <w:rFonts w:hint="eastAsia"/>
                      <w:b/>
                      <w:bCs/>
                      <w:color w:val="auto"/>
                      <w:sz w:val="21"/>
                      <w:szCs w:val="20"/>
                    </w:rPr>
                    <w:t>风管数量</w:t>
                  </w:r>
                </w:p>
              </w:tc>
              <w:tc>
                <w:tcPr>
                  <w:tcW w:w="959" w:type="pct"/>
                  <w:tcBorders>
                    <w:top w:val="single" w:color="000000" w:sz="4" w:space="0"/>
                    <w:left w:val="single" w:color="000000" w:sz="4" w:space="0"/>
                    <w:bottom w:val="single" w:color="000000" w:sz="4" w:space="0"/>
                    <w:right w:val="single" w:color="000000" w:sz="4" w:space="0"/>
                  </w:tcBorders>
                  <w:vAlign w:val="center"/>
                </w:tcPr>
                <w:p w14:paraId="3209EE80">
                  <w:pPr>
                    <w:pStyle w:val="43"/>
                    <w:wordWrap/>
                    <w:spacing w:line="240" w:lineRule="auto"/>
                    <w:ind w:firstLine="0" w:firstLineChars="0"/>
                    <w:jc w:val="center"/>
                    <w:rPr>
                      <w:b/>
                      <w:bCs/>
                      <w:color w:val="auto"/>
                      <w:sz w:val="21"/>
                      <w:szCs w:val="20"/>
                    </w:rPr>
                  </w:pPr>
                  <w:r>
                    <w:rPr>
                      <w:b/>
                      <w:bCs/>
                      <w:color w:val="auto"/>
                      <w:sz w:val="21"/>
                      <w:szCs w:val="20"/>
                    </w:rPr>
                    <w:t>开口面控制风速m/s</w:t>
                  </w:r>
                </w:p>
              </w:tc>
              <w:tc>
                <w:tcPr>
                  <w:tcW w:w="706" w:type="pct"/>
                  <w:tcBorders>
                    <w:top w:val="single" w:color="000000" w:sz="4" w:space="0"/>
                    <w:left w:val="single" w:color="000000" w:sz="4" w:space="0"/>
                    <w:bottom w:val="single" w:color="000000" w:sz="4" w:space="0"/>
                    <w:right w:val="single" w:color="000000" w:sz="4" w:space="0"/>
                  </w:tcBorders>
                  <w:vAlign w:val="center"/>
                </w:tcPr>
                <w:p w14:paraId="420F7845">
                  <w:pPr>
                    <w:pStyle w:val="43"/>
                    <w:wordWrap/>
                    <w:spacing w:line="240" w:lineRule="auto"/>
                    <w:ind w:firstLine="0" w:firstLineChars="0"/>
                    <w:jc w:val="center"/>
                    <w:rPr>
                      <w:b/>
                      <w:bCs/>
                      <w:color w:val="auto"/>
                      <w:sz w:val="21"/>
                      <w:szCs w:val="20"/>
                    </w:rPr>
                  </w:pPr>
                  <w:r>
                    <w:rPr>
                      <w:rFonts w:hint="eastAsia"/>
                      <w:b/>
                      <w:bCs/>
                      <w:color w:val="auto"/>
                      <w:sz w:val="21"/>
                      <w:szCs w:val="20"/>
                    </w:rPr>
                    <w:t>理论</w:t>
                  </w:r>
                  <w:r>
                    <w:rPr>
                      <w:b/>
                      <w:bCs/>
                      <w:color w:val="auto"/>
                      <w:sz w:val="21"/>
                      <w:szCs w:val="20"/>
                    </w:rPr>
                    <w:t>风量m</w:t>
                  </w:r>
                  <w:r>
                    <w:rPr>
                      <w:b/>
                      <w:bCs/>
                      <w:color w:val="auto"/>
                      <w:sz w:val="21"/>
                      <w:szCs w:val="20"/>
                      <w:vertAlign w:val="superscript"/>
                    </w:rPr>
                    <w:t>3</w:t>
                  </w:r>
                  <w:r>
                    <w:rPr>
                      <w:b/>
                      <w:bCs/>
                      <w:color w:val="auto"/>
                      <w:sz w:val="21"/>
                      <w:szCs w:val="20"/>
                    </w:rPr>
                    <w:t>/h</w:t>
                  </w:r>
                </w:p>
              </w:tc>
            </w:tr>
            <w:tr w14:paraId="5823FAA6">
              <w:tblPrEx>
                <w:tblCellMar>
                  <w:top w:w="0" w:type="dxa"/>
                  <w:left w:w="108" w:type="dxa"/>
                  <w:bottom w:w="0" w:type="dxa"/>
                  <w:right w:w="108" w:type="dxa"/>
                </w:tblCellMar>
              </w:tblPrEx>
              <w:trPr>
                <w:trHeight w:val="270" w:hRule="atLeast"/>
                <w:jc w:val="center"/>
              </w:trPr>
              <w:tc>
                <w:tcPr>
                  <w:tcW w:w="806" w:type="pct"/>
                  <w:tcBorders>
                    <w:top w:val="single" w:color="000000" w:sz="4" w:space="0"/>
                    <w:left w:val="single" w:color="000000" w:sz="4" w:space="0"/>
                    <w:bottom w:val="single" w:color="000000" w:sz="4" w:space="0"/>
                    <w:right w:val="single" w:color="000000" w:sz="4" w:space="0"/>
                  </w:tcBorders>
                  <w:vAlign w:val="center"/>
                </w:tcPr>
                <w:p w14:paraId="35E6790A">
                  <w:pPr>
                    <w:pStyle w:val="43"/>
                    <w:wordWrap/>
                    <w:spacing w:line="240" w:lineRule="auto"/>
                    <w:ind w:firstLine="0" w:firstLineChars="0"/>
                    <w:jc w:val="center"/>
                    <w:rPr>
                      <w:color w:val="auto"/>
                      <w:sz w:val="21"/>
                      <w:szCs w:val="20"/>
                    </w:rPr>
                  </w:pPr>
                  <w:r>
                    <w:rPr>
                      <w:rFonts w:hint="eastAsia"/>
                      <w:color w:val="auto"/>
                      <w:sz w:val="21"/>
                      <w:szCs w:val="20"/>
                    </w:rPr>
                    <w:t>固化隧道炉</w:t>
                  </w:r>
                </w:p>
              </w:tc>
              <w:tc>
                <w:tcPr>
                  <w:tcW w:w="806" w:type="pct"/>
                  <w:tcBorders>
                    <w:top w:val="single" w:color="000000" w:sz="4" w:space="0"/>
                    <w:left w:val="single" w:color="000000" w:sz="4" w:space="0"/>
                    <w:bottom w:val="single" w:color="000000" w:sz="4" w:space="0"/>
                    <w:right w:val="single" w:color="000000" w:sz="4" w:space="0"/>
                  </w:tcBorders>
                  <w:vAlign w:val="center"/>
                </w:tcPr>
                <w:p w14:paraId="65BE4AE0">
                  <w:pPr>
                    <w:pStyle w:val="43"/>
                    <w:wordWrap/>
                    <w:spacing w:line="240" w:lineRule="auto"/>
                    <w:ind w:firstLine="0" w:firstLineChars="0"/>
                    <w:jc w:val="center"/>
                    <w:rPr>
                      <w:color w:val="auto"/>
                      <w:sz w:val="21"/>
                      <w:szCs w:val="20"/>
                    </w:rPr>
                  </w:pPr>
                  <w:r>
                    <w:rPr>
                      <w:color w:val="auto"/>
                      <w:sz w:val="21"/>
                      <w:szCs w:val="20"/>
                    </w:rPr>
                    <w:t>35×1.8×2.6</w:t>
                  </w:r>
                </w:p>
              </w:tc>
              <w:tc>
                <w:tcPr>
                  <w:tcW w:w="590" w:type="pct"/>
                  <w:tcBorders>
                    <w:top w:val="single" w:color="000000" w:sz="4" w:space="0"/>
                    <w:left w:val="single" w:color="000000" w:sz="4" w:space="0"/>
                    <w:bottom w:val="single" w:color="000000" w:sz="4" w:space="0"/>
                    <w:right w:val="single" w:color="000000" w:sz="4" w:space="0"/>
                  </w:tcBorders>
                  <w:vAlign w:val="center"/>
                </w:tcPr>
                <w:p w14:paraId="504B4FD6">
                  <w:pPr>
                    <w:widowControl/>
                    <w:jc w:val="center"/>
                    <w:textAlignment w:val="center"/>
                    <w:rPr>
                      <w:color w:val="auto"/>
                      <w:szCs w:val="20"/>
                    </w:rPr>
                  </w:pPr>
                  <w:r>
                    <w:rPr>
                      <w:color w:val="auto"/>
                      <w:kern w:val="0"/>
                      <w:szCs w:val="21"/>
                      <w:lang w:bidi="ar"/>
                    </w:rPr>
                    <w:t>0.2</w:t>
                  </w:r>
                </w:p>
              </w:tc>
              <w:tc>
                <w:tcPr>
                  <w:tcW w:w="623" w:type="pct"/>
                  <w:tcBorders>
                    <w:top w:val="single" w:color="000000" w:sz="4" w:space="0"/>
                    <w:left w:val="single" w:color="000000" w:sz="4" w:space="0"/>
                    <w:bottom w:val="single" w:color="000000" w:sz="4" w:space="0"/>
                    <w:right w:val="single" w:color="000000" w:sz="4" w:space="0"/>
                  </w:tcBorders>
                  <w:vAlign w:val="center"/>
                </w:tcPr>
                <w:p w14:paraId="7442A41F">
                  <w:pPr>
                    <w:widowControl/>
                    <w:jc w:val="center"/>
                    <w:textAlignment w:val="center"/>
                    <w:rPr>
                      <w:color w:val="auto"/>
                      <w:szCs w:val="20"/>
                    </w:rPr>
                  </w:pPr>
                  <w:r>
                    <w:rPr>
                      <w:color w:val="auto"/>
                      <w:kern w:val="0"/>
                      <w:szCs w:val="21"/>
                      <w:lang w:bidi="ar"/>
                    </w:rPr>
                    <w:t>0.0314</w:t>
                  </w:r>
                </w:p>
              </w:tc>
              <w:tc>
                <w:tcPr>
                  <w:tcW w:w="506" w:type="pct"/>
                  <w:tcBorders>
                    <w:top w:val="single" w:color="000000" w:sz="4" w:space="0"/>
                    <w:left w:val="single" w:color="000000" w:sz="4" w:space="0"/>
                    <w:bottom w:val="single" w:color="000000" w:sz="4" w:space="0"/>
                    <w:right w:val="single" w:color="000000" w:sz="4" w:space="0"/>
                  </w:tcBorders>
                  <w:vAlign w:val="center"/>
                </w:tcPr>
                <w:p w14:paraId="3B9F423B">
                  <w:pPr>
                    <w:widowControl/>
                    <w:jc w:val="center"/>
                    <w:textAlignment w:val="center"/>
                    <w:rPr>
                      <w:color w:val="auto"/>
                      <w:szCs w:val="20"/>
                    </w:rPr>
                  </w:pPr>
                  <w:r>
                    <w:rPr>
                      <w:color w:val="auto"/>
                      <w:kern w:val="0"/>
                      <w:szCs w:val="21"/>
                      <w:lang w:bidi="ar"/>
                    </w:rPr>
                    <w:t>17</w:t>
                  </w:r>
                </w:p>
              </w:tc>
              <w:tc>
                <w:tcPr>
                  <w:tcW w:w="959" w:type="pct"/>
                  <w:tcBorders>
                    <w:top w:val="single" w:color="000000" w:sz="4" w:space="0"/>
                    <w:left w:val="single" w:color="000000" w:sz="4" w:space="0"/>
                    <w:bottom w:val="single" w:color="000000" w:sz="4" w:space="0"/>
                    <w:right w:val="single" w:color="000000" w:sz="4" w:space="0"/>
                  </w:tcBorders>
                  <w:vAlign w:val="center"/>
                </w:tcPr>
                <w:p w14:paraId="67BCACC5">
                  <w:pPr>
                    <w:widowControl/>
                    <w:jc w:val="center"/>
                    <w:textAlignment w:val="center"/>
                    <w:rPr>
                      <w:color w:val="auto"/>
                      <w:szCs w:val="20"/>
                    </w:rPr>
                  </w:pPr>
                  <w:r>
                    <w:rPr>
                      <w:color w:val="auto"/>
                      <w:kern w:val="0"/>
                      <w:szCs w:val="21"/>
                      <w:lang w:bidi="ar"/>
                    </w:rPr>
                    <w:t>0.6</w:t>
                  </w:r>
                </w:p>
              </w:tc>
              <w:tc>
                <w:tcPr>
                  <w:tcW w:w="706" w:type="pct"/>
                  <w:tcBorders>
                    <w:top w:val="single" w:color="000000" w:sz="4" w:space="0"/>
                    <w:left w:val="single" w:color="000000" w:sz="4" w:space="0"/>
                    <w:bottom w:val="single" w:color="000000" w:sz="4" w:space="0"/>
                    <w:right w:val="single" w:color="000000" w:sz="4" w:space="0"/>
                  </w:tcBorders>
                  <w:vAlign w:val="center"/>
                </w:tcPr>
                <w:p w14:paraId="4C3CEB84">
                  <w:pPr>
                    <w:widowControl/>
                    <w:jc w:val="center"/>
                    <w:textAlignment w:val="center"/>
                    <w:rPr>
                      <w:color w:val="auto"/>
                      <w:szCs w:val="20"/>
                    </w:rPr>
                  </w:pPr>
                  <w:r>
                    <w:rPr>
                      <w:color w:val="auto"/>
                      <w:kern w:val="0"/>
                      <w:szCs w:val="21"/>
                      <w:lang w:bidi="ar"/>
                    </w:rPr>
                    <w:t xml:space="preserve">1153 </w:t>
                  </w:r>
                </w:p>
              </w:tc>
            </w:tr>
            <w:tr w14:paraId="01D89D79">
              <w:tblPrEx>
                <w:tblCellMar>
                  <w:top w:w="0" w:type="dxa"/>
                  <w:left w:w="108" w:type="dxa"/>
                  <w:bottom w:w="0" w:type="dxa"/>
                  <w:right w:w="108" w:type="dxa"/>
                </w:tblCellMar>
              </w:tblPrEx>
              <w:trPr>
                <w:trHeight w:val="270" w:hRule="atLeast"/>
                <w:jc w:val="center"/>
              </w:trPr>
              <w:tc>
                <w:tcPr>
                  <w:tcW w:w="806" w:type="pct"/>
                  <w:tcBorders>
                    <w:top w:val="single" w:color="000000" w:sz="4" w:space="0"/>
                    <w:left w:val="single" w:color="000000" w:sz="4" w:space="0"/>
                    <w:bottom w:val="single" w:color="000000" w:sz="4" w:space="0"/>
                    <w:right w:val="single" w:color="000000" w:sz="4" w:space="0"/>
                  </w:tcBorders>
                  <w:vAlign w:val="center"/>
                </w:tcPr>
                <w:p w14:paraId="77538805">
                  <w:pPr>
                    <w:pStyle w:val="43"/>
                    <w:wordWrap/>
                    <w:spacing w:line="240" w:lineRule="auto"/>
                    <w:ind w:firstLine="0" w:firstLineChars="0"/>
                    <w:jc w:val="center"/>
                    <w:rPr>
                      <w:color w:val="auto"/>
                      <w:sz w:val="21"/>
                      <w:szCs w:val="20"/>
                    </w:rPr>
                  </w:pPr>
                  <w:r>
                    <w:rPr>
                      <w:rFonts w:hint="eastAsia"/>
                      <w:color w:val="auto"/>
                      <w:sz w:val="21"/>
                      <w:szCs w:val="20"/>
                    </w:rPr>
                    <w:t>面漆烘烤隧道炉</w:t>
                  </w:r>
                </w:p>
              </w:tc>
              <w:tc>
                <w:tcPr>
                  <w:tcW w:w="806" w:type="pct"/>
                  <w:tcBorders>
                    <w:top w:val="single" w:color="000000" w:sz="4" w:space="0"/>
                    <w:left w:val="single" w:color="000000" w:sz="4" w:space="0"/>
                    <w:bottom w:val="single" w:color="000000" w:sz="4" w:space="0"/>
                    <w:right w:val="single" w:color="000000" w:sz="4" w:space="0"/>
                  </w:tcBorders>
                  <w:vAlign w:val="center"/>
                </w:tcPr>
                <w:p w14:paraId="5A96203A">
                  <w:pPr>
                    <w:pStyle w:val="43"/>
                    <w:wordWrap/>
                    <w:spacing w:line="240" w:lineRule="auto"/>
                    <w:ind w:firstLine="0" w:firstLineChars="0"/>
                    <w:jc w:val="center"/>
                    <w:rPr>
                      <w:color w:val="auto"/>
                      <w:sz w:val="21"/>
                      <w:szCs w:val="20"/>
                    </w:rPr>
                  </w:pPr>
                  <w:r>
                    <w:rPr>
                      <w:color w:val="auto"/>
                      <w:sz w:val="21"/>
                      <w:szCs w:val="20"/>
                    </w:rPr>
                    <w:t>37×1.8×2.6</w:t>
                  </w:r>
                </w:p>
              </w:tc>
              <w:tc>
                <w:tcPr>
                  <w:tcW w:w="590" w:type="pct"/>
                  <w:tcBorders>
                    <w:top w:val="single" w:color="000000" w:sz="4" w:space="0"/>
                    <w:left w:val="single" w:color="000000" w:sz="4" w:space="0"/>
                    <w:bottom w:val="single" w:color="000000" w:sz="4" w:space="0"/>
                    <w:right w:val="single" w:color="000000" w:sz="4" w:space="0"/>
                  </w:tcBorders>
                  <w:vAlign w:val="center"/>
                </w:tcPr>
                <w:p w14:paraId="4C5F2703">
                  <w:pPr>
                    <w:widowControl/>
                    <w:jc w:val="center"/>
                    <w:textAlignment w:val="center"/>
                    <w:rPr>
                      <w:color w:val="auto"/>
                      <w:szCs w:val="20"/>
                    </w:rPr>
                  </w:pPr>
                  <w:r>
                    <w:rPr>
                      <w:color w:val="auto"/>
                      <w:kern w:val="0"/>
                      <w:szCs w:val="21"/>
                      <w:lang w:bidi="ar"/>
                    </w:rPr>
                    <w:t>0.2</w:t>
                  </w:r>
                </w:p>
              </w:tc>
              <w:tc>
                <w:tcPr>
                  <w:tcW w:w="623" w:type="pct"/>
                  <w:tcBorders>
                    <w:top w:val="single" w:color="000000" w:sz="4" w:space="0"/>
                    <w:left w:val="single" w:color="000000" w:sz="4" w:space="0"/>
                    <w:bottom w:val="single" w:color="000000" w:sz="4" w:space="0"/>
                    <w:right w:val="single" w:color="000000" w:sz="4" w:space="0"/>
                  </w:tcBorders>
                  <w:vAlign w:val="center"/>
                </w:tcPr>
                <w:p w14:paraId="7968850A">
                  <w:pPr>
                    <w:widowControl/>
                    <w:jc w:val="center"/>
                    <w:textAlignment w:val="center"/>
                    <w:rPr>
                      <w:color w:val="auto"/>
                      <w:szCs w:val="20"/>
                    </w:rPr>
                  </w:pPr>
                  <w:r>
                    <w:rPr>
                      <w:color w:val="auto"/>
                      <w:kern w:val="0"/>
                      <w:szCs w:val="21"/>
                      <w:lang w:bidi="ar"/>
                    </w:rPr>
                    <w:t>0.0314</w:t>
                  </w:r>
                </w:p>
              </w:tc>
              <w:tc>
                <w:tcPr>
                  <w:tcW w:w="506" w:type="pct"/>
                  <w:tcBorders>
                    <w:top w:val="single" w:color="000000" w:sz="4" w:space="0"/>
                    <w:left w:val="single" w:color="000000" w:sz="4" w:space="0"/>
                    <w:bottom w:val="single" w:color="000000" w:sz="4" w:space="0"/>
                    <w:right w:val="single" w:color="000000" w:sz="4" w:space="0"/>
                  </w:tcBorders>
                  <w:vAlign w:val="center"/>
                </w:tcPr>
                <w:p w14:paraId="39C4C080">
                  <w:pPr>
                    <w:widowControl/>
                    <w:jc w:val="center"/>
                    <w:textAlignment w:val="center"/>
                    <w:rPr>
                      <w:color w:val="auto"/>
                      <w:szCs w:val="20"/>
                    </w:rPr>
                  </w:pPr>
                  <w:r>
                    <w:rPr>
                      <w:color w:val="auto"/>
                      <w:kern w:val="0"/>
                      <w:szCs w:val="21"/>
                      <w:lang w:bidi="ar"/>
                    </w:rPr>
                    <w:t>18</w:t>
                  </w:r>
                </w:p>
              </w:tc>
              <w:tc>
                <w:tcPr>
                  <w:tcW w:w="959" w:type="pct"/>
                  <w:tcBorders>
                    <w:top w:val="single" w:color="000000" w:sz="4" w:space="0"/>
                    <w:left w:val="single" w:color="000000" w:sz="4" w:space="0"/>
                    <w:bottom w:val="single" w:color="000000" w:sz="4" w:space="0"/>
                    <w:right w:val="single" w:color="000000" w:sz="4" w:space="0"/>
                  </w:tcBorders>
                  <w:vAlign w:val="center"/>
                </w:tcPr>
                <w:p w14:paraId="4C19CFAE">
                  <w:pPr>
                    <w:widowControl/>
                    <w:jc w:val="center"/>
                    <w:textAlignment w:val="center"/>
                    <w:rPr>
                      <w:color w:val="auto"/>
                      <w:szCs w:val="20"/>
                    </w:rPr>
                  </w:pPr>
                  <w:r>
                    <w:rPr>
                      <w:color w:val="auto"/>
                      <w:kern w:val="0"/>
                      <w:szCs w:val="21"/>
                      <w:lang w:bidi="ar"/>
                    </w:rPr>
                    <w:t>0.6</w:t>
                  </w:r>
                </w:p>
              </w:tc>
              <w:tc>
                <w:tcPr>
                  <w:tcW w:w="706" w:type="pct"/>
                  <w:tcBorders>
                    <w:top w:val="single" w:color="000000" w:sz="4" w:space="0"/>
                    <w:left w:val="single" w:color="000000" w:sz="4" w:space="0"/>
                    <w:bottom w:val="single" w:color="000000" w:sz="4" w:space="0"/>
                    <w:right w:val="single" w:color="000000" w:sz="4" w:space="0"/>
                  </w:tcBorders>
                  <w:vAlign w:val="center"/>
                </w:tcPr>
                <w:p w14:paraId="1541369B">
                  <w:pPr>
                    <w:widowControl/>
                    <w:jc w:val="center"/>
                    <w:textAlignment w:val="center"/>
                    <w:rPr>
                      <w:color w:val="auto"/>
                      <w:szCs w:val="20"/>
                    </w:rPr>
                  </w:pPr>
                  <w:r>
                    <w:rPr>
                      <w:color w:val="auto"/>
                      <w:kern w:val="0"/>
                      <w:szCs w:val="21"/>
                      <w:lang w:bidi="ar"/>
                    </w:rPr>
                    <w:t xml:space="preserve">1221 </w:t>
                  </w:r>
                </w:p>
              </w:tc>
            </w:tr>
            <w:tr w14:paraId="05535A68">
              <w:tblPrEx>
                <w:tblCellMar>
                  <w:top w:w="0" w:type="dxa"/>
                  <w:left w:w="108" w:type="dxa"/>
                  <w:bottom w:w="0" w:type="dxa"/>
                  <w:right w:w="108" w:type="dxa"/>
                </w:tblCellMar>
              </w:tblPrEx>
              <w:trPr>
                <w:trHeight w:val="270" w:hRule="atLeast"/>
                <w:jc w:val="center"/>
              </w:trPr>
              <w:tc>
                <w:tcPr>
                  <w:tcW w:w="806" w:type="pct"/>
                  <w:tcBorders>
                    <w:top w:val="single" w:color="000000" w:sz="4" w:space="0"/>
                    <w:left w:val="single" w:color="000000" w:sz="4" w:space="0"/>
                    <w:bottom w:val="single" w:color="000000" w:sz="4" w:space="0"/>
                    <w:right w:val="single" w:color="000000" w:sz="4" w:space="0"/>
                  </w:tcBorders>
                  <w:vAlign w:val="center"/>
                </w:tcPr>
                <w:p w14:paraId="6E1DD12B">
                  <w:pPr>
                    <w:pStyle w:val="43"/>
                    <w:wordWrap/>
                    <w:spacing w:line="240" w:lineRule="auto"/>
                    <w:ind w:firstLine="0" w:firstLineChars="0"/>
                    <w:jc w:val="center"/>
                    <w:rPr>
                      <w:color w:val="auto"/>
                      <w:sz w:val="21"/>
                      <w:szCs w:val="20"/>
                    </w:rPr>
                  </w:pPr>
                  <w:r>
                    <w:rPr>
                      <w:rFonts w:hint="eastAsia"/>
                      <w:color w:val="auto"/>
                      <w:sz w:val="21"/>
                      <w:szCs w:val="20"/>
                    </w:rPr>
                    <w:t>清漆烘烤隧道炉</w:t>
                  </w:r>
                </w:p>
              </w:tc>
              <w:tc>
                <w:tcPr>
                  <w:tcW w:w="806" w:type="pct"/>
                  <w:tcBorders>
                    <w:top w:val="single" w:color="000000" w:sz="4" w:space="0"/>
                    <w:left w:val="single" w:color="000000" w:sz="4" w:space="0"/>
                    <w:bottom w:val="single" w:color="000000" w:sz="4" w:space="0"/>
                    <w:right w:val="single" w:color="000000" w:sz="4" w:space="0"/>
                  </w:tcBorders>
                  <w:vAlign w:val="center"/>
                </w:tcPr>
                <w:p w14:paraId="08EE50E5">
                  <w:pPr>
                    <w:pStyle w:val="43"/>
                    <w:wordWrap/>
                    <w:spacing w:line="240" w:lineRule="auto"/>
                    <w:ind w:firstLine="0" w:firstLineChars="0"/>
                    <w:jc w:val="center"/>
                    <w:rPr>
                      <w:color w:val="auto"/>
                      <w:sz w:val="21"/>
                      <w:szCs w:val="20"/>
                    </w:rPr>
                  </w:pPr>
                  <w:r>
                    <w:rPr>
                      <w:color w:val="auto"/>
                      <w:sz w:val="21"/>
                      <w:szCs w:val="20"/>
                    </w:rPr>
                    <w:t>37×1.8×2.6</w:t>
                  </w:r>
                </w:p>
              </w:tc>
              <w:tc>
                <w:tcPr>
                  <w:tcW w:w="590" w:type="pct"/>
                  <w:tcBorders>
                    <w:top w:val="single" w:color="000000" w:sz="4" w:space="0"/>
                    <w:left w:val="single" w:color="000000" w:sz="4" w:space="0"/>
                    <w:bottom w:val="single" w:color="000000" w:sz="4" w:space="0"/>
                    <w:right w:val="single" w:color="000000" w:sz="4" w:space="0"/>
                  </w:tcBorders>
                  <w:vAlign w:val="center"/>
                </w:tcPr>
                <w:p w14:paraId="39A20562">
                  <w:pPr>
                    <w:widowControl/>
                    <w:jc w:val="center"/>
                    <w:textAlignment w:val="center"/>
                    <w:rPr>
                      <w:color w:val="auto"/>
                      <w:szCs w:val="20"/>
                    </w:rPr>
                  </w:pPr>
                  <w:r>
                    <w:rPr>
                      <w:color w:val="auto"/>
                      <w:kern w:val="0"/>
                      <w:szCs w:val="21"/>
                      <w:lang w:bidi="ar"/>
                    </w:rPr>
                    <w:t>0.2</w:t>
                  </w:r>
                </w:p>
              </w:tc>
              <w:tc>
                <w:tcPr>
                  <w:tcW w:w="623" w:type="pct"/>
                  <w:tcBorders>
                    <w:top w:val="single" w:color="000000" w:sz="4" w:space="0"/>
                    <w:left w:val="single" w:color="000000" w:sz="4" w:space="0"/>
                    <w:bottom w:val="single" w:color="000000" w:sz="4" w:space="0"/>
                    <w:right w:val="single" w:color="000000" w:sz="4" w:space="0"/>
                  </w:tcBorders>
                  <w:vAlign w:val="center"/>
                </w:tcPr>
                <w:p w14:paraId="17B5502E">
                  <w:pPr>
                    <w:widowControl/>
                    <w:jc w:val="center"/>
                    <w:textAlignment w:val="center"/>
                    <w:rPr>
                      <w:color w:val="auto"/>
                      <w:szCs w:val="20"/>
                    </w:rPr>
                  </w:pPr>
                  <w:r>
                    <w:rPr>
                      <w:color w:val="auto"/>
                      <w:kern w:val="0"/>
                      <w:szCs w:val="21"/>
                      <w:lang w:bidi="ar"/>
                    </w:rPr>
                    <w:t>0.0314</w:t>
                  </w:r>
                </w:p>
              </w:tc>
              <w:tc>
                <w:tcPr>
                  <w:tcW w:w="506" w:type="pct"/>
                  <w:tcBorders>
                    <w:top w:val="single" w:color="000000" w:sz="4" w:space="0"/>
                    <w:left w:val="single" w:color="000000" w:sz="4" w:space="0"/>
                    <w:bottom w:val="single" w:color="000000" w:sz="4" w:space="0"/>
                    <w:right w:val="single" w:color="000000" w:sz="4" w:space="0"/>
                  </w:tcBorders>
                  <w:vAlign w:val="center"/>
                </w:tcPr>
                <w:p w14:paraId="21D1A471">
                  <w:pPr>
                    <w:widowControl/>
                    <w:jc w:val="center"/>
                    <w:textAlignment w:val="center"/>
                    <w:rPr>
                      <w:color w:val="auto"/>
                      <w:szCs w:val="20"/>
                    </w:rPr>
                  </w:pPr>
                  <w:r>
                    <w:rPr>
                      <w:color w:val="auto"/>
                      <w:kern w:val="0"/>
                      <w:szCs w:val="21"/>
                      <w:lang w:bidi="ar"/>
                    </w:rPr>
                    <w:t>18</w:t>
                  </w:r>
                </w:p>
              </w:tc>
              <w:tc>
                <w:tcPr>
                  <w:tcW w:w="959" w:type="pct"/>
                  <w:tcBorders>
                    <w:top w:val="single" w:color="000000" w:sz="4" w:space="0"/>
                    <w:left w:val="single" w:color="000000" w:sz="4" w:space="0"/>
                    <w:bottom w:val="single" w:color="000000" w:sz="4" w:space="0"/>
                    <w:right w:val="single" w:color="000000" w:sz="4" w:space="0"/>
                  </w:tcBorders>
                  <w:vAlign w:val="center"/>
                </w:tcPr>
                <w:p w14:paraId="029E5194">
                  <w:pPr>
                    <w:widowControl/>
                    <w:jc w:val="center"/>
                    <w:textAlignment w:val="center"/>
                    <w:rPr>
                      <w:color w:val="auto"/>
                      <w:szCs w:val="20"/>
                    </w:rPr>
                  </w:pPr>
                  <w:r>
                    <w:rPr>
                      <w:color w:val="auto"/>
                      <w:kern w:val="0"/>
                      <w:szCs w:val="21"/>
                      <w:lang w:bidi="ar"/>
                    </w:rPr>
                    <w:t>0.6</w:t>
                  </w:r>
                </w:p>
              </w:tc>
              <w:tc>
                <w:tcPr>
                  <w:tcW w:w="706" w:type="pct"/>
                  <w:tcBorders>
                    <w:top w:val="single" w:color="000000" w:sz="4" w:space="0"/>
                    <w:left w:val="single" w:color="000000" w:sz="4" w:space="0"/>
                    <w:bottom w:val="single" w:color="000000" w:sz="4" w:space="0"/>
                    <w:right w:val="single" w:color="000000" w:sz="4" w:space="0"/>
                  </w:tcBorders>
                  <w:vAlign w:val="center"/>
                </w:tcPr>
                <w:p w14:paraId="0EAC5C08">
                  <w:pPr>
                    <w:widowControl/>
                    <w:jc w:val="center"/>
                    <w:textAlignment w:val="center"/>
                    <w:rPr>
                      <w:color w:val="auto"/>
                      <w:szCs w:val="20"/>
                    </w:rPr>
                  </w:pPr>
                  <w:r>
                    <w:rPr>
                      <w:color w:val="auto"/>
                      <w:kern w:val="0"/>
                      <w:szCs w:val="21"/>
                      <w:lang w:bidi="ar"/>
                    </w:rPr>
                    <w:t xml:space="preserve">1221 </w:t>
                  </w:r>
                </w:p>
              </w:tc>
            </w:tr>
            <w:tr w14:paraId="49A6AFD1">
              <w:tblPrEx>
                <w:tblCellMar>
                  <w:top w:w="0" w:type="dxa"/>
                  <w:left w:w="108" w:type="dxa"/>
                  <w:bottom w:w="0" w:type="dxa"/>
                  <w:right w:w="108" w:type="dxa"/>
                </w:tblCellMar>
              </w:tblPrEx>
              <w:trPr>
                <w:trHeight w:val="270" w:hRule="atLeast"/>
                <w:jc w:val="center"/>
              </w:trPr>
              <w:tc>
                <w:tcPr>
                  <w:tcW w:w="806" w:type="pct"/>
                  <w:tcBorders>
                    <w:top w:val="single" w:color="000000" w:sz="4" w:space="0"/>
                    <w:left w:val="single" w:color="000000" w:sz="4" w:space="0"/>
                    <w:bottom w:val="single" w:color="000000" w:sz="4" w:space="0"/>
                    <w:right w:val="single" w:color="000000" w:sz="4" w:space="0"/>
                  </w:tcBorders>
                  <w:vAlign w:val="center"/>
                </w:tcPr>
                <w:p w14:paraId="69BFF470">
                  <w:pPr>
                    <w:pStyle w:val="43"/>
                    <w:wordWrap/>
                    <w:spacing w:line="240" w:lineRule="auto"/>
                    <w:ind w:firstLine="0" w:firstLineChars="0"/>
                    <w:jc w:val="center"/>
                    <w:rPr>
                      <w:color w:val="auto"/>
                      <w:sz w:val="21"/>
                      <w:szCs w:val="20"/>
                    </w:rPr>
                  </w:pPr>
                  <w:r>
                    <w:rPr>
                      <w:rFonts w:hint="eastAsia"/>
                      <w:color w:val="auto"/>
                      <w:sz w:val="21"/>
                      <w:szCs w:val="20"/>
                    </w:rPr>
                    <w:t>烘烤柜炉</w:t>
                  </w:r>
                </w:p>
              </w:tc>
              <w:tc>
                <w:tcPr>
                  <w:tcW w:w="806" w:type="pct"/>
                  <w:tcBorders>
                    <w:top w:val="single" w:color="000000" w:sz="4" w:space="0"/>
                    <w:left w:val="single" w:color="000000" w:sz="4" w:space="0"/>
                    <w:bottom w:val="single" w:color="000000" w:sz="4" w:space="0"/>
                    <w:right w:val="single" w:color="000000" w:sz="4" w:space="0"/>
                  </w:tcBorders>
                  <w:vAlign w:val="center"/>
                </w:tcPr>
                <w:p w14:paraId="0411506C">
                  <w:pPr>
                    <w:pStyle w:val="43"/>
                    <w:wordWrap/>
                    <w:spacing w:line="240" w:lineRule="auto"/>
                    <w:ind w:firstLine="0" w:firstLineChars="0"/>
                    <w:jc w:val="center"/>
                    <w:rPr>
                      <w:color w:val="auto"/>
                      <w:sz w:val="21"/>
                      <w:szCs w:val="20"/>
                    </w:rPr>
                  </w:pPr>
                  <w:r>
                    <w:rPr>
                      <w:color w:val="auto"/>
                      <w:sz w:val="21"/>
                      <w:szCs w:val="20"/>
                    </w:rPr>
                    <w:t>3.4×2.3×2.1</w:t>
                  </w:r>
                </w:p>
              </w:tc>
              <w:tc>
                <w:tcPr>
                  <w:tcW w:w="590" w:type="pct"/>
                  <w:tcBorders>
                    <w:top w:val="single" w:color="000000" w:sz="4" w:space="0"/>
                    <w:left w:val="single" w:color="000000" w:sz="4" w:space="0"/>
                    <w:bottom w:val="single" w:color="000000" w:sz="4" w:space="0"/>
                    <w:right w:val="single" w:color="000000" w:sz="4" w:space="0"/>
                  </w:tcBorders>
                  <w:vAlign w:val="center"/>
                </w:tcPr>
                <w:p w14:paraId="2746E9A5">
                  <w:pPr>
                    <w:widowControl/>
                    <w:jc w:val="center"/>
                    <w:textAlignment w:val="center"/>
                    <w:rPr>
                      <w:color w:val="auto"/>
                      <w:szCs w:val="20"/>
                    </w:rPr>
                  </w:pPr>
                  <w:r>
                    <w:rPr>
                      <w:color w:val="auto"/>
                      <w:kern w:val="0"/>
                      <w:szCs w:val="21"/>
                      <w:lang w:bidi="ar"/>
                    </w:rPr>
                    <w:t>0.4</w:t>
                  </w:r>
                </w:p>
              </w:tc>
              <w:tc>
                <w:tcPr>
                  <w:tcW w:w="623" w:type="pct"/>
                  <w:tcBorders>
                    <w:top w:val="single" w:color="000000" w:sz="4" w:space="0"/>
                    <w:left w:val="single" w:color="000000" w:sz="4" w:space="0"/>
                    <w:bottom w:val="single" w:color="000000" w:sz="4" w:space="0"/>
                    <w:right w:val="single" w:color="000000" w:sz="4" w:space="0"/>
                  </w:tcBorders>
                  <w:vAlign w:val="center"/>
                </w:tcPr>
                <w:p w14:paraId="667E316F">
                  <w:pPr>
                    <w:widowControl/>
                    <w:jc w:val="center"/>
                    <w:textAlignment w:val="center"/>
                    <w:rPr>
                      <w:color w:val="auto"/>
                      <w:szCs w:val="20"/>
                    </w:rPr>
                  </w:pPr>
                  <w:r>
                    <w:rPr>
                      <w:color w:val="auto"/>
                      <w:kern w:val="0"/>
                      <w:szCs w:val="21"/>
                      <w:lang w:bidi="ar"/>
                    </w:rPr>
                    <w:t>0.1257</w:t>
                  </w:r>
                </w:p>
              </w:tc>
              <w:tc>
                <w:tcPr>
                  <w:tcW w:w="506" w:type="pct"/>
                  <w:tcBorders>
                    <w:top w:val="single" w:color="000000" w:sz="4" w:space="0"/>
                    <w:left w:val="single" w:color="000000" w:sz="4" w:space="0"/>
                    <w:bottom w:val="single" w:color="000000" w:sz="4" w:space="0"/>
                    <w:right w:val="single" w:color="000000" w:sz="4" w:space="0"/>
                  </w:tcBorders>
                  <w:vAlign w:val="center"/>
                </w:tcPr>
                <w:p w14:paraId="123B6F01">
                  <w:pPr>
                    <w:widowControl/>
                    <w:jc w:val="center"/>
                    <w:textAlignment w:val="center"/>
                    <w:rPr>
                      <w:color w:val="auto"/>
                      <w:szCs w:val="20"/>
                    </w:rPr>
                  </w:pPr>
                  <w:r>
                    <w:rPr>
                      <w:color w:val="auto"/>
                      <w:kern w:val="0"/>
                      <w:szCs w:val="21"/>
                      <w:lang w:bidi="ar"/>
                    </w:rPr>
                    <w:t>1</w:t>
                  </w:r>
                </w:p>
              </w:tc>
              <w:tc>
                <w:tcPr>
                  <w:tcW w:w="959" w:type="pct"/>
                  <w:tcBorders>
                    <w:top w:val="single" w:color="000000" w:sz="4" w:space="0"/>
                    <w:left w:val="single" w:color="000000" w:sz="4" w:space="0"/>
                    <w:bottom w:val="single" w:color="000000" w:sz="4" w:space="0"/>
                    <w:right w:val="single" w:color="000000" w:sz="4" w:space="0"/>
                  </w:tcBorders>
                  <w:vAlign w:val="center"/>
                </w:tcPr>
                <w:p w14:paraId="0D1E40A0">
                  <w:pPr>
                    <w:widowControl/>
                    <w:jc w:val="center"/>
                    <w:textAlignment w:val="center"/>
                    <w:rPr>
                      <w:color w:val="auto"/>
                      <w:szCs w:val="20"/>
                    </w:rPr>
                  </w:pPr>
                  <w:r>
                    <w:rPr>
                      <w:color w:val="auto"/>
                      <w:kern w:val="0"/>
                      <w:szCs w:val="21"/>
                      <w:lang w:bidi="ar"/>
                    </w:rPr>
                    <w:t>0.6</w:t>
                  </w:r>
                </w:p>
              </w:tc>
              <w:tc>
                <w:tcPr>
                  <w:tcW w:w="706" w:type="pct"/>
                  <w:tcBorders>
                    <w:top w:val="single" w:color="000000" w:sz="4" w:space="0"/>
                    <w:left w:val="single" w:color="000000" w:sz="4" w:space="0"/>
                    <w:bottom w:val="single" w:color="000000" w:sz="4" w:space="0"/>
                    <w:right w:val="single" w:color="000000" w:sz="4" w:space="0"/>
                  </w:tcBorders>
                  <w:vAlign w:val="center"/>
                </w:tcPr>
                <w:p w14:paraId="5CA1E3A2">
                  <w:pPr>
                    <w:widowControl/>
                    <w:jc w:val="center"/>
                    <w:textAlignment w:val="center"/>
                    <w:rPr>
                      <w:color w:val="auto"/>
                      <w:szCs w:val="20"/>
                    </w:rPr>
                  </w:pPr>
                  <w:r>
                    <w:rPr>
                      <w:color w:val="auto"/>
                      <w:kern w:val="0"/>
                      <w:szCs w:val="21"/>
                      <w:lang w:bidi="ar"/>
                    </w:rPr>
                    <w:t xml:space="preserve">272 </w:t>
                  </w:r>
                </w:p>
              </w:tc>
            </w:tr>
            <w:tr w14:paraId="7E3F84A3">
              <w:tblPrEx>
                <w:tblCellMar>
                  <w:top w:w="0" w:type="dxa"/>
                  <w:left w:w="108" w:type="dxa"/>
                  <w:bottom w:w="0" w:type="dxa"/>
                  <w:right w:w="108" w:type="dxa"/>
                </w:tblCellMar>
              </w:tblPrEx>
              <w:trPr>
                <w:trHeight w:val="27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1AB3C955">
                  <w:pPr>
                    <w:widowControl/>
                    <w:textAlignment w:val="center"/>
                    <w:rPr>
                      <w:color w:val="auto"/>
                      <w:kern w:val="0"/>
                      <w:szCs w:val="21"/>
                      <w:lang w:bidi="ar"/>
                    </w:rPr>
                  </w:pPr>
                  <w:r>
                    <w:rPr>
                      <w:rFonts w:hint="eastAsia"/>
                      <w:color w:val="auto"/>
                      <w:szCs w:val="21"/>
                    </w:rPr>
                    <w:t>备注：隧道炉预计每隔2米设置1条集气管。</w:t>
                  </w:r>
                </w:p>
              </w:tc>
            </w:tr>
          </w:tbl>
          <w:p w14:paraId="65D05B59">
            <w:pPr>
              <w:adjustRightInd w:val="0"/>
              <w:snapToGrid w:val="0"/>
              <w:spacing w:line="360" w:lineRule="auto"/>
              <w:ind w:firstLine="480" w:firstLineChars="200"/>
              <w:rPr>
                <w:color w:val="auto"/>
                <w:sz w:val="24"/>
              </w:rPr>
            </w:pPr>
            <w:r>
              <w:rPr>
                <w:rFonts w:hint="eastAsia"/>
                <w:color w:val="auto"/>
                <w:sz w:val="24"/>
              </w:rPr>
              <w:t>项目隧道炉、烘烤柜炉进出口拟采取在进出口设置顶吸集气罩，</w:t>
            </w:r>
            <w:r>
              <w:rPr>
                <w:color w:val="auto"/>
                <w:sz w:val="24"/>
              </w:rPr>
              <w:t>参考按照《环境工程设计手册》中的</w:t>
            </w:r>
            <w:r>
              <w:rPr>
                <w:rFonts w:hint="eastAsia"/>
                <w:color w:val="auto"/>
                <w:sz w:val="24"/>
              </w:rPr>
              <w:t>顶吸罩</w:t>
            </w:r>
            <w:r>
              <w:rPr>
                <w:color w:val="auto"/>
                <w:sz w:val="24"/>
              </w:rPr>
              <w:t>有关公式风量计算：</w:t>
            </w:r>
          </w:p>
          <w:p w14:paraId="054D422C">
            <w:pPr>
              <w:adjustRightInd w:val="0"/>
              <w:snapToGrid w:val="0"/>
              <w:spacing w:line="360" w:lineRule="auto"/>
              <w:ind w:firstLine="420" w:firstLineChars="200"/>
              <w:jc w:val="center"/>
              <w:rPr>
                <w:color w:val="auto"/>
                <w:sz w:val="24"/>
              </w:rPr>
            </w:pPr>
            <w:r>
              <w:rPr>
                <w:color w:val="auto"/>
              </w:rPr>
              <w:drawing>
                <wp:inline distT="0" distB="0" distL="114300" distR="114300">
                  <wp:extent cx="2281555" cy="384810"/>
                  <wp:effectExtent l="0" t="0" r="4445" b="8890"/>
                  <wp:docPr id="16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23"/>
                          <pic:cNvPicPr>
                            <a:picLocks noChangeAspect="1"/>
                          </pic:cNvPicPr>
                        </pic:nvPicPr>
                        <pic:blipFill>
                          <a:blip r:embed="rId38"/>
                          <a:stretch>
                            <a:fillRect/>
                          </a:stretch>
                        </pic:blipFill>
                        <pic:spPr>
                          <a:xfrm>
                            <a:off x="0" y="0"/>
                            <a:ext cx="2281555" cy="384810"/>
                          </a:xfrm>
                          <a:prstGeom prst="rect">
                            <a:avLst/>
                          </a:prstGeom>
                          <a:noFill/>
                          <a:ln>
                            <a:noFill/>
                          </a:ln>
                        </pic:spPr>
                      </pic:pic>
                    </a:graphicData>
                  </a:graphic>
                </wp:inline>
              </w:drawing>
            </w:r>
          </w:p>
          <w:p w14:paraId="7FF0477B">
            <w:pPr>
              <w:adjustRightInd w:val="0"/>
              <w:snapToGrid w:val="0"/>
              <w:spacing w:line="360" w:lineRule="auto"/>
              <w:ind w:firstLine="480" w:firstLineChars="200"/>
              <w:rPr>
                <w:color w:val="auto"/>
                <w:sz w:val="24"/>
              </w:rPr>
            </w:pPr>
            <w:r>
              <w:rPr>
                <w:color w:val="auto"/>
                <w:sz w:val="24"/>
              </w:rPr>
              <w:t>式中：其中：X—集气罩至污染源的距离（取0.</w:t>
            </w:r>
            <w:r>
              <w:rPr>
                <w:rFonts w:hint="eastAsia"/>
                <w:color w:val="auto"/>
                <w:sz w:val="24"/>
              </w:rPr>
              <w:t>3</w:t>
            </w:r>
            <w:r>
              <w:rPr>
                <w:color w:val="auto"/>
                <w:sz w:val="24"/>
              </w:rPr>
              <w:t>m）；</w:t>
            </w:r>
          </w:p>
          <w:p w14:paraId="3FF32E0C">
            <w:pPr>
              <w:adjustRightInd w:val="0"/>
              <w:snapToGrid w:val="0"/>
              <w:spacing w:line="360" w:lineRule="auto"/>
              <w:ind w:firstLine="480" w:firstLineChars="200"/>
              <w:rPr>
                <w:color w:val="auto"/>
                <w:sz w:val="24"/>
              </w:rPr>
            </w:pPr>
            <w:r>
              <w:rPr>
                <w:color w:val="auto"/>
                <w:sz w:val="24"/>
              </w:rPr>
              <w:t>F—集气罩口面积；</w:t>
            </w:r>
          </w:p>
          <w:p w14:paraId="6F3A5FA4">
            <w:pPr>
              <w:adjustRightInd w:val="0"/>
              <w:snapToGrid w:val="0"/>
              <w:spacing w:line="360" w:lineRule="auto"/>
              <w:ind w:firstLine="480" w:firstLineChars="200"/>
              <w:rPr>
                <w:color w:val="auto"/>
                <w:sz w:val="24"/>
              </w:rPr>
            </w:pPr>
            <w:r>
              <w:rPr>
                <w:color w:val="auto"/>
                <w:sz w:val="24"/>
              </w:rPr>
              <w:t>V</w:t>
            </w:r>
            <w:r>
              <w:rPr>
                <w:color w:val="auto"/>
                <w:sz w:val="24"/>
                <w:vertAlign w:val="subscript"/>
              </w:rPr>
              <w:t>X</w:t>
            </w:r>
            <w:r>
              <w:rPr>
                <w:color w:val="auto"/>
                <w:sz w:val="24"/>
              </w:rPr>
              <w:t>—控制风速（取0.5m/s）。</w:t>
            </w:r>
          </w:p>
          <w:p w14:paraId="2D741C40">
            <w:pPr>
              <w:pStyle w:val="77"/>
              <w:numPr>
                <w:ilvl w:val="0"/>
                <w:numId w:val="18"/>
              </w:numPr>
              <w:adjustRightInd w:val="0"/>
              <w:snapToGrid w:val="0"/>
              <w:jc w:val="center"/>
              <w:rPr>
                <w:b/>
                <w:bCs/>
                <w:color w:val="auto"/>
                <w:szCs w:val="21"/>
              </w:rPr>
            </w:pPr>
            <w:r>
              <w:rPr>
                <w:rFonts w:hint="eastAsia"/>
                <w:b/>
                <w:bCs/>
                <w:color w:val="auto"/>
                <w:szCs w:val="21"/>
              </w:rPr>
              <w:t xml:space="preserve"> 项目隧道炉废气收集风量一览表</w:t>
            </w:r>
          </w:p>
          <w:tbl>
            <w:tblPr>
              <w:tblStyle w:val="35"/>
              <w:tblW w:w="10676" w:type="dxa"/>
              <w:jc w:val="center"/>
              <w:tblLayout w:type="autofit"/>
              <w:tblCellMar>
                <w:top w:w="0" w:type="dxa"/>
                <w:left w:w="108" w:type="dxa"/>
                <w:bottom w:w="0" w:type="dxa"/>
                <w:right w:w="108" w:type="dxa"/>
              </w:tblCellMar>
            </w:tblPr>
            <w:tblGrid>
              <w:gridCol w:w="1781"/>
              <w:gridCol w:w="1544"/>
              <w:gridCol w:w="1516"/>
              <w:gridCol w:w="1430"/>
              <w:gridCol w:w="1500"/>
              <w:gridCol w:w="1420"/>
              <w:gridCol w:w="1485"/>
            </w:tblGrid>
            <w:tr w14:paraId="4BBC5BE1">
              <w:tblPrEx>
                <w:tblCellMar>
                  <w:top w:w="0" w:type="dxa"/>
                  <w:left w:w="108" w:type="dxa"/>
                  <w:bottom w:w="0" w:type="dxa"/>
                  <w:right w:w="108" w:type="dxa"/>
                </w:tblCellMar>
              </w:tblPrEx>
              <w:trPr>
                <w:trHeight w:val="270" w:hRule="atLeast"/>
                <w:jc w:val="center"/>
              </w:trPr>
              <w:tc>
                <w:tcPr>
                  <w:tcW w:w="1781" w:type="dxa"/>
                  <w:tcBorders>
                    <w:top w:val="single" w:color="000000" w:sz="4" w:space="0"/>
                    <w:left w:val="single" w:color="000000" w:sz="4" w:space="0"/>
                    <w:bottom w:val="single" w:color="000000" w:sz="4" w:space="0"/>
                    <w:right w:val="single" w:color="000000" w:sz="4" w:space="0"/>
                  </w:tcBorders>
                  <w:vAlign w:val="center"/>
                </w:tcPr>
                <w:p w14:paraId="5A6C9EE3">
                  <w:pPr>
                    <w:pStyle w:val="43"/>
                    <w:wordWrap/>
                    <w:spacing w:line="240" w:lineRule="auto"/>
                    <w:ind w:firstLine="0" w:firstLineChars="0"/>
                    <w:jc w:val="center"/>
                    <w:rPr>
                      <w:b/>
                      <w:bCs/>
                      <w:color w:val="auto"/>
                      <w:sz w:val="21"/>
                      <w:szCs w:val="20"/>
                    </w:rPr>
                  </w:pPr>
                  <w:r>
                    <w:rPr>
                      <w:rFonts w:hint="eastAsia"/>
                      <w:b/>
                      <w:bCs/>
                      <w:color w:val="auto"/>
                      <w:sz w:val="21"/>
                      <w:szCs w:val="20"/>
                    </w:rPr>
                    <w:t>设备名称</w:t>
                  </w:r>
                </w:p>
              </w:tc>
              <w:tc>
                <w:tcPr>
                  <w:tcW w:w="1544" w:type="dxa"/>
                  <w:tcBorders>
                    <w:top w:val="single" w:color="000000" w:sz="4" w:space="0"/>
                    <w:left w:val="single" w:color="000000" w:sz="4" w:space="0"/>
                    <w:bottom w:val="single" w:color="000000" w:sz="4" w:space="0"/>
                    <w:right w:val="single" w:color="000000" w:sz="4" w:space="0"/>
                  </w:tcBorders>
                  <w:vAlign w:val="center"/>
                </w:tcPr>
                <w:p w14:paraId="141849ED">
                  <w:pPr>
                    <w:pStyle w:val="43"/>
                    <w:wordWrap/>
                    <w:spacing w:line="240" w:lineRule="auto"/>
                    <w:ind w:firstLine="0" w:firstLineChars="0"/>
                    <w:jc w:val="center"/>
                    <w:rPr>
                      <w:b/>
                      <w:bCs/>
                      <w:color w:val="auto"/>
                      <w:sz w:val="21"/>
                      <w:szCs w:val="20"/>
                    </w:rPr>
                  </w:pPr>
                  <w:r>
                    <w:rPr>
                      <w:rFonts w:hint="eastAsia"/>
                      <w:b/>
                      <w:bCs/>
                      <w:color w:val="auto"/>
                      <w:sz w:val="21"/>
                      <w:szCs w:val="20"/>
                    </w:rPr>
                    <w:t>集气罩数量（个）</w:t>
                  </w:r>
                </w:p>
              </w:tc>
              <w:tc>
                <w:tcPr>
                  <w:tcW w:w="1516" w:type="dxa"/>
                  <w:tcBorders>
                    <w:top w:val="single" w:color="000000" w:sz="4" w:space="0"/>
                    <w:left w:val="single" w:color="000000" w:sz="4" w:space="0"/>
                    <w:bottom w:val="single" w:color="000000" w:sz="4" w:space="0"/>
                    <w:right w:val="single" w:color="000000" w:sz="4" w:space="0"/>
                  </w:tcBorders>
                  <w:vAlign w:val="center"/>
                </w:tcPr>
                <w:p w14:paraId="02D8CC50">
                  <w:pPr>
                    <w:pStyle w:val="43"/>
                    <w:wordWrap/>
                    <w:spacing w:line="240" w:lineRule="auto"/>
                    <w:ind w:firstLine="0" w:firstLineChars="0"/>
                    <w:jc w:val="center"/>
                    <w:rPr>
                      <w:b/>
                      <w:bCs/>
                      <w:color w:val="auto"/>
                      <w:sz w:val="21"/>
                      <w:szCs w:val="20"/>
                    </w:rPr>
                  </w:pPr>
                  <w:r>
                    <w:rPr>
                      <w:rFonts w:hint="eastAsia"/>
                      <w:b/>
                      <w:bCs/>
                      <w:color w:val="auto"/>
                      <w:sz w:val="21"/>
                      <w:szCs w:val="20"/>
                    </w:rPr>
                    <w:t>集气罩规格m</w:t>
                  </w:r>
                </w:p>
              </w:tc>
              <w:tc>
                <w:tcPr>
                  <w:tcW w:w="1430" w:type="dxa"/>
                  <w:tcBorders>
                    <w:top w:val="single" w:color="000000" w:sz="4" w:space="0"/>
                    <w:left w:val="single" w:color="000000" w:sz="4" w:space="0"/>
                    <w:bottom w:val="single" w:color="000000" w:sz="4" w:space="0"/>
                    <w:right w:val="single" w:color="000000" w:sz="4" w:space="0"/>
                  </w:tcBorders>
                  <w:vAlign w:val="center"/>
                </w:tcPr>
                <w:p w14:paraId="5222C9EA">
                  <w:pPr>
                    <w:pStyle w:val="43"/>
                    <w:wordWrap/>
                    <w:spacing w:line="240" w:lineRule="auto"/>
                    <w:ind w:firstLine="0" w:firstLineChars="0"/>
                    <w:jc w:val="center"/>
                    <w:rPr>
                      <w:b/>
                      <w:bCs/>
                      <w:color w:val="auto"/>
                      <w:sz w:val="21"/>
                      <w:szCs w:val="20"/>
                    </w:rPr>
                  </w:pPr>
                  <w:r>
                    <w:rPr>
                      <w:rFonts w:hint="eastAsia"/>
                      <w:b/>
                      <w:bCs/>
                      <w:color w:val="auto"/>
                      <w:sz w:val="21"/>
                      <w:szCs w:val="20"/>
                    </w:rPr>
                    <w:t>罩口面积</w:t>
                  </w:r>
                  <w:r>
                    <w:rPr>
                      <w:b/>
                      <w:bCs/>
                      <w:color w:val="auto"/>
                      <w:sz w:val="21"/>
                      <w:szCs w:val="20"/>
                    </w:rPr>
                    <w:t>m</w:t>
                  </w:r>
                  <w:r>
                    <w:rPr>
                      <w:rFonts w:hint="eastAsia"/>
                      <w:b/>
                      <w:bCs/>
                      <w:color w:val="auto"/>
                      <w:sz w:val="21"/>
                      <w:szCs w:val="20"/>
                      <w:vertAlign w:val="superscript"/>
                    </w:rPr>
                    <w:t>2</w:t>
                  </w:r>
                </w:p>
              </w:tc>
              <w:tc>
                <w:tcPr>
                  <w:tcW w:w="1500" w:type="dxa"/>
                  <w:tcBorders>
                    <w:top w:val="single" w:color="000000" w:sz="4" w:space="0"/>
                    <w:left w:val="single" w:color="000000" w:sz="4" w:space="0"/>
                    <w:bottom w:val="single" w:color="000000" w:sz="4" w:space="0"/>
                    <w:right w:val="single" w:color="000000" w:sz="4" w:space="0"/>
                  </w:tcBorders>
                  <w:vAlign w:val="center"/>
                </w:tcPr>
                <w:p w14:paraId="1BA90056">
                  <w:pPr>
                    <w:pStyle w:val="43"/>
                    <w:wordWrap/>
                    <w:spacing w:line="240" w:lineRule="auto"/>
                    <w:ind w:firstLine="0" w:firstLineChars="0"/>
                    <w:jc w:val="center"/>
                    <w:rPr>
                      <w:b/>
                      <w:bCs/>
                      <w:color w:val="auto"/>
                      <w:sz w:val="21"/>
                      <w:szCs w:val="20"/>
                    </w:rPr>
                  </w:pPr>
                  <w:r>
                    <w:rPr>
                      <w:rFonts w:hint="eastAsia"/>
                      <w:b/>
                      <w:bCs/>
                      <w:color w:val="auto"/>
                      <w:sz w:val="21"/>
                      <w:szCs w:val="20"/>
                    </w:rPr>
                    <w:t>集气罩至污染源的距离m</w:t>
                  </w:r>
                </w:p>
              </w:tc>
              <w:tc>
                <w:tcPr>
                  <w:tcW w:w="1420" w:type="dxa"/>
                  <w:tcBorders>
                    <w:top w:val="single" w:color="000000" w:sz="4" w:space="0"/>
                    <w:left w:val="single" w:color="000000" w:sz="4" w:space="0"/>
                    <w:bottom w:val="single" w:color="000000" w:sz="4" w:space="0"/>
                    <w:right w:val="single" w:color="000000" w:sz="4" w:space="0"/>
                  </w:tcBorders>
                  <w:vAlign w:val="center"/>
                </w:tcPr>
                <w:p w14:paraId="3D7EA40E">
                  <w:pPr>
                    <w:pStyle w:val="43"/>
                    <w:wordWrap/>
                    <w:spacing w:line="240" w:lineRule="auto"/>
                    <w:ind w:firstLine="0" w:firstLineChars="0"/>
                    <w:jc w:val="center"/>
                    <w:rPr>
                      <w:b/>
                      <w:bCs/>
                      <w:color w:val="auto"/>
                      <w:sz w:val="21"/>
                      <w:szCs w:val="20"/>
                    </w:rPr>
                  </w:pPr>
                  <w:r>
                    <w:rPr>
                      <w:b/>
                      <w:bCs/>
                      <w:color w:val="auto"/>
                      <w:sz w:val="21"/>
                      <w:szCs w:val="20"/>
                    </w:rPr>
                    <w:t>控制风速m/s</w:t>
                  </w:r>
                </w:p>
              </w:tc>
              <w:tc>
                <w:tcPr>
                  <w:tcW w:w="1485" w:type="dxa"/>
                  <w:tcBorders>
                    <w:top w:val="single" w:color="000000" w:sz="4" w:space="0"/>
                    <w:left w:val="single" w:color="000000" w:sz="4" w:space="0"/>
                    <w:bottom w:val="single" w:color="000000" w:sz="4" w:space="0"/>
                    <w:right w:val="single" w:color="000000" w:sz="4" w:space="0"/>
                  </w:tcBorders>
                  <w:vAlign w:val="center"/>
                </w:tcPr>
                <w:p w14:paraId="3E688B7F">
                  <w:pPr>
                    <w:pStyle w:val="43"/>
                    <w:wordWrap/>
                    <w:spacing w:line="240" w:lineRule="auto"/>
                    <w:ind w:firstLine="0" w:firstLineChars="0"/>
                    <w:jc w:val="center"/>
                    <w:rPr>
                      <w:b/>
                      <w:bCs/>
                      <w:color w:val="auto"/>
                      <w:sz w:val="21"/>
                      <w:szCs w:val="20"/>
                    </w:rPr>
                  </w:pPr>
                  <w:r>
                    <w:rPr>
                      <w:rFonts w:hint="eastAsia"/>
                      <w:b/>
                      <w:bCs/>
                      <w:color w:val="auto"/>
                      <w:sz w:val="21"/>
                      <w:szCs w:val="20"/>
                    </w:rPr>
                    <w:t>理论</w:t>
                  </w:r>
                  <w:r>
                    <w:rPr>
                      <w:b/>
                      <w:bCs/>
                      <w:color w:val="auto"/>
                      <w:sz w:val="21"/>
                      <w:szCs w:val="20"/>
                    </w:rPr>
                    <w:t>风量m</w:t>
                  </w:r>
                  <w:r>
                    <w:rPr>
                      <w:b/>
                      <w:bCs/>
                      <w:color w:val="auto"/>
                      <w:sz w:val="21"/>
                      <w:szCs w:val="20"/>
                      <w:vertAlign w:val="superscript"/>
                    </w:rPr>
                    <w:t>3</w:t>
                  </w:r>
                  <w:r>
                    <w:rPr>
                      <w:b/>
                      <w:bCs/>
                      <w:color w:val="auto"/>
                      <w:sz w:val="21"/>
                      <w:szCs w:val="20"/>
                    </w:rPr>
                    <w:t>/h</w:t>
                  </w:r>
                </w:p>
              </w:tc>
            </w:tr>
            <w:tr w14:paraId="05968746">
              <w:tblPrEx>
                <w:tblCellMar>
                  <w:top w:w="0" w:type="dxa"/>
                  <w:left w:w="108" w:type="dxa"/>
                  <w:bottom w:w="0" w:type="dxa"/>
                  <w:right w:w="108" w:type="dxa"/>
                </w:tblCellMar>
              </w:tblPrEx>
              <w:trPr>
                <w:trHeight w:val="270" w:hRule="atLeast"/>
                <w:jc w:val="center"/>
              </w:trPr>
              <w:tc>
                <w:tcPr>
                  <w:tcW w:w="1781" w:type="dxa"/>
                  <w:tcBorders>
                    <w:top w:val="single" w:color="000000" w:sz="4" w:space="0"/>
                    <w:left w:val="single" w:color="000000" w:sz="4" w:space="0"/>
                    <w:bottom w:val="single" w:color="000000" w:sz="4" w:space="0"/>
                    <w:right w:val="single" w:color="000000" w:sz="4" w:space="0"/>
                  </w:tcBorders>
                  <w:vAlign w:val="center"/>
                </w:tcPr>
                <w:p w14:paraId="141DB14A">
                  <w:pPr>
                    <w:pStyle w:val="43"/>
                    <w:wordWrap/>
                    <w:spacing w:line="240" w:lineRule="auto"/>
                    <w:ind w:firstLine="0" w:firstLineChars="0"/>
                    <w:jc w:val="center"/>
                    <w:rPr>
                      <w:color w:val="auto"/>
                      <w:sz w:val="21"/>
                      <w:szCs w:val="20"/>
                    </w:rPr>
                  </w:pPr>
                  <w:r>
                    <w:rPr>
                      <w:rFonts w:hint="eastAsia"/>
                      <w:color w:val="auto"/>
                      <w:sz w:val="21"/>
                      <w:szCs w:val="20"/>
                    </w:rPr>
                    <w:t>固化隧道炉</w:t>
                  </w:r>
                </w:p>
              </w:tc>
              <w:tc>
                <w:tcPr>
                  <w:tcW w:w="1544" w:type="dxa"/>
                  <w:tcBorders>
                    <w:top w:val="single" w:color="000000" w:sz="4" w:space="0"/>
                    <w:left w:val="single" w:color="000000" w:sz="4" w:space="0"/>
                    <w:bottom w:val="single" w:color="000000" w:sz="4" w:space="0"/>
                    <w:right w:val="single" w:color="000000" w:sz="4" w:space="0"/>
                  </w:tcBorders>
                  <w:vAlign w:val="center"/>
                </w:tcPr>
                <w:p w14:paraId="52272299">
                  <w:pPr>
                    <w:pStyle w:val="43"/>
                    <w:wordWrap/>
                    <w:spacing w:line="240" w:lineRule="auto"/>
                    <w:ind w:firstLine="0" w:firstLineChars="0"/>
                    <w:jc w:val="center"/>
                    <w:rPr>
                      <w:color w:val="auto"/>
                      <w:sz w:val="21"/>
                      <w:szCs w:val="20"/>
                    </w:rPr>
                  </w:pPr>
                  <w:r>
                    <w:rPr>
                      <w:rFonts w:hint="eastAsia"/>
                      <w:color w:val="auto"/>
                      <w:sz w:val="21"/>
                      <w:szCs w:val="20"/>
                    </w:rPr>
                    <w:t>1</w:t>
                  </w:r>
                </w:p>
              </w:tc>
              <w:tc>
                <w:tcPr>
                  <w:tcW w:w="1516" w:type="dxa"/>
                  <w:tcBorders>
                    <w:top w:val="single" w:color="000000" w:sz="4" w:space="0"/>
                    <w:left w:val="single" w:color="000000" w:sz="4" w:space="0"/>
                    <w:bottom w:val="single" w:color="000000" w:sz="4" w:space="0"/>
                    <w:right w:val="single" w:color="000000" w:sz="4" w:space="0"/>
                  </w:tcBorders>
                  <w:vAlign w:val="center"/>
                </w:tcPr>
                <w:p w14:paraId="426722B2">
                  <w:pPr>
                    <w:widowControl/>
                    <w:jc w:val="center"/>
                    <w:textAlignment w:val="center"/>
                    <w:rPr>
                      <w:color w:val="auto"/>
                      <w:szCs w:val="20"/>
                    </w:rPr>
                  </w:pPr>
                  <w:r>
                    <w:rPr>
                      <w:color w:val="auto"/>
                      <w:szCs w:val="21"/>
                    </w:rPr>
                    <w:t>2×0.</w:t>
                  </w:r>
                  <w:r>
                    <w:rPr>
                      <w:rFonts w:hint="eastAsia"/>
                      <w:color w:val="auto"/>
                      <w:szCs w:val="21"/>
                    </w:rPr>
                    <w:t>25</w:t>
                  </w:r>
                </w:p>
              </w:tc>
              <w:tc>
                <w:tcPr>
                  <w:tcW w:w="1430" w:type="dxa"/>
                  <w:tcBorders>
                    <w:top w:val="single" w:color="000000" w:sz="4" w:space="0"/>
                    <w:left w:val="single" w:color="000000" w:sz="4" w:space="0"/>
                    <w:bottom w:val="single" w:color="000000" w:sz="4" w:space="0"/>
                    <w:right w:val="single" w:color="000000" w:sz="4" w:space="0"/>
                  </w:tcBorders>
                  <w:vAlign w:val="center"/>
                </w:tcPr>
                <w:p w14:paraId="09AADBB6">
                  <w:pPr>
                    <w:widowControl/>
                    <w:jc w:val="center"/>
                    <w:textAlignment w:val="center"/>
                    <w:rPr>
                      <w:color w:val="auto"/>
                      <w:szCs w:val="20"/>
                    </w:rPr>
                  </w:pPr>
                  <w:r>
                    <w:rPr>
                      <w:rFonts w:hint="eastAsia"/>
                      <w:color w:val="auto"/>
                      <w:szCs w:val="20"/>
                    </w:rPr>
                    <w:t>0.5</w:t>
                  </w:r>
                </w:p>
              </w:tc>
              <w:tc>
                <w:tcPr>
                  <w:tcW w:w="1500" w:type="dxa"/>
                  <w:tcBorders>
                    <w:top w:val="single" w:color="000000" w:sz="4" w:space="0"/>
                    <w:left w:val="single" w:color="000000" w:sz="4" w:space="0"/>
                    <w:bottom w:val="single" w:color="000000" w:sz="4" w:space="0"/>
                    <w:right w:val="single" w:color="000000" w:sz="4" w:space="0"/>
                  </w:tcBorders>
                  <w:vAlign w:val="center"/>
                </w:tcPr>
                <w:p w14:paraId="7ABB8ECF">
                  <w:pPr>
                    <w:widowControl/>
                    <w:jc w:val="center"/>
                    <w:textAlignment w:val="center"/>
                    <w:rPr>
                      <w:color w:val="auto"/>
                      <w:kern w:val="0"/>
                      <w:szCs w:val="21"/>
                      <w:lang w:bidi="ar"/>
                    </w:rPr>
                  </w:pPr>
                  <w:r>
                    <w:rPr>
                      <w:rFonts w:hint="eastAsia"/>
                      <w:color w:val="auto"/>
                      <w:kern w:val="0"/>
                      <w:szCs w:val="21"/>
                      <w:lang w:bidi="ar"/>
                    </w:rPr>
                    <w:t>0.3</w:t>
                  </w:r>
                </w:p>
              </w:tc>
              <w:tc>
                <w:tcPr>
                  <w:tcW w:w="1420" w:type="dxa"/>
                  <w:tcBorders>
                    <w:top w:val="single" w:color="000000" w:sz="4" w:space="0"/>
                    <w:left w:val="single" w:color="000000" w:sz="4" w:space="0"/>
                    <w:bottom w:val="single" w:color="000000" w:sz="4" w:space="0"/>
                    <w:right w:val="single" w:color="000000" w:sz="4" w:space="0"/>
                  </w:tcBorders>
                  <w:vAlign w:val="center"/>
                </w:tcPr>
                <w:p w14:paraId="08629629">
                  <w:pPr>
                    <w:widowControl/>
                    <w:jc w:val="center"/>
                    <w:textAlignment w:val="center"/>
                    <w:rPr>
                      <w:color w:val="auto"/>
                      <w:szCs w:val="20"/>
                    </w:rPr>
                  </w:pPr>
                  <w:r>
                    <w:rPr>
                      <w:color w:val="auto"/>
                      <w:kern w:val="0"/>
                      <w:szCs w:val="21"/>
                      <w:lang w:bidi="ar"/>
                    </w:rPr>
                    <w:t>0.</w:t>
                  </w:r>
                  <w:r>
                    <w:rPr>
                      <w:rFonts w:hint="eastAsia"/>
                      <w:color w:val="auto"/>
                      <w:kern w:val="0"/>
                      <w:szCs w:val="21"/>
                      <w:lang w:bidi="ar"/>
                    </w:rPr>
                    <w:t>5</w:t>
                  </w:r>
                </w:p>
              </w:tc>
              <w:tc>
                <w:tcPr>
                  <w:tcW w:w="1485" w:type="dxa"/>
                  <w:tcBorders>
                    <w:top w:val="single" w:color="000000" w:sz="4" w:space="0"/>
                    <w:left w:val="single" w:color="000000" w:sz="4" w:space="0"/>
                    <w:bottom w:val="single" w:color="000000" w:sz="4" w:space="0"/>
                    <w:right w:val="single" w:color="000000" w:sz="4" w:space="0"/>
                  </w:tcBorders>
                  <w:vAlign w:val="center"/>
                </w:tcPr>
                <w:p w14:paraId="49275938">
                  <w:pPr>
                    <w:widowControl/>
                    <w:jc w:val="center"/>
                    <w:textAlignment w:val="center"/>
                    <w:rPr>
                      <w:color w:val="auto"/>
                      <w:szCs w:val="20"/>
                    </w:rPr>
                  </w:pPr>
                  <w:r>
                    <w:rPr>
                      <w:color w:val="auto"/>
                      <w:kern w:val="0"/>
                      <w:szCs w:val="21"/>
                      <w:lang w:bidi="ar"/>
                    </w:rPr>
                    <w:t>1710</w:t>
                  </w:r>
                </w:p>
              </w:tc>
            </w:tr>
            <w:tr w14:paraId="495DC8F1">
              <w:tblPrEx>
                <w:tblCellMar>
                  <w:top w:w="0" w:type="dxa"/>
                  <w:left w:w="108" w:type="dxa"/>
                  <w:bottom w:w="0" w:type="dxa"/>
                  <w:right w:w="108" w:type="dxa"/>
                </w:tblCellMar>
              </w:tblPrEx>
              <w:trPr>
                <w:trHeight w:val="270" w:hRule="atLeast"/>
                <w:jc w:val="center"/>
              </w:trPr>
              <w:tc>
                <w:tcPr>
                  <w:tcW w:w="1781" w:type="dxa"/>
                  <w:tcBorders>
                    <w:top w:val="single" w:color="000000" w:sz="4" w:space="0"/>
                    <w:left w:val="single" w:color="000000" w:sz="4" w:space="0"/>
                    <w:bottom w:val="single" w:color="000000" w:sz="4" w:space="0"/>
                    <w:right w:val="single" w:color="000000" w:sz="4" w:space="0"/>
                  </w:tcBorders>
                  <w:vAlign w:val="center"/>
                </w:tcPr>
                <w:p w14:paraId="7AD0384E">
                  <w:pPr>
                    <w:pStyle w:val="43"/>
                    <w:wordWrap/>
                    <w:spacing w:line="240" w:lineRule="auto"/>
                    <w:ind w:firstLine="0" w:firstLineChars="0"/>
                    <w:jc w:val="center"/>
                    <w:rPr>
                      <w:color w:val="auto"/>
                      <w:sz w:val="21"/>
                      <w:szCs w:val="20"/>
                    </w:rPr>
                  </w:pPr>
                  <w:r>
                    <w:rPr>
                      <w:rFonts w:hint="eastAsia"/>
                      <w:color w:val="auto"/>
                      <w:sz w:val="21"/>
                      <w:szCs w:val="20"/>
                    </w:rPr>
                    <w:t>面漆烘烤隧道炉</w:t>
                  </w:r>
                </w:p>
              </w:tc>
              <w:tc>
                <w:tcPr>
                  <w:tcW w:w="1544" w:type="dxa"/>
                  <w:tcBorders>
                    <w:top w:val="single" w:color="000000" w:sz="4" w:space="0"/>
                    <w:left w:val="single" w:color="000000" w:sz="4" w:space="0"/>
                    <w:bottom w:val="single" w:color="000000" w:sz="4" w:space="0"/>
                    <w:right w:val="single" w:color="000000" w:sz="4" w:space="0"/>
                  </w:tcBorders>
                  <w:vAlign w:val="center"/>
                </w:tcPr>
                <w:p w14:paraId="210D0B2A">
                  <w:pPr>
                    <w:pStyle w:val="43"/>
                    <w:wordWrap/>
                    <w:spacing w:line="240" w:lineRule="auto"/>
                    <w:ind w:firstLine="0" w:firstLineChars="0"/>
                    <w:jc w:val="center"/>
                    <w:rPr>
                      <w:color w:val="auto"/>
                      <w:sz w:val="21"/>
                      <w:szCs w:val="20"/>
                    </w:rPr>
                  </w:pPr>
                  <w:r>
                    <w:rPr>
                      <w:rFonts w:hint="eastAsia"/>
                      <w:color w:val="auto"/>
                      <w:sz w:val="21"/>
                      <w:szCs w:val="20"/>
                    </w:rPr>
                    <w:t>1</w:t>
                  </w:r>
                </w:p>
              </w:tc>
              <w:tc>
                <w:tcPr>
                  <w:tcW w:w="1516" w:type="dxa"/>
                  <w:tcBorders>
                    <w:top w:val="single" w:color="000000" w:sz="4" w:space="0"/>
                    <w:left w:val="single" w:color="000000" w:sz="4" w:space="0"/>
                    <w:bottom w:val="single" w:color="000000" w:sz="4" w:space="0"/>
                    <w:right w:val="single" w:color="000000" w:sz="4" w:space="0"/>
                  </w:tcBorders>
                  <w:vAlign w:val="center"/>
                </w:tcPr>
                <w:p w14:paraId="0C72036E">
                  <w:pPr>
                    <w:widowControl/>
                    <w:jc w:val="center"/>
                    <w:textAlignment w:val="center"/>
                    <w:rPr>
                      <w:color w:val="auto"/>
                      <w:szCs w:val="20"/>
                    </w:rPr>
                  </w:pPr>
                  <w:r>
                    <w:rPr>
                      <w:color w:val="auto"/>
                      <w:szCs w:val="21"/>
                    </w:rPr>
                    <w:t>2×0.</w:t>
                  </w:r>
                  <w:r>
                    <w:rPr>
                      <w:rFonts w:hint="eastAsia"/>
                      <w:color w:val="auto"/>
                      <w:szCs w:val="21"/>
                    </w:rPr>
                    <w:t>25</w:t>
                  </w:r>
                </w:p>
              </w:tc>
              <w:tc>
                <w:tcPr>
                  <w:tcW w:w="1430" w:type="dxa"/>
                  <w:tcBorders>
                    <w:top w:val="single" w:color="000000" w:sz="4" w:space="0"/>
                    <w:left w:val="single" w:color="000000" w:sz="4" w:space="0"/>
                    <w:bottom w:val="single" w:color="000000" w:sz="4" w:space="0"/>
                    <w:right w:val="single" w:color="000000" w:sz="4" w:space="0"/>
                  </w:tcBorders>
                  <w:vAlign w:val="center"/>
                </w:tcPr>
                <w:p w14:paraId="0CFA5D25">
                  <w:pPr>
                    <w:widowControl/>
                    <w:jc w:val="center"/>
                    <w:textAlignment w:val="center"/>
                    <w:rPr>
                      <w:color w:val="auto"/>
                      <w:szCs w:val="20"/>
                    </w:rPr>
                  </w:pPr>
                  <w:r>
                    <w:rPr>
                      <w:rFonts w:hint="eastAsia"/>
                      <w:color w:val="auto"/>
                      <w:szCs w:val="20"/>
                    </w:rPr>
                    <w:t>0.5</w:t>
                  </w:r>
                </w:p>
              </w:tc>
              <w:tc>
                <w:tcPr>
                  <w:tcW w:w="1500" w:type="dxa"/>
                  <w:tcBorders>
                    <w:top w:val="single" w:color="000000" w:sz="4" w:space="0"/>
                    <w:left w:val="single" w:color="000000" w:sz="4" w:space="0"/>
                    <w:bottom w:val="single" w:color="000000" w:sz="4" w:space="0"/>
                    <w:right w:val="single" w:color="000000" w:sz="4" w:space="0"/>
                  </w:tcBorders>
                  <w:vAlign w:val="center"/>
                </w:tcPr>
                <w:p w14:paraId="7BD4012C">
                  <w:pPr>
                    <w:widowControl/>
                    <w:jc w:val="center"/>
                    <w:textAlignment w:val="center"/>
                    <w:rPr>
                      <w:color w:val="auto"/>
                      <w:kern w:val="0"/>
                      <w:szCs w:val="21"/>
                      <w:lang w:bidi="ar"/>
                    </w:rPr>
                  </w:pPr>
                  <w:r>
                    <w:rPr>
                      <w:rFonts w:hint="eastAsia"/>
                      <w:color w:val="auto"/>
                      <w:kern w:val="0"/>
                      <w:szCs w:val="21"/>
                      <w:lang w:bidi="ar"/>
                    </w:rPr>
                    <w:t>0.3</w:t>
                  </w:r>
                </w:p>
              </w:tc>
              <w:tc>
                <w:tcPr>
                  <w:tcW w:w="1420" w:type="dxa"/>
                  <w:tcBorders>
                    <w:top w:val="single" w:color="000000" w:sz="4" w:space="0"/>
                    <w:left w:val="single" w:color="000000" w:sz="4" w:space="0"/>
                    <w:bottom w:val="single" w:color="000000" w:sz="4" w:space="0"/>
                    <w:right w:val="single" w:color="000000" w:sz="4" w:space="0"/>
                  </w:tcBorders>
                  <w:vAlign w:val="center"/>
                </w:tcPr>
                <w:p w14:paraId="0F3DDFB0">
                  <w:pPr>
                    <w:widowControl/>
                    <w:jc w:val="center"/>
                    <w:textAlignment w:val="center"/>
                    <w:rPr>
                      <w:color w:val="auto"/>
                      <w:szCs w:val="20"/>
                    </w:rPr>
                  </w:pPr>
                  <w:r>
                    <w:rPr>
                      <w:color w:val="auto"/>
                      <w:kern w:val="0"/>
                      <w:szCs w:val="21"/>
                      <w:lang w:bidi="ar"/>
                    </w:rPr>
                    <w:t>0.</w:t>
                  </w:r>
                  <w:r>
                    <w:rPr>
                      <w:rFonts w:hint="eastAsia"/>
                      <w:color w:val="auto"/>
                      <w:kern w:val="0"/>
                      <w:szCs w:val="21"/>
                      <w:lang w:bidi="ar"/>
                    </w:rPr>
                    <w:t>5</w:t>
                  </w:r>
                </w:p>
              </w:tc>
              <w:tc>
                <w:tcPr>
                  <w:tcW w:w="1485" w:type="dxa"/>
                  <w:tcBorders>
                    <w:top w:val="single" w:color="000000" w:sz="4" w:space="0"/>
                    <w:left w:val="single" w:color="000000" w:sz="4" w:space="0"/>
                    <w:bottom w:val="single" w:color="000000" w:sz="4" w:space="0"/>
                    <w:right w:val="single" w:color="000000" w:sz="4" w:space="0"/>
                  </w:tcBorders>
                  <w:vAlign w:val="center"/>
                </w:tcPr>
                <w:p w14:paraId="53BB093A">
                  <w:pPr>
                    <w:widowControl/>
                    <w:jc w:val="center"/>
                    <w:textAlignment w:val="center"/>
                    <w:rPr>
                      <w:color w:val="auto"/>
                      <w:szCs w:val="20"/>
                    </w:rPr>
                  </w:pPr>
                  <w:r>
                    <w:rPr>
                      <w:color w:val="auto"/>
                      <w:kern w:val="0"/>
                      <w:szCs w:val="21"/>
                      <w:lang w:bidi="ar"/>
                    </w:rPr>
                    <w:t>1710</w:t>
                  </w:r>
                </w:p>
              </w:tc>
            </w:tr>
            <w:tr w14:paraId="5EB8A2C3">
              <w:tblPrEx>
                <w:tblCellMar>
                  <w:top w:w="0" w:type="dxa"/>
                  <w:left w:w="108" w:type="dxa"/>
                  <w:bottom w:w="0" w:type="dxa"/>
                  <w:right w:w="108" w:type="dxa"/>
                </w:tblCellMar>
              </w:tblPrEx>
              <w:trPr>
                <w:trHeight w:val="270" w:hRule="atLeast"/>
                <w:jc w:val="center"/>
              </w:trPr>
              <w:tc>
                <w:tcPr>
                  <w:tcW w:w="1781" w:type="dxa"/>
                  <w:tcBorders>
                    <w:top w:val="single" w:color="000000" w:sz="4" w:space="0"/>
                    <w:left w:val="single" w:color="000000" w:sz="4" w:space="0"/>
                    <w:bottom w:val="single" w:color="000000" w:sz="4" w:space="0"/>
                    <w:right w:val="single" w:color="000000" w:sz="4" w:space="0"/>
                  </w:tcBorders>
                  <w:vAlign w:val="center"/>
                </w:tcPr>
                <w:p w14:paraId="2DF29B58">
                  <w:pPr>
                    <w:pStyle w:val="43"/>
                    <w:wordWrap/>
                    <w:spacing w:line="240" w:lineRule="auto"/>
                    <w:ind w:firstLine="0" w:firstLineChars="0"/>
                    <w:jc w:val="center"/>
                    <w:rPr>
                      <w:color w:val="auto"/>
                      <w:sz w:val="21"/>
                      <w:szCs w:val="20"/>
                    </w:rPr>
                  </w:pPr>
                  <w:r>
                    <w:rPr>
                      <w:rFonts w:hint="eastAsia"/>
                      <w:color w:val="auto"/>
                      <w:sz w:val="21"/>
                      <w:szCs w:val="20"/>
                    </w:rPr>
                    <w:t>清漆烘烤隧道炉</w:t>
                  </w:r>
                </w:p>
              </w:tc>
              <w:tc>
                <w:tcPr>
                  <w:tcW w:w="1544" w:type="dxa"/>
                  <w:tcBorders>
                    <w:top w:val="single" w:color="000000" w:sz="4" w:space="0"/>
                    <w:left w:val="single" w:color="000000" w:sz="4" w:space="0"/>
                    <w:bottom w:val="single" w:color="000000" w:sz="4" w:space="0"/>
                    <w:right w:val="single" w:color="000000" w:sz="4" w:space="0"/>
                  </w:tcBorders>
                  <w:vAlign w:val="center"/>
                </w:tcPr>
                <w:p w14:paraId="4F3E57FC">
                  <w:pPr>
                    <w:pStyle w:val="43"/>
                    <w:wordWrap/>
                    <w:spacing w:line="240" w:lineRule="auto"/>
                    <w:ind w:firstLine="0" w:firstLineChars="0"/>
                    <w:jc w:val="center"/>
                    <w:rPr>
                      <w:color w:val="auto"/>
                      <w:sz w:val="21"/>
                      <w:szCs w:val="20"/>
                    </w:rPr>
                  </w:pPr>
                  <w:r>
                    <w:rPr>
                      <w:rFonts w:hint="eastAsia"/>
                      <w:color w:val="auto"/>
                      <w:sz w:val="21"/>
                      <w:szCs w:val="20"/>
                    </w:rPr>
                    <w:t>1</w:t>
                  </w:r>
                </w:p>
              </w:tc>
              <w:tc>
                <w:tcPr>
                  <w:tcW w:w="1516" w:type="dxa"/>
                  <w:tcBorders>
                    <w:top w:val="single" w:color="000000" w:sz="4" w:space="0"/>
                    <w:left w:val="single" w:color="000000" w:sz="4" w:space="0"/>
                    <w:bottom w:val="single" w:color="000000" w:sz="4" w:space="0"/>
                    <w:right w:val="single" w:color="000000" w:sz="4" w:space="0"/>
                  </w:tcBorders>
                  <w:vAlign w:val="center"/>
                </w:tcPr>
                <w:p w14:paraId="25C2304C">
                  <w:pPr>
                    <w:widowControl/>
                    <w:jc w:val="center"/>
                    <w:textAlignment w:val="center"/>
                    <w:rPr>
                      <w:color w:val="auto"/>
                      <w:szCs w:val="20"/>
                    </w:rPr>
                  </w:pPr>
                  <w:r>
                    <w:rPr>
                      <w:color w:val="auto"/>
                      <w:szCs w:val="21"/>
                    </w:rPr>
                    <w:t>2×0.</w:t>
                  </w:r>
                  <w:r>
                    <w:rPr>
                      <w:rFonts w:hint="eastAsia"/>
                      <w:color w:val="auto"/>
                      <w:szCs w:val="21"/>
                    </w:rPr>
                    <w:t>25</w:t>
                  </w:r>
                </w:p>
              </w:tc>
              <w:tc>
                <w:tcPr>
                  <w:tcW w:w="1430" w:type="dxa"/>
                  <w:tcBorders>
                    <w:top w:val="single" w:color="000000" w:sz="4" w:space="0"/>
                    <w:left w:val="single" w:color="000000" w:sz="4" w:space="0"/>
                    <w:bottom w:val="single" w:color="000000" w:sz="4" w:space="0"/>
                    <w:right w:val="single" w:color="000000" w:sz="4" w:space="0"/>
                  </w:tcBorders>
                  <w:vAlign w:val="center"/>
                </w:tcPr>
                <w:p w14:paraId="25C38D9B">
                  <w:pPr>
                    <w:widowControl/>
                    <w:jc w:val="center"/>
                    <w:textAlignment w:val="center"/>
                    <w:rPr>
                      <w:color w:val="auto"/>
                      <w:szCs w:val="20"/>
                    </w:rPr>
                  </w:pPr>
                  <w:r>
                    <w:rPr>
                      <w:rFonts w:hint="eastAsia"/>
                      <w:color w:val="auto"/>
                      <w:szCs w:val="20"/>
                    </w:rPr>
                    <w:t>0.5</w:t>
                  </w:r>
                </w:p>
              </w:tc>
              <w:tc>
                <w:tcPr>
                  <w:tcW w:w="1500" w:type="dxa"/>
                  <w:tcBorders>
                    <w:top w:val="single" w:color="000000" w:sz="4" w:space="0"/>
                    <w:left w:val="single" w:color="000000" w:sz="4" w:space="0"/>
                    <w:bottom w:val="single" w:color="000000" w:sz="4" w:space="0"/>
                    <w:right w:val="single" w:color="000000" w:sz="4" w:space="0"/>
                  </w:tcBorders>
                  <w:vAlign w:val="center"/>
                </w:tcPr>
                <w:p w14:paraId="5A1C3D69">
                  <w:pPr>
                    <w:widowControl/>
                    <w:jc w:val="center"/>
                    <w:textAlignment w:val="center"/>
                    <w:rPr>
                      <w:color w:val="auto"/>
                      <w:kern w:val="0"/>
                      <w:szCs w:val="21"/>
                      <w:lang w:bidi="ar"/>
                    </w:rPr>
                  </w:pPr>
                  <w:r>
                    <w:rPr>
                      <w:rFonts w:hint="eastAsia"/>
                      <w:color w:val="auto"/>
                      <w:kern w:val="0"/>
                      <w:szCs w:val="21"/>
                      <w:lang w:bidi="ar"/>
                    </w:rPr>
                    <w:t>0.3</w:t>
                  </w:r>
                </w:p>
              </w:tc>
              <w:tc>
                <w:tcPr>
                  <w:tcW w:w="1420" w:type="dxa"/>
                  <w:tcBorders>
                    <w:top w:val="single" w:color="000000" w:sz="4" w:space="0"/>
                    <w:left w:val="single" w:color="000000" w:sz="4" w:space="0"/>
                    <w:bottom w:val="single" w:color="000000" w:sz="4" w:space="0"/>
                    <w:right w:val="single" w:color="000000" w:sz="4" w:space="0"/>
                  </w:tcBorders>
                  <w:vAlign w:val="center"/>
                </w:tcPr>
                <w:p w14:paraId="086CD7A4">
                  <w:pPr>
                    <w:widowControl/>
                    <w:jc w:val="center"/>
                    <w:textAlignment w:val="center"/>
                    <w:rPr>
                      <w:color w:val="auto"/>
                      <w:szCs w:val="20"/>
                    </w:rPr>
                  </w:pPr>
                  <w:r>
                    <w:rPr>
                      <w:color w:val="auto"/>
                      <w:kern w:val="0"/>
                      <w:szCs w:val="21"/>
                      <w:lang w:bidi="ar"/>
                    </w:rPr>
                    <w:t>0.</w:t>
                  </w:r>
                  <w:r>
                    <w:rPr>
                      <w:rFonts w:hint="eastAsia"/>
                      <w:color w:val="auto"/>
                      <w:kern w:val="0"/>
                      <w:szCs w:val="21"/>
                      <w:lang w:bidi="ar"/>
                    </w:rPr>
                    <w:t>5</w:t>
                  </w:r>
                </w:p>
              </w:tc>
              <w:tc>
                <w:tcPr>
                  <w:tcW w:w="1485" w:type="dxa"/>
                  <w:tcBorders>
                    <w:top w:val="single" w:color="000000" w:sz="4" w:space="0"/>
                    <w:left w:val="single" w:color="000000" w:sz="4" w:space="0"/>
                    <w:bottom w:val="single" w:color="000000" w:sz="4" w:space="0"/>
                    <w:right w:val="single" w:color="000000" w:sz="4" w:space="0"/>
                  </w:tcBorders>
                  <w:vAlign w:val="center"/>
                </w:tcPr>
                <w:p w14:paraId="529950AB">
                  <w:pPr>
                    <w:widowControl/>
                    <w:jc w:val="center"/>
                    <w:textAlignment w:val="center"/>
                    <w:rPr>
                      <w:color w:val="auto"/>
                      <w:szCs w:val="20"/>
                    </w:rPr>
                  </w:pPr>
                  <w:r>
                    <w:rPr>
                      <w:color w:val="auto"/>
                      <w:kern w:val="0"/>
                      <w:szCs w:val="21"/>
                      <w:lang w:bidi="ar"/>
                    </w:rPr>
                    <w:t>1710</w:t>
                  </w:r>
                </w:p>
              </w:tc>
            </w:tr>
            <w:tr w14:paraId="75243737">
              <w:tblPrEx>
                <w:tblCellMar>
                  <w:top w:w="0" w:type="dxa"/>
                  <w:left w:w="108" w:type="dxa"/>
                  <w:bottom w:w="0" w:type="dxa"/>
                  <w:right w:w="108" w:type="dxa"/>
                </w:tblCellMar>
              </w:tblPrEx>
              <w:trPr>
                <w:trHeight w:val="270" w:hRule="atLeast"/>
                <w:jc w:val="center"/>
              </w:trPr>
              <w:tc>
                <w:tcPr>
                  <w:tcW w:w="1781" w:type="dxa"/>
                  <w:tcBorders>
                    <w:top w:val="single" w:color="000000" w:sz="4" w:space="0"/>
                    <w:left w:val="single" w:color="000000" w:sz="4" w:space="0"/>
                    <w:bottom w:val="single" w:color="000000" w:sz="4" w:space="0"/>
                    <w:right w:val="single" w:color="000000" w:sz="4" w:space="0"/>
                  </w:tcBorders>
                  <w:vAlign w:val="center"/>
                </w:tcPr>
                <w:p w14:paraId="6C48E93B">
                  <w:pPr>
                    <w:pStyle w:val="43"/>
                    <w:wordWrap/>
                    <w:spacing w:line="240" w:lineRule="auto"/>
                    <w:ind w:firstLine="0" w:firstLineChars="0"/>
                    <w:jc w:val="center"/>
                    <w:rPr>
                      <w:color w:val="auto"/>
                      <w:sz w:val="21"/>
                      <w:szCs w:val="20"/>
                    </w:rPr>
                  </w:pPr>
                  <w:r>
                    <w:rPr>
                      <w:rFonts w:hint="eastAsia"/>
                      <w:color w:val="auto"/>
                      <w:sz w:val="21"/>
                      <w:szCs w:val="20"/>
                    </w:rPr>
                    <w:t>烘烤柜炉</w:t>
                  </w:r>
                </w:p>
              </w:tc>
              <w:tc>
                <w:tcPr>
                  <w:tcW w:w="1544" w:type="dxa"/>
                  <w:tcBorders>
                    <w:top w:val="single" w:color="000000" w:sz="4" w:space="0"/>
                    <w:left w:val="single" w:color="000000" w:sz="4" w:space="0"/>
                    <w:bottom w:val="single" w:color="000000" w:sz="4" w:space="0"/>
                    <w:right w:val="single" w:color="000000" w:sz="4" w:space="0"/>
                  </w:tcBorders>
                  <w:vAlign w:val="center"/>
                </w:tcPr>
                <w:p w14:paraId="442866D5">
                  <w:pPr>
                    <w:pStyle w:val="43"/>
                    <w:wordWrap/>
                    <w:spacing w:line="240" w:lineRule="auto"/>
                    <w:ind w:firstLine="0" w:firstLineChars="0"/>
                    <w:jc w:val="center"/>
                    <w:rPr>
                      <w:color w:val="auto"/>
                      <w:sz w:val="21"/>
                      <w:szCs w:val="20"/>
                    </w:rPr>
                  </w:pPr>
                  <w:r>
                    <w:rPr>
                      <w:rFonts w:hint="eastAsia"/>
                      <w:color w:val="auto"/>
                      <w:sz w:val="21"/>
                      <w:szCs w:val="20"/>
                    </w:rPr>
                    <w:t>1</w:t>
                  </w:r>
                </w:p>
              </w:tc>
              <w:tc>
                <w:tcPr>
                  <w:tcW w:w="1516" w:type="dxa"/>
                  <w:tcBorders>
                    <w:top w:val="single" w:color="000000" w:sz="4" w:space="0"/>
                    <w:left w:val="single" w:color="000000" w:sz="4" w:space="0"/>
                    <w:bottom w:val="single" w:color="000000" w:sz="4" w:space="0"/>
                    <w:right w:val="single" w:color="000000" w:sz="4" w:space="0"/>
                  </w:tcBorders>
                  <w:vAlign w:val="center"/>
                </w:tcPr>
                <w:p w14:paraId="5CFDD085">
                  <w:pPr>
                    <w:widowControl/>
                    <w:jc w:val="center"/>
                    <w:textAlignment w:val="center"/>
                    <w:rPr>
                      <w:color w:val="auto"/>
                      <w:szCs w:val="20"/>
                    </w:rPr>
                  </w:pPr>
                  <w:r>
                    <w:rPr>
                      <w:rFonts w:hint="eastAsia"/>
                      <w:color w:val="auto"/>
                      <w:szCs w:val="20"/>
                    </w:rPr>
                    <w:t>2.5</w:t>
                  </w:r>
                  <w:r>
                    <w:rPr>
                      <w:color w:val="auto"/>
                      <w:szCs w:val="21"/>
                    </w:rPr>
                    <w:t>×0.</w:t>
                  </w:r>
                  <w:r>
                    <w:rPr>
                      <w:rFonts w:hint="eastAsia"/>
                      <w:color w:val="auto"/>
                      <w:szCs w:val="21"/>
                    </w:rPr>
                    <w:t>25</w:t>
                  </w:r>
                </w:p>
              </w:tc>
              <w:tc>
                <w:tcPr>
                  <w:tcW w:w="1430" w:type="dxa"/>
                  <w:tcBorders>
                    <w:top w:val="single" w:color="000000" w:sz="4" w:space="0"/>
                    <w:left w:val="single" w:color="000000" w:sz="4" w:space="0"/>
                    <w:bottom w:val="single" w:color="000000" w:sz="4" w:space="0"/>
                    <w:right w:val="single" w:color="000000" w:sz="4" w:space="0"/>
                  </w:tcBorders>
                  <w:vAlign w:val="center"/>
                </w:tcPr>
                <w:p w14:paraId="103561AD">
                  <w:pPr>
                    <w:widowControl/>
                    <w:jc w:val="center"/>
                    <w:textAlignment w:val="center"/>
                    <w:rPr>
                      <w:color w:val="auto"/>
                      <w:szCs w:val="20"/>
                    </w:rPr>
                  </w:pPr>
                  <w:r>
                    <w:rPr>
                      <w:rFonts w:hint="eastAsia"/>
                      <w:color w:val="auto"/>
                      <w:szCs w:val="20"/>
                    </w:rPr>
                    <w:t>0.625</w:t>
                  </w:r>
                </w:p>
              </w:tc>
              <w:tc>
                <w:tcPr>
                  <w:tcW w:w="1500" w:type="dxa"/>
                  <w:tcBorders>
                    <w:top w:val="single" w:color="000000" w:sz="4" w:space="0"/>
                    <w:left w:val="single" w:color="000000" w:sz="4" w:space="0"/>
                    <w:bottom w:val="single" w:color="000000" w:sz="4" w:space="0"/>
                    <w:right w:val="single" w:color="000000" w:sz="4" w:space="0"/>
                  </w:tcBorders>
                  <w:vAlign w:val="center"/>
                </w:tcPr>
                <w:p w14:paraId="6AF0D7C7">
                  <w:pPr>
                    <w:widowControl/>
                    <w:jc w:val="center"/>
                    <w:textAlignment w:val="center"/>
                    <w:rPr>
                      <w:color w:val="auto"/>
                      <w:kern w:val="0"/>
                      <w:szCs w:val="21"/>
                      <w:lang w:bidi="ar"/>
                    </w:rPr>
                  </w:pPr>
                  <w:r>
                    <w:rPr>
                      <w:rFonts w:hint="eastAsia"/>
                      <w:color w:val="auto"/>
                      <w:kern w:val="0"/>
                      <w:szCs w:val="21"/>
                      <w:lang w:bidi="ar"/>
                    </w:rPr>
                    <w:t>0.3</w:t>
                  </w:r>
                </w:p>
              </w:tc>
              <w:tc>
                <w:tcPr>
                  <w:tcW w:w="1420" w:type="dxa"/>
                  <w:tcBorders>
                    <w:top w:val="single" w:color="000000" w:sz="4" w:space="0"/>
                    <w:left w:val="single" w:color="000000" w:sz="4" w:space="0"/>
                    <w:bottom w:val="single" w:color="000000" w:sz="4" w:space="0"/>
                    <w:right w:val="single" w:color="000000" w:sz="4" w:space="0"/>
                  </w:tcBorders>
                  <w:vAlign w:val="center"/>
                </w:tcPr>
                <w:p w14:paraId="3492D465">
                  <w:pPr>
                    <w:widowControl/>
                    <w:jc w:val="center"/>
                    <w:textAlignment w:val="center"/>
                    <w:rPr>
                      <w:color w:val="auto"/>
                      <w:szCs w:val="20"/>
                    </w:rPr>
                  </w:pPr>
                  <w:r>
                    <w:rPr>
                      <w:color w:val="auto"/>
                      <w:kern w:val="0"/>
                      <w:szCs w:val="21"/>
                      <w:lang w:bidi="ar"/>
                    </w:rPr>
                    <w:t>0.</w:t>
                  </w:r>
                  <w:r>
                    <w:rPr>
                      <w:rFonts w:hint="eastAsia"/>
                      <w:color w:val="auto"/>
                      <w:kern w:val="0"/>
                      <w:szCs w:val="21"/>
                      <w:lang w:bidi="ar"/>
                    </w:rPr>
                    <w:t>5</w:t>
                  </w:r>
                </w:p>
              </w:tc>
              <w:tc>
                <w:tcPr>
                  <w:tcW w:w="1485" w:type="dxa"/>
                  <w:tcBorders>
                    <w:top w:val="single" w:color="000000" w:sz="4" w:space="0"/>
                    <w:left w:val="single" w:color="000000" w:sz="4" w:space="0"/>
                    <w:bottom w:val="single" w:color="000000" w:sz="4" w:space="0"/>
                    <w:right w:val="single" w:color="000000" w:sz="4" w:space="0"/>
                  </w:tcBorders>
                  <w:vAlign w:val="center"/>
                </w:tcPr>
                <w:p w14:paraId="7FEAFE21">
                  <w:pPr>
                    <w:widowControl/>
                    <w:jc w:val="center"/>
                    <w:textAlignment w:val="center"/>
                    <w:rPr>
                      <w:color w:val="auto"/>
                      <w:szCs w:val="20"/>
                    </w:rPr>
                  </w:pPr>
                  <w:r>
                    <w:rPr>
                      <w:color w:val="auto"/>
                      <w:kern w:val="0"/>
                      <w:szCs w:val="21"/>
                      <w:lang w:bidi="ar"/>
                    </w:rPr>
                    <w:t>1935</w:t>
                  </w:r>
                </w:p>
              </w:tc>
            </w:tr>
          </w:tbl>
          <w:p w14:paraId="0967234F">
            <w:pPr>
              <w:adjustRightInd w:val="0"/>
              <w:snapToGrid w:val="0"/>
              <w:spacing w:line="360" w:lineRule="auto"/>
              <w:ind w:firstLine="480" w:firstLineChars="200"/>
              <w:jc w:val="left"/>
              <w:rPr>
                <w:color w:val="auto"/>
                <w:sz w:val="24"/>
              </w:rPr>
            </w:pPr>
            <w:r>
              <w:rPr>
                <w:rFonts w:hint="eastAsia"/>
                <w:color w:val="auto"/>
                <w:sz w:val="24"/>
              </w:rPr>
              <w:t>针对喷漆房、尾数房、固化隧道炉、烘烤隧道炉、烘烤柜炉的作业废气，建设单位拟设至3套废气设施收集处理作业废气，综合上述计算，可计算出各废气设施的风机风量设置情况如下：</w:t>
            </w:r>
          </w:p>
          <w:p w14:paraId="54C23795">
            <w:pPr>
              <w:pStyle w:val="77"/>
              <w:numPr>
                <w:ilvl w:val="0"/>
                <w:numId w:val="18"/>
              </w:numPr>
              <w:adjustRightInd w:val="0"/>
              <w:snapToGrid w:val="0"/>
              <w:jc w:val="center"/>
              <w:rPr>
                <w:b/>
                <w:bCs/>
                <w:color w:val="auto"/>
                <w:szCs w:val="21"/>
              </w:rPr>
            </w:pPr>
            <w:r>
              <w:rPr>
                <w:rFonts w:hint="eastAsia"/>
                <w:b/>
                <w:bCs/>
                <w:color w:val="auto"/>
                <w:szCs w:val="21"/>
              </w:rPr>
              <w:t xml:space="preserve"> 项目喷漆房、尾数房、固化隧道炉、烘烤隧道炉、烘烤柜炉收集风量一览表</w:t>
            </w:r>
          </w:p>
          <w:tbl>
            <w:tblPr>
              <w:tblStyle w:val="35"/>
              <w:tblW w:w="10672" w:type="dxa"/>
              <w:jc w:val="center"/>
              <w:tblLayout w:type="autofit"/>
              <w:tblCellMar>
                <w:top w:w="0" w:type="dxa"/>
                <w:left w:w="108" w:type="dxa"/>
                <w:bottom w:w="0" w:type="dxa"/>
                <w:right w:w="108" w:type="dxa"/>
              </w:tblCellMar>
            </w:tblPr>
            <w:tblGrid>
              <w:gridCol w:w="1328"/>
              <w:gridCol w:w="1300"/>
              <w:gridCol w:w="1949"/>
              <w:gridCol w:w="3762"/>
              <w:gridCol w:w="1166"/>
              <w:gridCol w:w="1167"/>
            </w:tblGrid>
            <w:tr w14:paraId="71EC5CD4">
              <w:tblPrEx>
                <w:tblCellMar>
                  <w:top w:w="0" w:type="dxa"/>
                  <w:left w:w="108" w:type="dxa"/>
                  <w:bottom w:w="0" w:type="dxa"/>
                  <w:right w:w="108" w:type="dxa"/>
                </w:tblCellMar>
              </w:tblPrEx>
              <w:trPr>
                <w:trHeight w:val="270" w:hRule="atLeast"/>
                <w:jc w:val="center"/>
              </w:trPr>
              <w:tc>
                <w:tcPr>
                  <w:tcW w:w="622" w:type="pct"/>
                  <w:tcBorders>
                    <w:top w:val="single" w:color="000000" w:sz="4" w:space="0"/>
                    <w:left w:val="single" w:color="000000" w:sz="4" w:space="0"/>
                    <w:bottom w:val="single" w:color="000000" w:sz="4" w:space="0"/>
                    <w:right w:val="single" w:color="000000" w:sz="4" w:space="0"/>
                  </w:tcBorders>
                  <w:vAlign w:val="center"/>
                </w:tcPr>
                <w:p w14:paraId="39DB3D93">
                  <w:pPr>
                    <w:pStyle w:val="43"/>
                    <w:wordWrap/>
                    <w:spacing w:line="240" w:lineRule="auto"/>
                    <w:ind w:firstLine="0" w:firstLineChars="0"/>
                    <w:jc w:val="center"/>
                    <w:rPr>
                      <w:b/>
                      <w:bCs/>
                      <w:color w:val="auto"/>
                      <w:sz w:val="21"/>
                      <w:szCs w:val="20"/>
                    </w:rPr>
                  </w:pPr>
                  <w:r>
                    <w:rPr>
                      <w:b/>
                      <w:bCs/>
                      <w:color w:val="auto"/>
                      <w:sz w:val="21"/>
                      <w:szCs w:val="20"/>
                    </w:rPr>
                    <w:t>排气筒编号</w:t>
                  </w:r>
                </w:p>
              </w:tc>
              <w:tc>
                <w:tcPr>
                  <w:tcW w:w="609" w:type="pct"/>
                  <w:tcBorders>
                    <w:top w:val="single" w:color="000000" w:sz="4" w:space="0"/>
                    <w:left w:val="single" w:color="000000" w:sz="4" w:space="0"/>
                    <w:bottom w:val="single" w:color="000000" w:sz="4" w:space="0"/>
                    <w:right w:val="single" w:color="000000" w:sz="4" w:space="0"/>
                  </w:tcBorders>
                  <w:vAlign w:val="center"/>
                </w:tcPr>
                <w:p w14:paraId="2AD60034">
                  <w:pPr>
                    <w:pStyle w:val="43"/>
                    <w:wordWrap/>
                    <w:spacing w:line="240" w:lineRule="auto"/>
                    <w:ind w:firstLine="0" w:firstLineChars="0"/>
                    <w:jc w:val="center"/>
                    <w:rPr>
                      <w:b/>
                      <w:bCs/>
                      <w:color w:val="auto"/>
                      <w:sz w:val="21"/>
                      <w:szCs w:val="20"/>
                    </w:rPr>
                  </w:pPr>
                  <w:r>
                    <w:rPr>
                      <w:rFonts w:hint="eastAsia"/>
                      <w:b/>
                      <w:bCs/>
                      <w:color w:val="auto"/>
                      <w:sz w:val="21"/>
                      <w:szCs w:val="20"/>
                    </w:rPr>
                    <w:t>车间</w:t>
                  </w:r>
                </w:p>
              </w:tc>
              <w:tc>
                <w:tcPr>
                  <w:tcW w:w="913" w:type="pct"/>
                  <w:tcBorders>
                    <w:top w:val="single" w:color="000000" w:sz="4" w:space="0"/>
                    <w:left w:val="single" w:color="000000" w:sz="4" w:space="0"/>
                    <w:bottom w:val="single" w:color="000000" w:sz="4" w:space="0"/>
                    <w:right w:val="single" w:color="000000" w:sz="4" w:space="0"/>
                  </w:tcBorders>
                  <w:vAlign w:val="center"/>
                </w:tcPr>
                <w:p w14:paraId="6ED28F86">
                  <w:pPr>
                    <w:pStyle w:val="43"/>
                    <w:wordWrap/>
                    <w:spacing w:line="240" w:lineRule="auto"/>
                    <w:ind w:firstLine="0" w:firstLineChars="0"/>
                    <w:jc w:val="center"/>
                    <w:rPr>
                      <w:b/>
                      <w:bCs/>
                      <w:color w:val="auto"/>
                      <w:sz w:val="21"/>
                      <w:szCs w:val="20"/>
                    </w:rPr>
                  </w:pPr>
                  <w:r>
                    <w:rPr>
                      <w:rFonts w:hint="eastAsia"/>
                      <w:b/>
                      <w:bCs/>
                      <w:color w:val="auto"/>
                      <w:sz w:val="21"/>
                      <w:szCs w:val="20"/>
                    </w:rPr>
                    <w:t>收集方式</w:t>
                  </w:r>
                </w:p>
              </w:tc>
              <w:tc>
                <w:tcPr>
                  <w:tcW w:w="1762" w:type="pct"/>
                  <w:tcBorders>
                    <w:top w:val="single" w:color="000000" w:sz="4" w:space="0"/>
                    <w:left w:val="single" w:color="000000" w:sz="4" w:space="0"/>
                    <w:bottom w:val="single" w:color="000000" w:sz="4" w:space="0"/>
                    <w:right w:val="single" w:color="000000" w:sz="4" w:space="0"/>
                  </w:tcBorders>
                  <w:vAlign w:val="center"/>
                </w:tcPr>
                <w:p w14:paraId="1ED8F035">
                  <w:pPr>
                    <w:pStyle w:val="43"/>
                    <w:wordWrap/>
                    <w:spacing w:line="240" w:lineRule="auto"/>
                    <w:ind w:firstLine="0" w:firstLineChars="0"/>
                    <w:jc w:val="center"/>
                    <w:rPr>
                      <w:b/>
                      <w:bCs/>
                      <w:color w:val="auto"/>
                      <w:sz w:val="21"/>
                      <w:szCs w:val="20"/>
                    </w:rPr>
                  </w:pPr>
                  <w:r>
                    <w:rPr>
                      <w:rFonts w:hint="eastAsia"/>
                      <w:b/>
                      <w:bCs/>
                      <w:color w:val="auto"/>
                      <w:sz w:val="21"/>
                      <w:szCs w:val="20"/>
                    </w:rPr>
                    <w:t>收集区域</w:t>
                  </w:r>
                </w:p>
              </w:tc>
              <w:tc>
                <w:tcPr>
                  <w:tcW w:w="546" w:type="pct"/>
                  <w:tcBorders>
                    <w:top w:val="single" w:color="000000" w:sz="4" w:space="0"/>
                    <w:left w:val="single" w:color="000000" w:sz="4" w:space="0"/>
                    <w:bottom w:val="single" w:color="000000" w:sz="4" w:space="0"/>
                    <w:right w:val="single" w:color="000000" w:sz="4" w:space="0"/>
                  </w:tcBorders>
                  <w:vAlign w:val="center"/>
                </w:tcPr>
                <w:p w14:paraId="0383E3B8">
                  <w:pPr>
                    <w:pStyle w:val="43"/>
                    <w:wordWrap/>
                    <w:spacing w:line="240" w:lineRule="auto"/>
                    <w:ind w:firstLine="0" w:firstLineChars="0"/>
                    <w:jc w:val="center"/>
                    <w:rPr>
                      <w:b/>
                      <w:bCs/>
                      <w:color w:val="auto"/>
                      <w:sz w:val="21"/>
                      <w:szCs w:val="20"/>
                    </w:rPr>
                  </w:pPr>
                  <w:r>
                    <w:rPr>
                      <w:rFonts w:hint="eastAsia"/>
                      <w:b/>
                      <w:bCs/>
                      <w:color w:val="auto"/>
                      <w:sz w:val="21"/>
                      <w:szCs w:val="20"/>
                    </w:rPr>
                    <w:t>理论</w:t>
                  </w:r>
                  <w:r>
                    <w:rPr>
                      <w:b/>
                      <w:bCs/>
                      <w:color w:val="auto"/>
                      <w:sz w:val="21"/>
                      <w:szCs w:val="20"/>
                    </w:rPr>
                    <w:t>风量m</w:t>
                  </w:r>
                  <w:r>
                    <w:rPr>
                      <w:b/>
                      <w:bCs/>
                      <w:color w:val="auto"/>
                      <w:sz w:val="21"/>
                      <w:szCs w:val="20"/>
                      <w:vertAlign w:val="superscript"/>
                    </w:rPr>
                    <w:t>3</w:t>
                  </w:r>
                  <w:r>
                    <w:rPr>
                      <w:b/>
                      <w:bCs/>
                      <w:color w:val="auto"/>
                      <w:sz w:val="21"/>
                      <w:szCs w:val="20"/>
                    </w:rPr>
                    <w:t>/h</w:t>
                  </w:r>
                </w:p>
              </w:tc>
              <w:tc>
                <w:tcPr>
                  <w:tcW w:w="546" w:type="pct"/>
                  <w:tcBorders>
                    <w:top w:val="single" w:color="000000" w:sz="4" w:space="0"/>
                    <w:left w:val="single" w:color="000000" w:sz="4" w:space="0"/>
                    <w:bottom w:val="single" w:color="000000" w:sz="4" w:space="0"/>
                    <w:right w:val="single" w:color="000000" w:sz="4" w:space="0"/>
                  </w:tcBorders>
                  <w:vAlign w:val="center"/>
                </w:tcPr>
                <w:p w14:paraId="75C3C1BD">
                  <w:pPr>
                    <w:pStyle w:val="43"/>
                    <w:wordWrap/>
                    <w:spacing w:line="240" w:lineRule="auto"/>
                    <w:ind w:firstLine="0" w:firstLineChars="0"/>
                    <w:jc w:val="center"/>
                    <w:rPr>
                      <w:b/>
                      <w:bCs/>
                      <w:color w:val="auto"/>
                      <w:sz w:val="21"/>
                      <w:szCs w:val="20"/>
                    </w:rPr>
                  </w:pPr>
                  <w:r>
                    <w:rPr>
                      <w:rFonts w:hint="eastAsia"/>
                      <w:b/>
                      <w:bCs/>
                      <w:color w:val="auto"/>
                      <w:sz w:val="21"/>
                      <w:szCs w:val="20"/>
                    </w:rPr>
                    <w:t>设计</w:t>
                  </w:r>
                  <w:r>
                    <w:rPr>
                      <w:b/>
                      <w:bCs/>
                      <w:color w:val="auto"/>
                      <w:sz w:val="21"/>
                      <w:szCs w:val="20"/>
                    </w:rPr>
                    <w:t>风量m</w:t>
                  </w:r>
                  <w:r>
                    <w:rPr>
                      <w:b/>
                      <w:bCs/>
                      <w:color w:val="auto"/>
                      <w:sz w:val="21"/>
                      <w:szCs w:val="20"/>
                      <w:vertAlign w:val="superscript"/>
                    </w:rPr>
                    <w:t>3</w:t>
                  </w:r>
                  <w:r>
                    <w:rPr>
                      <w:b/>
                      <w:bCs/>
                      <w:color w:val="auto"/>
                      <w:sz w:val="21"/>
                      <w:szCs w:val="20"/>
                    </w:rPr>
                    <w:t>/h</w:t>
                  </w:r>
                </w:p>
              </w:tc>
            </w:tr>
            <w:tr w14:paraId="348E6805">
              <w:tblPrEx>
                <w:tblCellMar>
                  <w:top w:w="0" w:type="dxa"/>
                  <w:left w:w="108" w:type="dxa"/>
                  <w:bottom w:w="0" w:type="dxa"/>
                  <w:right w:w="108" w:type="dxa"/>
                </w:tblCellMar>
              </w:tblPrEx>
              <w:trPr>
                <w:trHeight w:val="87" w:hRule="atLeast"/>
                <w:jc w:val="center"/>
              </w:trPr>
              <w:tc>
                <w:tcPr>
                  <w:tcW w:w="622" w:type="pct"/>
                  <w:vMerge w:val="restart"/>
                  <w:tcBorders>
                    <w:top w:val="single" w:color="000000" w:sz="4" w:space="0"/>
                    <w:left w:val="single" w:color="000000" w:sz="4" w:space="0"/>
                    <w:right w:val="single" w:color="000000" w:sz="4" w:space="0"/>
                  </w:tcBorders>
                  <w:vAlign w:val="center"/>
                </w:tcPr>
                <w:p w14:paraId="13B223E2">
                  <w:pPr>
                    <w:pStyle w:val="43"/>
                    <w:wordWrap/>
                    <w:spacing w:line="240" w:lineRule="auto"/>
                    <w:ind w:firstLine="0" w:firstLineChars="0"/>
                    <w:jc w:val="center"/>
                    <w:rPr>
                      <w:color w:val="auto"/>
                      <w:sz w:val="21"/>
                      <w:szCs w:val="20"/>
                    </w:rPr>
                  </w:pPr>
                  <w:r>
                    <w:rPr>
                      <w:color w:val="auto"/>
                      <w:sz w:val="21"/>
                      <w:szCs w:val="20"/>
                    </w:rPr>
                    <w:t>DA00</w:t>
                  </w:r>
                  <w:r>
                    <w:rPr>
                      <w:rFonts w:hint="eastAsia"/>
                      <w:color w:val="auto"/>
                      <w:sz w:val="21"/>
                      <w:szCs w:val="20"/>
                    </w:rPr>
                    <w:t>3</w:t>
                  </w:r>
                </w:p>
              </w:tc>
              <w:tc>
                <w:tcPr>
                  <w:tcW w:w="609" w:type="pct"/>
                  <w:tcBorders>
                    <w:top w:val="single" w:color="000000" w:sz="4" w:space="0"/>
                    <w:left w:val="single" w:color="000000" w:sz="4" w:space="0"/>
                    <w:bottom w:val="single" w:color="000000" w:sz="4" w:space="0"/>
                    <w:right w:val="single" w:color="000000" w:sz="4" w:space="0"/>
                  </w:tcBorders>
                  <w:vAlign w:val="center"/>
                </w:tcPr>
                <w:p w14:paraId="34175A1D">
                  <w:pPr>
                    <w:pStyle w:val="43"/>
                    <w:wordWrap/>
                    <w:spacing w:line="240" w:lineRule="auto"/>
                    <w:ind w:firstLine="0" w:firstLineChars="0"/>
                    <w:jc w:val="center"/>
                    <w:rPr>
                      <w:color w:val="auto"/>
                      <w:sz w:val="21"/>
                      <w:szCs w:val="20"/>
                    </w:rPr>
                  </w:pPr>
                  <w:r>
                    <w:rPr>
                      <w:rFonts w:hint="eastAsia"/>
                      <w:color w:val="auto"/>
                      <w:sz w:val="21"/>
                      <w:szCs w:val="20"/>
                    </w:rPr>
                    <w:t>面漆房</w:t>
                  </w:r>
                </w:p>
              </w:tc>
              <w:tc>
                <w:tcPr>
                  <w:tcW w:w="913" w:type="pct"/>
                  <w:tcBorders>
                    <w:top w:val="single" w:color="000000" w:sz="4" w:space="0"/>
                    <w:left w:val="single" w:color="000000" w:sz="4" w:space="0"/>
                    <w:bottom w:val="single" w:color="000000" w:sz="4" w:space="0"/>
                    <w:right w:val="single" w:color="000000" w:sz="4" w:space="0"/>
                  </w:tcBorders>
                  <w:vAlign w:val="center"/>
                </w:tcPr>
                <w:p w14:paraId="7EE8C92C">
                  <w:pPr>
                    <w:pStyle w:val="43"/>
                    <w:wordWrap/>
                    <w:spacing w:line="240" w:lineRule="auto"/>
                    <w:ind w:firstLine="0" w:firstLineChars="0"/>
                    <w:jc w:val="center"/>
                    <w:rPr>
                      <w:color w:val="auto"/>
                      <w:sz w:val="21"/>
                      <w:szCs w:val="20"/>
                    </w:rPr>
                  </w:pPr>
                  <w:r>
                    <w:rPr>
                      <w:rFonts w:hint="eastAsia"/>
                      <w:color w:val="auto"/>
                      <w:sz w:val="21"/>
                      <w:szCs w:val="20"/>
                    </w:rPr>
                    <w:t>单层密闭负压</w:t>
                  </w:r>
                </w:p>
              </w:tc>
              <w:tc>
                <w:tcPr>
                  <w:tcW w:w="1762" w:type="pct"/>
                  <w:vMerge w:val="restart"/>
                  <w:tcBorders>
                    <w:top w:val="single" w:color="000000" w:sz="4" w:space="0"/>
                    <w:left w:val="single" w:color="000000" w:sz="4" w:space="0"/>
                    <w:right w:val="single" w:color="000000" w:sz="4" w:space="0"/>
                  </w:tcBorders>
                  <w:vAlign w:val="center"/>
                </w:tcPr>
                <w:p w14:paraId="437A977E">
                  <w:pPr>
                    <w:pStyle w:val="43"/>
                    <w:wordWrap/>
                    <w:spacing w:line="240" w:lineRule="auto"/>
                    <w:ind w:firstLine="0" w:firstLineChars="0"/>
                    <w:jc w:val="center"/>
                    <w:rPr>
                      <w:color w:val="auto"/>
                      <w:sz w:val="21"/>
                      <w:szCs w:val="20"/>
                    </w:rPr>
                  </w:pPr>
                  <w:r>
                    <w:rPr>
                      <w:rFonts w:hint="eastAsia"/>
                      <w:color w:val="auto"/>
                      <w:sz w:val="21"/>
                      <w:szCs w:val="20"/>
                    </w:rPr>
                    <w:t>收集面漆房、固化隧道炉和面漆烘烤隧道炉的作业废气</w:t>
                  </w:r>
                </w:p>
              </w:tc>
              <w:tc>
                <w:tcPr>
                  <w:tcW w:w="1166" w:type="dxa"/>
                  <w:tcBorders>
                    <w:top w:val="single" w:color="000000" w:sz="4" w:space="0"/>
                    <w:left w:val="single" w:color="000000" w:sz="4" w:space="0"/>
                    <w:bottom w:val="single" w:color="000000" w:sz="4" w:space="0"/>
                    <w:right w:val="single" w:color="000000" w:sz="4" w:space="0"/>
                  </w:tcBorders>
                  <w:vAlign w:val="center"/>
                </w:tcPr>
                <w:p w14:paraId="51129603">
                  <w:pPr>
                    <w:widowControl/>
                    <w:jc w:val="center"/>
                    <w:textAlignment w:val="center"/>
                    <w:rPr>
                      <w:color w:val="auto"/>
                      <w:szCs w:val="20"/>
                    </w:rPr>
                  </w:pPr>
                  <w:r>
                    <w:rPr>
                      <w:color w:val="auto"/>
                      <w:kern w:val="0"/>
                      <w:szCs w:val="21"/>
                      <w:lang w:bidi="ar"/>
                    </w:rPr>
                    <w:t>10560</w:t>
                  </w:r>
                </w:p>
              </w:tc>
              <w:tc>
                <w:tcPr>
                  <w:tcW w:w="1167" w:type="dxa"/>
                  <w:tcBorders>
                    <w:top w:val="single" w:color="000000" w:sz="4" w:space="0"/>
                    <w:left w:val="single" w:color="000000" w:sz="4" w:space="0"/>
                    <w:bottom w:val="single" w:color="000000" w:sz="4" w:space="0"/>
                    <w:right w:val="single" w:color="000000" w:sz="4" w:space="0"/>
                  </w:tcBorders>
                  <w:vAlign w:val="center"/>
                </w:tcPr>
                <w:p w14:paraId="5111D7BE">
                  <w:pPr>
                    <w:widowControl/>
                    <w:jc w:val="center"/>
                    <w:textAlignment w:val="center"/>
                    <w:rPr>
                      <w:color w:val="auto"/>
                      <w:szCs w:val="20"/>
                    </w:rPr>
                  </w:pPr>
                  <w:r>
                    <w:rPr>
                      <w:color w:val="auto"/>
                      <w:kern w:val="0"/>
                      <w:szCs w:val="21"/>
                      <w:lang w:bidi="ar"/>
                    </w:rPr>
                    <w:t>/</w:t>
                  </w:r>
                </w:p>
              </w:tc>
            </w:tr>
            <w:tr w14:paraId="18D853F1">
              <w:tblPrEx>
                <w:tblCellMar>
                  <w:top w:w="0" w:type="dxa"/>
                  <w:left w:w="108" w:type="dxa"/>
                  <w:bottom w:w="0" w:type="dxa"/>
                  <w:right w:w="108" w:type="dxa"/>
                </w:tblCellMar>
              </w:tblPrEx>
              <w:trPr>
                <w:trHeight w:val="87" w:hRule="atLeast"/>
                <w:jc w:val="center"/>
              </w:trPr>
              <w:tc>
                <w:tcPr>
                  <w:tcW w:w="622" w:type="pct"/>
                  <w:vMerge w:val="continue"/>
                  <w:tcBorders>
                    <w:left w:val="single" w:color="000000" w:sz="4" w:space="0"/>
                    <w:right w:val="single" w:color="000000" w:sz="4" w:space="0"/>
                  </w:tcBorders>
                  <w:vAlign w:val="center"/>
                </w:tcPr>
                <w:p w14:paraId="5639530B">
                  <w:pPr>
                    <w:pStyle w:val="43"/>
                    <w:wordWrap/>
                    <w:spacing w:line="240" w:lineRule="auto"/>
                    <w:ind w:firstLine="0" w:firstLineChars="0"/>
                    <w:jc w:val="center"/>
                    <w:rPr>
                      <w:color w:val="auto"/>
                    </w:rPr>
                  </w:pPr>
                </w:p>
              </w:tc>
              <w:tc>
                <w:tcPr>
                  <w:tcW w:w="609" w:type="pct"/>
                  <w:vMerge w:val="restart"/>
                  <w:tcBorders>
                    <w:top w:val="single" w:color="000000" w:sz="4" w:space="0"/>
                    <w:left w:val="single" w:color="000000" w:sz="4" w:space="0"/>
                    <w:right w:val="single" w:color="000000" w:sz="4" w:space="0"/>
                  </w:tcBorders>
                  <w:vAlign w:val="center"/>
                </w:tcPr>
                <w:p w14:paraId="7033B4EB">
                  <w:pPr>
                    <w:pStyle w:val="43"/>
                    <w:wordWrap/>
                    <w:spacing w:line="240" w:lineRule="auto"/>
                    <w:ind w:firstLine="0" w:firstLineChars="0"/>
                    <w:jc w:val="center"/>
                    <w:rPr>
                      <w:color w:val="auto"/>
                      <w:sz w:val="21"/>
                      <w:szCs w:val="20"/>
                    </w:rPr>
                  </w:pPr>
                  <w:r>
                    <w:rPr>
                      <w:rFonts w:hint="eastAsia"/>
                      <w:color w:val="auto"/>
                      <w:sz w:val="21"/>
                      <w:szCs w:val="20"/>
                    </w:rPr>
                    <w:t>固化隧道炉</w:t>
                  </w:r>
                </w:p>
              </w:tc>
              <w:tc>
                <w:tcPr>
                  <w:tcW w:w="913" w:type="pct"/>
                  <w:tcBorders>
                    <w:top w:val="single" w:color="000000" w:sz="4" w:space="0"/>
                    <w:left w:val="single" w:color="000000" w:sz="4" w:space="0"/>
                    <w:bottom w:val="single" w:color="000000" w:sz="4" w:space="0"/>
                    <w:right w:val="single" w:color="000000" w:sz="4" w:space="0"/>
                  </w:tcBorders>
                  <w:vAlign w:val="center"/>
                </w:tcPr>
                <w:p w14:paraId="0AB0991B">
                  <w:pPr>
                    <w:pStyle w:val="43"/>
                    <w:wordWrap/>
                    <w:spacing w:line="240" w:lineRule="auto"/>
                    <w:ind w:firstLine="0" w:firstLineChars="0"/>
                    <w:jc w:val="center"/>
                    <w:rPr>
                      <w:color w:val="auto"/>
                      <w:sz w:val="21"/>
                      <w:szCs w:val="20"/>
                    </w:rPr>
                  </w:pPr>
                  <w:r>
                    <w:rPr>
                      <w:rFonts w:hint="eastAsia"/>
                      <w:color w:val="auto"/>
                      <w:sz w:val="21"/>
                      <w:szCs w:val="20"/>
                    </w:rPr>
                    <w:t>设备废气排口直连</w:t>
                  </w:r>
                </w:p>
              </w:tc>
              <w:tc>
                <w:tcPr>
                  <w:tcW w:w="1762" w:type="pct"/>
                  <w:vMerge w:val="continue"/>
                  <w:tcBorders>
                    <w:left w:val="single" w:color="000000" w:sz="4" w:space="0"/>
                    <w:right w:val="single" w:color="000000" w:sz="4" w:space="0"/>
                  </w:tcBorders>
                  <w:vAlign w:val="center"/>
                </w:tcPr>
                <w:p w14:paraId="33EE4C7E">
                  <w:pPr>
                    <w:pStyle w:val="43"/>
                    <w:wordWrap/>
                    <w:spacing w:line="240" w:lineRule="auto"/>
                    <w:ind w:firstLine="0" w:firstLineChars="0"/>
                    <w:jc w:val="center"/>
                    <w:rPr>
                      <w:color w:val="auto"/>
                      <w:sz w:val="21"/>
                      <w:szCs w:val="20"/>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57F953A4">
                  <w:pPr>
                    <w:widowControl/>
                    <w:jc w:val="center"/>
                    <w:textAlignment w:val="center"/>
                    <w:rPr>
                      <w:color w:val="auto"/>
                      <w:szCs w:val="20"/>
                    </w:rPr>
                  </w:pPr>
                  <w:r>
                    <w:rPr>
                      <w:color w:val="auto"/>
                      <w:kern w:val="0"/>
                      <w:szCs w:val="21"/>
                      <w:lang w:bidi="ar"/>
                    </w:rPr>
                    <w:t>1153</w:t>
                  </w:r>
                </w:p>
              </w:tc>
              <w:tc>
                <w:tcPr>
                  <w:tcW w:w="1167" w:type="dxa"/>
                  <w:tcBorders>
                    <w:top w:val="single" w:color="000000" w:sz="4" w:space="0"/>
                    <w:left w:val="single" w:color="000000" w:sz="4" w:space="0"/>
                    <w:bottom w:val="single" w:color="000000" w:sz="4" w:space="0"/>
                    <w:right w:val="single" w:color="000000" w:sz="4" w:space="0"/>
                  </w:tcBorders>
                  <w:vAlign w:val="center"/>
                </w:tcPr>
                <w:p w14:paraId="130A9A90">
                  <w:pPr>
                    <w:widowControl/>
                    <w:jc w:val="center"/>
                    <w:textAlignment w:val="center"/>
                    <w:rPr>
                      <w:color w:val="auto"/>
                      <w:szCs w:val="20"/>
                    </w:rPr>
                  </w:pPr>
                  <w:r>
                    <w:rPr>
                      <w:color w:val="auto"/>
                      <w:kern w:val="0"/>
                      <w:szCs w:val="21"/>
                      <w:lang w:bidi="ar"/>
                    </w:rPr>
                    <w:t>/</w:t>
                  </w:r>
                </w:p>
              </w:tc>
            </w:tr>
            <w:tr w14:paraId="30E3DF16">
              <w:tblPrEx>
                <w:tblCellMar>
                  <w:top w:w="0" w:type="dxa"/>
                  <w:left w:w="108" w:type="dxa"/>
                  <w:bottom w:w="0" w:type="dxa"/>
                  <w:right w:w="108" w:type="dxa"/>
                </w:tblCellMar>
              </w:tblPrEx>
              <w:trPr>
                <w:trHeight w:val="87" w:hRule="atLeast"/>
                <w:jc w:val="center"/>
              </w:trPr>
              <w:tc>
                <w:tcPr>
                  <w:tcW w:w="622" w:type="pct"/>
                  <w:vMerge w:val="continue"/>
                  <w:tcBorders>
                    <w:left w:val="single" w:color="000000" w:sz="4" w:space="0"/>
                    <w:right w:val="single" w:color="000000" w:sz="4" w:space="0"/>
                  </w:tcBorders>
                  <w:vAlign w:val="center"/>
                </w:tcPr>
                <w:p w14:paraId="3E18FEEC">
                  <w:pPr>
                    <w:pStyle w:val="43"/>
                    <w:wordWrap/>
                    <w:spacing w:line="240" w:lineRule="auto"/>
                    <w:ind w:firstLine="0" w:firstLineChars="0"/>
                    <w:jc w:val="center"/>
                    <w:rPr>
                      <w:color w:val="auto"/>
                    </w:rPr>
                  </w:pPr>
                </w:p>
              </w:tc>
              <w:tc>
                <w:tcPr>
                  <w:tcW w:w="609" w:type="pct"/>
                  <w:vMerge w:val="continue"/>
                  <w:tcBorders>
                    <w:left w:val="single" w:color="000000" w:sz="4" w:space="0"/>
                    <w:bottom w:val="single" w:color="000000" w:sz="4" w:space="0"/>
                    <w:right w:val="single" w:color="000000" w:sz="4" w:space="0"/>
                  </w:tcBorders>
                  <w:vAlign w:val="center"/>
                </w:tcPr>
                <w:p w14:paraId="5FF86A51">
                  <w:pPr>
                    <w:pStyle w:val="43"/>
                    <w:wordWrap/>
                    <w:spacing w:line="240" w:lineRule="auto"/>
                    <w:ind w:firstLine="0" w:firstLineChars="0"/>
                    <w:jc w:val="center"/>
                    <w:rPr>
                      <w:color w:val="auto"/>
                      <w:sz w:val="21"/>
                      <w:szCs w:val="20"/>
                    </w:rPr>
                  </w:pPr>
                </w:p>
              </w:tc>
              <w:tc>
                <w:tcPr>
                  <w:tcW w:w="913" w:type="pct"/>
                  <w:tcBorders>
                    <w:top w:val="single" w:color="000000" w:sz="4" w:space="0"/>
                    <w:left w:val="single" w:color="000000" w:sz="4" w:space="0"/>
                    <w:bottom w:val="single" w:color="000000" w:sz="4" w:space="0"/>
                    <w:right w:val="single" w:color="000000" w:sz="4" w:space="0"/>
                  </w:tcBorders>
                  <w:vAlign w:val="center"/>
                </w:tcPr>
                <w:p w14:paraId="5813834F">
                  <w:pPr>
                    <w:pStyle w:val="43"/>
                    <w:wordWrap/>
                    <w:spacing w:line="240" w:lineRule="auto"/>
                    <w:ind w:firstLine="0" w:firstLineChars="0"/>
                    <w:jc w:val="center"/>
                    <w:rPr>
                      <w:color w:val="auto"/>
                      <w:sz w:val="21"/>
                      <w:szCs w:val="20"/>
                    </w:rPr>
                  </w:pPr>
                  <w:r>
                    <w:rPr>
                      <w:rFonts w:hint="eastAsia"/>
                      <w:color w:val="auto"/>
                      <w:sz w:val="21"/>
                      <w:szCs w:val="20"/>
                    </w:rPr>
                    <w:t>外部集气罩</w:t>
                  </w:r>
                </w:p>
              </w:tc>
              <w:tc>
                <w:tcPr>
                  <w:tcW w:w="1762" w:type="pct"/>
                  <w:vMerge w:val="continue"/>
                  <w:tcBorders>
                    <w:left w:val="single" w:color="000000" w:sz="4" w:space="0"/>
                    <w:right w:val="single" w:color="000000" w:sz="4" w:space="0"/>
                  </w:tcBorders>
                  <w:vAlign w:val="center"/>
                </w:tcPr>
                <w:p w14:paraId="7FA15E63">
                  <w:pPr>
                    <w:pStyle w:val="43"/>
                    <w:wordWrap/>
                    <w:spacing w:line="240" w:lineRule="auto"/>
                    <w:ind w:firstLine="0" w:firstLineChars="0"/>
                    <w:jc w:val="center"/>
                    <w:rPr>
                      <w:color w:val="auto"/>
                      <w:sz w:val="21"/>
                      <w:szCs w:val="20"/>
                    </w:rPr>
                  </w:pPr>
                </w:p>
              </w:tc>
              <w:tc>
                <w:tcPr>
                  <w:tcW w:w="1166" w:type="dxa"/>
                  <w:tcBorders>
                    <w:top w:val="single" w:color="000000" w:sz="4" w:space="0"/>
                    <w:left w:val="single" w:color="000000" w:sz="4" w:space="0"/>
                    <w:bottom w:val="single" w:color="auto" w:sz="4" w:space="0"/>
                    <w:right w:val="single" w:color="000000" w:sz="4" w:space="0"/>
                  </w:tcBorders>
                  <w:vAlign w:val="center"/>
                </w:tcPr>
                <w:p w14:paraId="6CAF035C">
                  <w:pPr>
                    <w:widowControl/>
                    <w:jc w:val="center"/>
                    <w:textAlignment w:val="center"/>
                    <w:rPr>
                      <w:color w:val="auto"/>
                      <w:szCs w:val="20"/>
                    </w:rPr>
                  </w:pPr>
                  <w:r>
                    <w:rPr>
                      <w:color w:val="auto"/>
                      <w:kern w:val="0"/>
                      <w:szCs w:val="21"/>
                      <w:lang w:bidi="ar"/>
                    </w:rPr>
                    <w:t>1710</w:t>
                  </w:r>
                </w:p>
              </w:tc>
              <w:tc>
                <w:tcPr>
                  <w:tcW w:w="1167" w:type="dxa"/>
                  <w:tcBorders>
                    <w:top w:val="single" w:color="000000" w:sz="4" w:space="0"/>
                    <w:left w:val="single" w:color="000000" w:sz="4" w:space="0"/>
                    <w:bottom w:val="single" w:color="auto" w:sz="4" w:space="0"/>
                    <w:right w:val="single" w:color="000000" w:sz="4" w:space="0"/>
                  </w:tcBorders>
                  <w:vAlign w:val="center"/>
                </w:tcPr>
                <w:p w14:paraId="1120C2F5">
                  <w:pPr>
                    <w:widowControl/>
                    <w:jc w:val="center"/>
                    <w:textAlignment w:val="center"/>
                    <w:rPr>
                      <w:color w:val="auto"/>
                      <w:szCs w:val="20"/>
                    </w:rPr>
                  </w:pPr>
                  <w:r>
                    <w:rPr>
                      <w:color w:val="auto"/>
                      <w:kern w:val="0"/>
                      <w:szCs w:val="21"/>
                      <w:lang w:bidi="ar"/>
                    </w:rPr>
                    <w:t>/</w:t>
                  </w:r>
                </w:p>
              </w:tc>
            </w:tr>
            <w:tr w14:paraId="7281A7EC">
              <w:tblPrEx>
                <w:tblCellMar>
                  <w:top w:w="0" w:type="dxa"/>
                  <w:left w:w="108" w:type="dxa"/>
                  <w:bottom w:w="0" w:type="dxa"/>
                  <w:right w:w="108" w:type="dxa"/>
                </w:tblCellMar>
              </w:tblPrEx>
              <w:trPr>
                <w:trHeight w:val="136" w:hRule="atLeast"/>
                <w:jc w:val="center"/>
              </w:trPr>
              <w:tc>
                <w:tcPr>
                  <w:tcW w:w="622" w:type="pct"/>
                  <w:vMerge w:val="continue"/>
                  <w:tcBorders>
                    <w:left w:val="single" w:color="000000" w:sz="4" w:space="0"/>
                    <w:right w:val="single" w:color="000000" w:sz="4" w:space="0"/>
                  </w:tcBorders>
                  <w:vAlign w:val="center"/>
                </w:tcPr>
                <w:p w14:paraId="30F21DAB">
                  <w:pPr>
                    <w:pStyle w:val="43"/>
                    <w:wordWrap/>
                    <w:spacing w:line="240" w:lineRule="auto"/>
                    <w:ind w:firstLine="0" w:firstLineChars="0"/>
                    <w:jc w:val="center"/>
                    <w:rPr>
                      <w:color w:val="auto"/>
                      <w:sz w:val="21"/>
                      <w:szCs w:val="20"/>
                    </w:rPr>
                  </w:pPr>
                </w:p>
              </w:tc>
              <w:tc>
                <w:tcPr>
                  <w:tcW w:w="609" w:type="pct"/>
                  <w:vMerge w:val="restart"/>
                  <w:tcBorders>
                    <w:top w:val="single" w:color="000000" w:sz="4" w:space="0"/>
                    <w:left w:val="single" w:color="000000" w:sz="4" w:space="0"/>
                    <w:right w:val="single" w:color="000000" w:sz="4" w:space="0"/>
                  </w:tcBorders>
                  <w:vAlign w:val="center"/>
                </w:tcPr>
                <w:p w14:paraId="5368F852">
                  <w:pPr>
                    <w:pStyle w:val="43"/>
                    <w:wordWrap/>
                    <w:spacing w:line="240" w:lineRule="auto"/>
                    <w:ind w:firstLine="0" w:firstLineChars="0"/>
                    <w:jc w:val="center"/>
                    <w:rPr>
                      <w:color w:val="auto"/>
                      <w:sz w:val="21"/>
                      <w:szCs w:val="20"/>
                    </w:rPr>
                  </w:pPr>
                  <w:r>
                    <w:rPr>
                      <w:rFonts w:hint="eastAsia"/>
                      <w:color w:val="auto"/>
                      <w:sz w:val="21"/>
                      <w:szCs w:val="20"/>
                    </w:rPr>
                    <w:t>面漆烘烤隧道炉</w:t>
                  </w:r>
                </w:p>
              </w:tc>
              <w:tc>
                <w:tcPr>
                  <w:tcW w:w="913" w:type="pct"/>
                  <w:tcBorders>
                    <w:top w:val="single" w:color="000000" w:sz="4" w:space="0"/>
                    <w:left w:val="single" w:color="000000" w:sz="4" w:space="0"/>
                    <w:bottom w:val="single" w:color="000000" w:sz="4" w:space="0"/>
                    <w:right w:val="single" w:color="000000" w:sz="4" w:space="0"/>
                  </w:tcBorders>
                  <w:vAlign w:val="center"/>
                </w:tcPr>
                <w:p w14:paraId="7D0B3B66">
                  <w:pPr>
                    <w:pStyle w:val="43"/>
                    <w:wordWrap/>
                    <w:spacing w:line="240" w:lineRule="auto"/>
                    <w:ind w:firstLine="0" w:firstLineChars="0"/>
                    <w:jc w:val="center"/>
                    <w:rPr>
                      <w:color w:val="auto"/>
                      <w:sz w:val="21"/>
                      <w:szCs w:val="20"/>
                    </w:rPr>
                  </w:pPr>
                  <w:r>
                    <w:rPr>
                      <w:rFonts w:hint="eastAsia"/>
                      <w:color w:val="auto"/>
                      <w:sz w:val="21"/>
                      <w:szCs w:val="20"/>
                    </w:rPr>
                    <w:t>设备废气排口直连</w:t>
                  </w:r>
                </w:p>
              </w:tc>
              <w:tc>
                <w:tcPr>
                  <w:tcW w:w="1762" w:type="pct"/>
                  <w:vMerge w:val="continue"/>
                  <w:tcBorders>
                    <w:left w:val="single" w:color="000000" w:sz="4" w:space="0"/>
                    <w:bottom w:val="single" w:color="000000" w:sz="4" w:space="0"/>
                    <w:right w:val="single" w:color="auto" w:sz="4" w:space="0"/>
                  </w:tcBorders>
                  <w:vAlign w:val="center"/>
                </w:tcPr>
                <w:p w14:paraId="32F2C18D">
                  <w:pPr>
                    <w:pStyle w:val="43"/>
                    <w:wordWrap/>
                    <w:spacing w:line="240" w:lineRule="auto"/>
                    <w:ind w:firstLine="0" w:firstLineChars="0"/>
                    <w:jc w:val="center"/>
                    <w:rPr>
                      <w:color w:val="auto"/>
                      <w:sz w:val="21"/>
                      <w:szCs w:val="20"/>
                    </w:rPr>
                  </w:pPr>
                </w:p>
              </w:tc>
              <w:tc>
                <w:tcPr>
                  <w:tcW w:w="1166" w:type="dxa"/>
                  <w:tcBorders>
                    <w:top w:val="single" w:color="auto" w:sz="4" w:space="0"/>
                    <w:left w:val="single" w:color="auto" w:sz="4" w:space="0"/>
                    <w:bottom w:val="single" w:color="auto" w:sz="4" w:space="0"/>
                    <w:right w:val="single" w:color="auto" w:sz="4" w:space="0"/>
                  </w:tcBorders>
                  <w:vAlign w:val="center"/>
                </w:tcPr>
                <w:p w14:paraId="25F7FDB0">
                  <w:pPr>
                    <w:widowControl/>
                    <w:jc w:val="center"/>
                    <w:textAlignment w:val="center"/>
                    <w:rPr>
                      <w:color w:val="auto"/>
                      <w:szCs w:val="20"/>
                    </w:rPr>
                  </w:pPr>
                  <w:r>
                    <w:rPr>
                      <w:color w:val="auto"/>
                      <w:kern w:val="0"/>
                      <w:szCs w:val="21"/>
                      <w:lang w:bidi="ar"/>
                    </w:rPr>
                    <w:t>1221</w:t>
                  </w:r>
                </w:p>
              </w:tc>
              <w:tc>
                <w:tcPr>
                  <w:tcW w:w="1167" w:type="dxa"/>
                  <w:tcBorders>
                    <w:top w:val="single" w:color="auto" w:sz="4" w:space="0"/>
                    <w:left w:val="single" w:color="auto" w:sz="4" w:space="0"/>
                    <w:bottom w:val="single" w:color="auto" w:sz="4" w:space="0"/>
                    <w:right w:val="single" w:color="auto" w:sz="4" w:space="0"/>
                  </w:tcBorders>
                  <w:vAlign w:val="center"/>
                </w:tcPr>
                <w:p w14:paraId="35CC1D02">
                  <w:pPr>
                    <w:widowControl/>
                    <w:jc w:val="center"/>
                    <w:textAlignment w:val="center"/>
                    <w:rPr>
                      <w:color w:val="auto"/>
                      <w:szCs w:val="20"/>
                    </w:rPr>
                  </w:pPr>
                  <w:r>
                    <w:rPr>
                      <w:color w:val="auto"/>
                      <w:kern w:val="0"/>
                      <w:szCs w:val="21"/>
                      <w:lang w:bidi="ar"/>
                    </w:rPr>
                    <w:t>/</w:t>
                  </w:r>
                </w:p>
              </w:tc>
            </w:tr>
            <w:tr w14:paraId="63A62462">
              <w:tblPrEx>
                <w:tblCellMar>
                  <w:top w:w="0" w:type="dxa"/>
                  <w:left w:w="108" w:type="dxa"/>
                  <w:bottom w:w="0" w:type="dxa"/>
                  <w:right w:w="108" w:type="dxa"/>
                </w:tblCellMar>
              </w:tblPrEx>
              <w:trPr>
                <w:trHeight w:val="136" w:hRule="atLeast"/>
                <w:jc w:val="center"/>
              </w:trPr>
              <w:tc>
                <w:tcPr>
                  <w:tcW w:w="622" w:type="pct"/>
                  <w:vMerge w:val="continue"/>
                  <w:tcBorders>
                    <w:left w:val="single" w:color="000000" w:sz="4" w:space="0"/>
                    <w:right w:val="single" w:color="000000" w:sz="4" w:space="0"/>
                  </w:tcBorders>
                  <w:vAlign w:val="center"/>
                </w:tcPr>
                <w:p w14:paraId="7313EC89">
                  <w:pPr>
                    <w:pStyle w:val="43"/>
                    <w:wordWrap/>
                    <w:spacing w:line="240" w:lineRule="auto"/>
                    <w:ind w:firstLine="0" w:firstLineChars="0"/>
                    <w:jc w:val="center"/>
                    <w:rPr>
                      <w:color w:val="auto"/>
                    </w:rPr>
                  </w:pPr>
                </w:p>
              </w:tc>
              <w:tc>
                <w:tcPr>
                  <w:tcW w:w="609" w:type="pct"/>
                  <w:vMerge w:val="continue"/>
                  <w:tcBorders>
                    <w:left w:val="single" w:color="000000" w:sz="4" w:space="0"/>
                    <w:bottom w:val="single" w:color="000000" w:sz="4" w:space="0"/>
                    <w:right w:val="single" w:color="000000" w:sz="4" w:space="0"/>
                  </w:tcBorders>
                  <w:vAlign w:val="center"/>
                </w:tcPr>
                <w:p w14:paraId="5E6641DF">
                  <w:pPr>
                    <w:pStyle w:val="43"/>
                    <w:wordWrap/>
                    <w:spacing w:line="240" w:lineRule="auto"/>
                    <w:ind w:firstLine="0" w:firstLineChars="0"/>
                    <w:jc w:val="center"/>
                    <w:rPr>
                      <w:color w:val="auto"/>
                    </w:rPr>
                  </w:pPr>
                </w:p>
              </w:tc>
              <w:tc>
                <w:tcPr>
                  <w:tcW w:w="913" w:type="pct"/>
                  <w:tcBorders>
                    <w:top w:val="single" w:color="000000" w:sz="4" w:space="0"/>
                    <w:left w:val="single" w:color="000000" w:sz="4" w:space="0"/>
                    <w:bottom w:val="single" w:color="000000" w:sz="4" w:space="0"/>
                    <w:right w:val="single" w:color="000000" w:sz="4" w:space="0"/>
                  </w:tcBorders>
                  <w:vAlign w:val="center"/>
                </w:tcPr>
                <w:p w14:paraId="13F9FCD4">
                  <w:pPr>
                    <w:pStyle w:val="43"/>
                    <w:wordWrap/>
                    <w:spacing w:line="240" w:lineRule="auto"/>
                    <w:ind w:firstLine="0" w:firstLineChars="0"/>
                    <w:jc w:val="center"/>
                    <w:rPr>
                      <w:color w:val="auto"/>
                      <w:sz w:val="21"/>
                      <w:szCs w:val="20"/>
                    </w:rPr>
                  </w:pPr>
                  <w:r>
                    <w:rPr>
                      <w:rFonts w:hint="eastAsia"/>
                      <w:color w:val="auto"/>
                      <w:sz w:val="21"/>
                      <w:szCs w:val="20"/>
                    </w:rPr>
                    <w:t>外部集气罩</w:t>
                  </w:r>
                </w:p>
              </w:tc>
              <w:tc>
                <w:tcPr>
                  <w:tcW w:w="1762" w:type="pct"/>
                  <w:vMerge w:val="continue"/>
                  <w:tcBorders>
                    <w:left w:val="single" w:color="000000" w:sz="4" w:space="0"/>
                    <w:bottom w:val="single" w:color="000000" w:sz="4" w:space="0"/>
                    <w:right w:val="single" w:color="auto" w:sz="4" w:space="0"/>
                  </w:tcBorders>
                  <w:vAlign w:val="center"/>
                </w:tcPr>
                <w:p w14:paraId="78650B4F">
                  <w:pPr>
                    <w:pStyle w:val="43"/>
                    <w:wordWrap/>
                    <w:spacing w:line="240" w:lineRule="auto"/>
                    <w:ind w:firstLine="0" w:firstLineChars="0"/>
                    <w:jc w:val="center"/>
                    <w:rPr>
                      <w:color w:val="auto"/>
                      <w:sz w:val="21"/>
                      <w:szCs w:val="20"/>
                    </w:rPr>
                  </w:pPr>
                </w:p>
              </w:tc>
              <w:tc>
                <w:tcPr>
                  <w:tcW w:w="1166" w:type="dxa"/>
                  <w:tcBorders>
                    <w:top w:val="single" w:color="auto" w:sz="4" w:space="0"/>
                    <w:left w:val="single" w:color="auto" w:sz="4" w:space="0"/>
                    <w:bottom w:val="single" w:color="auto" w:sz="4" w:space="0"/>
                    <w:right w:val="single" w:color="auto" w:sz="4" w:space="0"/>
                  </w:tcBorders>
                  <w:vAlign w:val="center"/>
                </w:tcPr>
                <w:p w14:paraId="576FBBAD">
                  <w:pPr>
                    <w:widowControl/>
                    <w:jc w:val="center"/>
                    <w:textAlignment w:val="center"/>
                    <w:rPr>
                      <w:color w:val="auto"/>
                      <w:szCs w:val="20"/>
                    </w:rPr>
                  </w:pPr>
                  <w:r>
                    <w:rPr>
                      <w:color w:val="auto"/>
                      <w:kern w:val="0"/>
                      <w:szCs w:val="21"/>
                      <w:lang w:bidi="ar"/>
                    </w:rPr>
                    <w:t>1710</w:t>
                  </w:r>
                </w:p>
              </w:tc>
              <w:tc>
                <w:tcPr>
                  <w:tcW w:w="1167" w:type="dxa"/>
                  <w:tcBorders>
                    <w:top w:val="single" w:color="auto" w:sz="4" w:space="0"/>
                    <w:left w:val="single" w:color="auto" w:sz="4" w:space="0"/>
                    <w:bottom w:val="single" w:color="auto" w:sz="4" w:space="0"/>
                    <w:right w:val="single" w:color="auto" w:sz="4" w:space="0"/>
                  </w:tcBorders>
                  <w:vAlign w:val="center"/>
                </w:tcPr>
                <w:p w14:paraId="747FBDED">
                  <w:pPr>
                    <w:widowControl/>
                    <w:jc w:val="center"/>
                    <w:textAlignment w:val="center"/>
                    <w:rPr>
                      <w:color w:val="auto"/>
                      <w:szCs w:val="20"/>
                    </w:rPr>
                  </w:pPr>
                  <w:r>
                    <w:rPr>
                      <w:color w:val="auto"/>
                      <w:kern w:val="0"/>
                      <w:szCs w:val="21"/>
                      <w:lang w:bidi="ar"/>
                    </w:rPr>
                    <w:t>/</w:t>
                  </w:r>
                </w:p>
              </w:tc>
            </w:tr>
            <w:tr w14:paraId="33D22B35">
              <w:tblPrEx>
                <w:tblCellMar>
                  <w:top w:w="0" w:type="dxa"/>
                  <w:left w:w="108" w:type="dxa"/>
                  <w:bottom w:w="0" w:type="dxa"/>
                  <w:right w:w="108" w:type="dxa"/>
                </w:tblCellMar>
              </w:tblPrEx>
              <w:trPr>
                <w:trHeight w:val="136" w:hRule="atLeast"/>
                <w:jc w:val="center"/>
              </w:trPr>
              <w:tc>
                <w:tcPr>
                  <w:tcW w:w="622" w:type="pct"/>
                  <w:vMerge w:val="continue"/>
                  <w:tcBorders>
                    <w:left w:val="single" w:color="000000" w:sz="4" w:space="0"/>
                    <w:bottom w:val="single" w:color="000000" w:sz="4" w:space="0"/>
                    <w:right w:val="single" w:color="000000" w:sz="4" w:space="0"/>
                  </w:tcBorders>
                  <w:vAlign w:val="center"/>
                </w:tcPr>
                <w:p w14:paraId="77CEA408">
                  <w:pPr>
                    <w:pStyle w:val="43"/>
                    <w:wordWrap/>
                    <w:spacing w:line="240" w:lineRule="auto"/>
                    <w:ind w:firstLine="0" w:firstLineChars="0"/>
                    <w:jc w:val="center"/>
                    <w:rPr>
                      <w:color w:val="auto"/>
                    </w:rPr>
                  </w:pPr>
                </w:p>
              </w:tc>
              <w:tc>
                <w:tcPr>
                  <w:tcW w:w="3284" w:type="pct"/>
                  <w:gridSpan w:val="3"/>
                  <w:tcBorders>
                    <w:left w:val="single" w:color="000000" w:sz="4" w:space="0"/>
                    <w:bottom w:val="single" w:color="000000" w:sz="4" w:space="0"/>
                    <w:right w:val="single" w:color="auto" w:sz="4" w:space="0"/>
                  </w:tcBorders>
                  <w:vAlign w:val="center"/>
                </w:tcPr>
                <w:p w14:paraId="4D77BE57">
                  <w:pPr>
                    <w:pStyle w:val="43"/>
                    <w:wordWrap/>
                    <w:spacing w:line="240" w:lineRule="auto"/>
                    <w:ind w:firstLine="0" w:firstLineChars="0"/>
                    <w:jc w:val="center"/>
                    <w:rPr>
                      <w:color w:val="auto"/>
                      <w:sz w:val="21"/>
                      <w:szCs w:val="20"/>
                    </w:rPr>
                  </w:pPr>
                  <w:r>
                    <w:rPr>
                      <w:rFonts w:hint="eastAsia"/>
                      <w:color w:val="auto"/>
                      <w:sz w:val="21"/>
                      <w:szCs w:val="21"/>
                    </w:rPr>
                    <w:t>合计</w:t>
                  </w:r>
                </w:p>
              </w:tc>
              <w:tc>
                <w:tcPr>
                  <w:tcW w:w="1166" w:type="dxa"/>
                  <w:tcBorders>
                    <w:top w:val="single" w:color="auto" w:sz="4" w:space="0"/>
                    <w:left w:val="single" w:color="auto" w:sz="4" w:space="0"/>
                    <w:bottom w:val="single" w:color="auto" w:sz="4" w:space="0"/>
                    <w:right w:val="single" w:color="auto" w:sz="4" w:space="0"/>
                  </w:tcBorders>
                  <w:vAlign w:val="center"/>
                </w:tcPr>
                <w:p w14:paraId="05CDFE21">
                  <w:pPr>
                    <w:widowControl/>
                    <w:jc w:val="center"/>
                    <w:textAlignment w:val="center"/>
                    <w:rPr>
                      <w:color w:val="auto"/>
                      <w:szCs w:val="20"/>
                    </w:rPr>
                  </w:pPr>
                  <w:r>
                    <w:rPr>
                      <w:color w:val="auto"/>
                      <w:kern w:val="0"/>
                      <w:szCs w:val="21"/>
                      <w:lang w:bidi="ar"/>
                    </w:rPr>
                    <w:t>16354</w:t>
                  </w:r>
                </w:p>
              </w:tc>
              <w:tc>
                <w:tcPr>
                  <w:tcW w:w="1167" w:type="dxa"/>
                  <w:tcBorders>
                    <w:top w:val="single" w:color="auto" w:sz="4" w:space="0"/>
                    <w:left w:val="single" w:color="auto" w:sz="4" w:space="0"/>
                    <w:bottom w:val="single" w:color="auto" w:sz="4" w:space="0"/>
                    <w:right w:val="single" w:color="auto" w:sz="4" w:space="0"/>
                  </w:tcBorders>
                  <w:vAlign w:val="center"/>
                </w:tcPr>
                <w:p w14:paraId="4A9AE864">
                  <w:pPr>
                    <w:widowControl/>
                    <w:jc w:val="center"/>
                    <w:textAlignment w:val="center"/>
                    <w:rPr>
                      <w:color w:val="auto"/>
                      <w:szCs w:val="20"/>
                    </w:rPr>
                  </w:pPr>
                  <w:r>
                    <w:rPr>
                      <w:color w:val="auto"/>
                      <w:kern w:val="0"/>
                      <w:szCs w:val="21"/>
                      <w:lang w:bidi="ar"/>
                    </w:rPr>
                    <w:t>20000</w:t>
                  </w:r>
                </w:p>
              </w:tc>
            </w:tr>
            <w:tr w14:paraId="753C14F5">
              <w:tblPrEx>
                <w:tblCellMar>
                  <w:top w:w="0" w:type="dxa"/>
                  <w:left w:w="108" w:type="dxa"/>
                  <w:bottom w:w="0" w:type="dxa"/>
                  <w:right w:w="108" w:type="dxa"/>
                </w:tblCellMar>
              </w:tblPrEx>
              <w:trPr>
                <w:trHeight w:val="270" w:hRule="atLeast"/>
                <w:jc w:val="center"/>
              </w:trPr>
              <w:tc>
                <w:tcPr>
                  <w:tcW w:w="622" w:type="pct"/>
                  <w:vMerge w:val="restart"/>
                  <w:tcBorders>
                    <w:top w:val="single" w:color="000000" w:sz="4" w:space="0"/>
                    <w:left w:val="single" w:color="000000" w:sz="4" w:space="0"/>
                    <w:right w:val="single" w:color="000000" w:sz="4" w:space="0"/>
                  </w:tcBorders>
                  <w:vAlign w:val="center"/>
                </w:tcPr>
                <w:p w14:paraId="20D052CB">
                  <w:pPr>
                    <w:pStyle w:val="43"/>
                    <w:wordWrap/>
                    <w:spacing w:line="240" w:lineRule="auto"/>
                    <w:ind w:firstLine="0" w:firstLineChars="0"/>
                    <w:jc w:val="center"/>
                    <w:rPr>
                      <w:color w:val="auto"/>
                      <w:sz w:val="21"/>
                      <w:szCs w:val="20"/>
                    </w:rPr>
                  </w:pPr>
                  <w:r>
                    <w:rPr>
                      <w:rFonts w:hint="eastAsia"/>
                      <w:color w:val="auto"/>
                      <w:sz w:val="21"/>
                      <w:szCs w:val="20"/>
                    </w:rPr>
                    <w:t>DA004</w:t>
                  </w:r>
                </w:p>
              </w:tc>
              <w:tc>
                <w:tcPr>
                  <w:tcW w:w="609" w:type="pct"/>
                  <w:tcBorders>
                    <w:top w:val="single" w:color="000000" w:sz="4" w:space="0"/>
                    <w:left w:val="single" w:color="000000" w:sz="4" w:space="0"/>
                    <w:bottom w:val="single" w:color="000000" w:sz="4" w:space="0"/>
                    <w:right w:val="single" w:color="000000" w:sz="4" w:space="0"/>
                  </w:tcBorders>
                  <w:vAlign w:val="center"/>
                </w:tcPr>
                <w:p w14:paraId="7304F49C">
                  <w:pPr>
                    <w:pStyle w:val="43"/>
                    <w:wordWrap/>
                    <w:spacing w:line="240" w:lineRule="auto"/>
                    <w:ind w:firstLine="0" w:firstLineChars="0"/>
                    <w:jc w:val="center"/>
                    <w:rPr>
                      <w:color w:val="auto"/>
                      <w:sz w:val="21"/>
                      <w:szCs w:val="20"/>
                    </w:rPr>
                  </w:pPr>
                  <w:r>
                    <w:rPr>
                      <w:rFonts w:hint="eastAsia"/>
                      <w:color w:val="auto"/>
                      <w:sz w:val="21"/>
                      <w:szCs w:val="20"/>
                    </w:rPr>
                    <w:t>清漆房</w:t>
                  </w:r>
                </w:p>
              </w:tc>
              <w:tc>
                <w:tcPr>
                  <w:tcW w:w="913" w:type="pct"/>
                  <w:tcBorders>
                    <w:top w:val="single" w:color="000000" w:sz="4" w:space="0"/>
                    <w:left w:val="single" w:color="000000" w:sz="4" w:space="0"/>
                    <w:bottom w:val="single" w:color="000000" w:sz="4" w:space="0"/>
                    <w:right w:val="single" w:color="000000" w:sz="4" w:space="0"/>
                  </w:tcBorders>
                  <w:vAlign w:val="center"/>
                </w:tcPr>
                <w:p w14:paraId="2028EDB9">
                  <w:pPr>
                    <w:pStyle w:val="43"/>
                    <w:wordWrap/>
                    <w:spacing w:line="240" w:lineRule="auto"/>
                    <w:ind w:firstLine="0" w:firstLineChars="0"/>
                    <w:jc w:val="center"/>
                    <w:rPr>
                      <w:color w:val="auto"/>
                      <w:sz w:val="21"/>
                      <w:szCs w:val="20"/>
                    </w:rPr>
                  </w:pPr>
                  <w:r>
                    <w:rPr>
                      <w:rFonts w:hint="eastAsia"/>
                      <w:color w:val="auto"/>
                      <w:sz w:val="21"/>
                      <w:szCs w:val="20"/>
                    </w:rPr>
                    <w:t>单层密闭负压</w:t>
                  </w:r>
                </w:p>
              </w:tc>
              <w:tc>
                <w:tcPr>
                  <w:tcW w:w="1762" w:type="pct"/>
                  <w:vMerge w:val="restart"/>
                  <w:tcBorders>
                    <w:top w:val="single" w:color="000000" w:sz="4" w:space="0"/>
                    <w:left w:val="single" w:color="000000" w:sz="4" w:space="0"/>
                    <w:right w:val="single" w:color="000000" w:sz="4" w:space="0"/>
                  </w:tcBorders>
                  <w:vAlign w:val="center"/>
                </w:tcPr>
                <w:p w14:paraId="5D349F28">
                  <w:pPr>
                    <w:pStyle w:val="43"/>
                    <w:wordWrap/>
                    <w:spacing w:line="240" w:lineRule="auto"/>
                    <w:ind w:firstLine="0" w:firstLineChars="0"/>
                    <w:jc w:val="center"/>
                    <w:rPr>
                      <w:color w:val="auto"/>
                      <w:sz w:val="21"/>
                      <w:szCs w:val="20"/>
                    </w:rPr>
                  </w:pPr>
                  <w:r>
                    <w:rPr>
                      <w:rFonts w:hint="eastAsia"/>
                      <w:color w:val="auto"/>
                      <w:sz w:val="21"/>
                      <w:szCs w:val="20"/>
                    </w:rPr>
                    <w:t>收集清漆房和清漆烘烤隧道炉的作业废气</w:t>
                  </w:r>
                </w:p>
              </w:tc>
              <w:tc>
                <w:tcPr>
                  <w:tcW w:w="1166" w:type="dxa"/>
                  <w:tcBorders>
                    <w:top w:val="single" w:color="auto" w:sz="4" w:space="0"/>
                    <w:left w:val="single" w:color="000000" w:sz="4" w:space="0"/>
                    <w:bottom w:val="single" w:color="000000" w:sz="4" w:space="0"/>
                    <w:right w:val="single" w:color="000000" w:sz="4" w:space="0"/>
                  </w:tcBorders>
                  <w:vAlign w:val="center"/>
                </w:tcPr>
                <w:p w14:paraId="46CAB046">
                  <w:pPr>
                    <w:widowControl/>
                    <w:jc w:val="center"/>
                    <w:textAlignment w:val="center"/>
                    <w:rPr>
                      <w:color w:val="auto"/>
                      <w:szCs w:val="20"/>
                    </w:rPr>
                  </w:pPr>
                  <w:r>
                    <w:rPr>
                      <w:color w:val="auto"/>
                      <w:kern w:val="0"/>
                      <w:szCs w:val="21"/>
                      <w:lang w:bidi="ar"/>
                    </w:rPr>
                    <w:t>9000</w:t>
                  </w:r>
                </w:p>
              </w:tc>
              <w:tc>
                <w:tcPr>
                  <w:tcW w:w="1167" w:type="dxa"/>
                  <w:tcBorders>
                    <w:top w:val="single" w:color="auto" w:sz="4" w:space="0"/>
                    <w:left w:val="single" w:color="000000" w:sz="4" w:space="0"/>
                    <w:bottom w:val="single" w:color="000000" w:sz="4" w:space="0"/>
                    <w:right w:val="single" w:color="000000" w:sz="4" w:space="0"/>
                  </w:tcBorders>
                  <w:vAlign w:val="center"/>
                </w:tcPr>
                <w:p w14:paraId="68D95919">
                  <w:pPr>
                    <w:widowControl/>
                    <w:jc w:val="center"/>
                    <w:textAlignment w:val="center"/>
                    <w:rPr>
                      <w:color w:val="auto"/>
                      <w:szCs w:val="20"/>
                    </w:rPr>
                  </w:pPr>
                  <w:r>
                    <w:rPr>
                      <w:color w:val="auto"/>
                      <w:kern w:val="0"/>
                      <w:szCs w:val="21"/>
                      <w:lang w:bidi="ar"/>
                    </w:rPr>
                    <w:t>/</w:t>
                  </w:r>
                </w:p>
              </w:tc>
            </w:tr>
            <w:tr w14:paraId="4393B59C">
              <w:tblPrEx>
                <w:tblCellMar>
                  <w:top w:w="0" w:type="dxa"/>
                  <w:left w:w="108" w:type="dxa"/>
                  <w:bottom w:w="0" w:type="dxa"/>
                  <w:right w:w="108" w:type="dxa"/>
                </w:tblCellMar>
              </w:tblPrEx>
              <w:trPr>
                <w:trHeight w:val="270" w:hRule="atLeast"/>
                <w:jc w:val="center"/>
              </w:trPr>
              <w:tc>
                <w:tcPr>
                  <w:tcW w:w="622" w:type="pct"/>
                  <w:vMerge w:val="continue"/>
                  <w:tcBorders>
                    <w:left w:val="single" w:color="000000" w:sz="4" w:space="0"/>
                    <w:right w:val="single" w:color="000000" w:sz="4" w:space="0"/>
                  </w:tcBorders>
                  <w:vAlign w:val="center"/>
                </w:tcPr>
                <w:p w14:paraId="1CFCE508">
                  <w:pPr>
                    <w:pStyle w:val="43"/>
                    <w:wordWrap/>
                    <w:spacing w:line="240" w:lineRule="auto"/>
                    <w:ind w:firstLine="0" w:firstLineChars="0"/>
                    <w:jc w:val="center"/>
                    <w:rPr>
                      <w:color w:val="auto"/>
                      <w:sz w:val="21"/>
                      <w:szCs w:val="20"/>
                    </w:rPr>
                  </w:pPr>
                </w:p>
              </w:tc>
              <w:tc>
                <w:tcPr>
                  <w:tcW w:w="609" w:type="pct"/>
                  <w:vMerge w:val="restart"/>
                  <w:tcBorders>
                    <w:top w:val="single" w:color="000000" w:sz="4" w:space="0"/>
                    <w:left w:val="single" w:color="000000" w:sz="4" w:space="0"/>
                    <w:right w:val="single" w:color="000000" w:sz="4" w:space="0"/>
                  </w:tcBorders>
                  <w:vAlign w:val="center"/>
                </w:tcPr>
                <w:p w14:paraId="2CEB1848">
                  <w:pPr>
                    <w:pStyle w:val="43"/>
                    <w:wordWrap/>
                    <w:spacing w:line="240" w:lineRule="auto"/>
                    <w:ind w:firstLine="0" w:firstLineChars="0"/>
                    <w:jc w:val="center"/>
                    <w:rPr>
                      <w:color w:val="auto"/>
                      <w:sz w:val="21"/>
                      <w:szCs w:val="20"/>
                    </w:rPr>
                  </w:pPr>
                  <w:r>
                    <w:rPr>
                      <w:rFonts w:hint="eastAsia"/>
                      <w:color w:val="auto"/>
                      <w:sz w:val="21"/>
                      <w:szCs w:val="20"/>
                    </w:rPr>
                    <w:t>清漆烘烤隧道炉</w:t>
                  </w:r>
                </w:p>
              </w:tc>
              <w:tc>
                <w:tcPr>
                  <w:tcW w:w="913" w:type="pct"/>
                  <w:tcBorders>
                    <w:top w:val="single" w:color="000000" w:sz="4" w:space="0"/>
                    <w:left w:val="single" w:color="000000" w:sz="4" w:space="0"/>
                    <w:bottom w:val="single" w:color="000000" w:sz="4" w:space="0"/>
                    <w:right w:val="single" w:color="000000" w:sz="4" w:space="0"/>
                  </w:tcBorders>
                  <w:vAlign w:val="center"/>
                </w:tcPr>
                <w:p w14:paraId="520F5AB9">
                  <w:pPr>
                    <w:pStyle w:val="43"/>
                    <w:wordWrap/>
                    <w:spacing w:line="240" w:lineRule="auto"/>
                    <w:ind w:firstLine="0" w:firstLineChars="0"/>
                    <w:jc w:val="center"/>
                    <w:rPr>
                      <w:color w:val="auto"/>
                      <w:sz w:val="21"/>
                      <w:szCs w:val="20"/>
                    </w:rPr>
                  </w:pPr>
                  <w:r>
                    <w:rPr>
                      <w:rFonts w:hint="eastAsia"/>
                      <w:color w:val="auto"/>
                      <w:sz w:val="21"/>
                      <w:szCs w:val="20"/>
                    </w:rPr>
                    <w:t>设备废气排口直连</w:t>
                  </w:r>
                </w:p>
              </w:tc>
              <w:tc>
                <w:tcPr>
                  <w:tcW w:w="1762" w:type="pct"/>
                  <w:vMerge w:val="continue"/>
                  <w:tcBorders>
                    <w:left w:val="single" w:color="000000" w:sz="4" w:space="0"/>
                    <w:right w:val="single" w:color="000000" w:sz="4" w:space="0"/>
                  </w:tcBorders>
                  <w:vAlign w:val="center"/>
                </w:tcPr>
                <w:p w14:paraId="32183982">
                  <w:pPr>
                    <w:pStyle w:val="43"/>
                    <w:wordWrap/>
                    <w:spacing w:line="240" w:lineRule="auto"/>
                    <w:ind w:firstLine="0" w:firstLineChars="0"/>
                    <w:jc w:val="center"/>
                    <w:rPr>
                      <w:color w:val="auto"/>
                      <w:sz w:val="21"/>
                      <w:szCs w:val="20"/>
                    </w:rPr>
                  </w:pPr>
                </w:p>
              </w:tc>
              <w:tc>
                <w:tcPr>
                  <w:tcW w:w="1166" w:type="dxa"/>
                  <w:tcBorders>
                    <w:top w:val="single" w:color="auto" w:sz="4" w:space="0"/>
                    <w:left w:val="single" w:color="000000" w:sz="4" w:space="0"/>
                    <w:bottom w:val="single" w:color="000000" w:sz="4" w:space="0"/>
                    <w:right w:val="single" w:color="000000" w:sz="4" w:space="0"/>
                  </w:tcBorders>
                  <w:vAlign w:val="center"/>
                </w:tcPr>
                <w:p w14:paraId="666302F2">
                  <w:pPr>
                    <w:widowControl/>
                    <w:jc w:val="center"/>
                    <w:textAlignment w:val="center"/>
                    <w:rPr>
                      <w:color w:val="auto"/>
                      <w:szCs w:val="20"/>
                    </w:rPr>
                  </w:pPr>
                  <w:r>
                    <w:rPr>
                      <w:color w:val="auto"/>
                      <w:kern w:val="0"/>
                      <w:szCs w:val="21"/>
                      <w:lang w:bidi="ar"/>
                    </w:rPr>
                    <w:t>1221</w:t>
                  </w:r>
                </w:p>
              </w:tc>
              <w:tc>
                <w:tcPr>
                  <w:tcW w:w="1167" w:type="dxa"/>
                  <w:tcBorders>
                    <w:top w:val="single" w:color="auto" w:sz="4" w:space="0"/>
                    <w:left w:val="single" w:color="000000" w:sz="4" w:space="0"/>
                    <w:bottom w:val="single" w:color="000000" w:sz="4" w:space="0"/>
                    <w:right w:val="single" w:color="000000" w:sz="4" w:space="0"/>
                  </w:tcBorders>
                  <w:vAlign w:val="center"/>
                </w:tcPr>
                <w:p w14:paraId="7F74EC21">
                  <w:pPr>
                    <w:widowControl/>
                    <w:jc w:val="center"/>
                    <w:textAlignment w:val="center"/>
                    <w:rPr>
                      <w:color w:val="auto"/>
                      <w:szCs w:val="20"/>
                    </w:rPr>
                  </w:pPr>
                  <w:r>
                    <w:rPr>
                      <w:color w:val="auto"/>
                      <w:kern w:val="0"/>
                      <w:szCs w:val="21"/>
                      <w:lang w:bidi="ar"/>
                    </w:rPr>
                    <w:t>/</w:t>
                  </w:r>
                </w:p>
              </w:tc>
            </w:tr>
            <w:tr w14:paraId="69D44652">
              <w:tblPrEx>
                <w:tblCellMar>
                  <w:top w:w="0" w:type="dxa"/>
                  <w:left w:w="108" w:type="dxa"/>
                  <w:bottom w:w="0" w:type="dxa"/>
                  <w:right w:w="108" w:type="dxa"/>
                </w:tblCellMar>
              </w:tblPrEx>
              <w:trPr>
                <w:trHeight w:val="270" w:hRule="atLeast"/>
                <w:jc w:val="center"/>
              </w:trPr>
              <w:tc>
                <w:tcPr>
                  <w:tcW w:w="622" w:type="pct"/>
                  <w:vMerge w:val="continue"/>
                  <w:tcBorders>
                    <w:left w:val="single" w:color="000000" w:sz="4" w:space="0"/>
                    <w:right w:val="single" w:color="000000" w:sz="4" w:space="0"/>
                  </w:tcBorders>
                  <w:vAlign w:val="center"/>
                </w:tcPr>
                <w:p w14:paraId="14AAF2D2">
                  <w:pPr>
                    <w:pStyle w:val="43"/>
                    <w:wordWrap/>
                    <w:spacing w:line="240" w:lineRule="auto"/>
                    <w:ind w:firstLine="0" w:firstLineChars="0"/>
                    <w:jc w:val="center"/>
                    <w:rPr>
                      <w:color w:val="auto"/>
                      <w:sz w:val="21"/>
                      <w:szCs w:val="20"/>
                    </w:rPr>
                  </w:pPr>
                </w:p>
              </w:tc>
              <w:tc>
                <w:tcPr>
                  <w:tcW w:w="609" w:type="pct"/>
                  <w:vMerge w:val="continue"/>
                  <w:tcBorders>
                    <w:left w:val="single" w:color="000000" w:sz="4" w:space="0"/>
                    <w:bottom w:val="single" w:color="000000" w:sz="4" w:space="0"/>
                    <w:right w:val="single" w:color="000000" w:sz="4" w:space="0"/>
                  </w:tcBorders>
                  <w:vAlign w:val="center"/>
                </w:tcPr>
                <w:p w14:paraId="7D323143">
                  <w:pPr>
                    <w:pStyle w:val="43"/>
                    <w:wordWrap/>
                    <w:spacing w:line="240" w:lineRule="auto"/>
                    <w:ind w:firstLine="0" w:firstLineChars="0"/>
                    <w:jc w:val="center"/>
                    <w:rPr>
                      <w:color w:val="auto"/>
                      <w:sz w:val="21"/>
                      <w:szCs w:val="20"/>
                    </w:rPr>
                  </w:pPr>
                </w:p>
              </w:tc>
              <w:tc>
                <w:tcPr>
                  <w:tcW w:w="913" w:type="pct"/>
                  <w:tcBorders>
                    <w:top w:val="single" w:color="000000" w:sz="4" w:space="0"/>
                    <w:left w:val="single" w:color="000000" w:sz="4" w:space="0"/>
                    <w:bottom w:val="single" w:color="000000" w:sz="4" w:space="0"/>
                    <w:right w:val="single" w:color="000000" w:sz="4" w:space="0"/>
                  </w:tcBorders>
                  <w:vAlign w:val="center"/>
                </w:tcPr>
                <w:p w14:paraId="0998C26B">
                  <w:pPr>
                    <w:pStyle w:val="43"/>
                    <w:wordWrap/>
                    <w:spacing w:line="240" w:lineRule="auto"/>
                    <w:ind w:firstLine="0" w:firstLineChars="0"/>
                    <w:jc w:val="center"/>
                    <w:rPr>
                      <w:color w:val="auto"/>
                      <w:sz w:val="21"/>
                      <w:szCs w:val="20"/>
                    </w:rPr>
                  </w:pPr>
                  <w:r>
                    <w:rPr>
                      <w:rFonts w:hint="eastAsia"/>
                      <w:color w:val="auto"/>
                      <w:sz w:val="21"/>
                      <w:szCs w:val="20"/>
                    </w:rPr>
                    <w:t>外部集气罩</w:t>
                  </w:r>
                </w:p>
              </w:tc>
              <w:tc>
                <w:tcPr>
                  <w:tcW w:w="1762" w:type="pct"/>
                  <w:vMerge w:val="continue"/>
                  <w:tcBorders>
                    <w:left w:val="single" w:color="000000" w:sz="4" w:space="0"/>
                    <w:bottom w:val="single" w:color="000000" w:sz="4" w:space="0"/>
                    <w:right w:val="single" w:color="000000" w:sz="4" w:space="0"/>
                  </w:tcBorders>
                  <w:vAlign w:val="center"/>
                </w:tcPr>
                <w:p w14:paraId="446725B6">
                  <w:pPr>
                    <w:pStyle w:val="43"/>
                    <w:wordWrap/>
                    <w:spacing w:line="240" w:lineRule="auto"/>
                    <w:ind w:firstLine="0" w:firstLineChars="0"/>
                    <w:jc w:val="center"/>
                    <w:rPr>
                      <w:color w:val="auto"/>
                      <w:sz w:val="21"/>
                      <w:szCs w:val="20"/>
                    </w:rPr>
                  </w:pPr>
                </w:p>
              </w:tc>
              <w:tc>
                <w:tcPr>
                  <w:tcW w:w="1166" w:type="dxa"/>
                  <w:tcBorders>
                    <w:top w:val="single" w:color="auto" w:sz="4" w:space="0"/>
                    <w:left w:val="single" w:color="000000" w:sz="4" w:space="0"/>
                    <w:bottom w:val="single" w:color="000000" w:sz="4" w:space="0"/>
                    <w:right w:val="single" w:color="000000" w:sz="4" w:space="0"/>
                  </w:tcBorders>
                  <w:vAlign w:val="center"/>
                </w:tcPr>
                <w:p w14:paraId="441EA2B7">
                  <w:pPr>
                    <w:widowControl/>
                    <w:jc w:val="center"/>
                    <w:textAlignment w:val="center"/>
                    <w:rPr>
                      <w:color w:val="auto"/>
                      <w:szCs w:val="20"/>
                    </w:rPr>
                  </w:pPr>
                  <w:r>
                    <w:rPr>
                      <w:color w:val="auto"/>
                      <w:kern w:val="0"/>
                      <w:szCs w:val="21"/>
                      <w:lang w:bidi="ar"/>
                    </w:rPr>
                    <w:t>1710</w:t>
                  </w:r>
                </w:p>
              </w:tc>
              <w:tc>
                <w:tcPr>
                  <w:tcW w:w="1167" w:type="dxa"/>
                  <w:tcBorders>
                    <w:top w:val="single" w:color="auto" w:sz="4" w:space="0"/>
                    <w:left w:val="single" w:color="000000" w:sz="4" w:space="0"/>
                    <w:bottom w:val="single" w:color="000000" w:sz="4" w:space="0"/>
                    <w:right w:val="single" w:color="000000" w:sz="4" w:space="0"/>
                  </w:tcBorders>
                  <w:vAlign w:val="center"/>
                </w:tcPr>
                <w:p w14:paraId="66551A06">
                  <w:pPr>
                    <w:widowControl/>
                    <w:jc w:val="center"/>
                    <w:textAlignment w:val="center"/>
                    <w:rPr>
                      <w:color w:val="auto"/>
                      <w:szCs w:val="20"/>
                    </w:rPr>
                  </w:pPr>
                  <w:r>
                    <w:rPr>
                      <w:color w:val="auto"/>
                      <w:kern w:val="0"/>
                      <w:szCs w:val="21"/>
                      <w:lang w:bidi="ar"/>
                    </w:rPr>
                    <w:t>/</w:t>
                  </w:r>
                </w:p>
              </w:tc>
            </w:tr>
            <w:tr w14:paraId="1430C348">
              <w:tblPrEx>
                <w:tblCellMar>
                  <w:top w:w="0" w:type="dxa"/>
                  <w:left w:w="108" w:type="dxa"/>
                  <w:bottom w:w="0" w:type="dxa"/>
                  <w:right w:w="108" w:type="dxa"/>
                </w:tblCellMar>
              </w:tblPrEx>
              <w:trPr>
                <w:trHeight w:val="270" w:hRule="atLeast"/>
                <w:jc w:val="center"/>
              </w:trPr>
              <w:tc>
                <w:tcPr>
                  <w:tcW w:w="622" w:type="pct"/>
                  <w:vMerge w:val="continue"/>
                  <w:tcBorders>
                    <w:left w:val="single" w:color="000000" w:sz="4" w:space="0"/>
                    <w:bottom w:val="single" w:color="000000" w:sz="4" w:space="0"/>
                    <w:right w:val="single" w:color="000000" w:sz="4" w:space="0"/>
                  </w:tcBorders>
                  <w:vAlign w:val="center"/>
                </w:tcPr>
                <w:p w14:paraId="0F9AB872">
                  <w:pPr>
                    <w:pStyle w:val="43"/>
                    <w:wordWrap/>
                    <w:spacing w:line="240" w:lineRule="auto"/>
                    <w:ind w:firstLine="0" w:firstLineChars="0"/>
                    <w:jc w:val="center"/>
                    <w:rPr>
                      <w:color w:val="auto"/>
                      <w:sz w:val="21"/>
                      <w:szCs w:val="20"/>
                    </w:rPr>
                  </w:pPr>
                </w:p>
              </w:tc>
              <w:tc>
                <w:tcPr>
                  <w:tcW w:w="3284" w:type="pct"/>
                  <w:gridSpan w:val="3"/>
                  <w:tcBorders>
                    <w:left w:val="single" w:color="000000" w:sz="4" w:space="0"/>
                    <w:bottom w:val="single" w:color="000000" w:sz="4" w:space="0"/>
                    <w:right w:val="single" w:color="000000" w:sz="4" w:space="0"/>
                  </w:tcBorders>
                  <w:vAlign w:val="center"/>
                </w:tcPr>
                <w:p w14:paraId="3DA29C2B">
                  <w:pPr>
                    <w:pStyle w:val="43"/>
                    <w:wordWrap/>
                    <w:spacing w:line="240" w:lineRule="auto"/>
                    <w:ind w:firstLine="0" w:firstLineChars="0"/>
                    <w:jc w:val="center"/>
                    <w:rPr>
                      <w:color w:val="auto"/>
                      <w:sz w:val="21"/>
                      <w:szCs w:val="20"/>
                    </w:rPr>
                  </w:pPr>
                  <w:r>
                    <w:rPr>
                      <w:rFonts w:hint="eastAsia"/>
                      <w:color w:val="auto"/>
                      <w:sz w:val="21"/>
                      <w:szCs w:val="21"/>
                    </w:rPr>
                    <w:t>合计</w:t>
                  </w:r>
                </w:p>
              </w:tc>
              <w:tc>
                <w:tcPr>
                  <w:tcW w:w="1166" w:type="dxa"/>
                  <w:tcBorders>
                    <w:top w:val="single" w:color="auto" w:sz="4" w:space="0"/>
                    <w:left w:val="single" w:color="000000" w:sz="4" w:space="0"/>
                    <w:bottom w:val="single" w:color="000000" w:sz="4" w:space="0"/>
                    <w:right w:val="single" w:color="000000" w:sz="4" w:space="0"/>
                  </w:tcBorders>
                  <w:vAlign w:val="center"/>
                </w:tcPr>
                <w:p w14:paraId="224E04A6">
                  <w:pPr>
                    <w:widowControl/>
                    <w:jc w:val="center"/>
                    <w:textAlignment w:val="center"/>
                    <w:rPr>
                      <w:color w:val="auto"/>
                      <w:szCs w:val="20"/>
                    </w:rPr>
                  </w:pPr>
                  <w:r>
                    <w:rPr>
                      <w:color w:val="auto"/>
                      <w:kern w:val="0"/>
                      <w:szCs w:val="21"/>
                      <w:lang w:bidi="ar"/>
                    </w:rPr>
                    <w:t>11931</w:t>
                  </w:r>
                </w:p>
              </w:tc>
              <w:tc>
                <w:tcPr>
                  <w:tcW w:w="1167" w:type="dxa"/>
                  <w:tcBorders>
                    <w:top w:val="single" w:color="auto" w:sz="4" w:space="0"/>
                    <w:left w:val="single" w:color="000000" w:sz="4" w:space="0"/>
                    <w:bottom w:val="single" w:color="000000" w:sz="4" w:space="0"/>
                    <w:right w:val="single" w:color="000000" w:sz="4" w:space="0"/>
                  </w:tcBorders>
                  <w:vAlign w:val="center"/>
                </w:tcPr>
                <w:p w14:paraId="261524C8">
                  <w:pPr>
                    <w:widowControl/>
                    <w:jc w:val="center"/>
                    <w:textAlignment w:val="center"/>
                    <w:rPr>
                      <w:color w:val="auto"/>
                      <w:szCs w:val="20"/>
                    </w:rPr>
                  </w:pPr>
                  <w:r>
                    <w:rPr>
                      <w:color w:val="auto"/>
                      <w:kern w:val="0"/>
                      <w:szCs w:val="21"/>
                      <w:lang w:bidi="ar"/>
                    </w:rPr>
                    <w:t>15000</w:t>
                  </w:r>
                </w:p>
              </w:tc>
            </w:tr>
            <w:tr w14:paraId="60CCCD0A">
              <w:tblPrEx>
                <w:tblCellMar>
                  <w:top w:w="0" w:type="dxa"/>
                  <w:left w:w="108" w:type="dxa"/>
                  <w:bottom w:w="0" w:type="dxa"/>
                  <w:right w:w="108" w:type="dxa"/>
                </w:tblCellMar>
              </w:tblPrEx>
              <w:trPr>
                <w:trHeight w:val="270" w:hRule="atLeast"/>
                <w:jc w:val="center"/>
              </w:trPr>
              <w:tc>
                <w:tcPr>
                  <w:tcW w:w="622" w:type="pct"/>
                  <w:vMerge w:val="restart"/>
                  <w:tcBorders>
                    <w:top w:val="single" w:color="000000" w:sz="4" w:space="0"/>
                    <w:left w:val="single" w:color="000000" w:sz="4" w:space="0"/>
                    <w:right w:val="single" w:color="000000" w:sz="4" w:space="0"/>
                  </w:tcBorders>
                  <w:vAlign w:val="center"/>
                </w:tcPr>
                <w:p w14:paraId="2DC06498">
                  <w:pPr>
                    <w:pStyle w:val="43"/>
                    <w:wordWrap/>
                    <w:spacing w:line="240" w:lineRule="auto"/>
                    <w:ind w:firstLine="0" w:firstLineChars="0"/>
                    <w:jc w:val="center"/>
                    <w:rPr>
                      <w:color w:val="auto"/>
                      <w:sz w:val="21"/>
                      <w:szCs w:val="20"/>
                    </w:rPr>
                  </w:pPr>
                  <w:r>
                    <w:rPr>
                      <w:rFonts w:hint="eastAsia"/>
                      <w:color w:val="auto"/>
                      <w:sz w:val="21"/>
                      <w:szCs w:val="20"/>
                    </w:rPr>
                    <w:t>DA005</w:t>
                  </w:r>
                </w:p>
              </w:tc>
              <w:tc>
                <w:tcPr>
                  <w:tcW w:w="609" w:type="pct"/>
                  <w:tcBorders>
                    <w:top w:val="single" w:color="000000" w:sz="4" w:space="0"/>
                    <w:left w:val="single" w:color="000000" w:sz="4" w:space="0"/>
                    <w:bottom w:val="single" w:color="000000" w:sz="4" w:space="0"/>
                    <w:right w:val="single" w:color="000000" w:sz="4" w:space="0"/>
                  </w:tcBorders>
                  <w:vAlign w:val="center"/>
                </w:tcPr>
                <w:p w14:paraId="48DFE0FA">
                  <w:pPr>
                    <w:pStyle w:val="43"/>
                    <w:wordWrap/>
                    <w:spacing w:line="240" w:lineRule="auto"/>
                    <w:ind w:firstLine="0" w:firstLineChars="0"/>
                    <w:jc w:val="center"/>
                    <w:rPr>
                      <w:color w:val="auto"/>
                      <w:sz w:val="21"/>
                      <w:szCs w:val="20"/>
                    </w:rPr>
                  </w:pPr>
                  <w:r>
                    <w:rPr>
                      <w:rFonts w:hint="eastAsia"/>
                      <w:color w:val="auto"/>
                      <w:sz w:val="21"/>
                      <w:szCs w:val="20"/>
                    </w:rPr>
                    <w:t>尾数房</w:t>
                  </w:r>
                </w:p>
              </w:tc>
              <w:tc>
                <w:tcPr>
                  <w:tcW w:w="913" w:type="pct"/>
                  <w:tcBorders>
                    <w:top w:val="single" w:color="000000" w:sz="4" w:space="0"/>
                    <w:left w:val="single" w:color="000000" w:sz="4" w:space="0"/>
                    <w:bottom w:val="single" w:color="000000" w:sz="4" w:space="0"/>
                    <w:right w:val="single" w:color="000000" w:sz="4" w:space="0"/>
                  </w:tcBorders>
                  <w:vAlign w:val="center"/>
                </w:tcPr>
                <w:p w14:paraId="4FC6B4C8">
                  <w:pPr>
                    <w:pStyle w:val="43"/>
                    <w:wordWrap/>
                    <w:spacing w:line="240" w:lineRule="auto"/>
                    <w:ind w:firstLine="0" w:firstLineChars="0"/>
                    <w:jc w:val="center"/>
                    <w:rPr>
                      <w:color w:val="auto"/>
                      <w:sz w:val="21"/>
                      <w:szCs w:val="20"/>
                    </w:rPr>
                  </w:pPr>
                  <w:r>
                    <w:rPr>
                      <w:rFonts w:hint="eastAsia"/>
                      <w:color w:val="auto"/>
                      <w:sz w:val="21"/>
                      <w:szCs w:val="20"/>
                    </w:rPr>
                    <w:t>单层密闭负压</w:t>
                  </w:r>
                </w:p>
              </w:tc>
              <w:tc>
                <w:tcPr>
                  <w:tcW w:w="1762" w:type="pct"/>
                  <w:vMerge w:val="restart"/>
                  <w:tcBorders>
                    <w:top w:val="single" w:color="000000" w:sz="4" w:space="0"/>
                    <w:left w:val="single" w:color="000000" w:sz="4" w:space="0"/>
                    <w:right w:val="single" w:color="000000" w:sz="4" w:space="0"/>
                  </w:tcBorders>
                  <w:vAlign w:val="center"/>
                </w:tcPr>
                <w:p w14:paraId="15122DF5">
                  <w:pPr>
                    <w:pStyle w:val="43"/>
                    <w:wordWrap/>
                    <w:spacing w:line="240" w:lineRule="auto"/>
                    <w:ind w:firstLine="0" w:firstLineChars="0"/>
                    <w:jc w:val="center"/>
                    <w:rPr>
                      <w:color w:val="auto"/>
                      <w:sz w:val="21"/>
                      <w:szCs w:val="20"/>
                    </w:rPr>
                  </w:pPr>
                  <w:r>
                    <w:rPr>
                      <w:rFonts w:hint="eastAsia"/>
                      <w:color w:val="auto"/>
                      <w:sz w:val="21"/>
                      <w:szCs w:val="20"/>
                    </w:rPr>
                    <w:t>收集尾数房和烘烤柜炉的作业废气</w:t>
                  </w:r>
                </w:p>
              </w:tc>
              <w:tc>
                <w:tcPr>
                  <w:tcW w:w="1166" w:type="dxa"/>
                  <w:tcBorders>
                    <w:top w:val="single" w:color="000000" w:sz="4" w:space="0"/>
                    <w:left w:val="single" w:color="000000" w:sz="4" w:space="0"/>
                    <w:bottom w:val="single" w:color="000000" w:sz="4" w:space="0"/>
                    <w:right w:val="single" w:color="000000" w:sz="4" w:space="0"/>
                  </w:tcBorders>
                  <w:vAlign w:val="center"/>
                </w:tcPr>
                <w:p w14:paraId="7579C68C">
                  <w:pPr>
                    <w:widowControl/>
                    <w:jc w:val="center"/>
                    <w:textAlignment w:val="center"/>
                    <w:rPr>
                      <w:color w:val="auto"/>
                      <w:szCs w:val="20"/>
                    </w:rPr>
                  </w:pPr>
                  <w:r>
                    <w:rPr>
                      <w:color w:val="auto"/>
                      <w:kern w:val="0"/>
                      <w:szCs w:val="21"/>
                      <w:lang w:bidi="ar"/>
                    </w:rPr>
                    <w:t>6000</w:t>
                  </w:r>
                </w:p>
              </w:tc>
              <w:tc>
                <w:tcPr>
                  <w:tcW w:w="1167" w:type="dxa"/>
                  <w:tcBorders>
                    <w:top w:val="single" w:color="000000" w:sz="4" w:space="0"/>
                    <w:left w:val="single" w:color="000000" w:sz="4" w:space="0"/>
                    <w:bottom w:val="single" w:color="000000" w:sz="4" w:space="0"/>
                    <w:right w:val="single" w:color="000000" w:sz="4" w:space="0"/>
                  </w:tcBorders>
                  <w:vAlign w:val="center"/>
                </w:tcPr>
                <w:p w14:paraId="5BC2F20D">
                  <w:pPr>
                    <w:widowControl/>
                    <w:jc w:val="center"/>
                    <w:textAlignment w:val="center"/>
                    <w:rPr>
                      <w:color w:val="auto"/>
                      <w:szCs w:val="20"/>
                    </w:rPr>
                  </w:pPr>
                  <w:r>
                    <w:rPr>
                      <w:color w:val="auto"/>
                      <w:kern w:val="0"/>
                      <w:szCs w:val="21"/>
                      <w:lang w:bidi="ar"/>
                    </w:rPr>
                    <w:t>/</w:t>
                  </w:r>
                </w:p>
              </w:tc>
            </w:tr>
            <w:tr w14:paraId="45703C26">
              <w:tblPrEx>
                <w:tblCellMar>
                  <w:top w:w="0" w:type="dxa"/>
                  <w:left w:w="108" w:type="dxa"/>
                  <w:bottom w:w="0" w:type="dxa"/>
                  <w:right w:w="108" w:type="dxa"/>
                </w:tblCellMar>
              </w:tblPrEx>
              <w:trPr>
                <w:trHeight w:val="270" w:hRule="atLeast"/>
                <w:jc w:val="center"/>
              </w:trPr>
              <w:tc>
                <w:tcPr>
                  <w:tcW w:w="622" w:type="pct"/>
                  <w:vMerge w:val="continue"/>
                  <w:tcBorders>
                    <w:left w:val="single" w:color="000000" w:sz="4" w:space="0"/>
                    <w:right w:val="single" w:color="000000" w:sz="4" w:space="0"/>
                  </w:tcBorders>
                  <w:vAlign w:val="center"/>
                </w:tcPr>
                <w:p w14:paraId="2BE2DD30">
                  <w:pPr>
                    <w:pStyle w:val="43"/>
                    <w:wordWrap/>
                    <w:spacing w:line="240" w:lineRule="auto"/>
                    <w:ind w:firstLine="0" w:firstLineChars="0"/>
                    <w:jc w:val="center"/>
                    <w:rPr>
                      <w:color w:val="auto"/>
                      <w:sz w:val="21"/>
                      <w:szCs w:val="20"/>
                    </w:rPr>
                  </w:pPr>
                </w:p>
              </w:tc>
              <w:tc>
                <w:tcPr>
                  <w:tcW w:w="609" w:type="pct"/>
                  <w:vMerge w:val="restart"/>
                  <w:tcBorders>
                    <w:top w:val="single" w:color="000000" w:sz="4" w:space="0"/>
                    <w:left w:val="single" w:color="000000" w:sz="4" w:space="0"/>
                    <w:right w:val="single" w:color="000000" w:sz="4" w:space="0"/>
                  </w:tcBorders>
                  <w:vAlign w:val="center"/>
                </w:tcPr>
                <w:p w14:paraId="394C4B23">
                  <w:pPr>
                    <w:pStyle w:val="43"/>
                    <w:wordWrap/>
                    <w:spacing w:line="240" w:lineRule="auto"/>
                    <w:ind w:firstLine="0" w:firstLineChars="0"/>
                    <w:jc w:val="center"/>
                    <w:rPr>
                      <w:color w:val="auto"/>
                      <w:sz w:val="21"/>
                      <w:szCs w:val="20"/>
                    </w:rPr>
                  </w:pPr>
                  <w:r>
                    <w:rPr>
                      <w:rFonts w:hint="eastAsia"/>
                      <w:color w:val="auto"/>
                      <w:sz w:val="21"/>
                      <w:szCs w:val="20"/>
                    </w:rPr>
                    <w:t>烘烤柜炉</w:t>
                  </w:r>
                </w:p>
              </w:tc>
              <w:tc>
                <w:tcPr>
                  <w:tcW w:w="913" w:type="pct"/>
                  <w:tcBorders>
                    <w:top w:val="single" w:color="000000" w:sz="4" w:space="0"/>
                    <w:left w:val="single" w:color="000000" w:sz="4" w:space="0"/>
                    <w:bottom w:val="single" w:color="000000" w:sz="4" w:space="0"/>
                    <w:right w:val="single" w:color="000000" w:sz="4" w:space="0"/>
                  </w:tcBorders>
                  <w:vAlign w:val="center"/>
                </w:tcPr>
                <w:p w14:paraId="3EEB493E">
                  <w:pPr>
                    <w:pStyle w:val="43"/>
                    <w:wordWrap/>
                    <w:spacing w:line="240" w:lineRule="auto"/>
                    <w:ind w:firstLine="0" w:firstLineChars="0"/>
                    <w:jc w:val="center"/>
                    <w:rPr>
                      <w:color w:val="auto"/>
                      <w:sz w:val="21"/>
                      <w:szCs w:val="20"/>
                    </w:rPr>
                  </w:pPr>
                  <w:r>
                    <w:rPr>
                      <w:rFonts w:hint="eastAsia"/>
                      <w:color w:val="auto"/>
                      <w:sz w:val="21"/>
                      <w:szCs w:val="20"/>
                    </w:rPr>
                    <w:t>设备废气排口直连</w:t>
                  </w:r>
                </w:p>
              </w:tc>
              <w:tc>
                <w:tcPr>
                  <w:tcW w:w="1762" w:type="pct"/>
                  <w:vMerge w:val="continue"/>
                  <w:tcBorders>
                    <w:left w:val="single" w:color="000000" w:sz="4" w:space="0"/>
                    <w:right w:val="single" w:color="000000" w:sz="4" w:space="0"/>
                  </w:tcBorders>
                  <w:vAlign w:val="center"/>
                </w:tcPr>
                <w:p w14:paraId="6365ACF5">
                  <w:pPr>
                    <w:pStyle w:val="43"/>
                    <w:wordWrap/>
                    <w:spacing w:line="240" w:lineRule="auto"/>
                    <w:ind w:firstLine="0" w:firstLineChars="0"/>
                    <w:jc w:val="center"/>
                    <w:rPr>
                      <w:color w:val="auto"/>
                      <w:sz w:val="21"/>
                      <w:szCs w:val="20"/>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4EA92040">
                  <w:pPr>
                    <w:widowControl/>
                    <w:jc w:val="center"/>
                    <w:textAlignment w:val="center"/>
                    <w:rPr>
                      <w:color w:val="auto"/>
                      <w:szCs w:val="20"/>
                    </w:rPr>
                  </w:pPr>
                  <w:r>
                    <w:rPr>
                      <w:color w:val="auto"/>
                      <w:kern w:val="0"/>
                      <w:szCs w:val="21"/>
                      <w:lang w:bidi="ar"/>
                    </w:rPr>
                    <w:t>272</w:t>
                  </w:r>
                </w:p>
              </w:tc>
              <w:tc>
                <w:tcPr>
                  <w:tcW w:w="1167" w:type="dxa"/>
                  <w:tcBorders>
                    <w:top w:val="single" w:color="000000" w:sz="4" w:space="0"/>
                    <w:left w:val="single" w:color="000000" w:sz="4" w:space="0"/>
                    <w:bottom w:val="single" w:color="000000" w:sz="4" w:space="0"/>
                    <w:right w:val="single" w:color="000000" w:sz="4" w:space="0"/>
                  </w:tcBorders>
                  <w:vAlign w:val="center"/>
                </w:tcPr>
                <w:p w14:paraId="49470AA5">
                  <w:pPr>
                    <w:widowControl/>
                    <w:jc w:val="center"/>
                    <w:textAlignment w:val="center"/>
                    <w:rPr>
                      <w:color w:val="auto"/>
                      <w:szCs w:val="20"/>
                    </w:rPr>
                  </w:pPr>
                  <w:r>
                    <w:rPr>
                      <w:color w:val="auto"/>
                      <w:kern w:val="0"/>
                      <w:szCs w:val="21"/>
                      <w:lang w:bidi="ar"/>
                    </w:rPr>
                    <w:t>/</w:t>
                  </w:r>
                </w:p>
              </w:tc>
            </w:tr>
            <w:tr w14:paraId="12336804">
              <w:tblPrEx>
                <w:tblCellMar>
                  <w:top w:w="0" w:type="dxa"/>
                  <w:left w:w="108" w:type="dxa"/>
                  <w:bottom w:w="0" w:type="dxa"/>
                  <w:right w:w="108" w:type="dxa"/>
                </w:tblCellMar>
              </w:tblPrEx>
              <w:trPr>
                <w:trHeight w:val="270" w:hRule="atLeast"/>
                <w:jc w:val="center"/>
              </w:trPr>
              <w:tc>
                <w:tcPr>
                  <w:tcW w:w="622" w:type="pct"/>
                  <w:vMerge w:val="continue"/>
                  <w:tcBorders>
                    <w:left w:val="single" w:color="000000" w:sz="4" w:space="0"/>
                    <w:right w:val="single" w:color="000000" w:sz="4" w:space="0"/>
                  </w:tcBorders>
                  <w:vAlign w:val="center"/>
                </w:tcPr>
                <w:p w14:paraId="7DC06055">
                  <w:pPr>
                    <w:pStyle w:val="43"/>
                    <w:wordWrap/>
                    <w:spacing w:line="240" w:lineRule="auto"/>
                    <w:ind w:firstLine="0" w:firstLineChars="0"/>
                    <w:jc w:val="center"/>
                    <w:rPr>
                      <w:color w:val="auto"/>
                      <w:sz w:val="21"/>
                      <w:szCs w:val="20"/>
                    </w:rPr>
                  </w:pPr>
                </w:p>
              </w:tc>
              <w:tc>
                <w:tcPr>
                  <w:tcW w:w="609" w:type="pct"/>
                  <w:vMerge w:val="continue"/>
                  <w:tcBorders>
                    <w:left w:val="single" w:color="000000" w:sz="4" w:space="0"/>
                    <w:bottom w:val="single" w:color="000000" w:sz="4" w:space="0"/>
                    <w:right w:val="single" w:color="000000" w:sz="4" w:space="0"/>
                  </w:tcBorders>
                  <w:vAlign w:val="center"/>
                </w:tcPr>
                <w:p w14:paraId="583C979C">
                  <w:pPr>
                    <w:pStyle w:val="43"/>
                    <w:wordWrap/>
                    <w:spacing w:line="240" w:lineRule="auto"/>
                    <w:ind w:firstLine="0" w:firstLineChars="0"/>
                    <w:jc w:val="center"/>
                    <w:rPr>
                      <w:color w:val="auto"/>
                      <w:sz w:val="21"/>
                      <w:szCs w:val="20"/>
                    </w:rPr>
                  </w:pPr>
                </w:p>
              </w:tc>
              <w:tc>
                <w:tcPr>
                  <w:tcW w:w="913" w:type="pct"/>
                  <w:tcBorders>
                    <w:top w:val="single" w:color="000000" w:sz="4" w:space="0"/>
                    <w:left w:val="single" w:color="000000" w:sz="4" w:space="0"/>
                    <w:bottom w:val="single" w:color="000000" w:sz="4" w:space="0"/>
                    <w:right w:val="single" w:color="000000" w:sz="4" w:space="0"/>
                  </w:tcBorders>
                  <w:vAlign w:val="center"/>
                </w:tcPr>
                <w:p w14:paraId="279129E5">
                  <w:pPr>
                    <w:pStyle w:val="43"/>
                    <w:wordWrap/>
                    <w:spacing w:line="240" w:lineRule="auto"/>
                    <w:ind w:firstLine="0" w:firstLineChars="0"/>
                    <w:jc w:val="center"/>
                    <w:rPr>
                      <w:color w:val="auto"/>
                      <w:sz w:val="21"/>
                      <w:szCs w:val="20"/>
                    </w:rPr>
                  </w:pPr>
                  <w:r>
                    <w:rPr>
                      <w:rFonts w:hint="eastAsia"/>
                      <w:color w:val="auto"/>
                      <w:sz w:val="21"/>
                      <w:szCs w:val="20"/>
                    </w:rPr>
                    <w:t>外部集气罩</w:t>
                  </w:r>
                </w:p>
              </w:tc>
              <w:tc>
                <w:tcPr>
                  <w:tcW w:w="1762" w:type="pct"/>
                  <w:vMerge w:val="continue"/>
                  <w:tcBorders>
                    <w:left w:val="single" w:color="000000" w:sz="4" w:space="0"/>
                    <w:bottom w:val="single" w:color="000000" w:sz="4" w:space="0"/>
                    <w:right w:val="single" w:color="000000" w:sz="4" w:space="0"/>
                  </w:tcBorders>
                  <w:vAlign w:val="center"/>
                </w:tcPr>
                <w:p w14:paraId="0700F117">
                  <w:pPr>
                    <w:pStyle w:val="43"/>
                    <w:wordWrap/>
                    <w:spacing w:line="240" w:lineRule="auto"/>
                    <w:ind w:firstLine="0" w:firstLineChars="0"/>
                    <w:jc w:val="center"/>
                    <w:rPr>
                      <w:color w:val="auto"/>
                      <w:sz w:val="21"/>
                      <w:szCs w:val="20"/>
                    </w:rPr>
                  </w:pPr>
                </w:p>
              </w:tc>
              <w:tc>
                <w:tcPr>
                  <w:tcW w:w="1166" w:type="dxa"/>
                  <w:tcBorders>
                    <w:top w:val="single" w:color="000000" w:sz="4" w:space="0"/>
                    <w:left w:val="single" w:color="000000" w:sz="4" w:space="0"/>
                    <w:bottom w:val="single" w:color="000000" w:sz="4" w:space="0"/>
                    <w:right w:val="single" w:color="000000" w:sz="4" w:space="0"/>
                  </w:tcBorders>
                  <w:vAlign w:val="center"/>
                </w:tcPr>
                <w:p w14:paraId="4A2DA9FD">
                  <w:pPr>
                    <w:widowControl/>
                    <w:jc w:val="center"/>
                    <w:textAlignment w:val="center"/>
                    <w:rPr>
                      <w:color w:val="auto"/>
                      <w:szCs w:val="20"/>
                    </w:rPr>
                  </w:pPr>
                  <w:r>
                    <w:rPr>
                      <w:color w:val="auto"/>
                      <w:kern w:val="0"/>
                      <w:szCs w:val="21"/>
                      <w:lang w:bidi="ar"/>
                    </w:rPr>
                    <w:t>1935</w:t>
                  </w:r>
                </w:p>
              </w:tc>
              <w:tc>
                <w:tcPr>
                  <w:tcW w:w="1167" w:type="dxa"/>
                  <w:tcBorders>
                    <w:top w:val="single" w:color="000000" w:sz="4" w:space="0"/>
                    <w:left w:val="single" w:color="000000" w:sz="4" w:space="0"/>
                    <w:bottom w:val="single" w:color="000000" w:sz="4" w:space="0"/>
                    <w:right w:val="single" w:color="000000" w:sz="4" w:space="0"/>
                  </w:tcBorders>
                  <w:vAlign w:val="center"/>
                </w:tcPr>
                <w:p w14:paraId="54DF364F">
                  <w:pPr>
                    <w:widowControl/>
                    <w:jc w:val="center"/>
                    <w:textAlignment w:val="center"/>
                    <w:rPr>
                      <w:color w:val="auto"/>
                      <w:szCs w:val="20"/>
                    </w:rPr>
                  </w:pPr>
                  <w:r>
                    <w:rPr>
                      <w:color w:val="auto"/>
                      <w:kern w:val="0"/>
                      <w:szCs w:val="21"/>
                      <w:lang w:bidi="ar"/>
                    </w:rPr>
                    <w:t>/</w:t>
                  </w:r>
                </w:p>
              </w:tc>
            </w:tr>
            <w:tr w14:paraId="7825DEF3">
              <w:tblPrEx>
                <w:tblCellMar>
                  <w:top w:w="0" w:type="dxa"/>
                  <w:left w:w="108" w:type="dxa"/>
                  <w:bottom w:w="0" w:type="dxa"/>
                  <w:right w:w="108" w:type="dxa"/>
                </w:tblCellMar>
              </w:tblPrEx>
              <w:trPr>
                <w:trHeight w:val="270" w:hRule="atLeast"/>
                <w:jc w:val="center"/>
              </w:trPr>
              <w:tc>
                <w:tcPr>
                  <w:tcW w:w="622" w:type="pct"/>
                  <w:vMerge w:val="continue"/>
                  <w:tcBorders>
                    <w:left w:val="single" w:color="000000" w:sz="4" w:space="0"/>
                    <w:bottom w:val="single" w:color="000000" w:sz="4" w:space="0"/>
                    <w:right w:val="single" w:color="000000" w:sz="4" w:space="0"/>
                  </w:tcBorders>
                  <w:vAlign w:val="center"/>
                </w:tcPr>
                <w:p w14:paraId="592A29D5">
                  <w:pPr>
                    <w:pStyle w:val="43"/>
                    <w:wordWrap/>
                    <w:spacing w:line="240" w:lineRule="auto"/>
                    <w:ind w:firstLine="0" w:firstLineChars="0"/>
                    <w:jc w:val="center"/>
                    <w:rPr>
                      <w:color w:val="auto"/>
                      <w:sz w:val="21"/>
                      <w:szCs w:val="20"/>
                    </w:rPr>
                  </w:pPr>
                </w:p>
              </w:tc>
              <w:tc>
                <w:tcPr>
                  <w:tcW w:w="3284" w:type="pct"/>
                  <w:gridSpan w:val="3"/>
                  <w:tcBorders>
                    <w:top w:val="single" w:color="000000" w:sz="4" w:space="0"/>
                    <w:left w:val="single" w:color="000000" w:sz="4" w:space="0"/>
                    <w:bottom w:val="single" w:color="000000" w:sz="4" w:space="0"/>
                    <w:right w:val="single" w:color="000000" w:sz="4" w:space="0"/>
                  </w:tcBorders>
                  <w:vAlign w:val="center"/>
                </w:tcPr>
                <w:p w14:paraId="4193BC0D">
                  <w:pPr>
                    <w:pStyle w:val="43"/>
                    <w:wordWrap/>
                    <w:spacing w:line="240" w:lineRule="auto"/>
                    <w:ind w:firstLine="0" w:firstLineChars="0"/>
                    <w:jc w:val="center"/>
                    <w:rPr>
                      <w:color w:val="auto"/>
                      <w:sz w:val="21"/>
                      <w:szCs w:val="20"/>
                    </w:rPr>
                  </w:pPr>
                  <w:r>
                    <w:rPr>
                      <w:rFonts w:hint="eastAsia"/>
                      <w:color w:val="auto"/>
                      <w:sz w:val="21"/>
                      <w:szCs w:val="20"/>
                    </w:rPr>
                    <w:t>合计</w:t>
                  </w:r>
                </w:p>
              </w:tc>
              <w:tc>
                <w:tcPr>
                  <w:tcW w:w="1166" w:type="dxa"/>
                  <w:tcBorders>
                    <w:top w:val="single" w:color="000000" w:sz="4" w:space="0"/>
                    <w:left w:val="single" w:color="000000" w:sz="4" w:space="0"/>
                    <w:bottom w:val="single" w:color="000000" w:sz="4" w:space="0"/>
                    <w:right w:val="single" w:color="000000" w:sz="4" w:space="0"/>
                  </w:tcBorders>
                  <w:vAlign w:val="center"/>
                </w:tcPr>
                <w:p w14:paraId="5BA2193C">
                  <w:pPr>
                    <w:widowControl/>
                    <w:jc w:val="center"/>
                    <w:textAlignment w:val="center"/>
                    <w:rPr>
                      <w:color w:val="auto"/>
                      <w:szCs w:val="20"/>
                    </w:rPr>
                  </w:pPr>
                  <w:r>
                    <w:rPr>
                      <w:color w:val="auto"/>
                      <w:kern w:val="0"/>
                      <w:szCs w:val="21"/>
                      <w:lang w:bidi="ar"/>
                    </w:rPr>
                    <w:t>8207</w:t>
                  </w:r>
                </w:p>
              </w:tc>
              <w:tc>
                <w:tcPr>
                  <w:tcW w:w="1167" w:type="dxa"/>
                  <w:tcBorders>
                    <w:top w:val="single" w:color="000000" w:sz="4" w:space="0"/>
                    <w:left w:val="single" w:color="000000" w:sz="4" w:space="0"/>
                    <w:bottom w:val="single" w:color="000000" w:sz="4" w:space="0"/>
                    <w:right w:val="single" w:color="000000" w:sz="4" w:space="0"/>
                  </w:tcBorders>
                  <w:vAlign w:val="center"/>
                </w:tcPr>
                <w:p w14:paraId="74AEFCD1">
                  <w:pPr>
                    <w:widowControl/>
                    <w:jc w:val="center"/>
                    <w:textAlignment w:val="center"/>
                    <w:rPr>
                      <w:color w:val="auto"/>
                      <w:szCs w:val="20"/>
                    </w:rPr>
                  </w:pPr>
                  <w:r>
                    <w:rPr>
                      <w:color w:val="auto"/>
                      <w:kern w:val="0"/>
                      <w:szCs w:val="21"/>
                      <w:lang w:bidi="ar"/>
                    </w:rPr>
                    <w:t>10000</w:t>
                  </w:r>
                </w:p>
              </w:tc>
            </w:tr>
          </w:tbl>
          <w:p w14:paraId="5FE70863">
            <w:pPr>
              <w:adjustRightInd w:val="0"/>
              <w:snapToGrid w:val="0"/>
              <w:spacing w:line="360" w:lineRule="auto"/>
              <w:ind w:firstLine="482" w:firstLineChars="200"/>
              <w:jc w:val="left"/>
              <w:rPr>
                <w:b/>
                <w:bCs/>
                <w:color w:val="auto"/>
                <w:sz w:val="24"/>
              </w:rPr>
            </w:pPr>
            <w:r>
              <w:rPr>
                <w:rFonts w:hint="eastAsia"/>
                <w:b/>
                <w:bCs/>
                <w:color w:val="auto"/>
                <w:sz w:val="24"/>
              </w:rPr>
              <w:t>3、废气收集效率分析</w:t>
            </w:r>
          </w:p>
          <w:p w14:paraId="3D399E66">
            <w:pPr>
              <w:spacing w:line="360" w:lineRule="auto"/>
              <w:ind w:firstLine="480" w:firstLineChars="200"/>
              <w:rPr>
                <w:color w:val="auto"/>
                <w:sz w:val="24"/>
              </w:rPr>
            </w:pPr>
            <w:r>
              <w:rPr>
                <w:rFonts w:hint="eastAsia"/>
                <w:color w:val="auto"/>
                <w:sz w:val="24"/>
              </w:rPr>
              <w:t>废气收集效率可</w:t>
            </w:r>
            <w:r>
              <w:rPr>
                <w:color w:val="auto"/>
                <w:sz w:val="24"/>
              </w:rPr>
              <w:t>参考《广东省生态环境厅关于印发工业源挥发性有机物和氮氧化物减排量核算方法的通知》粤环函</w:t>
            </w:r>
            <w:r>
              <w:rPr>
                <w:rFonts w:hint="eastAsia"/>
                <w:color w:val="auto"/>
                <w:sz w:val="24"/>
              </w:rPr>
              <w:t>[</w:t>
            </w:r>
            <w:r>
              <w:rPr>
                <w:color w:val="auto"/>
                <w:sz w:val="24"/>
              </w:rPr>
              <w:t>2023</w:t>
            </w:r>
            <w:r>
              <w:rPr>
                <w:rFonts w:hint="eastAsia"/>
                <w:color w:val="auto"/>
                <w:sz w:val="24"/>
              </w:rPr>
              <w:t>]</w:t>
            </w:r>
            <w:r>
              <w:rPr>
                <w:color w:val="auto"/>
                <w:sz w:val="24"/>
              </w:rPr>
              <w:t>538号，项目废气治理设施收集效率参考表</w:t>
            </w:r>
            <w:r>
              <w:rPr>
                <w:rFonts w:hint="eastAsia"/>
                <w:color w:val="auto"/>
                <w:sz w:val="24"/>
              </w:rPr>
              <w:t>如下</w:t>
            </w:r>
            <w:r>
              <w:rPr>
                <w:color w:val="auto"/>
                <w:sz w:val="24"/>
              </w:rPr>
              <w:t>。</w:t>
            </w:r>
          </w:p>
          <w:p w14:paraId="667E8020">
            <w:pPr>
              <w:pStyle w:val="77"/>
              <w:numPr>
                <w:ilvl w:val="0"/>
                <w:numId w:val="18"/>
              </w:numPr>
              <w:adjustRightInd w:val="0"/>
              <w:snapToGrid w:val="0"/>
              <w:jc w:val="center"/>
              <w:rPr>
                <w:b/>
                <w:bCs/>
                <w:color w:val="auto"/>
                <w:szCs w:val="21"/>
              </w:rPr>
            </w:pPr>
            <w:r>
              <w:rPr>
                <w:rFonts w:hint="eastAsia"/>
                <w:b/>
                <w:bCs/>
                <w:color w:val="auto"/>
                <w:szCs w:val="21"/>
              </w:rPr>
              <w:t xml:space="preserve"> 废气收集集气效率参值表（粤环函[2023]538号摘录）</w:t>
            </w:r>
          </w:p>
          <w:tbl>
            <w:tblPr>
              <w:tblStyle w:val="35"/>
              <w:tblW w:w="493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3051"/>
              <w:gridCol w:w="4753"/>
              <w:gridCol w:w="1234"/>
            </w:tblGrid>
            <w:tr w14:paraId="46F528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tcBorders>
                    <w:top w:val="single" w:color="auto" w:sz="4" w:space="0"/>
                    <w:left w:val="single" w:color="auto" w:sz="4" w:space="0"/>
                    <w:bottom w:val="single" w:color="auto" w:sz="4" w:space="0"/>
                    <w:right w:val="single" w:color="auto" w:sz="4" w:space="0"/>
                  </w:tcBorders>
                  <w:vAlign w:val="center"/>
                </w:tcPr>
                <w:p w14:paraId="1E0639FF">
                  <w:pPr>
                    <w:pStyle w:val="143"/>
                    <w:rPr>
                      <w:rFonts w:ascii="Times New Roman" w:hAnsi="Times New Roman"/>
                      <w:b/>
                      <w:bCs/>
                      <w:color w:val="auto"/>
                      <w:sz w:val="21"/>
                      <w:szCs w:val="21"/>
                    </w:rPr>
                  </w:pPr>
                  <w:r>
                    <w:rPr>
                      <w:rFonts w:ascii="Times New Roman" w:hAnsi="Times New Roman"/>
                      <w:b/>
                      <w:bCs/>
                      <w:color w:val="auto"/>
                      <w:sz w:val="21"/>
                      <w:szCs w:val="21"/>
                    </w:rPr>
                    <w:t>废气收集类型</w:t>
                  </w:r>
                </w:p>
              </w:tc>
              <w:tc>
                <w:tcPr>
                  <w:tcW w:w="1447" w:type="pct"/>
                  <w:tcBorders>
                    <w:top w:val="single" w:color="auto" w:sz="4" w:space="0"/>
                    <w:left w:val="single" w:color="auto" w:sz="4" w:space="0"/>
                    <w:bottom w:val="single" w:color="auto" w:sz="4" w:space="0"/>
                    <w:right w:val="single" w:color="auto" w:sz="4" w:space="0"/>
                  </w:tcBorders>
                  <w:vAlign w:val="center"/>
                </w:tcPr>
                <w:p w14:paraId="6FEBB477">
                  <w:pPr>
                    <w:pStyle w:val="143"/>
                    <w:rPr>
                      <w:rFonts w:ascii="Times New Roman" w:hAnsi="Times New Roman"/>
                      <w:b/>
                      <w:bCs/>
                      <w:color w:val="auto"/>
                      <w:sz w:val="21"/>
                      <w:szCs w:val="21"/>
                    </w:rPr>
                  </w:pPr>
                  <w:r>
                    <w:rPr>
                      <w:rFonts w:ascii="Times New Roman" w:hAnsi="Times New Roman"/>
                      <w:b/>
                      <w:bCs/>
                      <w:color w:val="auto"/>
                      <w:sz w:val="21"/>
                      <w:szCs w:val="21"/>
                    </w:rPr>
                    <w:t>废气收集方式</w:t>
                  </w:r>
                </w:p>
              </w:tc>
              <w:tc>
                <w:tcPr>
                  <w:tcW w:w="2254" w:type="pct"/>
                  <w:tcBorders>
                    <w:top w:val="single" w:color="auto" w:sz="4" w:space="0"/>
                    <w:left w:val="single" w:color="auto" w:sz="4" w:space="0"/>
                    <w:bottom w:val="single" w:color="auto" w:sz="4" w:space="0"/>
                    <w:right w:val="single" w:color="auto" w:sz="4" w:space="0"/>
                  </w:tcBorders>
                  <w:vAlign w:val="center"/>
                </w:tcPr>
                <w:p w14:paraId="40772859">
                  <w:pPr>
                    <w:pStyle w:val="143"/>
                    <w:rPr>
                      <w:rFonts w:ascii="Times New Roman" w:hAnsi="Times New Roman"/>
                      <w:b/>
                      <w:bCs/>
                      <w:color w:val="auto"/>
                      <w:sz w:val="21"/>
                      <w:szCs w:val="21"/>
                    </w:rPr>
                  </w:pPr>
                  <w:r>
                    <w:rPr>
                      <w:rFonts w:ascii="Times New Roman" w:hAnsi="Times New Roman"/>
                      <w:b/>
                      <w:bCs/>
                      <w:color w:val="auto"/>
                      <w:sz w:val="21"/>
                      <w:szCs w:val="21"/>
                    </w:rPr>
                    <w:t>情况说明</w:t>
                  </w:r>
                </w:p>
              </w:tc>
              <w:tc>
                <w:tcPr>
                  <w:tcW w:w="583" w:type="pct"/>
                  <w:tcBorders>
                    <w:top w:val="single" w:color="auto" w:sz="4" w:space="0"/>
                    <w:left w:val="single" w:color="auto" w:sz="4" w:space="0"/>
                    <w:bottom w:val="single" w:color="auto" w:sz="4" w:space="0"/>
                    <w:right w:val="single" w:color="auto" w:sz="4" w:space="0"/>
                  </w:tcBorders>
                  <w:vAlign w:val="center"/>
                </w:tcPr>
                <w:p w14:paraId="3653C68F">
                  <w:pPr>
                    <w:pStyle w:val="143"/>
                    <w:rPr>
                      <w:rFonts w:ascii="Times New Roman" w:hAnsi="Times New Roman"/>
                      <w:b/>
                      <w:bCs/>
                      <w:color w:val="auto"/>
                      <w:sz w:val="21"/>
                      <w:szCs w:val="21"/>
                    </w:rPr>
                  </w:pPr>
                  <w:r>
                    <w:rPr>
                      <w:rFonts w:ascii="Times New Roman" w:hAnsi="Times New Roman"/>
                      <w:b/>
                      <w:bCs/>
                      <w:color w:val="auto"/>
                      <w:sz w:val="21"/>
                      <w:szCs w:val="21"/>
                    </w:rPr>
                    <w:t>集气效率（%）</w:t>
                  </w:r>
                </w:p>
              </w:tc>
            </w:tr>
            <w:tr w14:paraId="0E0FE2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vMerge w:val="restart"/>
                  <w:tcBorders>
                    <w:top w:val="single" w:color="auto" w:sz="4" w:space="0"/>
                    <w:left w:val="single" w:color="auto" w:sz="4" w:space="0"/>
                    <w:bottom w:val="single" w:color="auto" w:sz="4" w:space="0"/>
                    <w:right w:val="single" w:color="auto" w:sz="4" w:space="0"/>
                  </w:tcBorders>
                  <w:vAlign w:val="center"/>
                </w:tcPr>
                <w:p w14:paraId="462C0E6E">
                  <w:pPr>
                    <w:pStyle w:val="143"/>
                    <w:rPr>
                      <w:rFonts w:ascii="Times New Roman" w:hAnsi="Times New Roman"/>
                      <w:color w:val="auto"/>
                      <w:sz w:val="21"/>
                      <w:szCs w:val="21"/>
                    </w:rPr>
                  </w:pPr>
                  <w:r>
                    <w:rPr>
                      <w:rFonts w:ascii="Times New Roman" w:hAnsi="Times New Roman"/>
                      <w:color w:val="auto"/>
                      <w:sz w:val="21"/>
                      <w:szCs w:val="21"/>
                    </w:rPr>
                    <w:t>全密封设备/空间</w:t>
                  </w:r>
                </w:p>
              </w:tc>
              <w:tc>
                <w:tcPr>
                  <w:tcW w:w="1447" w:type="pct"/>
                  <w:tcBorders>
                    <w:top w:val="single" w:color="auto" w:sz="4" w:space="0"/>
                    <w:left w:val="single" w:color="auto" w:sz="4" w:space="0"/>
                    <w:bottom w:val="single" w:color="auto" w:sz="4" w:space="0"/>
                    <w:right w:val="single" w:color="auto" w:sz="4" w:space="0"/>
                  </w:tcBorders>
                  <w:vAlign w:val="center"/>
                </w:tcPr>
                <w:p w14:paraId="23325B65">
                  <w:pPr>
                    <w:pStyle w:val="143"/>
                    <w:rPr>
                      <w:rFonts w:ascii="Times New Roman" w:hAnsi="Times New Roman"/>
                      <w:color w:val="auto"/>
                      <w:sz w:val="21"/>
                      <w:szCs w:val="21"/>
                    </w:rPr>
                  </w:pPr>
                  <w:r>
                    <w:rPr>
                      <w:rFonts w:ascii="Times New Roman" w:hAnsi="Times New Roman"/>
                      <w:color w:val="auto"/>
                      <w:sz w:val="21"/>
                      <w:szCs w:val="21"/>
                    </w:rPr>
                    <w:t>单层密闭负压</w:t>
                  </w:r>
                </w:p>
              </w:tc>
              <w:tc>
                <w:tcPr>
                  <w:tcW w:w="2254" w:type="pct"/>
                  <w:tcBorders>
                    <w:top w:val="single" w:color="auto" w:sz="4" w:space="0"/>
                    <w:left w:val="single" w:color="auto" w:sz="4" w:space="0"/>
                    <w:bottom w:val="single" w:color="auto" w:sz="4" w:space="0"/>
                    <w:right w:val="single" w:color="auto" w:sz="4" w:space="0"/>
                  </w:tcBorders>
                  <w:vAlign w:val="center"/>
                </w:tcPr>
                <w:p w14:paraId="5DE8E577">
                  <w:pPr>
                    <w:pStyle w:val="143"/>
                    <w:jc w:val="left"/>
                    <w:rPr>
                      <w:rFonts w:ascii="Times New Roman" w:hAnsi="Times New Roman"/>
                      <w:color w:val="auto"/>
                      <w:sz w:val="21"/>
                      <w:szCs w:val="21"/>
                    </w:rPr>
                  </w:pPr>
                  <w:r>
                    <w:rPr>
                      <w:rFonts w:ascii="Times New Roman" w:hAnsi="Times New Roman"/>
                      <w:color w:val="auto"/>
                      <w:sz w:val="21"/>
                      <w:szCs w:val="21"/>
                    </w:rPr>
                    <w:t>VOCs产生源设置在密闭车间、密闭设备（含反应釜）、密闭管道内，所有开口处，包括人员或物料进出口处呈负压</w:t>
                  </w:r>
                </w:p>
              </w:tc>
              <w:tc>
                <w:tcPr>
                  <w:tcW w:w="583" w:type="pct"/>
                  <w:tcBorders>
                    <w:top w:val="single" w:color="auto" w:sz="4" w:space="0"/>
                    <w:left w:val="single" w:color="auto" w:sz="4" w:space="0"/>
                    <w:bottom w:val="single" w:color="auto" w:sz="4" w:space="0"/>
                    <w:right w:val="single" w:color="auto" w:sz="4" w:space="0"/>
                  </w:tcBorders>
                  <w:vAlign w:val="center"/>
                </w:tcPr>
                <w:p w14:paraId="4AB7F3C6">
                  <w:pPr>
                    <w:pStyle w:val="143"/>
                    <w:rPr>
                      <w:rFonts w:ascii="Times New Roman" w:hAnsi="Times New Roman"/>
                      <w:color w:val="auto"/>
                      <w:sz w:val="21"/>
                      <w:szCs w:val="21"/>
                    </w:rPr>
                  </w:pPr>
                  <w:r>
                    <w:rPr>
                      <w:rFonts w:ascii="Times New Roman" w:hAnsi="Times New Roman"/>
                      <w:color w:val="auto"/>
                      <w:sz w:val="21"/>
                      <w:szCs w:val="21"/>
                    </w:rPr>
                    <w:t>90</w:t>
                  </w:r>
                </w:p>
              </w:tc>
            </w:tr>
            <w:tr w14:paraId="1181F2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vMerge w:val="continue"/>
                  <w:tcBorders>
                    <w:top w:val="single" w:color="auto" w:sz="4" w:space="0"/>
                    <w:left w:val="single" w:color="auto" w:sz="4" w:space="0"/>
                    <w:bottom w:val="single" w:color="auto" w:sz="4" w:space="0"/>
                    <w:right w:val="single" w:color="auto" w:sz="4" w:space="0"/>
                  </w:tcBorders>
                  <w:vAlign w:val="center"/>
                </w:tcPr>
                <w:p w14:paraId="12658E41">
                  <w:pPr>
                    <w:pStyle w:val="143"/>
                    <w:rPr>
                      <w:rFonts w:ascii="Times New Roman" w:hAnsi="Times New Roman"/>
                      <w:color w:val="auto"/>
                      <w:sz w:val="21"/>
                      <w:szCs w:val="21"/>
                    </w:rPr>
                  </w:pPr>
                </w:p>
              </w:tc>
              <w:tc>
                <w:tcPr>
                  <w:tcW w:w="1447" w:type="pct"/>
                  <w:tcBorders>
                    <w:top w:val="single" w:color="auto" w:sz="4" w:space="0"/>
                    <w:left w:val="single" w:color="auto" w:sz="4" w:space="0"/>
                    <w:bottom w:val="single" w:color="auto" w:sz="4" w:space="0"/>
                    <w:right w:val="single" w:color="auto" w:sz="4" w:space="0"/>
                  </w:tcBorders>
                  <w:vAlign w:val="center"/>
                </w:tcPr>
                <w:p w14:paraId="5D0F1147">
                  <w:pPr>
                    <w:pStyle w:val="143"/>
                    <w:rPr>
                      <w:rFonts w:ascii="Times New Roman" w:hAnsi="Times New Roman"/>
                      <w:color w:val="auto"/>
                      <w:sz w:val="21"/>
                      <w:szCs w:val="21"/>
                    </w:rPr>
                  </w:pPr>
                  <w:r>
                    <w:rPr>
                      <w:rFonts w:ascii="Times New Roman" w:hAnsi="Times New Roman"/>
                      <w:color w:val="auto"/>
                      <w:sz w:val="21"/>
                      <w:szCs w:val="21"/>
                    </w:rPr>
                    <w:t>单层密闭正压</w:t>
                  </w:r>
                </w:p>
              </w:tc>
              <w:tc>
                <w:tcPr>
                  <w:tcW w:w="2254" w:type="pct"/>
                  <w:tcBorders>
                    <w:top w:val="single" w:color="auto" w:sz="4" w:space="0"/>
                    <w:left w:val="single" w:color="auto" w:sz="4" w:space="0"/>
                    <w:bottom w:val="single" w:color="auto" w:sz="4" w:space="0"/>
                    <w:right w:val="single" w:color="auto" w:sz="4" w:space="0"/>
                  </w:tcBorders>
                  <w:vAlign w:val="center"/>
                </w:tcPr>
                <w:p w14:paraId="2616BD71">
                  <w:pPr>
                    <w:pStyle w:val="143"/>
                    <w:jc w:val="left"/>
                    <w:rPr>
                      <w:rFonts w:ascii="Times New Roman" w:hAnsi="Times New Roman"/>
                      <w:color w:val="auto"/>
                      <w:sz w:val="21"/>
                      <w:szCs w:val="21"/>
                    </w:rPr>
                  </w:pPr>
                  <w:r>
                    <w:rPr>
                      <w:rFonts w:ascii="Times New Roman" w:hAnsi="Times New Roman"/>
                      <w:color w:val="auto"/>
                      <w:sz w:val="21"/>
                      <w:szCs w:val="21"/>
                    </w:rPr>
                    <w:t>VOCs产生源设置在密闭车间内，所有开口处，包括人员或物料进出口处呈正压，且无明显泄漏点</w:t>
                  </w:r>
                </w:p>
              </w:tc>
              <w:tc>
                <w:tcPr>
                  <w:tcW w:w="583" w:type="pct"/>
                  <w:tcBorders>
                    <w:top w:val="single" w:color="auto" w:sz="4" w:space="0"/>
                    <w:left w:val="single" w:color="auto" w:sz="4" w:space="0"/>
                    <w:bottom w:val="single" w:color="auto" w:sz="4" w:space="0"/>
                    <w:right w:val="single" w:color="auto" w:sz="4" w:space="0"/>
                  </w:tcBorders>
                  <w:vAlign w:val="center"/>
                </w:tcPr>
                <w:p w14:paraId="516E5A10">
                  <w:pPr>
                    <w:pStyle w:val="143"/>
                    <w:rPr>
                      <w:rFonts w:ascii="Times New Roman" w:hAnsi="Times New Roman"/>
                      <w:color w:val="auto"/>
                      <w:sz w:val="21"/>
                      <w:szCs w:val="21"/>
                    </w:rPr>
                  </w:pPr>
                  <w:r>
                    <w:rPr>
                      <w:rFonts w:ascii="Times New Roman" w:hAnsi="Times New Roman"/>
                      <w:color w:val="auto"/>
                      <w:sz w:val="21"/>
                      <w:szCs w:val="21"/>
                    </w:rPr>
                    <w:t>80</w:t>
                  </w:r>
                </w:p>
              </w:tc>
            </w:tr>
            <w:tr w14:paraId="53D2B6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vMerge w:val="continue"/>
                  <w:tcBorders>
                    <w:top w:val="single" w:color="auto" w:sz="4" w:space="0"/>
                    <w:left w:val="single" w:color="auto" w:sz="4" w:space="0"/>
                    <w:bottom w:val="single" w:color="auto" w:sz="4" w:space="0"/>
                    <w:right w:val="single" w:color="auto" w:sz="4" w:space="0"/>
                  </w:tcBorders>
                  <w:vAlign w:val="center"/>
                </w:tcPr>
                <w:p w14:paraId="4145C3A9">
                  <w:pPr>
                    <w:pStyle w:val="143"/>
                    <w:rPr>
                      <w:rFonts w:ascii="Times New Roman" w:hAnsi="Times New Roman"/>
                      <w:color w:val="auto"/>
                      <w:sz w:val="21"/>
                      <w:szCs w:val="21"/>
                    </w:rPr>
                  </w:pPr>
                </w:p>
              </w:tc>
              <w:tc>
                <w:tcPr>
                  <w:tcW w:w="1447" w:type="pct"/>
                  <w:tcBorders>
                    <w:top w:val="single" w:color="auto" w:sz="4" w:space="0"/>
                    <w:left w:val="single" w:color="auto" w:sz="4" w:space="0"/>
                    <w:bottom w:val="single" w:color="auto" w:sz="4" w:space="0"/>
                    <w:right w:val="single" w:color="auto" w:sz="4" w:space="0"/>
                  </w:tcBorders>
                  <w:vAlign w:val="center"/>
                </w:tcPr>
                <w:p w14:paraId="2C6FF493">
                  <w:pPr>
                    <w:pStyle w:val="143"/>
                    <w:rPr>
                      <w:rFonts w:ascii="Times New Roman" w:hAnsi="Times New Roman"/>
                      <w:color w:val="auto"/>
                      <w:sz w:val="21"/>
                      <w:szCs w:val="21"/>
                    </w:rPr>
                  </w:pPr>
                  <w:r>
                    <w:rPr>
                      <w:rFonts w:ascii="Times New Roman" w:hAnsi="Times New Roman"/>
                      <w:color w:val="auto"/>
                      <w:sz w:val="21"/>
                      <w:szCs w:val="21"/>
                    </w:rPr>
                    <w:t>双层密闭空间</w:t>
                  </w:r>
                </w:p>
              </w:tc>
              <w:tc>
                <w:tcPr>
                  <w:tcW w:w="2254" w:type="pct"/>
                  <w:tcBorders>
                    <w:top w:val="single" w:color="auto" w:sz="4" w:space="0"/>
                    <w:left w:val="single" w:color="auto" w:sz="4" w:space="0"/>
                    <w:bottom w:val="single" w:color="auto" w:sz="4" w:space="0"/>
                    <w:right w:val="single" w:color="auto" w:sz="4" w:space="0"/>
                  </w:tcBorders>
                  <w:vAlign w:val="center"/>
                </w:tcPr>
                <w:p w14:paraId="5E067E7F">
                  <w:pPr>
                    <w:pStyle w:val="143"/>
                    <w:jc w:val="left"/>
                    <w:rPr>
                      <w:rFonts w:ascii="Times New Roman" w:hAnsi="Times New Roman"/>
                      <w:color w:val="auto"/>
                      <w:sz w:val="21"/>
                      <w:szCs w:val="21"/>
                    </w:rPr>
                  </w:pPr>
                  <w:r>
                    <w:rPr>
                      <w:rFonts w:ascii="Times New Roman" w:hAnsi="Times New Roman"/>
                      <w:color w:val="auto"/>
                      <w:sz w:val="21"/>
                      <w:szCs w:val="21"/>
                    </w:rPr>
                    <w:t>内层空间密闭正压，外层空间密闭负压</w:t>
                  </w:r>
                </w:p>
              </w:tc>
              <w:tc>
                <w:tcPr>
                  <w:tcW w:w="583" w:type="pct"/>
                  <w:tcBorders>
                    <w:top w:val="single" w:color="auto" w:sz="4" w:space="0"/>
                    <w:left w:val="single" w:color="auto" w:sz="4" w:space="0"/>
                    <w:bottom w:val="single" w:color="auto" w:sz="4" w:space="0"/>
                    <w:right w:val="single" w:color="auto" w:sz="4" w:space="0"/>
                  </w:tcBorders>
                  <w:vAlign w:val="center"/>
                </w:tcPr>
                <w:p w14:paraId="3A2FB8D6">
                  <w:pPr>
                    <w:pStyle w:val="143"/>
                    <w:rPr>
                      <w:rFonts w:ascii="Times New Roman" w:hAnsi="Times New Roman"/>
                      <w:color w:val="auto"/>
                      <w:sz w:val="21"/>
                      <w:szCs w:val="21"/>
                    </w:rPr>
                  </w:pPr>
                  <w:r>
                    <w:rPr>
                      <w:rFonts w:ascii="Times New Roman" w:hAnsi="Times New Roman"/>
                      <w:color w:val="auto"/>
                      <w:sz w:val="21"/>
                      <w:szCs w:val="21"/>
                    </w:rPr>
                    <w:t>98</w:t>
                  </w:r>
                </w:p>
              </w:tc>
            </w:tr>
            <w:tr w14:paraId="3D1472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27" w:hRule="atLeast"/>
                <w:jc w:val="center"/>
              </w:trPr>
              <w:tc>
                <w:tcPr>
                  <w:tcW w:w="714" w:type="pct"/>
                  <w:vMerge w:val="continue"/>
                  <w:tcBorders>
                    <w:top w:val="single" w:color="auto" w:sz="4" w:space="0"/>
                    <w:left w:val="single" w:color="auto" w:sz="4" w:space="0"/>
                  </w:tcBorders>
                  <w:vAlign w:val="center"/>
                </w:tcPr>
                <w:p w14:paraId="55AC1390">
                  <w:pPr>
                    <w:pStyle w:val="143"/>
                    <w:rPr>
                      <w:rFonts w:ascii="Times New Roman" w:hAnsi="Times New Roman"/>
                      <w:color w:val="auto"/>
                      <w:sz w:val="21"/>
                      <w:szCs w:val="21"/>
                    </w:rPr>
                  </w:pPr>
                </w:p>
              </w:tc>
              <w:tc>
                <w:tcPr>
                  <w:tcW w:w="1447" w:type="pct"/>
                  <w:tcBorders>
                    <w:top w:val="single" w:color="auto" w:sz="4" w:space="0"/>
                  </w:tcBorders>
                  <w:vAlign w:val="center"/>
                </w:tcPr>
                <w:p w14:paraId="4577511B">
                  <w:pPr>
                    <w:pStyle w:val="143"/>
                    <w:rPr>
                      <w:rFonts w:ascii="Times New Roman" w:hAnsi="Times New Roman"/>
                      <w:color w:val="auto"/>
                      <w:sz w:val="21"/>
                      <w:szCs w:val="21"/>
                    </w:rPr>
                  </w:pPr>
                  <w:r>
                    <w:rPr>
                      <w:rFonts w:ascii="Times New Roman" w:hAnsi="Times New Roman"/>
                      <w:color w:val="auto"/>
                      <w:sz w:val="21"/>
                      <w:szCs w:val="21"/>
                    </w:rPr>
                    <w:t>设备废气排口直连</w:t>
                  </w:r>
                </w:p>
              </w:tc>
              <w:tc>
                <w:tcPr>
                  <w:tcW w:w="2254" w:type="pct"/>
                  <w:tcBorders>
                    <w:top w:val="single" w:color="auto" w:sz="4" w:space="0"/>
                  </w:tcBorders>
                  <w:vAlign w:val="center"/>
                </w:tcPr>
                <w:p w14:paraId="0D6F51D4">
                  <w:pPr>
                    <w:pStyle w:val="143"/>
                    <w:jc w:val="left"/>
                    <w:rPr>
                      <w:rFonts w:ascii="Times New Roman" w:hAnsi="Times New Roman"/>
                      <w:color w:val="auto"/>
                      <w:sz w:val="21"/>
                      <w:szCs w:val="21"/>
                    </w:rPr>
                  </w:pPr>
                  <w:r>
                    <w:rPr>
                      <w:rFonts w:ascii="Times New Roman" w:hAnsi="Times New Roman"/>
                      <w:color w:val="auto"/>
                      <w:sz w:val="21"/>
                      <w:szCs w:val="21"/>
                    </w:rPr>
                    <w:t>设备有固定排放管（或口）直接与风管连接，设备整体密闭只留产品进出口，且进出口处有废气收集措施，收集系统运行时周边基本无VOCs散发。</w:t>
                  </w:r>
                </w:p>
              </w:tc>
              <w:tc>
                <w:tcPr>
                  <w:tcW w:w="583" w:type="pct"/>
                  <w:tcBorders>
                    <w:top w:val="single" w:color="auto" w:sz="4" w:space="0"/>
                    <w:right w:val="single" w:color="auto" w:sz="4" w:space="0"/>
                  </w:tcBorders>
                  <w:vAlign w:val="center"/>
                </w:tcPr>
                <w:p w14:paraId="02A2DD67">
                  <w:pPr>
                    <w:pStyle w:val="143"/>
                    <w:rPr>
                      <w:rFonts w:ascii="Times New Roman" w:hAnsi="Times New Roman"/>
                      <w:color w:val="auto"/>
                      <w:sz w:val="21"/>
                      <w:szCs w:val="21"/>
                    </w:rPr>
                  </w:pPr>
                  <w:r>
                    <w:rPr>
                      <w:rFonts w:ascii="Times New Roman" w:hAnsi="Times New Roman"/>
                      <w:color w:val="auto"/>
                      <w:sz w:val="21"/>
                      <w:szCs w:val="21"/>
                    </w:rPr>
                    <w:t>95</w:t>
                  </w:r>
                </w:p>
              </w:tc>
            </w:tr>
            <w:tr w14:paraId="726AEF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14" w:type="pct"/>
                  <w:vMerge w:val="restart"/>
                  <w:tcBorders>
                    <w:top w:val="single" w:color="auto" w:sz="4" w:space="0"/>
                    <w:left w:val="single" w:color="auto" w:sz="4" w:space="0"/>
                  </w:tcBorders>
                  <w:vAlign w:val="center"/>
                </w:tcPr>
                <w:p w14:paraId="5476169D">
                  <w:pPr>
                    <w:pStyle w:val="143"/>
                    <w:rPr>
                      <w:rFonts w:ascii="Times New Roman" w:hAnsi="Times New Roman"/>
                      <w:color w:val="auto"/>
                      <w:sz w:val="21"/>
                      <w:szCs w:val="21"/>
                    </w:rPr>
                  </w:pPr>
                  <w:r>
                    <w:rPr>
                      <w:rFonts w:ascii="Times New Roman" w:hAnsi="Times New Roman"/>
                      <w:color w:val="auto"/>
                      <w:sz w:val="21"/>
                      <w:szCs w:val="21"/>
                    </w:rPr>
                    <w:t>半密闭型集气设备（含排气柜）</w:t>
                  </w:r>
                </w:p>
              </w:tc>
              <w:tc>
                <w:tcPr>
                  <w:tcW w:w="1447" w:type="pct"/>
                  <w:vMerge w:val="restart"/>
                  <w:tcBorders>
                    <w:top w:val="single" w:color="auto" w:sz="4" w:space="0"/>
                  </w:tcBorders>
                  <w:vAlign w:val="center"/>
                </w:tcPr>
                <w:p w14:paraId="514E682A">
                  <w:pPr>
                    <w:pStyle w:val="143"/>
                    <w:jc w:val="both"/>
                    <w:rPr>
                      <w:rFonts w:ascii="Times New Roman" w:hAnsi="Times New Roman"/>
                      <w:color w:val="auto"/>
                      <w:sz w:val="21"/>
                      <w:szCs w:val="21"/>
                    </w:rPr>
                  </w:pPr>
                  <w:r>
                    <w:rPr>
                      <w:rFonts w:ascii="Times New Roman" w:hAnsi="Times New Roman"/>
                      <w:color w:val="auto"/>
                      <w:sz w:val="21"/>
                      <w:szCs w:val="21"/>
                    </w:rPr>
                    <w:t>污染物产生点（或生产设施）四周及上下有围挡设施，符合以下两种情况：1、仅保留1个操作工位面；2、仅保留物料进出通道，通道敞开面小于1个操作工位面。</w:t>
                  </w:r>
                </w:p>
              </w:tc>
              <w:tc>
                <w:tcPr>
                  <w:tcW w:w="2254" w:type="pct"/>
                  <w:vAlign w:val="center"/>
                </w:tcPr>
                <w:p w14:paraId="47FEF903">
                  <w:pPr>
                    <w:pStyle w:val="143"/>
                    <w:jc w:val="left"/>
                    <w:rPr>
                      <w:rFonts w:ascii="Times New Roman" w:hAnsi="Times New Roman"/>
                      <w:color w:val="auto"/>
                      <w:sz w:val="21"/>
                      <w:szCs w:val="21"/>
                    </w:rPr>
                  </w:pPr>
                  <w:r>
                    <w:rPr>
                      <w:rFonts w:ascii="Times New Roman" w:hAnsi="Times New Roman"/>
                      <w:color w:val="auto"/>
                      <w:sz w:val="21"/>
                      <w:szCs w:val="21"/>
                    </w:rPr>
                    <w:t>敞开面控制风速不小于0.3m/s</w:t>
                  </w:r>
                </w:p>
              </w:tc>
              <w:tc>
                <w:tcPr>
                  <w:tcW w:w="583" w:type="pct"/>
                  <w:tcBorders>
                    <w:right w:val="single" w:color="auto" w:sz="4" w:space="0"/>
                  </w:tcBorders>
                  <w:vAlign w:val="center"/>
                </w:tcPr>
                <w:p w14:paraId="1BA3B532">
                  <w:pPr>
                    <w:pStyle w:val="143"/>
                    <w:rPr>
                      <w:rFonts w:ascii="Times New Roman" w:hAnsi="Times New Roman"/>
                      <w:color w:val="auto"/>
                      <w:sz w:val="21"/>
                      <w:szCs w:val="21"/>
                    </w:rPr>
                  </w:pPr>
                  <w:r>
                    <w:rPr>
                      <w:rFonts w:ascii="Times New Roman" w:hAnsi="Times New Roman"/>
                      <w:color w:val="auto"/>
                      <w:sz w:val="21"/>
                      <w:szCs w:val="21"/>
                    </w:rPr>
                    <w:t>65</w:t>
                  </w:r>
                </w:p>
              </w:tc>
            </w:tr>
            <w:tr w14:paraId="1C8D0E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vMerge w:val="continue"/>
                  <w:tcBorders>
                    <w:left w:val="single" w:color="auto" w:sz="4" w:space="0"/>
                    <w:bottom w:val="single" w:color="auto" w:sz="4" w:space="0"/>
                  </w:tcBorders>
                  <w:vAlign w:val="center"/>
                </w:tcPr>
                <w:p w14:paraId="0B643555">
                  <w:pPr>
                    <w:pStyle w:val="143"/>
                    <w:rPr>
                      <w:rFonts w:ascii="Times New Roman" w:hAnsi="Times New Roman"/>
                      <w:color w:val="auto"/>
                      <w:sz w:val="21"/>
                      <w:szCs w:val="21"/>
                    </w:rPr>
                  </w:pPr>
                </w:p>
              </w:tc>
              <w:tc>
                <w:tcPr>
                  <w:tcW w:w="1447" w:type="pct"/>
                  <w:vMerge w:val="continue"/>
                  <w:tcBorders>
                    <w:bottom w:val="single" w:color="auto" w:sz="4" w:space="0"/>
                  </w:tcBorders>
                  <w:vAlign w:val="center"/>
                </w:tcPr>
                <w:p w14:paraId="1E5EB2DB">
                  <w:pPr>
                    <w:pStyle w:val="143"/>
                    <w:rPr>
                      <w:rFonts w:ascii="Times New Roman" w:hAnsi="Times New Roman"/>
                      <w:color w:val="auto"/>
                      <w:sz w:val="21"/>
                      <w:szCs w:val="21"/>
                    </w:rPr>
                  </w:pPr>
                </w:p>
              </w:tc>
              <w:tc>
                <w:tcPr>
                  <w:tcW w:w="2254" w:type="pct"/>
                  <w:tcBorders>
                    <w:bottom w:val="single" w:color="auto" w:sz="4" w:space="0"/>
                  </w:tcBorders>
                  <w:vAlign w:val="center"/>
                </w:tcPr>
                <w:p w14:paraId="32003F25">
                  <w:pPr>
                    <w:pStyle w:val="143"/>
                    <w:jc w:val="left"/>
                    <w:rPr>
                      <w:rFonts w:ascii="Times New Roman" w:hAnsi="Times New Roman"/>
                      <w:color w:val="auto"/>
                      <w:sz w:val="21"/>
                      <w:szCs w:val="21"/>
                    </w:rPr>
                  </w:pPr>
                  <w:r>
                    <w:rPr>
                      <w:rFonts w:ascii="Times New Roman" w:hAnsi="Times New Roman"/>
                      <w:color w:val="auto"/>
                      <w:sz w:val="21"/>
                      <w:szCs w:val="21"/>
                    </w:rPr>
                    <w:t>敞开面控制风速小于0.3m/s；</w:t>
                  </w:r>
                </w:p>
              </w:tc>
              <w:tc>
                <w:tcPr>
                  <w:tcW w:w="583" w:type="pct"/>
                  <w:tcBorders>
                    <w:bottom w:val="single" w:color="auto" w:sz="4" w:space="0"/>
                    <w:right w:val="single" w:color="auto" w:sz="4" w:space="0"/>
                  </w:tcBorders>
                  <w:vAlign w:val="center"/>
                </w:tcPr>
                <w:p w14:paraId="4E834223">
                  <w:pPr>
                    <w:pStyle w:val="143"/>
                    <w:rPr>
                      <w:rFonts w:ascii="Times New Roman" w:hAnsi="Times New Roman"/>
                      <w:color w:val="auto"/>
                      <w:sz w:val="21"/>
                      <w:szCs w:val="21"/>
                    </w:rPr>
                  </w:pPr>
                  <w:r>
                    <w:rPr>
                      <w:rFonts w:ascii="Times New Roman" w:hAnsi="Times New Roman"/>
                      <w:color w:val="auto"/>
                      <w:sz w:val="21"/>
                      <w:szCs w:val="21"/>
                    </w:rPr>
                    <w:t>0</w:t>
                  </w:r>
                </w:p>
              </w:tc>
            </w:tr>
            <w:tr w14:paraId="02220A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vMerge w:val="restart"/>
                  <w:tcBorders>
                    <w:top w:val="single" w:color="auto" w:sz="4" w:space="0"/>
                    <w:left w:val="single" w:color="auto" w:sz="4" w:space="0"/>
                    <w:bottom w:val="single" w:color="auto" w:sz="4" w:space="0"/>
                    <w:right w:val="single" w:color="auto" w:sz="4" w:space="0"/>
                  </w:tcBorders>
                  <w:vAlign w:val="center"/>
                </w:tcPr>
                <w:p w14:paraId="6A6F8A5E">
                  <w:pPr>
                    <w:pStyle w:val="143"/>
                    <w:rPr>
                      <w:rFonts w:ascii="Times New Roman" w:hAnsi="Times New Roman"/>
                      <w:color w:val="auto"/>
                      <w:sz w:val="21"/>
                      <w:szCs w:val="21"/>
                    </w:rPr>
                  </w:pPr>
                  <w:r>
                    <w:rPr>
                      <w:rFonts w:ascii="Times New Roman" w:hAnsi="Times New Roman"/>
                      <w:color w:val="auto"/>
                      <w:sz w:val="21"/>
                      <w:szCs w:val="21"/>
                    </w:rPr>
                    <w:t>包围型集气设备</w:t>
                  </w:r>
                </w:p>
              </w:tc>
              <w:tc>
                <w:tcPr>
                  <w:tcW w:w="1447" w:type="pct"/>
                  <w:vMerge w:val="restart"/>
                  <w:tcBorders>
                    <w:top w:val="single" w:color="auto" w:sz="4" w:space="0"/>
                    <w:left w:val="single" w:color="auto" w:sz="4" w:space="0"/>
                    <w:bottom w:val="single" w:color="auto" w:sz="4" w:space="0"/>
                    <w:right w:val="single" w:color="auto" w:sz="4" w:space="0"/>
                  </w:tcBorders>
                  <w:vAlign w:val="center"/>
                </w:tcPr>
                <w:p w14:paraId="541C3461">
                  <w:pPr>
                    <w:pStyle w:val="143"/>
                    <w:jc w:val="both"/>
                    <w:rPr>
                      <w:rFonts w:ascii="Times New Roman" w:hAnsi="Times New Roman"/>
                      <w:color w:val="auto"/>
                      <w:sz w:val="21"/>
                      <w:szCs w:val="21"/>
                    </w:rPr>
                  </w:pPr>
                  <w:r>
                    <w:rPr>
                      <w:rFonts w:ascii="Times New Roman" w:hAnsi="Times New Roman"/>
                      <w:color w:val="auto"/>
                      <w:sz w:val="21"/>
                      <w:szCs w:val="21"/>
                    </w:rPr>
                    <w:t>通过软质垂帘四周围挡（偶有部分敞开）</w:t>
                  </w:r>
                </w:p>
              </w:tc>
              <w:tc>
                <w:tcPr>
                  <w:tcW w:w="2254" w:type="pct"/>
                  <w:tcBorders>
                    <w:top w:val="single" w:color="auto" w:sz="4" w:space="0"/>
                    <w:left w:val="single" w:color="auto" w:sz="4" w:space="0"/>
                    <w:bottom w:val="single" w:color="auto" w:sz="4" w:space="0"/>
                    <w:right w:val="single" w:color="auto" w:sz="4" w:space="0"/>
                  </w:tcBorders>
                  <w:vAlign w:val="center"/>
                </w:tcPr>
                <w:p w14:paraId="59124D38">
                  <w:pPr>
                    <w:pStyle w:val="143"/>
                    <w:jc w:val="left"/>
                    <w:rPr>
                      <w:rFonts w:ascii="Times New Roman" w:hAnsi="Times New Roman"/>
                      <w:color w:val="auto"/>
                      <w:sz w:val="21"/>
                      <w:szCs w:val="21"/>
                    </w:rPr>
                  </w:pPr>
                  <w:r>
                    <w:rPr>
                      <w:rFonts w:ascii="Times New Roman" w:hAnsi="Times New Roman"/>
                      <w:color w:val="auto"/>
                      <w:sz w:val="21"/>
                      <w:szCs w:val="21"/>
                    </w:rPr>
                    <w:t>敞开面控制风速不小于0.3m/s；</w:t>
                  </w:r>
                </w:p>
              </w:tc>
              <w:tc>
                <w:tcPr>
                  <w:tcW w:w="583" w:type="pct"/>
                  <w:tcBorders>
                    <w:top w:val="single" w:color="auto" w:sz="4" w:space="0"/>
                    <w:left w:val="single" w:color="auto" w:sz="4" w:space="0"/>
                    <w:bottom w:val="single" w:color="auto" w:sz="4" w:space="0"/>
                    <w:right w:val="single" w:color="auto" w:sz="4" w:space="0"/>
                  </w:tcBorders>
                  <w:vAlign w:val="center"/>
                </w:tcPr>
                <w:p w14:paraId="2E295156">
                  <w:pPr>
                    <w:pStyle w:val="143"/>
                    <w:rPr>
                      <w:rFonts w:ascii="Times New Roman" w:hAnsi="Times New Roman"/>
                      <w:color w:val="auto"/>
                      <w:sz w:val="21"/>
                      <w:szCs w:val="21"/>
                    </w:rPr>
                  </w:pPr>
                  <w:r>
                    <w:rPr>
                      <w:rFonts w:ascii="Times New Roman" w:hAnsi="Times New Roman"/>
                      <w:color w:val="auto"/>
                      <w:sz w:val="21"/>
                      <w:szCs w:val="21"/>
                    </w:rPr>
                    <w:t>50</w:t>
                  </w:r>
                </w:p>
              </w:tc>
            </w:tr>
            <w:tr w14:paraId="53D58E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tcBorders>
                    <w:top w:val="single" w:color="auto" w:sz="4" w:space="0"/>
                    <w:left w:val="single" w:color="auto" w:sz="4" w:space="0"/>
                    <w:bottom w:val="single" w:color="auto" w:sz="4" w:space="0"/>
                    <w:right w:val="single" w:color="auto" w:sz="4" w:space="0"/>
                  </w:tcBorders>
                  <w:vAlign w:val="center"/>
                </w:tcPr>
                <w:p w14:paraId="6EFDEF9D">
                  <w:pPr>
                    <w:pStyle w:val="143"/>
                    <w:rPr>
                      <w:rFonts w:ascii="Times New Roman" w:hAnsi="Times New Roman"/>
                      <w:color w:val="auto"/>
                      <w:sz w:val="21"/>
                      <w:szCs w:val="21"/>
                    </w:rPr>
                  </w:pPr>
                </w:p>
              </w:tc>
              <w:tc>
                <w:tcPr>
                  <w:tcW w:w="1447" w:type="pct"/>
                  <w:vMerge w:val="continue"/>
                  <w:tcBorders>
                    <w:top w:val="single" w:color="auto" w:sz="4" w:space="0"/>
                    <w:left w:val="single" w:color="auto" w:sz="4" w:space="0"/>
                    <w:bottom w:val="single" w:color="auto" w:sz="4" w:space="0"/>
                    <w:right w:val="single" w:color="auto" w:sz="4" w:space="0"/>
                  </w:tcBorders>
                  <w:vAlign w:val="center"/>
                </w:tcPr>
                <w:p w14:paraId="1EDE5E4A">
                  <w:pPr>
                    <w:pStyle w:val="143"/>
                    <w:rPr>
                      <w:rFonts w:ascii="Times New Roman" w:hAnsi="Times New Roman"/>
                      <w:color w:val="auto"/>
                      <w:sz w:val="21"/>
                      <w:szCs w:val="21"/>
                    </w:rPr>
                  </w:pPr>
                </w:p>
              </w:tc>
              <w:tc>
                <w:tcPr>
                  <w:tcW w:w="2254" w:type="pct"/>
                  <w:tcBorders>
                    <w:top w:val="single" w:color="auto" w:sz="4" w:space="0"/>
                    <w:left w:val="single" w:color="auto" w:sz="4" w:space="0"/>
                    <w:bottom w:val="single" w:color="auto" w:sz="4" w:space="0"/>
                    <w:right w:val="single" w:color="auto" w:sz="4" w:space="0"/>
                  </w:tcBorders>
                  <w:vAlign w:val="center"/>
                </w:tcPr>
                <w:p w14:paraId="53D3F7DA">
                  <w:pPr>
                    <w:pStyle w:val="143"/>
                    <w:jc w:val="left"/>
                    <w:rPr>
                      <w:rFonts w:ascii="Times New Roman" w:hAnsi="Times New Roman"/>
                      <w:color w:val="auto"/>
                      <w:sz w:val="21"/>
                      <w:szCs w:val="21"/>
                    </w:rPr>
                  </w:pPr>
                  <w:r>
                    <w:rPr>
                      <w:rFonts w:ascii="Times New Roman" w:hAnsi="Times New Roman"/>
                      <w:color w:val="auto"/>
                      <w:sz w:val="21"/>
                      <w:szCs w:val="21"/>
                    </w:rPr>
                    <w:t>敞开面控制风速小于0.3m/s</w:t>
                  </w:r>
                </w:p>
              </w:tc>
              <w:tc>
                <w:tcPr>
                  <w:tcW w:w="583" w:type="pct"/>
                  <w:tcBorders>
                    <w:top w:val="single" w:color="auto" w:sz="4" w:space="0"/>
                    <w:left w:val="single" w:color="auto" w:sz="4" w:space="0"/>
                    <w:bottom w:val="single" w:color="auto" w:sz="4" w:space="0"/>
                    <w:right w:val="single" w:color="auto" w:sz="4" w:space="0"/>
                  </w:tcBorders>
                  <w:vAlign w:val="center"/>
                </w:tcPr>
                <w:p w14:paraId="05D83E2A">
                  <w:pPr>
                    <w:pStyle w:val="143"/>
                    <w:rPr>
                      <w:rFonts w:ascii="Times New Roman" w:hAnsi="Times New Roman"/>
                      <w:color w:val="auto"/>
                      <w:sz w:val="21"/>
                      <w:szCs w:val="21"/>
                    </w:rPr>
                  </w:pPr>
                  <w:r>
                    <w:rPr>
                      <w:rFonts w:ascii="Times New Roman" w:hAnsi="Times New Roman"/>
                      <w:color w:val="auto"/>
                      <w:sz w:val="21"/>
                      <w:szCs w:val="21"/>
                    </w:rPr>
                    <w:t>0</w:t>
                  </w:r>
                </w:p>
              </w:tc>
            </w:tr>
            <w:tr w14:paraId="5D9ED5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vMerge w:val="restart"/>
                  <w:tcBorders>
                    <w:top w:val="single" w:color="auto" w:sz="4" w:space="0"/>
                    <w:left w:val="single" w:color="auto" w:sz="4" w:space="0"/>
                    <w:bottom w:val="single" w:color="auto" w:sz="4" w:space="0"/>
                    <w:right w:val="single" w:color="auto" w:sz="4" w:space="0"/>
                  </w:tcBorders>
                  <w:vAlign w:val="center"/>
                </w:tcPr>
                <w:p w14:paraId="42BC21AC">
                  <w:pPr>
                    <w:pStyle w:val="143"/>
                    <w:rPr>
                      <w:rFonts w:ascii="Times New Roman" w:hAnsi="Times New Roman"/>
                      <w:color w:val="auto"/>
                      <w:sz w:val="21"/>
                      <w:szCs w:val="21"/>
                    </w:rPr>
                  </w:pPr>
                  <w:r>
                    <w:rPr>
                      <w:rFonts w:ascii="Times New Roman" w:hAnsi="Times New Roman"/>
                      <w:color w:val="auto"/>
                      <w:sz w:val="21"/>
                      <w:szCs w:val="21"/>
                    </w:rPr>
                    <w:t>外部集气罩</w:t>
                  </w:r>
                </w:p>
              </w:tc>
              <w:tc>
                <w:tcPr>
                  <w:tcW w:w="1447" w:type="pct"/>
                  <w:vMerge w:val="restart"/>
                  <w:tcBorders>
                    <w:top w:val="single" w:color="auto" w:sz="4" w:space="0"/>
                    <w:left w:val="single" w:color="auto" w:sz="4" w:space="0"/>
                    <w:bottom w:val="single" w:color="auto" w:sz="4" w:space="0"/>
                    <w:right w:val="single" w:color="auto" w:sz="4" w:space="0"/>
                  </w:tcBorders>
                  <w:vAlign w:val="center"/>
                </w:tcPr>
                <w:p w14:paraId="4664AEB5">
                  <w:pPr>
                    <w:pStyle w:val="143"/>
                    <w:rPr>
                      <w:rFonts w:ascii="Times New Roman" w:hAnsi="Times New Roman"/>
                      <w:color w:val="auto"/>
                      <w:sz w:val="21"/>
                      <w:szCs w:val="21"/>
                    </w:rPr>
                  </w:pPr>
                  <w:r>
                    <w:rPr>
                      <w:rFonts w:ascii="Times New Roman" w:hAnsi="Times New Roman"/>
                      <w:color w:val="auto"/>
                      <w:sz w:val="21"/>
                      <w:szCs w:val="21"/>
                    </w:rPr>
                    <w:t>--</w:t>
                  </w:r>
                </w:p>
              </w:tc>
              <w:tc>
                <w:tcPr>
                  <w:tcW w:w="2254" w:type="pct"/>
                  <w:tcBorders>
                    <w:top w:val="single" w:color="auto" w:sz="4" w:space="0"/>
                    <w:left w:val="single" w:color="auto" w:sz="4" w:space="0"/>
                    <w:bottom w:val="single" w:color="auto" w:sz="4" w:space="0"/>
                    <w:right w:val="single" w:color="auto" w:sz="4" w:space="0"/>
                  </w:tcBorders>
                  <w:vAlign w:val="center"/>
                </w:tcPr>
                <w:p w14:paraId="1F8F2CD3">
                  <w:pPr>
                    <w:pStyle w:val="143"/>
                    <w:jc w:val="left"/>
                    <w:rPr>
                      <w:rFonts w:ascii="Times New Roman" w:hAnsi="Times New Roman"/>
                      <w:color w:val="auto"/>
                      <w:sz w:val="21"/>
                      <w:szCs w:val="21"/>
                    </w:rPr>
                  </w:pPr>
                  <w:r>
                    <w:rPr>
                      <w:rFonts w:ascii="Times New Roman" w:hAnsi="Times New Roman"/>
                      <w:color w:val="auto"/>
                      <w:sz w:val="21"/>
                      <w:szCs w:val="21"/>
                    </w:rPr>
                    <w:t>相应工位所有VOCs逸散点控制风速不小于0.3m/s</w:t>
                  </w:r>
                </w:p>
              </w:tc>
              <w:tc>
                <w:tcPr>
                  <w:tcW w:w="583" w:type="pct"/>
                  <w:tcBorders>
                    <w:top w:val="single" w:color="auto" w:sz="4" w:space="0"/>
                    <w:left w:val="single" w:color="auto" w:sz="4" w:space="0"/>
                    <w:bottom w:val="single" w:color="auto" w:sz="4" w:space="0"/>
                    <w:right w:val="single" w:color="auto" w:sz="4" w:space="0"/>
                  </w:tcBorders>
                  <w:vAlign w:val="center"/>
                </w:tcPr>
                <w:p w14:paraId="52B750AD">
                  <w:pPr>
                    <w:pStyle w:val="143"/>
                    <w:rPr>
                      <w:rFonts w:ascii="Times New Roman" w:hAnsi="Times New Roman"/>
                      <w:color w:val="auto"/>
                      <w:sz w:val="21"/>
                      <w:szCs w:val="21"/>
                    </w:rPr>
                  </w:pPr>
                  <w:r>
                    <w:rPr>
                      <w:rFonts w:ascii="Times New Roman" w:hAnsi="Times New Roman"/>
                      <w:color w:val="auto"/>
                      <w:sz w:val="21"/>
                      <w:szCs w:val="21"/>
                    </w:rPr>
                    <w:t>30</w:t>
                  </w:r>
                </w:p>
              </w:tc>
            </w:tr>
            <w:tr w14:paraId="6B1AFE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14" w:type="pct"/>
                  <w:vMerge w:val="continue"/>
                  <w:tcBorders>
                    <w:top w:val="single" w:color="auto" w:sz="4" w:space="0"/>
                    <w:left w:val="single" w:color="auto" w:sz="4" w:space="0"/>
                  </w:tcBorders>
                  <w:vAlign w:val="center"/>
                </w:tcPr>
                <w:p w14:paraId="31685211">
                  <w:pPr>
                    <w:pStyle w:val="143"/>
                    <w:rPr>
                      <w:rFonts w:ascii="Times New Roman" w:hAnsi="Times New Roman"/>
                      <w:color w:val="auto"/>
                      <w:sz w:val="21"/>
                      <w:szCs w:val="21"/>
                    </w:rPr>
                  </w:pPr>
                </w:p>
              </w:tc>
              <w:tc>
                <w:tcPr>
                  <w:tcW w:w="1447" w:type="pct"/>
                  <w:vMerge w:val="continue"/>
                  <w:tcBorders>
                    <w:top w:val="single" w:color="auto" w:sz="4" w:space="0"/>
                  </w:tcBorders>
                  <w:vAlign w:val="center"/>
                </w:tcPr>
                <w:p w14:paraId="0A213124">
                  <w:pPr>
                    <w:pStyle w:val="143"/>
                    <w:rPr>
                      <w:rFonts w:ascii="Times New Roman" w:hAnsi="Times New Roman"/>
                      <w:color w:val="auto"/>
                      <w:sz w:val="21"/>
                      <w:szCs w:val="21"/>
                    </w:rPr>
                  </w:pPr>
                </w:p>
              </w:tc>
              <w:tc>
                <w:tcPr>
                  <w:tcW w:w="2254" w:type="pct"/>
                  <w:tcBorders>
                    <w:top w:val="single" w:color="auto" w:sz="4" w:space="0"/>
                  </w:tcBorders>
                  <w:vAlign w:val="center"/>
                </w:tcPr>
                <w:p w14:paraId="3666F930">
                  <w:pPr>
                    <w:pStyle w:val="143"/>
                    <w:jc w:val="left"/>
                    <w:rPr>
                      <w:rFonts w:ascii="Times New Roman" w:hAnsi="Times New Roman"/>
                      <w:color w:val="auto"/>
                      <w:sz w:val="21"/>
                      <w:szCs w:val="21"/>
                    </w:rPr>
                  </w:pPr>
                  <w:r>
                    <w:rPr>
                      <w:rFonts w:ascii="Times New Roman" w:hAnsi="Times New Roman"/>
                      <w:color w:val="auto"/>
                      <w:sz w:val="21"/>
                      <w:szCs w:val="21"/>
                    </w:rPr>
                    <w:t>相应工位所有VOCs逸散点控制风速小于0.3m/s，或存在强对流干扰</w:t>
                  </w:r>
                </w:p>
              </w:tc>
              <w:tc>
                <w:tcPr>
                  <w:tcW w:w="583" w:type="pct"/>
                  <w:tcBorders>
                    <w:top w:val="single" w:color="auto" w:sz="4" w:space="0"/>
                    <w:right w:val="single" w:color="auto" w:sz="4" w:space="0"/>
                  </w:tcBorders>
                  <w:vAlign w:val="center"/>
                </w:tcPr>
                <w:p w14:paraId="27726860">
                  <w:pPr>
                    <w:pStyle w:val="143"/>
                    <w:rPr>
                      <w:rFonts w:ascii="Times New Roman" w:hAnsi="Times New Roman"/>
                      <w:color w:val="auto"/>
                      <w:sz w:val="21"/>
                      <w:szCs w:val="21"/>
                    </w:rPr>
                  </w:pPr>
                  <w:r>
                    <w:rPr>
                      <w:rFonts w:ascii="Times New Roman" w:hAnsi="Times New Roman"/>
                      <w:color w:val="auto"/>
                      <w:sz w:val="21"/>
                      <w:szCs w:val="21"/>
                    </w:rPr>
                    <w:t>0</w:t>
                  </w:r>
                </w:p>
              </w:tc>
            </w:tr>
            <w:tr w14:paraId="6EDB85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14" w:type="pct"/>
                  <w:tcBorders>
                    <w:left w:val="single" w:color="auto" w:sz="4" w:space="0"/>
                  </w:tcBorders>
                  <w:vAlign w:val="center"/>
                </w:tcPr>
                <w:p w14:paraId="05AABC81">
                  <w:pPr>
                    <w:pStyle w:val="143"/>
                    <w:rPr>
                      <w:rFonts w:ascii="Times New Roman" w:hAnsi="Times New Roman"/>
                      <w:color w:val="auto"/>
                      <w:sz w:val="21"/>
                      <w:szCs w:val="21"/>
                    </w:rPr>
                  </w:pPr>
                  <w:r>
                    <w:rPr>
                      <w:rFonts w:ascii="Times New Roman" w:hAnsi="Times New Roman"/>
                      <w:color w:val="auto"/>
                      <w:sz w:val="21"/>
                      <w:szCs w:val="21"/>
                    </w:rPr>
                    <w:t>无集气设施</w:t>
                  </w:r>
                </w:p>
              </w:tc>
              <w:tc>
                <w:tcPr>
                  <w:tcW w:w="1447" w:type="pct"/>
                  <w:vAlign w:val="center"/>
                </w:tcPr>
                <w:p w14:paraId="020E4475">
                  <w:pPr>
                    <w:pStyle w:val="143"/>
                    <w:rPr>
                      <w:rFonts w:ascii="Times New Roman" w:hAnsi="Times New Roman"/>
                      <w:color w:val="auto"/>
                      <w:sz w:val="21"/>
                      <w:szCs w:val="21"/>
                    </w:rPr>
                  </w:pPr>
                  <w:r>
                    <w:rPr>
                      <w:rFonts w:ascii="Times New Roman" w:hAnsi="Times New Roman"/>
                      <w:color w:val="auto"/>
                      <w:sz w:val="21"/>
                      <w:szCs w:val="21"/>
                    </w:rPr>
                    <w:t>--</w:t>
                  </w:r>
                </w:p>
              </w:tc>
              <w:tc>
                <w:tcPr>
                  <w:tcW w:w="2254" w:type="pct"/>
                  <w:vAlign w:val="center"/>
                </w:tcPr>
                <w:p w14:paraId="7864FAB1">
                  <w:pPr>
                    <w:pStyle w:val="143"/>
                    <w:jc w:val="left"/>
                    <w:rPr>
                      <w:rFonts w:ascii="Times New Roman" w:hAnsi="Times New Roman"/>
                      <w:color w:val="auto"/>
                      <w:sz w:val="21"/>
                      <w:szCs w:val="21"/>
                    </w:rPr>
                  </w:pPr>
                  <w:r>
                    <w:rPr>
                      <w:rFonts w:ascii="Times New Roman" w:hAnsi="Times New Roman"/>
                      <w:color w:val="auto"/>
                      <w:sz w:val="21"/>
                      <w:szCs w:val="21"/>
                    </w:rPr>
                    <w:t>1、无集气设施；2、集气设施运行不正常</w:t>
                  </w:r>
                </w:p>
              </w:tc>
              <w:tc>
                <w:tcPr>
                  <w:tcW w:w="583" w:type="pct"/>
                  <w:tcBorders>
                    <w:right w:val="single" w:color="auto" w:sz="4" w:space="0"/>
                  </w:tcBorders>
                  <w:vAlign w:val="center"/>
                </w:tcPr>
                <w:p w14:paraId="54F24F5D">
                  <w:pPr>
                    <w:pStyle w:val="143"/>
                    <w:rPr>
                      <w:rFonts w:ascii="Times New Roman" w:hAnsi="Times New Roman"/>
                      <w:color w:val="auto"/>
                      <w:sz w:val="21"/>
                      <w:szCs w:val="21"/>
                    </w:rPr>
                  </w:pPr>
                  <w:r>
                    <w:rPr>
                      <w:rFonts w:ascii="Times New Roman" w:hAnsi="Times New Roman"/>
                      <w:color w:val="auto"/>
                      <w:sz w:val="21"/>
                      <w:szCs w:val="21"/>
                    </w:rPr>
                    <w:t>0</w:t>
                  </w:r>
                </w:p>
              </w:tc>
            </w:tr>
            <w:tr w14:paraId="7E7381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00" w:type="pct"/>
                  <w:gridSpan w:val="4"/>
                  <w:tcBorders>
                    <w:left w:val="single" w:color="auto" w:sz="4" w:space="0"/>
                    <w:bottom w:val="single" w:color="auto" w:sz="4" w:space="0"/>
                    <w:right w:val="single" w:color="auto" w:sz="4" w:space="0"/>
                  </w:tcBorders>
                  <w:vAlign w:val="center"/>
                </w:tcPr>
                <w:p w14:paraId="769648CB">
                  <w:pPr>
                    <w:pStyle w:val="143"/>
                    <w:jc w:val="both"/>
                    <w:rPr>
                      <w:rFonts w:ascii="Times New Roman" w:hAnsi="Times New Roman"/>
                      <w:color w:val="auto"/>
                      <w:sz w:val="21"/>
                      <w:szCs w:val="21"/>
                    </w:rPr>
                  </w:pPr>
                  <w:r>
                    <w:rPr>
                      <w:rFonts w:ascii="Times New Roman" w:hAnsi="Times New Roman"/>
                      <w:color w:val="auto"/>
                      <w:sz w:val="21"/>
                      <w:szCs w:val="21"/>
                    </w:rPr>
                    <w:t>备注：同一工序具有多种废气收集类型的，该工序按照废气收集效率最高的类型取值。</w:t>
                  </w:r>
                </w:p>
              </w:tc>
            </w:tr>
          </w:tbl>
          <w:p w14:paraId="304DC210">
            <w:pPr>
              <w:adjustRightInd w:val="0"/>
              <w:snapToGrid w:val="0"/>
              <w:spacing w:line="360" w:lineRule="auto"/>
              <w:ind w:firstLine="482" w:firstLineChars="200"/>
              <w:jc w:val="left"/>
              <w:rPr>
                <w:b/>
                <w:bCs/>
                <w:color w:val="auto"/>
                <w:sz w:val="24"/>
              </w:rPr>
            </w:pPr>
          </w:p>
          <w:p w14:paraId="321AB7DB">
            <w:pPr>
              <w:adjustRightInd w:val="0"/>
              <w:snapToGrid w:val="0"/>
              <w:spacing w:line="360" w:lineRule="auto"/>
              <w:ind w:firstLine="422" w:firstLineChars="200"/>
              <w:jc w:val="left"/>
              <w:rPr>
                <w:color w:val="auto"/>
                <w:sz w:val="24"/>
              </w:rPr>
            </w:pPr>
            <w:r>
              <w:rPr>
                <w:rFonts w:hint="eastAsia"/>
                <w:b/>
                <w:bCs/>
                <w:color w:val="auto"/>
                <w:szCs w:val="21"/>
              </w:rPr>
              <w:t xml:space="preserve"> </w:t>
            </w:r>
            <w:r>
              <w:rPr>
                <w:rFonts w:hint="eastAsia"/>
                <w:color w:val="auto"/>
                <w:sz w:val="24"/>
              </w:rPr>
              <w:t>1）建设单位针对除锈槽的废气设置侧吸集气罩收集，同时对前处理的加工区域进行围蔽不设置抽风扇和窗户，不采用抽风扇和车间门窗等途径向外环境排放废气，另通过集气罩抽排风，使围闭区域废气抽风量大于所需的换气风量，密闭区域呈微负压状态，废气收集方式为全密闭空间-单层密闭负压。其废气收集效率可参考表4-</w:t>
            </w:r>
            <w:r>
              <w:rPr>
                <w:rFonts w:hint="eastAsia"/>
                <w:color w:val="auto"/>
                <w:sz w:val="24"/>
                <w:lang w:val="en-US" w:eastAsia="zh-CN"/>
              </w:rPr>
              <w:t>30</w:t>
            </w:r>
            <w:r>
              <w:rPr>
                <w:rFonts w:hint="eastAsia"/>
                <w:color w:val="auto"/>
                <w:sz w:val="24"/>
              </w:rPr>
              <w:t>中单层密闭负压的情况，同时参考《佛山市铝型材涉表面处理建设项目环评文件编制技术参考指南(试行)》“根据实际运行情况，环评报告收集集气效率应当预留（10%以上）余量，不宜取理论最高值”，因此本评价硫酸雾的收集效率保守按80%计。</w:t>
            </w:r>
          </w:p>
          <w:p w14:paraId="460C1072">
            <w:pPr>
              <w:adjustRightInd w:val="0"/>
              <w:snapToGrid w:val="0"/>
              <w:spacing w:line="360" w:lineRule="auto"/>
              <w:ind w:firstLine="480" w:firstLineChars="200"/>
              <w:jc w:val="left"/>
              <w:rPr>
                <w:color w:val="auto"/>
                <w:sz w:val="24"/>
              </w:rPr>
            </w:pPr>
            <w:r>
              <w:rPr>
                <w:rFonts w:hint="eastAsia"/>
                <w:color w:val="auto"/>
                <w:sz w:val="24"/>
              </w:rPr>
              <w:t>2）项目静电喷粉柜作业过程，工件进出依托输送链系统传送，员工站立在喷位上往喷柜的方向喷涂工件，喷粉柜的其他区域均为密闭。项目拟在人工喷位对面设置大功率引风机收集作业废气，使工件进出口、人工喷位处均呈现负压，确保集气效果，废气收集方式为全密闭空间-单层密闭负压。其废气收集效率可参考表4-</w:t>
            </w:r>
            <w:r>
              <w:rPr>
                <w:rFonts w:hint="eastAsia"/>
                <w:color w:val="auto"/>
                <w:sz w:val="24"/>
                <w:lang w:val="en-US" w:eastAsia="zh-CN"/>
              </w:rPr>
              <w:t>30</w:t>
            </w:r>
            <w:r>
              <w:rPr>
                <w:rFonts w:hint="eastAsia"/>
                <w:color w:val="auto"/>
                <w:sz w:val="24"/>
              </w:rPr>
              <w:t>中单层密闭负压的情况，按90%计。</w:t>
            </w:r>
          </w:p>
          <w:p w14:paraId="57DFAE9E">
            <w:pPr>
              <w:adjustRightInd w:val="0"/>
              <w:snapToGrid w:val="0"/>
              <w:spacing w:line="360" w:lineRule="auto"/>
              <w:ind w:firstLine="480" w:firstLineChars="200"/>
              <w:jc w:val="left"/>
              <w:rPr>
                <w:color w:val="auto"/>
                <w:sz w:val="24"/>
              </w:rPr>
            </w:pPr>
            <w:r>
              <w:rPr>
                <w:rFonts w:hint="eastAsia"/>
                <w:color w:val="auto"/>
                <w:sz w:val="24"/>
              </w:rPr>
              <w:t>3）项目喷漆房为全封闭设计，仅留人工上挂、下取件口；尾数房除员工进出口外其他区域为全封闭设计，作业期间员工进出口常闭；拟设置风机对密闭车间进行抽风收集作业废气，使人工上挂、下取件口、员工进出口均呈现负压，确保集气效果，废气收集方式为全密闭空间-单层密闭负压。其废气收集效率可参考表4-</w:t>
            </w:r>
            <w:r>
              <w:rPr>
                <w:rFonts w:hint="eastAsia"/>
                <w:color w:val="auto"/>
                <w:sz w:val="24"/>
                <w:lang w:val="en-US" w:eastAsia="zh-CN"/>
              </w:rPr>
              <w:t>30</w:t>
            </w:r>
            <w:r>
              <w:rPr>
                <w:rFonts w:hint="eastAsia"/>
                <w:color w:val="auto"/>
                <w:sz w:val="24"/>
              </w:rPr>
              <w:t>中单层密闭负压的情况，按90%计。</w:t>
            </w:r>
          </w:p>
          <w:p w14:paraId="3B3ACEFF">
            <w:pPr>
              <w:adjustRightInd w:val="0"/>
              <w:snapToGrid w:val="0"/>
              <w:spacing w:line="360" w:lineRule="auto"/>
              <w:ind w:firstLine="480" w:firstLineChars="200"/>
              <w:jc w:val="left"/>
              <w:rPr>
                <w:b/>
                <w:bCs/>
                <w:color w:val="auto"/>
                <w:sz w:val="24"/>
              </w:rPr>
            </w:pPr>
            <w:r>
              <w:rPr>
                <w:rFonts w:hint="eastAsia"/>
                <w:color w:val="auto"/>
                <w:sz w:val="24"/>
              </w:rPr>
              <w:t>4）项目针对固化隧道炉、烘烤隧道炉、烘烤柜炉的作业废气，拟采取在进出口设置顶吸集气罩和炉内设置风管直连的收集方式，其废气收集效率可参考表4-</w:t>
            </w:r>
            <w:r>
              <w:rPr>
                <w:rFonts w:hint="eastAsia"/>
                <w:color w:val="auto"/>
                <w:sz w:val="24"/>
                <w:lang w:val="en-US" w:eastAsia="zh-CN"/>
              </w:rPr>
              <w:t>30</w:t>
            </w:r>
            <w:r>
              <w:rPr>
                <w:rFonts w:hint="eastAsia"/>
                <w:color w:val="auto"/>
                <w:sz w:val="24"/>
              </w:rPr>
              <w:t>中设备废气排口直连的情况，按95%计。</w:t>
            </w:r>
          </w:p>
          <w:p w14:paraId="5A23E02E">
            <w:pPr>
              <w:adjustRightInd w:val="0"/>
              <w:snapToGrid w:val="0"/>
              <w:spacing w:line="360" w:lineRule="auto"/>
              <w:ind w:firstLine="480" w:firstLineChars="200"/>
              <w:jc w:val="left"/>
              <w:rPr>
                <w:color w:val="auto"/>
                <w:sz w:val="24"/>
              </w:rPr>
            </w:pPr>
            <w:r>
              <w:rPr>
                <w:rFonts w:hint="eastAsia"/>
                <w:color w:val="auto"/>
                <w:sz w:val="24"/>
              </w:rPr>
              <w:t>5）</w:t>
            </w:r>
            <w:r>
              <w:rPr>
                <w:color w:val="auto"/>
                <w:sz w:val="24"/>
              </w:rPr>
              <w:t>项目</w:t>
            </w:r>
            <w:r>
              <w:rPr>
                <w:rFonts w:hint="eastAsia"/>
                <w:color w:val="auto"/>
                <w:sz w:val="24"/>
              </w:rPr>
              <w:t>天然气燃烧机</w:t>
            </w:r>
            <w:r>
              <w:rPr>
                <w:color w:val="auto"/>
                <w:sz w:val="24"/>
              </w:rPr>
              <w:t>采用的是直接加热方式，即天然气燃烧机燃烧产生的热风经过滤后通过管道直接引入</w:t>
            </w:r>
            <w:r>
              <w:rPr>
                <w:rFonts w:hint="eastAsia"/>
                <w:color w:val="auto"/>
                <w:sz w:val="24"/>
              </w:rPr>
              <w:t>烘烤柜炉和隧道炉中</w:t>
            </w:r>
            <w:r>
              <w:rPr>
                <w:color w:val="auto"/>
                <w:sz w:val="24"/>
              </w:rPr>
              <w:t>，</w:t>
            </w:r>
            <w:r>
              <w:rPr>
                <w:rFonts w:hint="eastAsia"/>
                <w:color w:val="auto"/>
                <w:sz w:val="24"/>
              </w:rPr>
              <w:t>再通过烘烤柜炉和隧道炉进入不同的集气设施，其废气收集效率与烘烤柜炉和隧道炉一致，按95%计。</w:t>
            </w:r>
          </w:p>
          <w:p w14:paraId="2D5C32DB">
            <w:pPr>
              <w:adjustRightInd w:val="0"/>
              <w:snapToGrid w:val="0"/>
              <w:spacing w:line="360" w:lineRule="auto"/>
              <w:ind w:firstLine="480" w:firstLineChars="200"/>
              <w:jc w:val="left"/>
              <w:rPr>
                <w:color w:val="auto"/>
                <w:sz w:val="24"/>
              </w:rPr>
            </w:pPr>
            <w:r>
              <w:rPr>
                <w:rFonts w:hint="eastAsia"/>
                <w:color w:val="auto"/>
                <w:sz w:val="24"/>
              </w:rPr>
              <w:t>综合上述计算，结合各集气设施的收集效率，可算出各废气设施的收集情况如下：</w:t>
            </w:r>
          </w:p>
          <w:p w14:paraId="4517D5D9">
            <w:pPr>
              <w:pStyle w:val="77"/>
              <w:numPr>
                <w:ilvl w:val="0"/>
                <w:numId w:val="18"/>
              </w:numPr>
              <w:adjustRightInd w:val="0"/>
              <w:snapToGrid w:val="0"/>
              <w:jc w:val="center"/>
              <w:rPr>
                <w:b/>
                <w:bCs/>
                <w:color w:val="auto"/>
                <w:szCs w:val="21"/>
              </w:rPr>
            </w:pPr>
            <w:r>
              <w:rPr>
                <w:rFonts w:hint="eastAsia"/>
                <w:b/>
                <w:bCs/>
                <w:color w:val="auto"/>
                <w:szCs w:val="21"/>
              </w:rPr>
              <w:t xml:space="preserve"> 项目各处理设施收集情况一览表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915"/>
              <w:gridCol w:w="1116"/>
              <w:gridCol w:w="1144"/>
              <w:gridCol w:w="1133"/>
              <w:gridCol w:w="836"/>
              <w:gridCol w:w="1176"/>
              <w:gridCol w:w="1129"/>
              <w:gridCol w:w="1127"/>
              <w:gridCol w:w="1186"/>
            </w:tblGrid>
            <w:tr w14:paraId="31B5D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pct"/>
                  <w:gridSpan w:val="2"/>
                  <w:vMerge w:val="restart"/>
                  <w:vAlign w:val="center"/>
                </w:tcPr>
                <w:p w14:paraId="3E73BAF3">
                  <w:pPr>
                    <w:widowControl/>
                    <w:jc w:val="center"/>
                    <w:textAlignment w:val="center"/>
                    <w:rPr>
                      <w:b/>
                      <w:bCs/>
                      <w:color w:val="auto"/>
                      <w:kern w:val="0"/>
                      <w:szCs w:val="21"/>
                      <w:lang w:bidi="ar"/>
                    </w:rPr>
                  </w:pPr>
                  <w:r>
                    <w:rPr>
                      <w:rFonts w:hint="eastAsia"/>
                      <w:b/>
                      <w:bCs/>
                      <w:color w:val="auto"/>
                      <w:kern w:val="0"/>
                      <w:szCs w:val="21"/>
                      <w:lang w:bidi="ar"/>
                    </w:rPr>
                    <w:t>污染源/工序</w:t>
                  </w:r>
                </w:p>
              </w:tc>
              <w:tc>
                <w:tcPr>
                  <w:tcW w:w="522" w:type="pct"/>
                  <w:vMerge w:val="restart"/>
                  <w:vAlign w:val="center"/>
                </w:tcPr>
                <w:p w14:paraId="78D7E34D">
                  <w:pPr>
                    <w:widowControl/>
                    <w:jc w:val="center"/>
                    <w:textAlignment w:val="center"/>
                    <w:rPr>
                      <w:b/>
                      <w:bCs/>
                      <w:color w:val="auto"/>
                      <w:kern w:val="0"/>
                      <w:szCs w:val="21"/>
                      <w:lang w:bidi="ar"/>
                    </w:rPr>
                  </w:pPr>
                  <w:r>
                    <w:rPr>
                      <w:rFonts w:hint="eastAsia"/>
                      <w:b/>
                      <w:bCs/>
                      <w:color w:val="auto"/>
                      <w:kern w:val="0"/>
                      <w:szCs w:val="21"/>
                      <w:lang w:bidi="ar"/>
                    </w:rPr>
                    <w:t>污染物</w:t>
                  </w:r>
                </w:p>
              </w:tc>
              <w:tc>
                <w:tcPr>
                  <w:tcW w:w="1065" w:type="pct"/>
                  <w:gridSpan w:val="2"/>
                  <w:vAlign w:val="center"/>
                </w:tcPr>
                <w:p w14:paraId="0D37F7D0">
                  <w:pPr>
                    <w:widowControl/>
                    <w:jc w:val="center"/>
                    <w:textAlignment w:val="center"/>
                    <w:rPr>
                      <w:b/>
                      <w:bCs/>
                      <w:color w:val="auto"/>
                      <w:kern w:val="0"/>
                      <w:szCs w:val="21"/>
                      <w:lang w:bidi="ar"/>
                    </w:rPr>
                  </w:pPr>
                  <w:r>
                    <w:rPr>
                      <w:rFonts w:hint="eastAsia"/>
                      <w:b/>
                      <w:bCs/>
                      <w:color w:val="auto"/>
                      <w:kern w:val="0"/>
                      <w:szCs w:val="21"/>
                      <w:lang w:bidi="ar"/>
                    </w:rPr>
                    <w:t>产生情况</w:t>
                  </w:r>
                </w:p>
              </w:tc>
              <w:tc>
                <w:tcPr>
                  <w:tcW w:w="391" w:type="pct"/>
                  <w:vMerge w:val="restart"/>
                  <w:vAlign w:val="center"/>
                </w:tcPr>
                <w:p w14:paraId="372A9D56">
                  <w:pPr>
                    <w:widowControl/>
                    <w:jc w:val="center"/>
                    <w:textAlignment w:val="center"/>
                    <w:rPr>
                      <w:b/>
                      <w:bCs/>
                      <w:color w:val="auto"/>
                      <w:kern w:val="0"/>
                      <w:szCs w:val="21"/>
                      <w:lang w:bidi="ar"/>
                    </w:rPr>
                  </w:pPr>
                  <w:r>
                    <w:rPr>
                      <w:rFonts w:hint="eastAsia"/>
                      <w:b/>
                      <w:bCs/>
                      <w:color w:val="auto"/>
                      <w:kern w:val="0"/>
                      <w:szCs w:val="21"/>
                      <w:lang w:bidi="ar"/>
                    </w:rPr>
                    <w:t>收集效率</w:t>
                  </w:r>
                </w:p>
              </w:tc>
              <w:tc>
                <w:tcPr>
                  <w:tcW w:w="1078" w:type="pct"/>
                  <w:gridSpan w:val="2"/>
                  <w:vAlign w:val="center"/>
                </w:tcPr>
                <w:p w14:paraId="78E2BD9C">
                  <w:pPr>
                    <w:widowControl/>
                    <w:jc w:val="center"/>
                    <w:textAlignment w:val="center"/>
                    <w:rPr>
                      <w:b/>
                      <w:bCs/>
                      <w:color w:val="auto"/>
                      <w:kern w:val="0"/>
                      <w:szCs w:val="21"/>
                      <w:lang w:bidi="ar"/>
                    </w:rPr>
                  </w:pPr>
                  <w:r>
                    <w:rPr>
                      <w:rFonts w:hint="eastAsia"/>
                      <w:b/>
                      <w:bCs/>
                      <w:color w:val="auto"/>
                      <w:kern w:val="0"/>
                      <w:szCs w:val="21"/>
                      <w:lang w:bidi="ar"/>
                    </w:rPr>
                    <w:t>收集情况</w:t>
                  </w:r>
                </w:p>
              </w:tc>
              <w:tc>
                <w:tcPr>
                  <w:tcW w:w="1081" w:type="pct"/>
                  <w:gridSpan w:val="2"/>
                  <w:vAlign w:val="center"/>
                </w:tcPr>
                <w:p w14:paraId="2D9113EB">
                  <w:pPr>
                    <w:widowControl/>
                    <w:jc w:val="center"/>
                    <w:textAlignment w:val="center"/>
                    <w:rPr>
                      <w:b/>
                      <w:bCs/>
                      <w:color w:val="auto"/>
                      <w:kern w:val="0"/>
                      <w:szCs w:val="21"/>
                      <w:lang w:bidi="ar"/>
                    </w:rPr>
                  </w:pPr>
                  <w:r>
                    <w:rPr>
                      <w:rFonts w:hint="eastAsia"/>
                      <w:b/>
                      <w:bCs/>
                      <w:color w:val="auto"/>
                      <w:kern w:val="0"/>
                      <w:szCs w:val="21"/>
                      <w:lang w:bidi="ar"/>
                    </w:rPr>
                    <w:t>无组织排放</w:t>
                  </w:r>
                </w:p>
              </w:tc>
            </w:tr>
            <w:tr w14:paraId="06091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862" w:type="pct"/>
                  <w:gridSpan w:val="2"/>
                  <w:vMerge w:val="continue"/>
                  <w:vAlign w:val="center"/>
                </w:tcPr>
                <w:p w14:paraId="27FDFAF8">
                  <w:pPr>
                    <w:widowControl/>
                    <w:jc w:val="center"/>
                    <w:textAlignment w:val="center"/>
                    <w:rPr>
                      <w:color w:val="auto"/>
                      <w:kern w:val="0"/>
                      <w:szCs w:val="21"/>
                      <w:lang w:bidi="ar"/>
                    </w:rPr>
                  </w:pPr>
                </w:p>
              </w:tc>
              <w:tc>
                <w:tcPr>
                  <w:tcW w:w="522" w:type="pct"/>
                  <w:vMerge w:val="continue"/>
                  <w:vAlign w:val="center"/>
                </w:tcPr>
                <w:p w14:paraId="5591D209">
                  <w:pPr>
                    <w:widowControl/>
                    <w:jc w:val="center"/>
                    <w:textAlignment w:val="center"/>
                    <w:rPr>
                      <w:color w:val="auto"/>
                      <w:kern w:val="0"/>
                      <w:szCs w:val="21"/>
                      <w:lang w:bidi="ar"/>
                    </w:rPr>
                  </w:pPr>
                </w:p>
              </w:tc>
              <w:tc>
                <w:tcPr>
                  <w:tcW w:w="535" w:type="pct"/>
                  <w:vAlign w:val="center"/>
                </w:tcPr>
                <w:p w14:paraId="56338A38">
                  <w:pPr>
                    <w:widowControl/>
                    <w:jc w:val="center"/>
                    <w:textAlignment w:val="center"/>
                    <w:rPr>
                      <w:b/>
                      <w:bCs/>
                      <w:color w:val="auto"/>
                      <w:kern w:val="0"/>
                      <w:szCs w:val="21"/>
                      <w:lang w:bidi="ar"/>
                    </w:rPr>
                  </w:pPr>
                  <w:r>
                    <w:rPr>
                      <w:rFonts w:hint="eastAsia"/>
                      <w:b/>
                      <w:bCs/>
                      <w:color w:val="auto"/>
                      <w:kern w:val="0"/>
                      <w:szCs w:val="21"/>
                      <w:lang w:bidi="ar"/>
                    </w:rPr>
                    <w:t>产生量t/a</w:t>
                  </w:r>
                </w:p>
              </w:tc>
              <w:tc>
                <w:tcPr>
                  <w:tcW w:w="529" w:type="pct"/>
                  <w:vAlign w:val="center"/>
                </w:tcPr>
                <w:p w14:paraId="124A7637">
                  <w:pPr>
                    <w:widowControl/>
                    <w:jc w:val="center"/>
                    <w:textAlignment w:val="center"/>
                    <w:rPr>
                      <w:b/>
                      <w:bCs/>
                      <w:color w:val="auto"/>
                      <w:kern w:val="0"/>
                      <w:szCs w:val="21"/>
                      <w:lang w:bidi="ar"/>
                    </w:rPr>
                  </w:pPr>
                  <w:r>
                    <w:rPr>
                      <w:rFonts w:hint="eastAsia"/>
                      <w:b/>
                      <w:bCs/>
                      <w:color w:val="auto"/>
                      <w:kern w:val="0"/>
                      <w:szCs w:val="21"/>
                      <w:lang w:bidi="ar"/>
                    </w:rPr>
                    <w:t>产生效率kg/h</w:t>
                  </w:r>
                </w:p>
              </w:tc>
              <w:tc>
                <w:tcPr>
                  <w:tcW w:w="391" w:type="pct"/>
                  <w:vMerge w:val="continue"/>
                  <w:vAlign w:val="center"/>
                </w:tcPr>
                <w:p w14:paraId="4DA5D6B9">
                  <w:pPr>
                    <w:widowControl/>
                    <w:jc w:val="center"/>
                    <w:textAlignment w:val="center"/>
                    <w:rPr>
                      <w:b/>
                      <w:bCs/>
                      <w:color w:val="auto"/>
                      <w:kern w:val="0"/>
                      <w:szCs w:val="21"/>
                      <w:lang w:bidi="ar"/>
                    </w:rPr>
                  </w:pPr>
                </w:p>
              </w:tc>
              <w:tc>
                <w:tcPr>
                  <w:tcW w:w="550" w:type="pct"/>
                  <w:vAlign w:val="center"/>
                </w:tcPr>
                <w:p w14:paraId="6E2B60A1">
                  <w:pPr>
                    <w:widowControl/>
                    <w:jc w:val="center"/>
                    <w:textAlignment w:val="center"/>
                    <w:rPr>
                      <w:b/>
                      <w:bCs/>
                      <w:color w:val="auto"/>
                      <w:kern w:val="0"/>
                      <w:szCs w:val="21"/>
                      <w:lang w:bidi="ar"/>
                    </w:rPr>
                  </w:pPr>
                  <w:r>
                    <w:rPr>
                      <w:rFonts w:hint="eastAsia"/>
                      <w:b/>
                      <w:bCs/>
                      <w:color w:val="auto"/>
                      <w:kern w:val="0"/>
                      <w:szCs w:val="21"/>
                      <w:lang w:bidi="ar"/>
                    </w:rPr>
                    <w:t>收集量t/a</w:t>
                  </w:r>
                </w:p>
              </w:tc>
              <w:tc>
                <w:tcPr>
                  <w:tcW w:w="528" w:type="pct"/>
                  <w:vAlign w:val="center"/>
                </w:tcPr>
                <w:p w14:paraId="1126F022">
                  <w:pPr>
                    <w:widowControl/>
                    <w:jc w:val="center"/>
                    <w:textAlignment w:val="center"/>
                    <w:rPr>
                      <w:b/>
                      <w:bCs/>
                      <w:color w:val="auto"/>
                      <w:kern w:val="0"/>
                      <w:szCs w:val="21"/>
                      <w:lang w:bidi="ar"/>
                    </w:rPr>
                  </w:pPr>
                  <w:r>
                    <w:rPr>
                      <w:rFonts w:hint="eastAsia"/>
                      <w:b/>
                      <w:bCs/>
                      <w:color w:val="auto"/>
                      <w:kern w:val="0"/>
                      <w:szCs w:val="21"/>
                      <w:lang w:bidi="ar"/>
                    </w:rPr>
                    <w:t>收集效率kg/h</w:t>
                  </w:r>
                </w:p>
              </w:tc>
              <w:tc>
                <w:tcPr>
                  <w:tcW w:w="527" w:type="pct"/>
                  <w:vAlign w:val="center"/>
                </w:tcPr>
                <w:p w14:paraId="1DD714B5">
                  <w:pPr>
                    <w:widowControl/>
                    <w:jc w:val="center"/>
                    <w:textAlignment w:val="center"/>
                    <w:rPr>
                      <w:b/>
                      <w:bCs/>
                      <w:color w:val="auto"/>
                      <w:kern w:val="0"/>
                      <w:szCs w:val="21"/>
                      <w:lang w:bidi="ar"/>
                    </w:rPr>
                  </w:pPr>
                  <w:r>
                    <w:rPr>
                      <w:rFonts w:hint="eastAsia"/>
                      <w:b/>
                      <w:bCs/>
                      <w:color w:val="auto"/>
                      <w:kern w:val="0"/>
                      <w:szCs w:val="21"/>
                      <w:lang w:bidi="ar"/>
                    </w:rPr>
                    <w:t>排放量t/a</w:t>
                  </w:r>
                </w:p>
              </w:tc>
              <w:tc>
                <w:tcPr>
                  <w:tcW w:w="553" w:type="pct"/>
                  <w:vAlign w:val="center"/>
                </w:tcPr>
                <w:p w14:paraId="5F421AC0">
                  <w:pPr>
                    <w:widowControl/>
                    <w:jc w:val="center"/>
                    <w:textAlignment w:val="center"/>
                    <w:rPr>
                      <w:b/>
                      <w:bCs/>
                      <w:color w:val="auto"/>
                      <w:kern w:val="0"/>
                      <w:szCs w:val="21"/>
                      <w:lang w:bidi="ar"/>
                    </w:rPr>
                  </w:pPr>
                  <w:r>
                    <w:rPr>
                      <w:rFonts w:hint="eastAsia"/>
                      <w:b/>
                      <w:bCs/>
                      <w:color w:val="auto"/>
                      <w:kern w:val="0"/>
                      <w:szCs w:val="21"/>
                      <w:lang w:bidi="ar"/>
                    </w:rPr>
                    <w:t>排放速率kg/h</w:t>
                  </w:r>
                </w:p>
              </w:tc>
            </w:tr>
            <w:tr w14:paraId="16A95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restart"/>
                  <w:vAlign w:val="center"/>
                </w:tcPr>
                <w:p w14:paraId="26D1CA10">
                  <w:pPr>
                    <w:widowControl/>
                    <w:jc w:val="center"/>
                    <w:textAlignment w:val="center"/>
                    <w:rPr>
                      <w:color w:val="auto"/>
                      <w:kern w:val="0"/>
                      <w:szCs w:val="21"/>
                      <w:lang w:bidi="ar"/>
                    </w:rPr>
                  </w:pPr>
                  <w:r>
                    <w:rPr>
                      <w:rFonts w:hint="eastAsia"/>
                      <w:color w:val="auto"/>
                      <w:kern w:val="0"/>
                      <w:szCs w:val="21"/>
                      <w:lang w:bidi="ar"/>
                    </w:rPr>
                    <w:t>DA001</w:t>
                  </w:r>
                </w:p>
              </w:tc>
              <w:tc>
                <w:tcPr>
                  <w:tcW w:w="428" w:type="pct"/>
                  <w:vAlign w:val="center"/>
                </w:tcPr>
                <w:p w14:paraId="59418148">
                  <w:pPr>
                    <w:widowControl/>
                    <w:jc w:val="center"/>
                    <w:textAlignment w:val="center"/>
                    <w:rPr>
                      <w:color w:val="auto"/>
                      <w:kern w:val="0"/>
                      <w:szCs w:val="21"/>
                      <w:lang w:bidi="ar"/>
                    </w:rPr>
                  </w:pPr>
                  <w:r>
                    <w:rPr>
                      <w:rFonts w:hint="eastAsia"/>
                      <w:color w:val="auto"/>
                      <w:szCs w:val="21"/>
                    </w:rPr>
                    <w:t>喷粉</w:t>
                  </w:r>
                </w:p>
              </w:tc>
              <w:tc>
                <w:tcPr>
                  <w:tcW w:w="522" w:type="pct"/>
                  <w:vAlign w:val="center"/>
                </w:tcPr>
                <w:p w14:paraId="41098D35">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267B133B">
                  <w:pPr>
                    <w:widowControl/>
                    <w:jc w:val="center"/>
                    <w:textAlignment w:val="center"/>
                    <w:rPr>
                      <w:color w:val="auto"/>
                      <w:kern w:val="0"/>
                      <w:szCs w:val="21"/>
                      <w:lang w:bidi="ar"/>
                    </w:rPr>
                  </w:pPr>
                  <w:r>
                    <w:rPr>
                      <w:rFonts w:hint="eastAsia"/>
                      <w:color w:val="auto"/>
                      <w:kern w:val="0"/>
                      <w:szCs w:val="21"/>
                      <w:lang w:bidi="ar"/>
                    </w:rPr>
                    <w:t>2.1</w:t>
                  </w:r>
                </w:p>
              </w:tc>
              <w:tc>
                <w:tcPr>
                  <w:tcW w:w="1133" w:type="dxa"/>
                  <w:vAlign w:val="center"/>
                </w:tcPr>
                <w:p w14:paraId="5A9D8444">
                  <w:pPr>
                    <w:widowControl/>
                    <w:jc w:val="center"/>
                    <w:textAlignment w:val="center"/>
                    <w:rPr>
                      <w:color w:val="auto"/>
                      <w:kern w:val="0"/>
                      <w:szCs w:val="21"/>
                      <w:lang w:bidi="ar"/>
                    </w:rPr>
                  </w:pPr>
                  <w:r>
                    <w:rPr>
                      <w:rFonts w:hint="eastAsia"/>
                      <w:color w:val="auto"/>
                      <w:kern w:val="0"/>
                      <w:szCs w:val="21"/>
                      <w:lang w:bidi="ar"/>
                    </w:rPr>
                    <w:t>0.7</w:t>
                  </w:r>
                </w:p>
              </w:tc>
              <w:tc>
                <w:tcPr>
                  <w:tcW w:w="836" w:type="dxa"/>
                  <w:vAlign w:val="center"/>
                </w:tcPr>
                <w:p w14:paraId="67E809A1">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4BC65907">
                  <w:pPr>
                    <w:widowControl/>
                    <w:jc w:val="center"/>
                    <w:textAlignment w:val="center"/>
                    <w:rPr>
                      <w:color w:val="auto"/>
                      <w:kern w:val="0"/>
                      <w:szCs w:val="21"/>
                      <w:lang w:bidi="ar"/>
                    </w:rPr>
                  </w:pPr>
                  <w:r>
                    <w:rPr>
                      <w:color w:val="auto"/>
                      <w:kern w:val="0"/>
                      <w:szCs w:val="21"/>
                      <w:lang w:bidi="ar"/>
                    </w:rPr>
                    <w:t>1.8</w:t>
                  </w:r>
                  <w:r>
                    <w:rPr>
                      <w:rFonts w:hint="eastAsia"/>
                      <w:color w:val="auto"/>
                      <w:kern w:val="0"/>
                      <w:szCs w:val="21"/>
                      <w:lang w:bidi="ar"/>
                    </w:rPr>
                    <w:t>9</w:t>
                  </w:r>
                </w:p>
              </w:tc>
              <w:tc>
                <w:tcPr>
                  <w:tcW w:w="1129" w:type="dxa"/>
                  <w:vAlign w:val="center"/>
                </w:tcPr>
                <w:p w14:paraId="13523ED5">
                  <w:pPr>
                    <w:widowControl/>
                    <w:jc w:val="center"/>
                    <w:textAlignment w:val="center"/>
                    <w:rPr>
                      <w:color w:val="auto"/>
                      <w:kern w:val="0"/>
                      <w:szCs w:val="21"/>
                      <w:lang w:bidi="ar"/>
                    </w:rPr>
                  </w:pPr>
                  <w:r>
                    <w:rPr>
                      <w:color w:val="auto"/>
                      <w:kern w:val="0"/>
                      <w:szCs w:val="21"/>
                      <w:lang w:bidi="ar"/>
                    </w:rPr>
                    <w:t>0.6</w:t>
                  </w:r>
                  <w:r>
                    <w:rPr>
                      <w:rFonts w:hint="eastAsia"/>
                      <w:color w:val="auto"/>
                      <w:kern w:val="0"/>
                      <w:szCs w:val="21"/>
                      <w:lang w:bidi="ar"/>
                    </w:rPr>
                    <w:t>3</w:t>
                  </w:r>
                </w:p>
              </w:tc>
              <w:tc>
                <w:tcPr>
                  <w:tcW w:w="1127" w:type="dxa"/>
                  <w:vAlign w:val="center"/>
                </w:tcPr>
                <w:p w14:paraId="55412A53">
                  <w:pPr>
                    <w:widowControl/>
                    <w:jc w:val="center"/>
                    <w:textAlignment w:val="center"/>
                    <w:rPr>
                      <w:color w:val="auto"/>
                      <w:kern w:val="0"/>
                      <w:szCs w:val="21"/>
                      <w:lang w:bidi="ar"/>
                    </w:rPr>
                  </w:pPr>
                  <w:r>
                    <w:rPr>
                      <w:color w:val="auto"/>
                      <w:kern w:val="0"/>
                      <w:szCs w:val="21"/>
                      <w:lang w:bidi="ar"/>
                    </w:rPr>
                    <w:t>0.2</w:t>
                  </w:r>
                  <w:r>
                    <w:rPr>
                      <w:rFonts w:hint="eastAsia"/>
                      <w:color w:val="auto"/>
                      <w:kern w:val="0"/>
                      <w:szCs w:val="21"/>
                      <w:lang w:bidi="ar"/>
                    </w:rPr>
                    <w:t>1</w:t>
                  </w:r>
                </w:p>
              </w:tc>
              <w:tc>
                <w:tcPr>
                  <w:tcW w:w="1186" w:type="dxa"/>
                  <w:vAlign w:val="center"/>
                </w:tcPr>
                <w:p w14:paraId="40018DCA">
                  <w:pPr>
                    <w:widowControl/>
                    <w:jc w:val="center"/>
                    <w:textAlignment w:val="center"/>
                    <w:rPr>
                      <w:color w:val="auto"/>
                      <w:kern w:val="0"/>
                      <w:szCs w:val="21"/>
                      <w:lang w:bidi="ar"/>
                    </w:rPr>
                  </w:pPr>
                  <w:r>
                    <w:rPr>
                      <w:color w:val="auto"/>
                      <w:kern w:val="0"/>
                      <w:szCs w:val="21"/>
                      <w:lang w:bidi="ar"/>
                    </w:rPr>
                    <w:t>0.0</w:t>
                  </w:r>
                  <w:r>
                    <w:rPr>
                      <w:rFonts w:hint="eastAsia"/>
                      <w:color w:val="auto"/>
                      <w:kern w:val="0"/>
                      <w:szCs w:val="21"/>
                      <w:lang w:bidi="ar"/>
                    </w:rPr>
                    <w:t>7</w:t>
                  </w:r>
                </w:p>
              </w:tc>
            </w:tr>
            <w:tr w14:paraId="7AB25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7A81EAAD">
                  <w:pPr>
                    <w:widowControl/>
                    <w:jc w:val="center"/>
                    <w:textAlignment w:val="center"/>
                    <w:rPr>
                      <w:color w:val="auto"/>
                      <w:kern w:val="0"/>
                      <w:szCs w:val="21"/>
                      <w:lang w:bidi="ar"/>
                    </w:rPr>
                  </w:pPr>
                </w:p>
              </w:tc>
              <w:tc>
                <w:tcPr>
                  <w:tcW w:w="428" w:type="pct"/>
                  <w:vAlign w:val="center"/>
                </w:tcPr>
                <w:p w14:paraId="6514EC6D">
                  <w:pPr>
                    <w:widowControl/>
                    <w:jc w:val="center"/>
                    <w:textAlignment w:val="center"/>
                    <w:rPr>
                      <w:color w:val="auto"/>
                      <w:szCs w:val="21"/>
                    </w:rPr>
                  </w:pPr>
                  <w:r>
                    <w:rPr>
                      <w:rFonts w:hint="eastAsia"/>
                      <w:color w:val="auto"/>
                      <w:szCs w:val="21"/>
                    </w:rPr>
                    <w:t>合计</w:t>
                  </w:r>
                </w:p>
              </w:tc>
              <w:tc>
                <w:tcPr>
                  <w:tcW w:w="522" w:type="pct"/>
                  <w:vAlign w:val="center"/>
                </w:tcPr>
                <w:p w14:paraId="6EBEFBEB">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2FD35CE9">
                  <w:pPr>
                    <w:widowControl/>
                    <w:jc w:val="center"/>
                    <w:textAlignment w:val="center"/>
                    <w:rPr>
                      <w:color w:val="auto"/>
                      <w:kern w:val="0"/>
                      <w:szCs w:val="21"/>
                      <w:lang w:bidi="ar"/>
                    </w:rPr>
                  </w:pPr>
                  <w:r>
                    <w:rPr>
                      <w:rFonts w:hint="eastAsia"/>
                      <w:color w:val="auto"/>
                      <w:kern w:val="0"/>
                      <w:szCs w:val="21"/>
                      <w:lang w:bidi="ar"/>
                    </w:rPr>
                    <w:t>2.1</w:t>
                  </w:r>
                </w:p>
              </w:tc>
              <w:tc>
                <w:tcPr>
                  <w:tcW w:w="1133" w:type="dxa"/>
                  <w:vAlign w:val="center"/>
                </w:tcPr>
                <w:p w14:paraId="5AA017E8">
                  <w:pPr>
                    <w:widowControl/>
                    <w:jc w:val="center"/>
                    <w:textAlignment w:val="center"/>
                    <w:rPr>
                      <w:color w:val="auto"/>
                      <w:kern w:val="0"/>
                      <w:szCs w:val="21"/>
                      <w:lang w:bidi="ar"/>
                    </w:rPr>
                  </w:pPr>
                  <w:r>
                    <w:rPr>
                      <w:rFonts w:hint="eastAsia"/>
                      <w:color w:val="auto"/>
                      <w:kern w:val="0"/>
                      <w:szCs w:val="21"/>
                      <w:lang w:bidi="ar"/>
                    </w:rPr>
                    <w:t>0.7</w:t>
                  </w:r>
                </w:p>
              </w:tc>
              <w:tc>
                <w:tcPr>
                  <w:tcW w:w="836" w:type="dxa"/>
                  <w:vAlign w:val="center"/>
                </w:tcPr>
                <w:p w14:paraId="4AC20123">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0FB27E19">
                  <w:pPr>
                    <w:widowControl/>
                    <w:jc w:val="center"/>
                    <w:textAlignment w:val="center"/>
                    <w:rPr>
                      <w:color w:val="auto"/>
                      <w:kern w:val="0"/>
                      <w:szCs w:val="21"/>
                      <w:lang w:bidi="ar"/>
                    </w:rPr>
                  </w:pPr>
                  <w:r>
                    <w:rPr>
                      <w:color w:val="auto"/>
                      <w:kern w:val="0"/>
                      <w:szCs w:val="21"/>
                      <w:lang w:bidi="ar"/>
                    </w:rPr>
                    <w:t>1.8</w:t>
                  </w:r>
                  <w:r>
                    <w:rPr>
                      <w:rFonts w:hint="eastAsia"/>
                      <w:color w:val="auto"/>
                      <w:kern w:val="0"/>
                      <w:szCs w:val="21"/>
                      <w:lang w:bidi="ar"/>
                    </w:rPr>
                    <w:t>9</w:t>
                  </w:r>
                </w:p>
              </w:tc>
              <w:tc>
                <w:tcPr>
                  <w:tcW w:w="1129" w:type="dxa"/>
                  <w:vAlign w:val="center"/>
                </w:tcPr>
                <w:p w14:paraId="4D9C4B84">
                  <w:pPr>
                    <w:widowControl/>
                    <w:jc w:val="center"/>
                    <w:textAlignment w:val="center"/>
                    <w:rPr>
                      <w:color w:val="auto"/>
                      <w:kern w:val="0"/>
                      <w:szCs w:val="21"/>
                      <w:lang w:bidi="ar"/>
                    </w:rPr>
                  </w:pPr>
                  <w:r>
                    <w:rPr>
                      <w:color w:val="auto"/>
                      <w:kern w:val="0"/>
                      <w:szCs w:val="21"/>
                      <w:lang w:bidi="ar"/>
                    </w:rPr>
                    <w:t>0.6</w:t>
                  </w:r>
                  <w:r>
                    <w:rPr>
                      <w:rFonts w:hint="eastAsia"/>
                      <w:color w:val="auto"/>
                      <w:kern w:val="0"/>
                      <w:szCs w:val="21"/>
                      <w:lang w:bidi="ar"/>
                    </w:rPr>
                    <w:t>3</w:t>
                  </w:r>
                </w:p>
              </w:tc>
              <w:tc>
                <w:tcPr>
                  <w:tcW w:w="1127" w:type="dxa"/>
                  <w:vAlign w:val="center"/>
                </w:tcPr>
                <w:p w14:paraId="0009D6E8">
                  <w:pPr>
                    <w:widowControl/>
                    <w:jc w:val="center"/>
                    <w:textAlignment w:val="center"/>
                    <w:rPr>
                      <w:color w:val="auto"/>
                      <w:kern w:val="0"/>
                      <w:szCs w:val="21"/>
                      <w:lang w:bidi="ar"/>
                    </w:rPr>
                  </w:pPr>
                  <w:r>
                    <w:rPr>
                      <w:color w:val="auto"/>
                      <w:kern w:val="0"/>
                      <w:szCs w:val="21"/>
                      <w:lang w:bidi="ar"/>
                    </w:rPr>
                    <w:t>0.2</w:t>
                  </w:r>
                  <w:r>
                    <w:rPr>
                      <w:rFonts w:hint="eastAsia"/>
                      <w:color w:val="auto"/>
                      <w:kern w:val="0"/>
                      <w:szCs w:val="21"/>
                      <w:lang w:bidi="ar"/>
                    </w:rPr>
                    <w:t>1</w:t>
                  </w:r>
                </w:p>
              </w:tc>
              <w:tc>
                <w:tcPr>
                  <w:tcW w:w="1186" w:type="dxa"/>
                  <w:vAlign w:val="center"/>
                </w:tcPr>
                <w:p w14:paraId="14862E7E">
                  <w:pPr>
                    <w:widowControl/>
                    <w:jc w:val="center"/>
                    <w:textAlignment w:val="center"/>
                    <w:rPr>
                      <w:color w:val="auto"/>
                      <w:kern w:val="0"/>
                      <w:szCs w:val="21"/>
                      <w:lang w:bidi="ar"/>
                    </w:rPr>
                  </w:pPr>
                  <w:r>
                    <w:rPr>
                      <w:color w:val="auto"/>
                      <w:kern w:val="0"/>
                      <w:szCs w:val="21"/>
                      <w:lang w:bidi="ar"/>
                    </w:rPr>
                    <w:t>0.0</w:t>
                  </w:r>
                  <w:r>
                    <w:rPr>
                      <w:rFonts w:hint="eastAsia"/>
                      <w:color w:val="auto"/>
                      <w:kern w:val="0"/>
                      <w:szCs w:val="21"/>
                      <w:lang w:bidi="ar"/>
                    </w:rPr>
                    <w:t>7</w:t>
                  </w:r>
                </w:p>
              </w:tc>
            </w:tr>
            <w:tr w14:paraId="40E41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restart"/>
                  <w:vAlign w:val="center"/>
                </w:tcPr>
                <w:p w14:paraId="25F4EA75">
                  <w:pPr>
                    <w:widowControl/>
                    <w:jc w:val="center"/>
                    <w:textAlignment w:val="center"/>
                    <w:rPr>
                      <w:color w:val="auto"/>
                      <w:kern w:val="0"/>
                      <w:szCs w:val="21"/>
                      <w:lang w:bidi="ar"/>
                    </w:rPr>
                  </w:pPr>
                  <w:r>
                    <w:rPr>
                      <w:rFonts w:hint="eastAsia"/>
                      <w:color w:val="auto"/>
                      <w:kern w:val="0"/>
                      <w:szCs w:val="21"/>
                      <w:lang w:bidi="ar"/>
                    </w:rPr>
                    <w:t>DA002</w:t>
                  </w:r>
                </w:p>
              </w:tc>
              <w:tc>
                <w:tcPr>
                  <w:tcW w:w="428" w:type="pct"/>
                  <w:vAlign w:val="center"/>
                </w:tcPr>
                <w:p w14:paraId="3FD35535">
                  <w:pPr>
                    <w:widowControl/>
                    <w:jc w:val="center"/>
                    <w:textAlignment w:val="center"/>
                    <w:rPr>
                      <w:color w:val="auto"/>
                      <w:kern w:val="0"/>
                      <w:szCs w:val="21"/>
                      <w:lang w:bidi="ar"/>
                    </w:rPr>
                  </w:pPr>
                  <w:r>
                    <w:rPr>
                      <w:rFonts w:hint="eastAsia"/>
                      <w:color w:val="auto"/>
                      <w:szCs w:val="21"/>
                    </w:rPr>
                    <w:t>喷粉</w:t>
                  </w:r>
                </w:p>
              </w:tc>
              <w:tc>
                <w:tcPr>
                  <w:tcW w:w="522" w:type="pct"/>
                  <w:vAlign w:val="center"/>
                </w:tcPr>
                <w:p w14:paraId="2978AFC4">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15FBC00E">
                  <w:pPr>
                    <w:widowControl/>
                    <w:jc w:val="center"/>
                    <w:textAlignment w:val="center"/>
                    <w:rPr>
                      <w:color w:val="auto"/>
                      <w:kern w:val="0"/>
                      <w:szCs w:val="21"/>
                      <w:lang w:bidi="ar"/>
                    </w:rPr>
                  </w:pPr>
                  <w:r>
                    <w:rPr>
                      <w:rFonts w:hint="eastAsia"/>
                      <w:color w:val="auto"/>
                      <w:kern w:val="0"/>
                      <w:szCs w:val="21"/>
                      <w:lang w:bidi="ar"/>
                    </w:rPr>
                    <w:t>2.1</w:t>
                  </w:r>
                </w:p>
              </w:tc>
              <w:tc>
                <w:tcPr>
                  <w:tcW w:w="1133" w:type="dxa"/>
                  <w:vAlign w:val="center"/>
                </w:tcPr>
                <w:p w14:paraId="7603A85B">
                  <w:pPr>
                    <w:widowControl/>
                    <w:jc w:val="center"/>
                    <w:textAlignment w:val="center"/>
                    <w:rPr>
                      <w:color w:val="auto"/>
                      <w:kern w:val="0"/>
                      <w:szCs w:val="21"/>
                      <w:lang w:bidi="ar"/>
                    </w:rPr>
                  </w:pPr>
                  <w:r>
                    <w:rPr>
                      <w:rFonts w:hint="eastAsia"/>
                      <w:color w:val="auto"/>
                      <w:kern w:val="0"/>
                      <w:szCs w:val="21"/>
                      <w:lang w:bidi="ar"/>
                    </w:rPr>
                    <w:t>0.7</w:t>
                  </w:r>
                </w:p>
              </w:tc>
              <w:tc>
                <w:tcPr>
                  <w:tcW w:w="836" w:type="dxa"/>
                  <w:vAlign w:val="center"/>
                </w:tcPr>
                <w:p w14:paraId="055EB202">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1CDFAF73">
                  <w:pPr>
                    <w:widowControl/>
                    <w:jc w:val="center"/>
                    <w:textAlignment w:val="center"/>
                    <w:rPr>
                      <w:color w:val="auto"/>
                      <w:kern w:val="0"/>
                      <w:szCs w:val="21"/>
                      <w:lang w:bidi="ar"/>
                    </w:rPr>
                  </w:pPr>
                  <w:r>
                    <w:rPr>
                      <w:color w:val="auto"/>
                      <w:kern w:val="0"/>
                      <w:szCs w:val="21"/>
                      <w:lang w:bidi="ar"/>
                    </w:rPr>
                    <w:t>1.8</w:t>
                  </w:r>
                  <w:r>
                    <w:rPr>
                      <w:rFonts w:hint="eastAsia"/>
                      <w:color w:val="auto"/>
                      <w:kern w:val="0"/>
                      <w:szCs w:val="21"/>
                      <w:lang w:bidi="ar"/>
                    </w:rPr>
                    <w:t>9</w:t>
                  </w:r>
                </w:p>
              </w:tc>
              <w:tc>
                <w:tcPr>
                  <w:tcW w:w="1129" w:type="dxa"/>
                  <w:vAlign w:val="center"/>
                </w:tcPr>
                <w:p w14:paraId="4C5A9582">
                  <w:pPr>
                    <w:widowControl/>
                    <w:jc w:val="center"/>
                    <w:textAlignment w:val="center"/>
                    <w:rPr>
                      <w:color w:val="auto"/>
                      <w:kern w:val="0"/>
                      <w:szCs w:val="21"/>
                      <w:lang w:bidi="ar"/>
                    </w:rPr>
                  </w:pPr>
                  <w:r>
                    <w:rPr>
                      <w:color w:val="auto"/>
                      <w:kern w:val="0"/>
                      <w:szCs w:val="21"/>
                      <w:lang w:bidi="ar"/>
                    </w:rPr>
                    <w:t>0.6</w:t>
                  </w:r>
                  <w:r>
                    <w:rPr>
                      <w:rFonts w:hint="eastAsia"/>
                      <w:color w:val="auto"/>
                      <w:kern w:val="0"/>
                      <w:szCs w:val="21"/>
                      <w:lang w:bidi="ar"/>
                    </w:rPr>
                    <w:t>3</w:t>
                  </w:r>
                </w:p>
              </w:tc>
              <w:tc>
                <w:tcPr>
                  <w:tcW w:w="1127" w:type="dxa"/>
                  <w:vAlign w:val="center"/>
                </w:tcPr>
                <w:p w14:paraId="4A26880C">
                  <w:pPr>
                    <w:widowControl/>
                    <w:jc w:val="center"/>
                    <w:textAlignment w:val="center"/>
                    <w:rPr>
                      <w:color w:val="auto"/>
                      <w:kern w:val="0"/>
                      <w:szCs w:val="21"/>
                      <w:lang w:bidi="ar"/>
                    </w:rPr>
                  </w:pPr>
                  <w:r>
                    <w:rPr>
                      <w:color w:val="auto"/>
                      <w:kern w:val="0"/>
                      <w:szCs w:val="21"/>
                      <w:lang w:bidi="ar"/>
                    </w:rPr>
                    <w:t>0.2</w:t>
                  </w:r>
                  <w:r>
                    <w:rPr>
                      <w:rFonts w:hint="eastAsia"/>
                      <w:color w:val="auto"/>
                      <w:kern w:val="0"/>
                      <w:szCs w:val="21"/>
                      <w:lang w:bidi="ar"/>
                    </w:rPr>
                    <w:t>1</w:t>
                  </w:r>
                </w:p>
              </w:tc>
              <w:tc>
                <w:tcPr>
                  <w:tcW w:w="1186" w:type="dxa"/>
                  <w:vAlign w:val="center"/>
                </w:tcPr>
                <w:p w14:paraId="433E1CCF">
                  <w:pPr>
                    <w:widowControl/>
                    <w:jc w:val="center"/>
                    <w:textAlignment w:val="center"/>
                    <w:rPr>
                      <w:color w:val="auto"/>
                      <w:kern w:val="0"/>
                      <w:szCs w:val="21"/>
                      <w:lang w:bidi="ar"/>
                    </w:rPr>
                  </w:pPr>
                  <w:r>
                    <w:rPr>
                      <w:color w:val="auto"/>
                      <w:kern w:val="0"/>
                      <w:szCs w:val="21"/>
                      <w:lang w:bidi="ar"/>
                    </w:rPr>
                    <w:t>0.0</w:t>
                  </w:r>
                  <w:r>
                    <w:rPr>
                      <w:rFonts w:hint="eastAsia"/>
                      <w:color w:val="auto"/>
                      <w:kern w:val="0"/>
                      <w:szCs w:val="21"/>
                      <w:lang w:bidi="ar"/>
                    </w:rPr>
                    <w:t>7</w:t>
                  </w:r>
                </w:p>
              </w:tc>
            </w:tr>
            <w:tr w14:paraId="3330D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continue"/>
                  <w:vAlign w:val="center"/>
                </w:tcPr>
                <w:p w14:paraId="08B9029A">
                  <w:pPr>
                    <w:widowControl/>
                    <w:jc w:val="center"/>
                    <w:textAlignment w:val="center"/>
                    <w:rPr>
                      <w:color w:val="auto"/>
                    </w:rPr>
                  </w:pPr>
                </w:p>
              </w:tc>
              <w:tc>
                <w:tcPr>
                  <w:tcW w:w="428" w:type="pct"/>
                  <w:vAlign w:val="center"/>
                </w:tcPr>
                <w:p w14:paraId="3CA57223">
                  <w:pPr>
                    <w:widowControl/>
                    <w:jc w:val="center"/>
                    <w:textAlignment w:val="center"/>
                    <w:rPr>
                      <w:color w:val="auto"/>
                      <w:szCs w:val="21"/>
                    </w:rPr>
                  </w:pPr>
                  <w:r>
                    <w:rPr>
                      <w:rFonts w:hint="eastAsia"/>
                      <w:color w:val="auto"/>
                      <w:szCs w:val="21"/>
                    </w:rPr>
                    <w:t>合计</w:t>
                  </w:r>
                </w:p>
              </w:tc>
              <w:tc>
                <w:tcPr>
                  <w:tcW w:w="522" w:type="pct"/>
                  <w:vAlign w:val="center"/>
                </w:tcPr>
                <w:p w14:paraId="3218784A">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6FCB84F9">
                  <w:pPr>
                    <w:widowControl/>
                    <w:jc w:val="center"/>
                    <w:textAlignment w:val="center"/>
                    <w:rPr>
                      <w:color w:val="auto"/>
                      <w:kern w:val="0"/>
                      <w:szCs w:val="21"/>
                      <w:lang w:bidi="ar"/>
                    </w:rPr>
                  </w:pPr>
                  <w:r>
                    <w:rPr>
                      <w:rFonts w:hint="eastAsia"/>
                      <w:color w:val="auto"/>
                      <w:kern w:val="0"/>
                      <w:szCs w:val="21"/>
                      <w:lang w:bidi="ar"/>
                    </w:rPr>
                    <w:t>2.1</w:t>
                  </w:r>
                </w:p>
              </w:tc>
              <w:tc>
                <w:tcPr>
                  <w:tcW w:w="1133" w:type="dxa"/>
                  <w:vAlign w:val="center"/>
                </w:tcPr>
                <w:p w14:paraId="6DB93958">
                  <w:pPr>
                    <w:widowControl/>
                    <w:jc w:val="center"/>
                    <w:textAlignment w:val="center"/>
                    <w:rPr>
                      <w:color w:val="auto"/>
                      <w:kern w:val="0"/>
                      <w:szCs w:val="21"/>
                      <w:lang w:bidi="ar"/>
                    </w:rPr>
                  </w:pPr>
                  <w:r>
                    <w:rPr>
                      <w:rFonts w:hint="eastAsia"/>
                      <w:color w:val="auto"/>
                      <w:kern w:val="0"/>
                      <w:szCs w:val="21"/>
                      <w:lang w:bidi="ar"/>
                    </w:rPr>
                    <w:t>0.7</w:t>
                  </w:r>
                </w:p>
              </w:tc>
              <w:tc>
                <w:tcPr>
                  <w:tcW w:w="836" w:type="dxa"/>
                  <w:vAlign w:val="center"/>
                </w:tcPr>
                <w:p w14:paraId="75D9CC97">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3F8AC526">
                  <w:pPr>
                    <w:widowControl/>
                    <w:jc w:val="center"/>
                    <w:textAlignment w:val="center"/>
                    <w:rPr>
                      <w:color w:val="auto"/>
                      <w:szCs w:val="21"/>
                    </w:rPr>
                  </w:pPr>
                  <w:r>
                    <w:rPr>
                      <w:color w:val="auto"/>
                      <w:kern w:val="0"/>
                      <w:szCs w:val="21"/>
                      <w:lang w:bidi="ar"/>
                    </w:rPr>
                    <w:t>1.8</w:t>
                  </w:r>
                  <w:r>
                    <w:rPr>
                      <w:rFonts w:hint="eastAsia"/>
                      <w:color w:val="auto"/>
                      <w:kern w:val="0"/>
                      <w:szCs w:val="21"/>
                      <w:lang w:bidi="ar"/>
                    </w:rPr>
                    <w:t>9</w:t>
                  </w:r>
                </w:p>
              </w:tc>
              <w:tc>
                <w:tcPr>
                  <w:tcW w:w="1129" w:type="dxa"/>
                  <w:vAlign w:val="center"/>
                </w:tcPr>
                <w:p w14:paraId="49BA2C3B">
                  <w:pPr>
                    <w:widowControl/>
                    <w:jc w:val="center"/>
                    <w:textAlignment w:val="center"/>
                    <w:rPr>
                      <w:color w:val="auto"/>
                      <w:szCs w:val="21"/>
                    </w:rPr>
                  </w:pPr>
                  <w:r>
                    <w:rPr>
                      <w:color w:val="auto"/>
                      <w:kern w:val="0"/>
                      <w:szCs w:val="21"/>
                      <w:lang w:bidi="ar"/>
                    </w:rPr>
                    <w:t>0.6</w:t>
                  </w:r>
                  <w:r>
                    <w:rPr>
                      <w:rFonts w:hint="eastAsia"/>
                      <w:color w:val="auto"/>
                      <w:kern w:val="0"/>
                      <w:szCs w:val="21"/>
                      <w:lang w:bidi="ar"/>
                    </w:rPr>
                    <w:t>3</w:t>
                  </w:r>
                </w:p>
              </w:tc>
              <w:tc>
                <w:tcPr>
                  <w:tcW w:w="1127" w:type="dxa"/>
                  <w:vAlign w:val="center"/>
                </w:tcPr>
                <w:p w14:paraId="063F9CB8">
                  <w:pPr>
                    <w:widowControl/>
                    <w:jc w:val="center"/>
                    <w:textAlignment w:val="center"/>
                    <w:rPr>
                      <w:color w:val="auto"/>
                      <w:szCs w:val="21"/>
                    </w:rPr>
                  </w:pPr>
                  <w:r>
                    <w:rPr>
                      <w:color w:val="auto"/>
                      <w:kern w:val="0"/>
                      <w:szCs w:val="21"/>
                      <w:lang w:bidi="ar"/>
                    </w:rPr>
                    <w:t>0.2</w:t>
                  </w:r>
                  <w:r>
                    <w:rPr>
                      <w:rFonts w:hint="eastAsia"/>
                      <w:color w:val="auto"/>
                      <w:kern w:val="0"/>
                      <w:szCs w:val="21"/>
                      <w:lang w:bidi="ar"/>
                    </w:rPr>
                    <w:t>1</w:t>
                  </w:r>
                </w:p>
              </w:tc>
              <w:tc>
                <w:tcPr>
                  <w:tcW w:w="1186" w:type="dxa"/>
                  <w:vAlign w:val="center"/>
                </w:tcPr>
                <w:p w14:paraId="516BE4AF">
                  <w:pPr>
                    <w:widowControl/>
                    <w:jc w:val="center"/>
                    <w:textAlignment w:val="center"/>
                    <w:rPr>
                      <w:color w:val="auto"/>
                      <w:szCs w:val="21"/>
                    </w:rPr>
                  </w:pPr>
                  <w:r>
                    <w:rPr>
                      <w:color w:val="auto"/>
                      <w:kern w:val="0"/>
                      <w:szCs w:val="21"/>
                      <w:lang w:bidi="ar"/>
                    </w:rPr>
                    <w:t>0.0</w:t>
                  </w:r>
                  <w:r>
                    <w:rPr>
                      <w:rFonts w:hint="eastAsia"/>
                      <w:color w:val="auto"/>
                      <w:kern w:val="0"/>
                      <w:szCs w:val="21"/>
                      <w:lang w:bidi="ar"/>
                    </w:rPr>
                    <w:t>7</w:t>
                  </w:r>
                </w:p>
              </w:tc>
            </w:tr>
            <w:tr w14:paraId="33C88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restart"/>
                  <w:vAlign w:val="center"/>
                </w:tcPr>
                <w:p w14:paraId="749B1127">
                  <w:pPr>
                    <w:widowControl/>
                    <w:jc w:val="center"/>
                    <w:textAlignment w:val="center"/>
                    <w:rPr>
                      <w:color w:val="auto"/>
                      <w:kern w:val="0"/>
                      <w:szCs w:val="21"/>
                      <w:lang w:bidi="ar"/>
                    </w:rPr>
                  </w:pPr>
                  <w:r>
                    <w:rPr>
                      <w:rFonts w:hint="eastAsia"/>
                      <w:color w:val="auto"/>
                      <w:kern w:val="0"/>
                      <w:szCs w:val="21"/>
                      <w:lang w:bidi="ar"/>
                    </w:rPr>
                    <w:t>DA003</w:t>
                  </w:r>
                </w:p>
              </w:tc>
              <w:tc>
                <w:tcPr>
                  <w:tcW w:w="428" w:type="pct"/>
                  <w:vMerge w:val="restart"/>
                  <w:vAlign w:val="center"/>
                </w:tcPr>
                <w:p w14:paraId="7BEE024B">
                  <w:pPr>
                    <w:widowControl/>
                    <w:jc w:val="center"/>
                    <w:textAlignment w:val="center"/>
                    <w:rPr>
                      <w:bCs/>
                      <w:color w:val="auto"/>
                      <w:kern w:val="0"/>
                      <w:szCs w:val="21"/>
                      <w:lang w:bidi="ar"/>
                    </w:rPr>
                  </w:pPr>
                  <w:r>
                    <w:rPr>
                      <w:rFonts w:hint="eastAsia"/>
                      <w:bCs/>
                      <w:color w:val="auto"/>
                      <w:kern w:val="0"/>
                      <w:szCs w:val="21"/>
                      <w:lang w:bidi="ar"/>
                    </w:rPr>
                    <w:t>喷漆</w:t>
                  </w:r>
                </w:p>
              </w:tc>
              <w:tc>
                <w:tcPr>
                  <w:tcW w:w="522" w:type="pct"/>
                  <w:vAlign w:val="center"/>
                </w:tcPr>
                <w:p w14:paraId="74DB04A2">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114DB1C4">
                  <w:pPr>
                    <w:widowControl/>
                    <w:jc w:val="center"/>
                    <w:textAlignment w:val="center"/>
                    <w:rPr>
                      <w:color w:val="auto"/>
                      <w:kern w:val="0"/>
                      <w:szCs w:val="21"/>
                      <w:lang w:bidi="ar"/>
                    </w:rPr>
                  </w:pPr>
                  <w:r>
                    <w:rPr>
                      <w:color w:val="auto"/>
                      <w:kern w:val="0"/>
                      <w:szCs w:val="21"/>
                      <w:lang w:bidi="ar"/>
                    </w:rPr>
                    <w:t>2.07</w:t>
                  </w:r>
                </w:p>
              </w:tc>
              <w:tc>
                <w:tcPr>
                  <w:tcW w:w="1133" w:type="dxa"/>
                  <w:vAlign w:val="center"/>
                </w:tcPr>
                <w:p w14:paraId="6CA969DE">
                  <w:pPr>
                    <w:widowControl/>
                    <w:jc w:val="center"/>
                    <w:textAlignment w:val="center"/>
                    <w:rPr>
                      <w:color w:val="auto"/>
                      <w:kern w:val="0"/>
                      <w:szCs w:val="21"/>
                      <w:lang w:bidi="ar"/>
                    </w:rPr>
                  </w:pPr>
                  <w:r>
                    <w:rPr>
                      <w:color w:val="auto"/>
                      <w:kern w:val="0"/>
                      <w:szCs w:val="21"/>
                      <w:lang w:bidi="ar"/>
                    </w:rPr>
                    <w:t>0.712</w:t>
                  </w:r>
                </w:p>
              </w:tc>
              <w:tc>
                <w:tcPr>
                  <w:tcW w:w="836" w:type="dxa"/>
                  <w:vAlign w:val="center"/>
                </w:tcPr>
                <w:p w14:paraId="3A4F564C">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10AE63C6">
                  <w:pPr>
                    <w:widowControl/>
                    <w:jc w:val="center"/>
                    <w:textAlignment w:val="center"/>
                    <w:rPr>
                      <w:color w:val="auto"/>
                      <w:kern w:val="0"/>
                      <w:szCs w:val="21"/>
                      <w:lang w:bidi="ar"/>
                    </w:rPr>
                  </w:pPr>
                  <w:r>
                    <w:rPr>
                      <w:color w:val="auto"/>
                      <w:kern w:val="0"/>
                      <w:szCs w:val="21"/>
                      <w:lang w:bidi="ar"/>
                    </w:rPr>
                    <w:t>1.86</w:t>
                  </w:r>
                </w:p>
              </w:tc>
              <w:tc>
                <w:tcPr>
                  <w:tcW w:w="1129" w:type="dxa"/>
                  <w:vAlign w:val="center"/>
                </w:tcPr>
                <w:p w14:paraId="0D366552">
                  <w:pPr>
                    <w:widowControl/>
                    <w:jc w:val="center"/>
                    <w:textAlignment w:val="center"/>
                    <w:rPr>
                      <w:color w:val="auto"/>
                      <w:kern w:val="0"/>
                      <w:szCs w:val="21"/>
                      <w:lang w:bidi="ar"/>
                    </w:rPr>
                  </w:pPr>
                  <w:r>
                    <w:rPr>
                      <w:color w:val="auto"/>
                      <w:kern w:val="0"/>
                      <w:szCs w:val="21"/>
                      <w:lang w:bidi="ar"/>
                    </w:rPr>
                    <w:t>0.641</w:t>
                  </w:r>
                </w:p>
              </w:tc>
              <w:tc>
                <w:tcPr>
                  <w:tcW w:w="1127" w:type="dxa"/>
                  <w:vAlign w:val="center"/>
                </w:tcPr>
                <w:p w14:paraId="7AD9ABB7">
                  <w:pPr>
                    <w:widowControl/>
                    <w:jc w:val="center"/>
                    <w:textAlignment w:val="center"/>
                    <w:rPr>
                      <w:color w:val="auto"/>
                      <w:kern w:val="0"/>
                      <w:szCs w:val="21"/>
                      <w:lang w:bidi="ar"/>
                    </w:rPr>
                  </w:pPr>
                  <w:r>
                    <w:rPr>
                      <w:color w:val="auto"/>
                      <w:kern w:val="0"/>
                      <w:szCs w:val="21"/>
                      <w:lang w:bidi="ar"/>
                    </w:rPr>
                    <w:t>0.21</w:t>
                  </w:r>
                </w:p>
              </w:tc>
              <w:tc>
                <w:tcPr>
                  <w:tcW w:w="1186" w:type="dxa"/>
                  <w:vAlign w:val="center"/>
                </w:tcPr>
                <w:p w14:paraId="0B9D7CC7">
                  <w:pPr>
                    <w:widowControl/>
                    <w:jc w:val="center"/>
                    <w:textAlignment w:val="center"/>
                    <w:rPr>
                      <w:color w:val="auto"/>
                      <w:kern w:val="0"/>
                      <w:szCs w:val="21"/>
                      <w:lang w:bidi="ar"/>
                    </w:rPr>
                  </w:pPr>
                  <w:r>
                    <w:rPr>
                      <w:color w:val="auto"/>
                      <w:kern w:val="0"/>
                      <w:szCs w:val="21"/>
                      <w:lang w:bidi="ar"/>
                    </w:rPr>
                    <w:t>0.071</w:t>
                  </w:r>
                </w:p>
              </w:tc>
            </w:tr>
            <w:tr w14:paraId="5D2D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continue"/>
                  <w:vAlign w:val="center"/>
                </w:tcPr>
                <w:p w14:paraId="2E7C1C09">
                  <w:pPr>
                    <w:widowControl/>
                    <w:jc w:val="center"/>
                    <w:textAlignment w:val="center"/>
                    <w:rPr>
                      <w:color w:val="auto"/>
                    </w:rPr>
                  </w:pPr>
                </w:p>
              </w:tc>
              <w:tc>
                <w:tcPr>
                  <w:tcW w:w="428" w:type="pct"/>
                  <w:vMerge w:val="continue"/>
                  <w:vAlign w:val="center"/>
                </w:tcPr>
                <w:p w14:paraId="6A4C55AA">
                  <w:pPr>
                    <w:widowControl/>
                    <w:jc w:val="center"/>
                    <w:textAlignment w:val="center"/>
                    <w:rPr>
                      <w:color w:val="auto"/>
                    </w:rPr>
                  </w:pPr>
                </w:p>
              </w:tc>
              <w:tc>
                <w:tcPr>
                  <w:tcW w:w="522" w:type="pct"/>
                  <w:vAlign w:val="center"/>
                </w:tcPr>
                <w:p w14:paraId="0D7F5724">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693EC7A2">
                  <w:pPr>
                    <w:widowControl/>
                    <w:jc w:val="center"/>
                    <w:textAlignment w:val="center"/>
                    <w:rPr>
                      <w:color w:val="auto"/>
                      <w:kern w:val="0"/>
                      <w:szCs w:val="21"/>
                      <w:lang w:bidi="ar"/>
                    </w:rPr>
                  </w:pPr>
                  <w:r>
                    <w:rPr>
                      <w:color w:val="auto"/>
                      <w:kern w:val="0"/>
                      <w:szCs w:val="21"/>
                      <w:lang w:bidi="ar"/>
                    </w:rPr>
                    <w:t>0.376</w:t>
                  </w:r>
                </w:p>
              </w:tc>
              <w:tc>
                <w:tcPr>
                  <w:tcW w:w="1133" w:type="dxa"/>
                  <w:vAlign w:val="center"/>
                </w:tcPr>
                <w:p w14:paraId="287D7D9A">
                  <w:pPr>
                    <w:widowControl/>
                    <w:jc w:val="center"/>
                    <w:textAlignment w:val="center"/>
                    <w:rPr>
                      <w:color w:val="auto"/>
                      <w:kern w:val="0"/>
                      <w:szCs w:val="21"/>
                      <w:lang w:bidi="ar"/>
                    </w:rPr>
                  </w:pPr>
                  <w:r>
                    <w:rPr>
                      <w:color w:val="auto"/>
                      <w:kern w:val="0"/>
                      <w:szCs w:val="21"/>
                      <w:lang w:bidi="ar"/>
                    </w:rPr>
                    <w:t>0.127</w:t>
                  </w:r>
                </w:p>
              </w:tc>
              <w:tc>
                <w:tcPr>
                  <w:tcW w:w="836" w:type="dxa"/>
                  <w:vAlign w:val="center"/>
                </w:tcPr>
                <w:p w14:paraId="71483810">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7A9BA3B6">
                  <w:pPr>
                    <w:widowControl/>
                    <w:jc w:val="center"/>
                    <w:textAlignment w:val="center"/>
                    <w:rPr>
                      <w:color w:val="auto"/>
                      <w:kern w:val="0"/>
                      <w:szCs w:val="21"/>
                      <w:lang w:bidi="ar"/>
                    </w:rPr>
                  </w:pPr>
                  <w:r>
                    <w:rPr>
                      <w:color w:val="auto"/>
                      <w:kern w:val="0"/>
                      <w:szCs w:val="21"/>
                      <w:lang w:bidi="ar"/>
                    </w:rPr>
                    <w:t>0.338</w:t>
                  </w:r>
                </w:p>
              </w:tc>
              <w:tc>
                <w:tcPr>
                  <w:tcW w:w="1129" w:type="dxa"/>
                  <w:vAlign w:val="center"/>
                </w:tcPr>
                <w:p w14:paraId="3FE47E85">
                  <w:pPr>
                    <w:widowControl/>
                    <w:jc w:val="center"/>
                    <w:textAlignment w:val="center"/>
                    <w:rPr>
                      <w:color w:val="auto"/>
                      <w:kern w:val="0"/>
                      <w:szCs w:val="21"/>
                      <w:lang w:bidi="ar"/>
                    </w:rPr>
                  </w:pPr>
                  <w:r>
                    <w:rPr>
                      <w:color w:val="auto"/>
                      <w:kern w:val="0"/>
                      <w:szCs w:val="21"/>
                      <w:lang w:bidi="ar"/>
                    </w:rPr>
                    <w:t>0.114</w:t>
                  </w:r>
                </w:p>
              </w:tc>
              <w:tc>
                <w:tcPr>
                  <w:tcW w:w="1127" w:type="dxa"/>
                  <w:vAlign w:val="center"/>
                </w:tcPr>
                <w:p w14:paraId="3BD68278">
                  <w:pPr>
                    <w:widowControl/>
                    <w:jc w:val="center"/>
                    <w:textAlignment w:val="center"/>
                    <w:rPr>
                      <w:color w:val="auto"/>
                      <w:kern w:val="0"/>
                      <w:szCs w:val="21"/>
                      <w:lang w:bidi="ar"/>
                    </w:rPr>
                  </w:pPr>
                  <w:r>
                    <w:rPr>
                      <w:color w:val="auto"/>
                      <w:kern w:val="0"/>
                      <w:szCs w:val="21"/>
                      <w:lang w:bidi="ar"/>
                    </w:rPr>
                    <w:t>0.038</w:t>
                  </w:r>
                </w:p>
              </w:tc>
              <w:tc>
                <w:tcPr>
                  <w:tcW w:w="1186" w:type="dxa"/>
                  <w:vAlign w:val="center"/>
                </w:tcPr>
                <w:p w14:paraId="2F57FA61">
                  <w:pPr>
                    <w:widowControl/>
                    <w:jc w:val="center"/>
                    <w:textAlignment w:val="center"/>
                    <w:rPr>
                      <w:color w:val="auto"/>
                      <w:kern w:val="0"/>
                      <w:szCs w:val="21"/>
                      <w:lang w:bidi="ar"/>
                    </w:rPr>
                  </w:pPr>
                  <w:r>
                    <w:rPr>
                      <w:color w:val="auto"/>
                      <w:kern w:val="0"/>
                      <w:szCs w:val="21"/>
                      <w:lang w:bidi="ar"/>
                    </w:rPr>
                    <w:t>0.013</w:t>
                  </w:r>
                </w:p>
              </w:tc>
            </w:tr>
            <w:tr w14:paraId="675D2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28E462C0">
                  <w:pPr>
                    <w:widowControl/>
                    <w:jc w:val="center"/>
                    <w:textAlignment w:val="center"/>
                    <w:rPr>
                      <w:color w:val="auto"/>
                      <w:kern w:val="0"/>
                      <w:szCs w:val="21"/>
                      <w:lang w:bidi="ar"/>
                    </w:rPr>
                  </w:pPr>
                </w:p>
              </w:tc>
              <w:tc>
                <w:tcPr>
                  <w:tcW w:w="428" w:type="pct"/>
                  <w:vAlign w:val="center"/>
                </w:tcPr>
                <w:p w14:paraId="5CAD37CA">
                  <w:pPr>
                    <w:widowControl/>
                    <w:jc w:val="center"/>
                    <w:textAlignment w:val="center"/>
                    <w:rPr>
                      <w:bCs/>
                      <w:color w:val="auto"/>
                      <w:kern w:val="0"/>
                      <w:szCs w:val="21"/>
                      <w:lang w:bidi="ar"/>
                    </w:rPr>
                  </w:pPr>
                  <w:r>
                    <w:rPr>
                      <w:rFonts w:hint="eastAsia"/>
                      <w:bCs/>
                      <w:color w:val="auto"/>
                      <w:kern w:val="0"/>
                      <w:szCs w:val="21"/>
                      <w:lang w:bidi="ar"/>
                    </w:rPr>
                    <w:t>固化</w:t>
                  </w:r>
                </w:p>
              </w:tc>
              <w:tc>
                <w:tcPr>
                  <w:tcW w:w="522" w:type="pct"/>
                  <w:vAlign w:val="center"/>
                </w:tcPr>
                <w:p w14:paraId="7C422AA1">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116A520F">
                  <w:pPr>
                    <w:widowControl/>
                    <w:jc w:val="center"/>
                    <w:textAlignment w:val="center"/>
                    <w:rPr>
                      <w:color w:val="auto"/>
                      <w:kern w:val="0"/>
                      <w:szCs w:val="21"/>
                      <w:lang w:bidi="ar"/>
                    </w:rPr>
                  </w:pPr>
                  <w:r>
                    <w:rPr>
                      <w:color w:val="auto"/>
                      <w:kern w:val="0"/>
                      <w:szCs w:val="21"/>
                      <w:lang w:bidi="ar"/>
                    </w:rPr>
                    <w:t>0.042</w:t>
                  </w:r>
                  <w:r>
                    <w:rPr>
                      <w:rFonts w:hint="eastAsia"/>
                      <w:color w:val="auto"/>
                      <w:kern w:val="0"/>
                      <w:szCs w:val="21"/>
                      <w:lang w:bidi="ar"/>
                    </w:rPr>
                    <w:t>9</w:t>
                  </w:r>
                </w:p>
              </w:tc>
              <w:tc>
                <w:tcPr>
                  <w:tcW w:w="1133" w:type="dxa"/>
                  <w:vAlign w:val="center"/>
                </w:tcPr>
                <w:p w14:paraId="36DACEC2">
                  <w:pPr>
                    <w:widowControl/>
                    <w:jc w:val="center"/>
                    <w:textAlignment w:val="center"/>
                    <w:rPr>
                      <w:color w:val="auto"/>
                      <w:kern w:val="0"/>
                      <w:szCs w:val="21"/>
                      <w:lang w:bidi="ar"/>
                    </w:rPr>
                  </w:pPr>
                  <w:r>
                    <w:rPr>
                      <w:color w:val="auto"/>
                      <w:kern w:val="0"/>
                      <w:szCs w:val="21"/>
                      <w:lang w:bidi="ar"/>
                    </w:rPr>
                    <w:t>0.0143</w:t>
                  </w:r>
                </w:p>
              </w:tc>
              <w:tc>
                <w:tcPr>
                  <w:tcW w:w="836" w:type="dxa"/>
                  <w:vAlign w:val="center"/>
                </w:tcPr>
                <w:p w14:paraId="033AC2FE">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00574DF0">
                  <w:pPr>
                    <w:widowControl/>
                    <w:jc w:val="center"/>
                    <w:textAlignment w:val="center"/>
                    <w:rPr>
                      <w:color w:val="auto"/>
                      <w:kern w:val="0"/>
                      <w:szCs w:val="21"/>
                      <w:lang w:bidi="ar"/>
                    </w:rPr>
                  </w:pPr>
                  <w:r>
                    <w:rPr>
                      <w:color w:val="auto"/>
                      <w:kern w:val="0"/>
                      <w:szCs w:val="21"/>
                      <w:lang w:bidi="ar"/>
                    </w:rPr>
                    <w:t>0.040</w:t>
                  </w:r>
                  <w:r>
                    <w:rPr>
                      <w:rFonts w:hint="eastAsia"/>
                      <w:color w:val="auto"/>
                      <w:kern w:val="0"/>
                      <w:szCs w:val="21"/>
                      <w:lang w:bidi="ar"/>
                    </w:rPr>
                    <w:t>8</w:t>
                  </w:r>
                </w:p>
              </w:tc>
              <w:tc>
                <w:tcPr>
                  <w:tcW w:w="1129" w:type="dxa"/>
                  <w:vAlign w:val="center"/>
                </w:tcPr>
                <w:p w14:paraId="3055A47E">
                  <w:pPr>
                    <w:widowControl/>
                    <w:jc w:val="center"/>
                    <w:textAlignment w:val="center"/>
                    <w:rPr>
                      <w:color w:val="auto"/>
                      <w:kern w:val="0"/>
                      <w:szCs w:val="21"/>
                      <w:lang w:bidi="ar"/>
                    </w:rPr>
                  </w:pPr>
                  <w:r>
                    <w:rPr>
                      <w:color w:val="auto"/>
                      <w:kern w:val="0"/>
                      <w:szCs w:val="21"/>
                      <w:lang w:bidi="ar"/>
                    </w:rPr>
                    <w:t>0.0136</w:t>
                  </w:r>
                </w:p>
              </w:tc>
              <w:tc>
                <w:tcPr>
                  <w:tcW w:w="1127" w:type="dxa"/>
                  <w:vAlign w:val="center"/>
                </w:tcPr>
                <w:p w14:paraId="60943801">
                  <w:pPr>
                    <w:widowControl/>
                    <w:jc w:val="center"/>
                    <w:textAlignment w:val="center"/>
                    <w:rPr>
                      <w:color w:val="auto"/>
                      <w:kern w:val="0"/>
                      <w:szCs w:val="21"/>
                      <w:lang w:bidi="ar"/>
                    </w:rPr>
                  </w:pPr>
                  <w:r>
                    <w:rPr>
                      <w:color w:val="auto"/>
                      <w:kern w:val="0"/>
                      <w:szCs w:val="21"/>
                      <w:lang w:bidi="ar"/>
                    </w:rPr>
                    <w:t>0.0021</w:t>
                  </w:r>
                </w:p>
              </w:tc>
              <w:tc>
                <w:tcPr>
                  <w:tcW w:w="1186" w:type="dxa"/>
                  <w:vAlign w:val="center"/>
                </w:tcPr>
                <w:p w14:paraId="31355DD3">
                  <w:pPr>
                    <w:widowControl/>
                    <w:jc w:val="center"/>
                    <w:textAlignment w:val="center"/>
                    <w:rPr>
                      <w:color w:val="auto"/>
                      <w:kern w:val="0"/>
                      <w:szCs w:val="21"/>
                      <w:lang w:bidi="ar"/>
                    </w:rPr>
                  </w:pPr>
                  <w:r>
                    <w:rPr>
                      <w:color w:val="auto"/>
                      <w:kern w:val="0"/>
                      <w:szCs w:val="21"/>
                      <w:lang w:bidi="ar"/>
                    </w:rPr>
                    <w:t>0.0007</w:t>
                  </w:r>
                </w:p>
              </w:tc>
            </w:tr>
            <w:tr w14:paraId="1C29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7C423780">
                  <w:pPr>
                    <w:widowControl/>
                    <w:jc w:val="center"/>
                    <w:textAlignment w:val="center"/>
                    <w:rPr>
                      <w:color w:val="auto"/>
                      <w:kern w:val="0"/>
                      <w:szCs w:val="21"/>
                      <w:lang w:bidi="ar"/>
                    </w:rPr>
                  </w:pPr>
                </w:p>
              </w:tc>
              <w:tc>
                <w:tcPr>
                  <w:tcW w:w="428" w:type="pct"/>
                  <w:vAlign w:val="center"/>
                </w:tcPr>
                <w:p w14:paraId="135813D4">
                  <w:pPr>
                    <w:widowControl/>
                    <w:jc w:val="center"/>
                    <w:textAlignment w:val="center"/>
                    <w:rPr>
                      <w:bCs/>
                      <w:color w:val="auto"/>
                      <w:kern w:val="0"/>
                      <w:szCs w:val="21"/>
                      <w:lang w:bidi="ar"/>
                    </w:rPr>
                  </w:pPr>
                  <w:r>
                    <w:rPr>
                      <w:rFonts w:hint="eastAsia"/>
                      <w:bCs/>
                      <w:color w:val="auto"/>
                      <w:kern w:val="0"/>
                      <w:szCs w:val="21"/>
                      <w:lang w:bidi="ar"/>
                    </w:rPr>
                    <w:t>烘烤</w:t>
                  </w:r>
                </w:p>
              </w:tc>
              <w:tc>
                <w:tcPr>
                  <w:tcW w:w="522" w:type="pct"/>
                  <w:vAlign w:val="center"/>
                </w:tcPr>
                <w:p w14:paraId="34FD55E7">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75D546FF">
                  <w:pPr>
                    <w:widowControl/>
                    <w:jc w:val="center"/>
                    <w:textAlignment w:val="center"/>
                    <w:rPr>
                      <w:color w:val="auto"/>
                      <w:kern w:val="0"/>
                      <w:szCs w:val="21"/>
                      <w:lang w:bidi="ar"/>
                    </w:rPr>
                  </w:pPr>
                  <w:r>
                    <w:rPr>
                      <w:color w:val="auto"/>
                      <w:kern w:val="0"/>
                      <w:szCs w:val="21"/>
                      <w:lang w:bidi="ar"/>
                    </w:rPr>
                    <w:t>0.0663</w:t>
                  </w:r>
                </w:p>
              </w:tc>
              <w:tc>
                <w:tcPr>
                  <w:tcW w:w="1133" w:type="dxa"/>
                  <w:vAlign w:val="center"/>
                </w:tcPr>
                <w:p w14:paraId="12119ACD">
                  <w:pPr>
                    <w:widowControl/>
                    <w:jc w:val="center"/>
                    <w:textAlignment w:val="center"/>
                    <w:rPr>
                      <w:color w:val="auto"/>
                      <w:kern w:val="0"/>
                      <w:szCs w:val="21"/>
                      <w:lang w:bidi="ar"/>
                    </w:rPr>
                  </w:pPr>
                  <w:r>
                    <w:rPr>
                      <w:color w:val="auto"/>
                      <w:kern w:val="0"/>
                      <w:szCs w:val="21"/>
                      <w:lang w:bidi="ar"/>
                    </w:rPr>
                    <w:t>0.0224</w:t>
                  </w:r>
                </w:p>
              </w:tc>
              <w:tc>
                <w:tcPr>
                  <w:tcW w:w="836" w:type="dxa"/>
                  <w:vAlign w:val="center"/>
                </w:tcPr>
                <w:p w14:paraId="486C6F2F">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02F22735">
                  <w:pPr>
                    <w:widowControl/>
                    <w:jc w:val="center"/>
                    <w:textAlignment w:val="center"/>
                    <w:rPr>
                      <w:color w:val="auto"/>
                      <w:kern w:val="0"/>
                      <w:szCs w:val="21"/>
                      <w:lang w:bidi="ar"/>
                    </w:rPr>
                  </w:pPr>
                  <w:r>
                    <w:rPr>
                      <w:color w:val="auto"/>
                      <w:kern w:val="0"/>
                      <w:szCs w:val="21"/>
                      <w:lang w:bidi="ar"/>
                    </w:rPr>
                    <w:t>0.063</w:t>
                  </w:r>
                </w:p>
              </w:tc>
              <w:tc>
                <w:tcPr>
                  <w:tcW w:w="1129" w:type="dxa"/>
                  <w:vAlign w:val="center"/>
                </w:tcPr>
                <w:p w14:paraId="1ED6DA86">
                  <w:pPr>
                    <w:widowControl/>
                    <w:jc w:val="center"/>
                    <w:textAlignment w:val="center"/>
                    <w:rPr>
                      <w:color w:val="auto"/>
                      <w:kern w:val="0"/>
                      <w:szCs w:val="21"/>
                      <w:lang w:bidi="ar"/>
                    </w:rPr>
                  </w:pPr>
                  <w:r>
                    <w:rPr>
                      <w:color w:val="auto"/>
                      <w:kern w:val="0"/>
                      <w:szCs w:val="21"/>
                      <w:lang w:bidi="ar"/>
                    </w:rPr>
                    <w:t>0.0213</w:t>
                  </w:r>
                </w:p>
              </w:tc>
              <w:tc>
                <w:tcPr>
                  <w:tcW w:w="1127" w:type="dxa"/>
                  <w:vAlign w:val="center"/>
                </w:tcPr>
                <w:p w14:paraId="3389F7FC">
                  <w:pPr>
                    <w:widowControl/>
                    <w:jc w:val="center"/>
                    <w:textAlignment w:val="center"/>
                    <w:rPr>
                      <w:color w:val="auto"/>
                      <w:kern w:val="0"/>
                      <w:szCs w:val="21"/>
                      <w:lang w:bidi="ar"/>
                    </w:rPr>
                  </w:pPr>
                  <w:r>
                    <w:rPr>
                      <w:color w:val="auto"/>
                      <w:kern w:val="0"/>
                      <w:szCs w:val="21"/>
                      <w:lang w:bidi="ar"/>
                    </w:rPr>
                    <w:t>0.0033</w:t>
                  </w:r>
                </w:p>
              </w:tc>
              <w:tc>
                <w:tcPr>
                  <w:tcW w:w="1186" w:type="dxa"/>
                  <w:vAlign w:val="center"/>
                </w:tcPr>
                <w:p w14:paraId="4EFB5CF5">
                  <w:pPr>
                    <w:widowControl/>
                    <w:jc w:val="center"/>
                    <w:textAlignment w:val="center"/>
                    <w:rPr>
                      <w:color w:val="auto"/>
                      <w:kern w:val="0"/>
                      <w:szCs w:val="21"/>
                      <w:lang w:bidi="ar"/>
                    </w:rPr>
                  </w:pPr>
                  <w:r>
                    <w:rPr>
                      <w:color w:val="auto"/>
                      <w:kern w:val="0"/>
                      <w:szCs w:val="21"/>
                      <w:lang w:bidi="ar"/>
                    </w:rPr>
                    <w:t>0.0011</w:t>
                  </w:r>
                </w:p>
              </w:tc>
            </w:tr>
            <w:tr w14:paraId="42D84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continue"/>
                  <w:vAlign w:val="center"/>
                </w:tcPr>
                <w:p w14:paraId="111244F0">
                  <w:pPr>
                    <w:widowControl/>
                    <w:jc w:val="center"/>
                    <w:textAlignment w:val="center"/>
                    <w:rPr>
                      <w:color w:val="auto"/>
                      <w:kern w:val="0"/>
                      <w:szCs w:val="21"/>
                      <w:lang w:bidi="ar"/>
                    </w:rPr>
                  </w:pPr>
                </w:p>
              </w:tc>
              <w:tc>
                <w:tcPr>
                  <w:tcW w:w="428" w:type="pct"/>
                  <w:vMerge w:val="restart"/>
                  <w:vAlign w:val="center"/>
                </w:tcPr>
                <w:p w14:paraId="04EB69E8">
                  <w:pPr>
                    <w:widowControl/>
                    <w:jc w:val="center"/>
                    <w:textAlignment w:val="center"/>
                    <w:rPr>
                      <w:bCs/>
                      <w:color w:val="auto"/>
                      <w:kern w:val="0"/>
                      <w:szCs w:val="21"/>
                      <w:lang w:bidi="ar"/>
                    </w:rPr>
                  </w:pPr>
                  <w:r>
                    <w:rPr>
                      <w:rFonts w:hint="eastAsia"/>
                      <w:bCs/>
                      <w:color w:val="auto"/>
                      <w:kern w:val="0"/>
                      <w:szCs w:val="21"/>
                      <w:lang w:bidi="ar"/>
                    </w:rPr>
                    <w:t>天然气燃烧</w:t>
                  </w:r>
                </w:p>
              </w:tc>
              <w:tc>
                <w:tcPr>
                  <w:tcW w:w="522" w:type="pct"/>
                  <w:vAlign w:val="center"/>
                </w:tcPr>
                <w:p w14:paraId="564A9E08">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079D6DF4">
                  <w:pPr>
                    <w:widowControl/>
                    <w:jc w:val="center"/>
                    <w:textAlignment w:val="center"/>
                    <w:rPr>
                      <w:color w:val="auto"/>
                      <w:kern w:val="0"/>
                      <w:szCs w:val="21"/>
                      <w:lang w:bidi="ar"/>
                    </w:rPr>
                  </w:pPr>
                  <w:r>
                    <w:rPr>
                      <w:color w:val="auto"/>
                      <w:kern w:val="0"/>
                      <w:szCs w:val="21"/>
                      <w:lang w:bidi="ar"/>
                    </w:rPr>
                    <w:t>0.0484</w:t>
                  </w:r>
                </w:p>
              </w:tc>
              <w:tc>
                <w:tcPr>
                  <w:tcW w:w="1133" w:type="dxa"/>
                  <w:vAlign w:val="center"/>
                </w:tcPr>
                <w:p w14:paraId="3D8FE356">
                  <w:pPr>
                    <w:widowControl/>
                    <w:jc w:val="center"/>
                    <w:textAlignment w:val="center"/>
                    <w:rPr>
                      <w:color w:val="auto"/>
                      <w:kern w:val="0"/>
                      <w:szCs w:val="21"/>
                      <w:lang w:bidi="ar"/>
                    </w:rPr>
                  </w:pPr>
                  <w:r>
                    <w:rPr>
                      <w:color w:val="auto"/>
                      <w:kern w:val="0"/>
                      <w:szCs w:val="21"/>
                      <w:lang w:bidi="ar"/>
                    </w:rPr>
                    <w:t>0.0161</w:t>
                  </w:r>
                </w:p>
              </w:tc>
              <w:tc>
                <w:tcPr>
                  <w:tcW w:w="836" w:type="dxa"/>
                  <w:vAlign w:val="center"/>
                </w:tcPr>
                <w:p w14:paraId="54112ED6">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323EA45B">
                  <w:pPr>
                    <w:widowControl/>
                    <w:jc w:val="center"/>
                    <w:textAlignment w:val="center"/>
                    <w:rPr>
                      <w:color w:val="auto"/>
                      <w:kern w:val="0"/>
                      <w:szCs w:val="21"/>
                      <w:lang w:bidi="ar"/>
                    </w:rPr>
                  </w:pPr>
                  <w:r>
                    <w:rPr>
                      <w:color w:val="auto"/>
                      <w:kern w:val="0"/>
                      <w:szCs w:val="21"/>
                      <w:lang w:bidi="ar"/>
                    </w:rPr>
                    <w:t>0.046</w:t>
                  </w:r>
                </w:p>
              </w:tc>
              <w:tc>
                <w:tcPr>
                  <w:tcW w:w="1129" w:type="dxa"/>
                  <w:vAlign w:val="center"/>
                </w:tcPr>
                <w:p w14:paraId="2833FE04">
                  <w:pPr>
                    <w:widowControl/>
                    <w:jc w:val="center"/>
                    <w:textAlignment w:val="center"/>
                    <w:rPr>
                      <w:color w:val="auto"/>
                      <w:kern w:val="0"/>
                      <w:szCs w:val="21"/>
                      <w:lang w:bidi="ar"/>
                    </w:rPr>
                  </w:pPr>
                  <w:r>
                    <w:rPr>
                      <w:color w:val="auto"/>
                      <w:kern w:val="0"/>
                      <w:szCs w:val="21"/>
                      <w:lang w:bidi="ar"/>
                    </w:rPr>
                    <w:t>0.0153</w:t>
                  </w:r>
                </w:p>
              </w:tc>
              <w:tc>
                <w:tcPr>
                  <w:tcW w:w="1127" w:type="dxa"/>
                  <w:vAlign w:val="center"/>
                </w:tcPr>
                <w:p w14:paraId="6DA4B9D0">
                  <w:pPr>
                    <w:widowControl/>
                    <w:jc w:val="center"/>
                    <w:textAlignment w:val="center"/>
                    <w:rPr>
                      <w:color w:val="auto"/>
                      <w:kern w:val="0"/>
                      <w:szCs w:val="21"/>
                      <w:lang w:bidi="ar"/>
                    </w:rPr>
                  </w:pPr>
                  <w:r>
                    <w:rPr>
                      <w:color w:val="auto"/>
                      <w:kern w:val="0"/>
                      <w:szCs w:val="21"/>
                      <w:lang w:bidi="ar"/>
                    </w:rPr>
                    <w:t>0.0024</w:t>
                  </w:r>
                </w:p>
              </w:tc>
              <w:tc>
                <w:tcPr>
                  <w:tcW w:w="1186" w:type="dxa"/>
                  <w:vAlign w:val="center"/>
                </w:tcPr>
                <w:p w14:paraId="63796303">
                  <w:pPr>
                    <w:widowControl/>
                    <w:jc w:val="center"/>
                    <w:textAlignment w:val="center"/>
                    <w:rPr>
                      <w:color w:val="auto"/>
                      <w:kern w:val="0"/>
                      <w:szCs w:val="21"/>
                      <w:lang w:bidi="ar"/>
                    </w:rPr>
                  </w:pPr>
                  <w:r>
                    <w:rPr>
                      <w:color w:val="auto"/>
                      <w:kern w:val="0"/>
                      <w:szCs w:val="21"/>
                      <w:lang w:bidi="ar"/>
                    </w:rPr>
                    <w:t>0.0008</w:t>
                  </w:r>
                </w:p>
              </w:tc>
            </w:tr>
            <w:tr w14:paraId="77856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continue"/>
                  <w:vAlign w:val="center"/>
                </w:tcPr>
                <w:p w14:paraId="7F11835A">
                  <w:pPr>
                    <w:widowControl/>
                    <w:jc w:val="center"/>
                    <w:textAlignment w:val="center"/>
                    <w:rPr>
                      <w:color w:val="auto"/>
                    </w:rPr>
                  </w:pPr>
                </w:p>
              </w:tc>
              <w:tc>
                <w:tcPr>
                  <w:tcW w:w="428" w:type="pct"/>
                  <w:vMerge w:val="continue"/>
                  <w:vAlign w:val="center"/>
                </w:tcPr>
                <w:p w14:paraId="5DE90F67">
                  <w:pPr>
                    <w:widowControl/>
                    <w:jc w:val="center"/>
                    <w:textAlignment w:val="center"/>
                    <w:rPr>
                      <w:color w:val="auto"/>
                    </w:rPr>
                  </w:pPr>
                </w:p>
              </w:tc>
              <w:tc>
                <w:tcPr>
                  <w:tcW w:w="522" w:type="pct"/>
                  <w:vAlign w:val="center"/>
                </w:tcPr>
                <w:p w14:paraId="5100B80F">
                  <w:pPr>
                    <w:widowControl/>
                    <w:jc w:val="center"/>
                    <w:textAlignment w:val="center"/>
                    <w:rPr>
                      <w:color w:val="auto"/>
                      <w:kern w:val="0"/>
                      <w:szCs w:val="21"/>
                      <w:lang w:bidi="ar"/>
                    </w:rPr>
                  </w:pPr>
                  <w:r>
                    <w:rPr>
                      <w:rFonts w:hint="eastAsia"/>
                      <w:color w:val="auto"/>
                      <w:kern w:val="0"/>
                      <w:szCs w:val="21"/>
                      <w:lang w:bidi="ar"/>
                    </w:rPr>
                    <w:t>氮氧化物</w:t>
                  </w:r>
                </w:p>
              </w:tc>
              <w:tc>
                <w:tcPr>
                  <w:tcW w:w="1144" w:type="dxa"/>
                  <w:vAlign w:val="center"/>
                </w:tcPr>
                <w:p w14:paraId="23A208E5">
                  <w:pPr>
                    <w:widowControl/>
                    <w:jc w:val="center"/>
                    <w:textAlignment w:val="center"/>
                    <w:rPr>
                      <w:color w:val="auto"/>
                      <w:kern w:val="0"/>
                      <w:szCs w:val="21"/>
                      <w:lang w:bidi="ar"/>
                    </w:rPr>
                  </w:pPr>
                  <w:r>
                    <w:rPr>
                      <w:color w:val="auto"/>
                      <w:kern w:val="0"/>
                      <w:szCs w:val="21"/>
                      <w:lang w:bidi="ar"/>
                    </w:rPr>
                    <w:t>0.1584</w:t>
                  </w:r>
                </w:p>
              </w:tc>
              <w:tc>
                <w:tcPr>
                  <w:tcW w:w="1133" w:type="dxa"/>
                  <w:vAlign w:val="center"/>
                </w:tcPr>
                <w:p w14:paraId="1A3BECD2">
                  <w:pPr>
                    <w:widowControl/>
                    <w:jc w:val="center"/>
                    <w:textAlignment w:val="center"/>
                    <w:rPr>
                      <w:color w:val="auto"/>
                      <w:kern w:val="0"/>
                      <w:szCs w:val="21"/>
                      <w:lang w:bidi="ar"/>
                    </w:rPr>
                  </w:pPr>
                  <w:r>
                    <w:rPr>
                      <w:color w:val="auto"/>
                      <w:kern w:val="0"/>
                      <w:szCs w:val="21"/>
                      <w:lang w:bidi="ar"/>
                    </w:rPr>
                    <w:t>0.0528</w:t>
                  </w:r>
                </w:p>
              </w:tc>
              <w:tc>
                <w:tcPr>
                  <w:tcW w:w="836" w:type="dxa"/>
                  <w:vAlign w:val="center"/>
                </w:tcPr>
                <w:p w14:paraId="07F8ED8A">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73BD71EA">
                  <w:pPr>
                    <w:widowControl/>
                    <w:jc w:val="center"/>
                    <w:textAlignment w:val="center"/>
                    <w:rPr>
                      <w:color w:val="auto"/>
                      <w:kern w:val="0"/>
                      <w:szCs w:val="21"/>
                      <w:lang w:bidi="ar"/>
                    </w:rPr>
                  </w:pPr>
                  <w:r>
                    <w:rPr>
                      <w:color w:val="auto"/>
                      <w:kern w:val="0"/>
                      <w:szCs w:val="21"/>
                      <w:lang w:bidi="ar"/>
                    </w:rPr>
                    <w:t>0.15</w:t>
                  </w:r>
                </w:p>
              </w:tc>
              <w:tc>
                <w:tcPr>
                  <w:tcW w:w="1129" w:type="dxa"/>
                  <w:vAlign w:val="center"/>
                </w:tcPr>
                <w:p w14:paraId="45C81358">
                  <w:pPr>
                    <w:widowControl/>
                    <w:jc w:val="center"/>
                    <w:textAlignment w:val="center"/>
                    <w:rPr>
                      <w:color w:val="auto"/>
                      <w:kern w:val="0"/>
                      <w:szCs w:val="21"/>
                      <w:lang w:bidi="ar"/>
                    </w:rPr>
                  </w:pPr>
                  <w:r>
                    <w:rPr>
                      <w:color w:val="auto"/>
                      <w:kern w:val="0"/>
                      <w:szCs w:val="21"/>
                      <w:lang w:bidi="ar"/>
                    </w:rPr>
                    <w:t>0.0502</w:t>
                  </w:r>
                </w:p>
              </w:tc>
              <w:tc>
                <w:tcPr>
                  <w:tcW w:w="1127" w:type="dxa"/>
                  <w:vAlign w:val="center"/>
                </w:tcPr>
                <w:p w14:paraId="279B0231">
                  <w:pPr>
                    <w:widowControl/>
                    <w:jc w:val="center"/>
                    <w:textAlignment w:val="center"/>
                    <w:rPr>
                      <w:color w:val="auto"/>
                      <w:kern w:val="0"/>
                      <w:szCs w:val="21"/>
                      <w:lang w:bidi="ar"/>
                    </w:rPr>
                  </w:pPr>
                  <w:r>
                    <w:rPr>
                      <w:color w:val="auto"/>
                      <w:kern w:val="0"/>
                      <w:szCs w:val="21"/>
                      <w:lang w:bidi="ar"/>
                    </w:rPr>
                    <w:t>0.0084</w:t>
                  </w:r>
                </w:p>
              </w:tc>
              <w:tc>
                <w:tcPr>
                  <w:tcW w:w="1186" w:type="dxa"/>
                  <w:vAlign w:val="center"/>
                </w:tcPr>
                <w:p w14:paraId="00AFE8DF">
                  <w:pPr>
                    <w:widowControl/>
                    <w:jc w:val="center"/>
                    <w:textAlignment w:val="center"/>
                    <w:rPr>
                      <w:color w:val="auto"/>
                      <w:kern w:val="0"/>
                      <w:szCs w:val="21"/>
                      <w:lang w:bidi="ar"/>
                    </w:rPr>
                  </w:pPr>
                  <w:r>
                    <w:rPr>
                      <w:color w:val="auto"/>
                      <w:kern w:val="0"/>
                      <w:szCs w:val="21"/>
                      <w:lang w:bidi="ar"/>
                    </w:rPr>
                    <w:t>0.0026</w:t>
                  </w:r>
                </w:p>
              </w:tc>
            </w:tr>
            <w:tr w14:paraId="58738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541B56AF">
                  <w:pPr>
                    <w:widowControl/>
                    <w:jc w:val="center"/>
                    <w:textAlignment w:val="center"/>
                    <w:rPr>
                      <w:color w:val="auto"/>
                      <w:kern w:val="0"/>
                      <w:szCs w:val="21"/>
                      <w:lang w:bidi="ar"/>
                    </w:rPr>
                  </w:pPr>
                </w:p>
              </w:tc>
              <w:tc>
                <w:tcPr>
                  <w:tcW w:w="428" w:type="pct"/>
                  <w:vMerge w:val="continue"/>
                  <w:vAlign w:val="center"/>
                </w:tcPr>
                <w:p w14:paraId="37D969D7">
                  <w:pPr>
                    <w:widowControl/>
                    <w:jc w:val="center"/>
                    <w:textAlignment w:val="center"/>
                    <w:rPr>
                      <w:bCs/>
                      <w:color w:val="auto"/>
                      <w:kern w:val="0"/>
                      <w:szCs w:val="21"/>
                      <w:lang w:bidi="ar"/>
                    </w:rPr>
                  </w:pPr>
                </w:p>
              </w:tc>
              <w:tc>
                <w:tcPr>
                  <w:tcW w:w="522" w:type="pct"/>
                  <w:vAlign w:val="center"/>
                </w:tcPr>
                <w:p w14:paraId="2ABE3705">
                  <w:pPr>
                    <w:widowControl/>
                    <w:jc w:val="center"/>
                    <w:textAlignment w:val="center"/>
                    <w:rPr>
                      <w:color w:val="auto"/>
                      <w:kern w:val="0"/>
                      <w:szCs w:val="21"/>
                      <w:lang w:bidi="ar"/>
                    </w:rPr>
                  </w:pPr>
                  <w:r>
                    <w:rPr>
                      <w:rFonts w:hint="eastAsia"/>
                      <w:color w:val="auto"/>
                      <w:kern w:val="0"/>
                      <w:szCs w:val="21"/>
                      <w:lang w:bidi="ar"/>
                    </w:rPr>
                    <w:t>二氧化硫</w:t>
                  </w:r>
                </w:p>
              </w:tc>
              <w:tc>
                <w:tcPr>
                  <w:tcW w:w="1144" w:type="dxa"/>
                  <w:vAlign w:val="center"/>
                </w:tcPr>
                <w:p w14:paraId="5E519374">
                  <w:pPr>
                    <w:widowControl/>
                    <w:jc w:val="center"/>
                    <w:textAlignment w:val="center"/>
                    <w:rPr>
                      <w:color w:val="auto"/>
                      <w:kern w:val="0"/>
                      <w:szCs w:val="21"/>
                      <w:lang w:bidi="ar"/>
                    </w:rPr>
                  </w:pPr>
                  <w:r>
                    <w:rPr>
                      <w:color w:val="auto"/>
                      <w:kern w:val="0"/>
                      <w:szCs w:val="21"/>
                      <w:lang w:bidi="ar"/>
                    </w:rPr>
                    <w:t>0.0338</w:t>
                  </w:r>
                </w:p>
              </w:tc>
              <w:tc>
                <w:tcPr>
                  <w:tcW w:w="1133" w:type="dxa"/>
                  <w:vAlign w:val="center"/>
                </w:tcPr>
                <w:p w14:paraId="7A92C4C5">
                  <w:pPr>
                    <w:widowControl/>
                    <w:jc w:val="center"/>
                    <w:textAlignment w:val="center"/>
                    <w:rPr>
                      <w:color w:val="auto"/>
                      <w:kern w:val="0"/>
                      <w:szCs w:val="21"/>
                      <w:lang w:bidi="ar"/>
                    </w:rPr>
                  </w:pPr>
                  <w:r>
                    <w:rPr>
                      <w:color w:val="auto"/>
                      <w:kern w:val="0"/>
                      <w:szCs w:val="21"/>
                      <w:lang w:bidi="ar"/>
                    </w:rPr>
                    <w:t>0.0113</w:t>
                  </w:r>
                </w:p>
              </w:tc>
              <w:tc>
                <w:tcPr>
                  <w:tcW w:w="836" w:type="dxa"/>
                  <w:vAlign w:val="center"/>
                </w:tcPr>
                <w:p w14:paraId="6B93AE87">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1B9B5FB7">
                  <w:pPr>
                    <w:widowControl/>
                    <w:jc w:val="center"/>
                    <w:textAlignment w:val="center"/>
                    <w:rPr>
                      <w:color w:val="auto"/>
                      <w:kern w:val="0"/>
                      <w:szCs w:val="21"/>
                      <w:lang w:bidi="ar"/>
                    </w:rPr>
                  </w:pPr>
                  <w:r>
                    <w:rPr>
                      <w:color w:val="auto"/>
                      <w:kern w:val="0"/>
                      <w:szCs w:val="21"/>
                      <w:lang w:bidi="ar"/>
                    </w:rPr>
                    <w:t>0.0321</w:t>
                  </w:r>
                </w:p>
              </w:tc>
              <w:tc>
                <w:tcPr>
                  <w:tcW w:w="1129" w:type="dxa"/>
                  <w:vAlign w:val="center"/>
                </w:tcPr>
                <w:p w14:paraId="32B3ADE6">
                  <w:pPr>
                    <w:widowControl/>
                    <w:jc w:val="center"/>
                    <w:textAlignment w:val="center"/>
                    <w:rPr>
                      <w:color w:val="auto"/>
                      <w:kern w:val="0"/>
                      <w:szCs w:val="21"/>
                      <w:lang w:bidi="ar"/>
                    </w:rPr>
                  </w:pPr>
                  <w:r>
                    <w:rPr>
                      <w:color w:val="auto"/>
                      <w:kern w:val="0"/>
                      <w:szCs w:val="21"/>
                      <w:lang w:bidi="ar"/>
                    </w:rPr>
                    <w:t>0.0107</w:t>
                  </w:r>
                </w:p>
              </w:tc>
              <w:tc>
                <w:tcPr>
                  <w:tcW w:w="1127" w:type="dxa"/>
                  <w:vAlign w:val="center"/>
                </w:tcPr>
                <w:p w14:paraId="32230FCC">
                  <w:pPr>
                    <w:widowControl/>
                    <w:jc w:val="center"/>
                    <w:textAlignment w:val="center"/>
                    <w:rPr>
                      <w:color w:val="auto"/>
                      <w:kern w:val="0"/>
                      <w:szCs w:val="21"/>
                      <w:lang w:bidi="ar"/>
                    </w:rPr>
                  </w:pPr>
                  <w:r>
                    <w:rPr>
                      <w:color w:val="auto"/>
                      <w:kern w:val="0"/>
                      <w:szCs w:val="21"/>
                      <w:lang w:bidi="ar"/>
                    </w:rPr>
                    <w:t>0.0017</w:t>
                  </w:r>
                </w:p>
              </w:tc>
              <w:tc>
                <w:tcPr>
                  <w:tcW w:w="1186" w:type="dxa"/>
                  <w:vAlign w:val="center"/>
                </w:tcPr>
                <w:p w14:paraId="0621C447">
                  <w:pPr>
                    <w:widowControl/>
                    <w:jc w:val="center"/>
                    <w:textAlignment w:val="center"/>
                    <w:rPr>
                      <w:color w:val="auto"/>
                      <w:kern w:val="0"/>
                      <w:szCs w:val="21"/>
                      <w:lang w:bidi="ar"/>
                    </w:rPr>
                  </w:pPr>
                  <w:r>
                    <w:rPr>
                      <w:color w:val="auto"/>
                      <w:kern w:val="0"/>
                      <w:szCs w:val="21"/>
                      <w:lang w:bidi="ar"/>
                    </w:rPr>
                    <w:t>0.0006</w:t>
                  </w:r>
                </w:p>
              </w:tc>
            </w:tr>
            <w:tr w14:paraId="1B732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6467BF97">
                  <w:pPr>
                    <w:widowControl/>
                    <w:jc w:val="center"/>
                    <w:textAlignment w:val="center"/>
                    <w:rPr>
                      <w:color w:val="auto"/>
                      <w:kern w:val="0"/>
                      <w:szCs w:val="21"/>
                      <w:lang w:bidi="ar"/>
                    </w:rPr>
                  </w:pPr>
                </w:p>
              </w:tc>
              <w:tc>
                <w:tcPr>
                  <w:tcW w:w="428" w:type="pct"/>
                  <w:vMerge w:val="restart"/>
                  <w:vAlign w:val="center"/>
                </w:tcPr>
                <w:p w14:paraId="7B2DE628">
                  <w:pPr>
                    <w:widowControl/>
                    <w:jc w:val="center"/>
                    <w:textAlignment w:val="center"/>
                    <w:rPr>
                      <w:bCs/>
                      <w:color w:val="auto"/>
                      <w:kern w:val="0"/>
                      <w:szCs w:val="21"/>
                      <w:lang w:bidi="ar"/>
                    </w:rPr>
                  </w:pPr>
                  <w:r>
                    <w:rPr>
                      <w:rFonts w:hint="eastAsia"/>
                      <w:bCs/>
                      <w:color w:val="auto"/>
                      <w:kern w:val="0"/>
                      <w:szCs w:val="21"/>
                      <w:lang w:bidi="ar"/>
                    </w:rPr>
                    <w:t>合计</w:t>
                  </w:r>
                </w:p>
              </w:tc>
              <w:tc>
                <w:tcPr>
                  <w:tcW w:w="522" w:type="pct"/>
                  <w:vAlign w:val="center"/>
                </w:tcPr>
                <w:p w14:paraId="2AE398B9">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7866C559">
                  <w:pPr>
                    <w:widowControl/>
                    <w:jc w:val="center"/>
                    <w:textAlignment w:val="center"/>
                    <w:rPr>
                      <w:color w:val="auto"/>
                      <w:kern w:val="0"/>
                      <w:szCs w:val="21"/>
                      <w:lang w:bidi="ar"/>
                    </w:rPr>
                  </w:pPr>
                  <w:r>
                    <w:rPr>
                      <w:color w:val="auto"/>
                      <w:kern w:val="0"/>
                      <w:szCs w:val="21"/>
                      <w:lang w:bidi="ar"/>
                    </w:rPr>
                    <w:t>2.1184</w:t>
                  </w:r>
                </w:p>
              </w:tc>
              <w:tc>
                <w:tcPr>
                  <w:tcW w:w="1133" w:type="dxa"/>
                  <w:vAlign w:val="center"/>
                </w:tcPr>
                <w:p w14:paraId="19ADE6DD">
                  <w:pPr>
                    <w:widowControl/>
                    <w:jc w:val="center"/>
                    <w:textAlignment w:val="center"/>
                    <w:rPr>
                      <w:color w:val="auto"/>
                      <w:kern w:val="0"/>
                      <w:szCs w:val="21"/>
                      <w:lang w:bidi="ar"/>
                    </w:rPr>
                  </w:pPr>
                  <w:r>
                    <w:rPr>
                      <w:color w:val="auto"/>
                      <w:kern w:val="0"/>
                      <w:szCs w:val="21"/>
                      <w:lang w:bidi="ar"/>
                    </w:rPr>
                    <w:t>0.7281</w:t>
                  </w:r>
                </w:p>
              </w:tc>
              <w:tc>
                <w:tcPr>
                  <w:tcW w:w="836" w:type="dxa"/>
                  <w:vAlign w:val="center"/>
                </w:tcPr>
                <w:p w14:paraId="3F7E65C1">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6F12832A">
                  <w:pPr>
                    <w:widowControl/>
                    <w:jc w:val="center"/>
                    <w:textAlignment w:val="center"/>
                    <w:rPr>
                      <w:color w:val="auto"/>
                      <w:kern w:val="0"/>
                      <w:szCs w:val="21"/>
                      <w:lang w:bidi="ar"/>
                    </w:rPr>
                  </w:pPr>
                  <w:r>
                    <w:rPr>
                      <w:color w:val="auto"/>
                      <w:kern w:val="0"/>
                      <w:szCs w:val="21"/>
                      <w:lang w:bidi="ar"/>
                    </w:rPr>
                    <w:t>1.906</w:t>
                  </w:r>
                </w:p>
              </w:tc>
              <w:tc>
                <w:tcPr>
                  <w:tcW w:w="1129" w:type="dxa"/>
                  <w:vAlign w:val="center"/>
                </w:tcPr>
                <w:p w14:paraId="343ECB3C">
                  <w:pPr>
                    <w:widowControl/>
                    <w:jc w:val="center"/>
                    <w:textAlignment w:val="center"/>
                    <w:rPr>
                      <w:color w:val="auto"/>
                      <w:kern w:val="0"/>
                      <w:szCs w:val="21"/>
                      <w:lang w:bidi="ar"/>
                    </w:rPr>
                  </w:pPr>
                  <w:r>
                    <w:rPr>
                      <w:color w:val="auto"/>
                      <w:kern w:val="0"/>
                      <w:szCs w:val="21"/>
                      <w:lang w:bidi="ar"/>
                    </w:rPr>
                    <w:t>0.6563</w:t>
                  </w:r>
                </w:p>
              </w:tc>
              <w:tc>
                <w:tcPr>
                  <w:tcW w:w="1127" w:type="dxa"/>
                  <w:vAlign w:val="center"/>
                </w:tcPr>
                <w:p w14:paraId="680782B4">
                  <w:pPr>
                    <w:widowControl/>
                    <w:jc w:val="center"/>
                    <w:textAlignment w:val="center"/>
                    <w:rPr>
                      <w:color w:val="auto"/>
                      <w:kern w:val="0"/>
                      <w:szCs w:val="21"/>
                      <w:lang w:bidi="ar"/>
                    </w:rPr>
                  </w:pPr>
                  <w:r>
                    <w:rPr>
                      <w:color w:val="auto"/>
                      <w:kern w:val="0"/>
                      <w:szCs w:val="21"/>
                      <w:lang w:bidi="ar"/>
                    </w:rPr>
                    <w:t>0.2124</w:t>
                  </w:r>
                </w:p>
              </w:tc>
              <w:tc>
                <w:tcPr>
                  <w:tcW w:w="1186" w:type="dxa"/>
                  <w:vAlign w:val="center"/>
                </w:tcPr>
                <w:p w14:paraId="032E1F4B">
                  <w:pPr>
                    <w:widowControl/>
                    <w:jc w:val="center"/>
                    <w:textAlignment w:val="center"/>
                    <w:rPr>
                      <w:color w:val="auto"/>
                      <w:kern w:val="0"/>
                      <w:szCs w:val="21"/>
                      <w:lang w:bidi="ar"/>
                    </w:rPr>
                  </w:pPr>
                  <w:r>
                    <w:rPr>
                      <w:color w:val="auto"/>
                      <w:kern w:val="0"/>
                      <w:szCs w:val="21"/>
                      <w:lang w:bidi="ar"/>
                    </w:rPr>
                    <w:t>0.0718</w:t>
                  </w:r>
                </w:p>
              </w:tc>
            </w:tr>
            <w:tr w14:paraId="7A792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2B102EDA">
                  <w:pPr>
                    <w:widowControl/>
                    <w:jc w:val="center"/>
                    <w:textAlignment w:val="center"/>
                    <w:rPr>
                      <w:color w:val="auto"/>
                      <w:kern w:val="0"/>
                      <w:szCs w:val="21"/>
                      <w:lang w:bidi="ar"/>
                    </w:rPr>
                  </w:pPr>
                </w:p>
              </w:tc>
              <w:tc>
                <w:tcPr>
                  <w:tcW w:w="428" w:type="pct"/>
                  <w:vMerge w:val="continue"/>
                  <w:vAlign w:val="center"/>
                </w:tcPr>
                <w:p w14:paraId="26E22DA0">
                  <w:pPr>
                    <w:widowControl/>
                    <w:jc w:val="center"/>
                    <w:textAlignment w:val="center"/>
                    <w:rPr>
                      <w:bCs/>
                      <w:color w:val="auto"/>
                      <w:kern w:val="0"/>
                      <w:szCs w:val="21"/>
                      <w:lang w:bidi="ar"/>
                    </w:rPr>
                  </w:pPr>
                </w:p>
              </w:tc>
              <w:tc>
                <w:tcPr>
                  <w:tcW w:w="522" w:type="pct"/>
                  <w:vAlign w:val="center"/>
                </w:tcPr>
                <w:p w14:paraId="4DFD1117">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00858184">
                  <w:pPr>
                    <w:widowControl/>
                    <w:jc w:val="center"/>
                    <w:textAlignment w:val="center"/>
                    <w:rPr>
                      <w:color w:val="auto"/>
                      <w:kern w:val="0"/>
                      <w:szCs w:val="21"/>
                      <w:lang w:bidi="ar"/>
                    </w:rPr>
                  </w:pPr>
                  <w:r>
                    <w:rPr>
                      <w:color w:val="auto"/>
                      <w:kern w:val="0"/>
                      <w:szCs w:val="21"/>
                      <w:lang w:bidi="ar"/>
                    </w:rPr>
                    <w:t>0.4852</w:t>
                  </w:r>
                </w:p>
              </w:tc>
              <w:tc>
                <w:tcPr>
                  <w:tcW w:w="1133" w:type="dxa"/>
                  <w:vAlign w:val="center"/>
                </w:tcPr>
                <w:p w14:paraId="1CC6567C">
                  <w:pPr>
                    <w:widowControl/>
                    <w:jc w:val="center"/>
                    <w:textAlignment w:val="center"/>
                    <w:rPr>
                      <w:color w:val="auto"/>
                      <w:kern w:val="0"/>
                      <w:szCs w:val="21"/>
                      <w:lang w:bidi="ar"/>
                    </w:rPr>
                  </w:pPr>
                  <w:r>
                    <w:rPr>
                      <w:color w:val="auto"/>
                      <w:kern w:val="0"/>
                      <w:szCs w:val="21"/>
                      <w:lang w:bidi="ar"/>
                    </w:rPr>
                    <w:t>0.1637</w:t>
                  </w:r>
                </w:p>
              </w:tc>
              <w:tc>
                <w:tcPr>
                  <w:tcW w:w="836" w:type="dxa"/>
                  <w:vAlign w:val="center"/>
                </w:tcPr>
                <w:p w14:paraId="7FF088FE">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49C47B96">
                  <w:pPr>
                    <w:widowControl/>
                    <w:jc w:val="center"/>
                    <w:textAlignment w:val="center"/>
                    <w:rPr>
                      <w:color w:val="auto"/>
                      <w:kern w:val="0"/>
                      <w:szCs w:val="21"/>
                      <w:lang w:bidi="ar"/>
                    </w:rPr>
                  </w:pPr>
                  <w:r>
                    <w:rPr>
                      <w:color w:val="auto"/>
                      <w:kern w:val="0"/>
                      <w:szCs w:val="21"/>
                      <w:lang w:bidi="ar"/>
                    </w:rPr>
                    <w:t>0.4418</w:t>
                  </w:r>
                </w:p>
              </w:tc>
              <w:tc>
                <w:tcPr>
                  <w:tcW w:w="1129" w:type="dxa"/>
                  <w:vAlign w:val="center"/>
                </w:tcPr>
                <w:p w14:paraId="11C5FCBE">
                  <w:pPr>
                    <w:widowControl/>
                    <w:jc w:val="center"/>
                    <w:textAlignment w:val="center"/>
                    <w:rPr>
                      <w:color w:val="auto"/>
                      <w:kern w:val="0"/>
                      <w:szCs w:val="21"/>
                      <w:lang w:bidi="ar"/>
                    </w:rPr>
                  </w:pPr>
                  <w:r>
                    <w:rPr>
                      <w:color w:val="auto"/>
                      <w:kern w:val="0"/>
                      <w:szCs w:val="21"/>
                      <w:lang w:bidi="ar"/>
                    </w:rPr>
                    <w:t>0.1489</w:t>
                  </w:r>
                </w:p>
              </w:tc>
              <w:tc>
                <w:tcPr>
                  <w:tcW w:w="1127" w:type="dxa"/>
                  <w:vAlign w:val="center"/>
                </w:tcPr>
                <w:p w14:paraId="737DB0EE">
                  <w:pPr>
                    <w:widowControl/>
                    <w:jc w:val="center"/>
                    <w:textAlignment w:val="center"/>
                    <w:rPr>
                      <w:color w:val="auto"/>
                      <w:kern w:val="0"/>
                      <w:szCs w:val="21"/>
                      <w:lang w:bidi="ar"/>
                    </w:rPr>
                  </w:pPr>
                  <w:r>
                    <w:rPr>
                      <w:color w:val="auto"/>
                      <w:kern w:val="0"/>
                      <w:szCs w:val="21"/>
                      <w:lang w:bidi="ar"/>
                    </w:rPr>
                    <w:t>0.0434</w:t>
                  </w:r>
                </w:p>
              </w:tc>
              <w:tc>
                <w:tcPr>
                  <w:tcW w:w="1186" w:type="dxa"/>
                  <w:vAlign w:val="center"/>
                </w:tcPr>
                <w:p w14:paraId="37F9853C">
                  <w:pPr>
                    <w:widowControl/>
                    <w:jc w:val="center"/>
                    <w:textAlignment w:val="center"/>
                    <w:rPr>
                      <w:color w:val="auto"/>
                      <w:kern w:val="0"/>
                      <w:szCs w:val="21"/>
                      <w:lang w:bidi="ar"/>
                    </w:rPr>
                  </w:pPr>
                  <w:r>
                    <w:rPr>
                      <w:color w:val="auto"/>
                      <w:kern w:val="0"/>
                      <w:szCs w:val="21"/>
                      <w:lang w:bidi="ar"/>
                    </w:rPr>
                    <w:t>0.0148</w:t>
                  </w:r>
                </w:p>
              </w:tc>
            </w:tr>
            <w:tr w14:paraId="56501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142D117F">
                  <w:pPr>
                    <w:widowControl/>
                    <w:jc w:val="center"/>
                    <w:textAlignment w:val="center"/>
                    <w:rPr>
                      <w:color w:val="auto"/>
                      <w:kern w:val="0"/>
                      <w:szCs w:val="21"/>
                      <w:lang w:bidi="ar"/>
                    </w:rPr>
                  </w:pPr>
                </w:p>
              </w:tc>
              <w:tc>
                <w:tcPr>
                  <w:tcW w:w="428" w:type="pct"/>
                  <w:vMerge w:val="continue"/>
                  <w:vAlign w:val="center"/>
                </w:tcPr>
                <w:p w14:paraId="2004E0D2">
                  <w:pPr>
                    <w:widowControl/>
                    <w:jc w:val="center"/>
                    <w:textAlignment w:val="center"/>
                    <w:rPr>
                      <w:bCs/>
                      <w:color w:val="auto"/>
                      <w:kern w:val="0"/>
                      <w:szCs w:val="21"/>
                      <w:lang w:bidi="ar"/>
                    </w:rPr>
                  </w:pPr>
                </w:p>
              </w:tc>
              <w:tc>
                <w:tcPr>
                  <w:tcW w:w="522" w:type="pct"/>
                  <w:vAlign w:val="center"/>
                </w:tcPr>
                <w:p w14:paraId="7631AE27">
                  <w:pPr>
                    <w:widowControl/>
                    <w:jc w:val="center"/>
                    <w:textAlignment w:val="center"/>
                    <w:rPr>
                      <w:color w:val="auto"/>
                      <w:kern w:val="0"/>
                      <w:szCs w:val="21"/>
                      <w:lang w:bidi="ar"/>
                    </w:rPr>
                  </w:pPr>
                  <w:r>
                    <w:rPr>
                      <w:rFonts w:hint="eastAsia"/>
                      <w:color w:val="auto"/>
                      <w:kern w:val="0"/>
                      <w:szCs w:val="21"/>
                      <w:lang w:bidi="ar"/>
                    </w:rPr>
                    <w:t>氮氧化物</w:t>
                  </w:r>
                </w:p>
              </w:tc>
              <w:tc>
                <w:tcPr>
                  <w:tcW w:w="1144" w:type="dxa"/>
                  <w:vAlign w:val="center"/>
                </w:tcPr>
                <w:p w14:paraId="6AF31483">
                  <w:pPr>
                    <w:widowControl/>
                    <w:jc w:val="center"/>
                    <w:textAlignment w:val="center"/>
                    <w:rPr>
                      <w:color w:val="auto"/>
                      <w:kern w:val="0"/>
                      <w:szCs w:val="21"/>
                      <w:lang w:bidi="ar"/>
                    </w:rPr>
                  </w:pPr>
                  <w:r>
                    <w:rPr>
                      <w:color w:val="auto"/>
                      <w:kern w:val="0"/>
                      <w:szCs w:val="21"/>
                      <w:lang w:bidi="ar"/>
                    </w:rPr>
                    <w:t>0.1584</w:t>
                  </w:r>
                </w:p>
              </w:tc>
              <w:tc>
                <w:tcPr>
                  <w:tcW w:w="1133" w:type="dxa"/>
                  <w:vAlign w:val="center"/>
                </w:tcPr>
                <w:p w14:paraId="0A66D9A8">
                  <w:pPr>
                    <w:widowControl/>
                    <w:jc w:val="center"/>
                    <w:textAlignment w:val="center"/>
                    <w:rPr>
                      <w:color w:val="auto"/>
                      <w:kern w:val="0"/>
                      <w:szCs w:val="21"/>
                      <w:lang w:bidi="ar"/>
                    </w:rPr>
                  </w:pPr>
                  <w:r>
                    <w:rPr>
                      <w:color w:val="auto"/>
                      <w:kern w:val="0"/>
                      <w:szCs w:val="21"/>
                      <w:lang w:bidi="ar"/>
                    </w:rPr>
                    <w:t>0.0528</w:t>
                  </w:r>
                </w:p>
              </w:tc>
              <w:tc>
                <w:tcPr>
                  <w:tcW w:w="836" w:type="dxa"/>
                  <w:vAlign w:val="center"/>
                </w:tcPr>
                <w:p w14:paraId="26B8C372">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192EB5D9">
                  <w:pPr>
                    <w:widowControl/>
                    <w:jc w:val="center"/>
                    <w:textAlignment w:val="center"/>
                    <w:rPr>
                      <w:color w:val="auto"/>
                      <w:kern w:val="0"/>
                      <w:szCs w:val="21"/>
                      <w:lang w:bidi="ar"/>
                    </w:rPr>
                  </w:pPr>
                  <w:r>
                    <w:rPr>
                      <w:color w:val="auto"/>
                      <w:kern w:val="0"/>
                      <w:szCs w:val="21"/>
                      <w:lang w:bidi="ar"/>
                    </w:rPr>
                    <w:t>0.15</w:t>
                  </w:r>
                </w:p>
              </w:tc>
              <w:tc>
                <w:tcPr>
                  <w:tcW w:w="1129" w:type="dxa"/>
                  <w:vAlign w:val="center"/>
                </w:tcPr>
                <w:p w14:paraId="3002F99C">
                  <w:pPr>
                    <w:widowControl/>
                    <w:jc w:val="center"/>
                    <w:textAlignment w:val="center"/>
                    <w:rPr>
                      <w:color w:val="auto"/>
                      <w:kern w:val="0"/>
                      <w:szCs w:val="21"/>
                      <w:lang w:bidi="ar"/>
                    </w:rPr>
                  </w:pPr>
                  <w:r>
                    <w:rPr>
                      <w:color w:val="auto"/>
                      <w:kern w:val="0"/>
                      <w:szCs w:val="21"/>
                      <w:lang w:bidi="ar"/>
                    </w:rPr>
                    <w:t>0.0502</w:t>
                  </w:r>
                </w:p>
              </w:tc>
              <w:tc>
                <w:tcPr>
                  <w:tcW w:w="1127" w:type="dxa"/>
                  <w:vAlign w:val="center"/>
                </w:tcPr>
                <w:p w14:paraId="7D2E9CDA">
                  <w:pPr>
                    <w:widowControl/>
                    <w:jc w:val="center"/>
                    <w:textAlignment w:val="center"/>
                    <w:rPr>
                      <w:color w:val="auto"/>
                      <w:kern w:val="0"/>
                      <w:szCs w:val="21"/>
                      <w:lang w:bidi="ar"/>
                    </w:rPr>
                  </w:pPr>
                  <w:r>
                    <w:rPr>
                      <w:color w:val="auto"/>
                      <w:kern w:val="0"/>
                      <w:szCs w:val="21"/>
                      <w:lang w:bidi="ar"/>
                    </w:rPr>
                    <w:t>0.0084</w:t>
                  </w:r>
                </w:p>
              </w:tc>
              <w:tc>
                <w:tcPr>
                  <w:tcW w:w="1186" w:type="dxa"/>
                  <w:vAlign w:val="center"/>
                </w:tcPr>
                <w:p w14:paraId="00444678">
                  <w:pPr>
                    <w:widowControl/>
                    <w:jc w:val="center"/>
                    <w:textAlignment w:val="center"/>
                    <w:rPr>
                      <w:color w:val="auto"/>
                      <w:kern w:val="0"/>
                      <w:szCs w:val="21"/>
                      <w:lang w:bidi="ar"/>
                    </w:rPr>
                  </w:pPr>
                  <w:r>
                    <w:rPr>
                      <w:color w:val="auto"/>
                      <w:kern w:val="0"/>
                      <w:szCs w:val="21"/>
                      <w:lang w:bidi="ar"/>
                    </w:rPr>
                    <w:t>0.0026</w:t>
                  </w:r>
                </w:p>
              </w:tc>
            </w:tr>
            <w:tr w14:paraId="094DB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4" w:type="pct"/>
                  <w:vMerge w:val="continue"/>
                  <w:vAlign w:val="center"/>
                </w:tcPr>
                <w:p w14:paraId="58F6DE8A">
                  <w:pPr>
                    <w:widowControl/>
                    <w:jc w:val="center"/>
                    <w:textAlignment w:val="center"/>
                    <w:rPr>
                      <w:color w:val="auto"/>
                      <w:kern w:val="0"/>
                      <w:szCs w:val="21"/>
                      <w:lang w:bidi="ar"/>
                    </w:rPr>
                  </w:pPr>
                </w:p>
              </w:tc>
              <w:tc>
                <w:tcPr>
                  <w:tcW w:w="428" w:type="pct"/>
                  <w:vMerge w:val="continue"/>
                  <w:vAlign w:val="center"/>
                </w:tcPr>
                <w:p w14:paraId="11C44B0C">
                  <w:pPr>
                    <w:widowControl/>
                    <w:jc w:val="center"/>
                    <w:textAlignment w:val="center"/>
                    <w:rPr>
                      <w:bCs/>
                      <w:color w:val="auto"/>
                      <w:kern w:val="0"/>
                      <w:szCs w:val="21"/>
                      <w:lang w:bidi="ar"/>
                    </w:rPr>
                  </w:pPr>
                </w:p>
              </w:tc>
              <w:tc>
                <w:tcPr>
                  <w:tcW w:w="522" w:type="pct"/>
                  <w:vAlign w:val="center"/>
                </w:tcPr>
                <w:p w14:paraId="327FC8F4">
                  <w:pPr>
                    <w:widowControl/>
                    <w:jc w:val="center"/>
                    <w:textAlignment w:val="center"/>
                    <w:rPr>
                      <w:color w:val="auto"/>
                      <w:kern w:val="0"/>
                      <w:szCs w:val="21"/>
                      <w:lang w:bidi="ar"/>
                    </w:rPr>
                  </w:pPr>
                  <w:r>
                    <w:rPr>
                      <w:rFonts w:hint="eastAsia"/>
                      <w:color w:val="auto"/>
                      <w:kern w:val="0"/>
                      <w:szCs w:val="21"/>
                      <w:lang w:bidi="ar"/>
                    </w:rPr>
                    <w:t>二氧化硫</w:t>
                  </w:r>
                </w:p>
              </w:tc>
              <w:tc>
                <w:tcPr>
                  <w:tcW w:w="1144" w:type="dxa"/>
                  <w:vAlign w:val="center"/>
                </w:tcPr>
                <w:p w14:paraId="6B4CF7F4">
                  <w:pPr>
                    <w:widowControl/>
                    <w:jc w:val="center"/>
                    <w:textAlignment w:val="center"/>
                    <w:rPr>
                      <w:color w:val="auto"/>
                      <w:kern w:val="0"/>
                      <w:szCs w:val="21"/>
                      <w:lang w:bidi="ar"/>
                    </w:rPr>
                  </w:pPr>
                  <w:r>
                    <w:rPr>
                      <w:color w:val="auto"/>
                      <w:kern w:val="0"/>
                      <w:szCs w:val="21"/>
                      <w:lang w:bidi="ar"/>
                    </w:rPr>
                    <w:t>0.0338</w:t>
                  </w:r>
                </w:p>
              </w:tc>
              <w:tc>
                <w:tcPr>
                  <w:tcW w:w="1133" w:type="dxa"/>
                  <w:vAlign w:val="center"/>
                </w:tcPr>
                <w:p w14:paraId="02D13824">
                  <w:pPr>
                    <w:widowControl/>
                    <w:jc w:val="center"/>
                    <w:textAlignment w:val="center"/>
                    <w:rPr>
                      <w:color w:val="auto"/>
                      <w:kern w:val="0"/>
                      <w:szCs w:val="21"/>
                      <w:lang w:bidi="ar"/>
                    </w:rPr>
                  </w:pPr>
                  <w:r>
                    <w:rPr>
                      <w:color w:val="auto"/>
                      <w:kern w:val="0"/>
                      <w:szCs w:val="21"/>
                      <w:lang w:bidi="ar"/>
                    </w:rPr>
                    <w:t>0.0113</w:t>
                  </w:r>
                </w:p>
              </w:tc>
              <w:tc>
                <w:tcPr>
                  <w:tcW w:w="836" w:type="dxa"/>
                  <w:vAlign w:val="center"/>
                </w:tcPr>
                <w:p w14:paraId="2F637128">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14F8C83A">
                  <w:pPr>
                    <w:widowControl/>
                    <w:jc w:val="center"/>
                    <w:textAlignment w:val="center"/>
                    <w:rPr>
                      <w:color w:val="auto"/>
                      <w:kern w:val="0"/>
                      <w:szCs w:val="21"/>
                      <w:lang w:bidi="ar"/>
                    </w:rPr>
                  </w:pPr>
                  <w:r>
                    <w:rPr>
                      <w:color w:val="auto"/>
                      <w:kern w:val="0"/>
                      <w:szCs w:val="21"/>
                      <w:lang w:bidi="ar"/>
                    </w:rPr>
                    <w:t>0.0321</w:t>
                  </w:r>
                </w:p>
              </w:tc>
              <w:tc>
                <w:tcPr>
                  <w:tcW w:w="1129" w:type="dxa"/>
                  <w:vAlign w:val="center"/>
                </w:tcPr>
                <w:p w14:paraId="2726287F">
                  <w:pPr>
                    <w:widowControl/>
                    <w:jc w:val="center"/>
                    <w:textAlignment w:val="center"/>
                    <w:rPr>
                      <w:color w:val="auto"/>
                      <w:kern w:val="0"/>
                      <w:szCs w:val="21"/>
                      <w:lang w:bidi="ar"/>
                    </w:rPr>
                  </w:pPr>
                  <w:r>
                    <w:rPr>
                      <w:color w:val="auto"/>
                      <w:kern w:val="0"/>
                      <w:szCs w:val="21"/>
                      <w:lang w:bidi="ar"/>
                    </w:rPr>
                    <w:t>0.0107</w:t>
                  </w:r>
                </w:p>
              </w:tc>
              <w:tc>
                <w:tcPr>
                  <w:tcW w:w="1127" w:type="dxa"/>
                  <w:vAlign w:val="center"/>
                </w:tcPr>
                <w:p w14:paraId="7DEC584A">
                  <w:pPr>
                    <w:widowControl/>
                    <w:jc w:val="center"/>
                    <w:textAlignment w:val="center"/>
                    <w:rPr>
                      <w:color w:val="auto"/>
                      <w:kern w:val="0"/>
                      <w:szCs w:val="21"/>
                      <w:lang w:bidi="ar"/>
                    </w:rPr>
                  </w:pPr>
                  <w:r>
                    <w:rPr>
                      <w:color w:val="auto"/>
                      <w:kern w:val="0"/>
                      <w:szCs w:val="21"/>
                      <w:lang w:bidi="ar"/>
                    </w:rPr>
                    <w:t>0.0017</w:t>
                  </w:r>
                </w:p>
              </w:tc>
              <w:tc>
                <w:tcPr>
                  <w:tcW w:w="1186" w:type="dxa"/>
                  <w:vAlign w:val="center"/>
                </w:tcPr>
                <w:p w14:paraId="6F040C03">
                  <w:pPr>
                    <w:widowControl/>
                    <w:jc w:val="center"/>
                    <w:textAlignment w:val="center"/>
                    <w:rPr>
                      <w:color w:val="auto"/>
                      <w:kern w:val="0"/>
                      <w:szCs w:val="21"/>
                      <w:lang w:bidi="ar"/>
                    </w:rPr>
                  </w:pPr>
                  <w:r>
                    <w:rPr>
                      <w:color w:val="auto"/>
                      <w:kern w:val="0"/>
                      <w:szCs w:val="21"/>
                      <w:lang w:bidi="ar"/>
                    </w:rPr>
                    <w:t>0.0006</w:t>
                  </w:r>
                </w:p>
              </w:tc>
            </w:tr>
            <w:tr w14:paraId="5B605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restart"/>
                  <w:vAlign w:val="center"/>
                </w:tcPr>
                <w:p w14:paraId="05506D73">
                  <w:pPr>
                    <w:widowControl/>
                    <w:jc w:val="center"/>
                    <w:textAlignment w:val="center"/>
                    <w:rPr>
                      <w:color w:val="auto"/>
                      <w:kern w:val="0"/>
                      <w:szCs w:val="21"/>
                      <w:lang w:bidi="ar"/>
                    </w:rPr>
                  </w:pPr>
                  <w:r>
                    <w:rPr>
                      <w:rFonts w:hint="eastAsia"/>
                      <w:color w:val="auto"/>
                      <w:kern w:val="0"/>
                      <w:szCs w:val="21"/>
                      <w:lang w:bidi="ar"/>
                    </w:rPr>
                    <w:t>DA004</w:t>
                  </w:r>
                </w:p>
              </w:tc>
              <w:tc>
                <w:tcPr>
                  <w:tcW w:w="428" w:type="pct"/>
                  <w:vMerge w:val="restart"/>
                  <w:vAlign w:val="center"/>
                </w:tcPr>
                <w:p w14:paraId="7983925D">
                  <w:pPr>
                    <w:widowControl/>
                    <w:jc w:val="center"/>
                    <w:textAlignment w:val="center"/>
                    <w:rPr>
                      <w:bCs/>
                      <w:color w:val="auto"/>
                      <w:kern w:val="0"/>
                      <w:szCs w:val="21"/>
                      <w:lang w:bidi="ar"/>
                    </w:rPr>
                  </w:pPr>
                  <w:r>
                    <w:rPr>
                      <w:rFonts w:hint="eastAsia"/>
                      <w:bCs/>
                      <w:color w:val="auto"/>
                      <w:kern w:val="0"/>
                      <w:szCs w:val="21"/>
                      <w:lang w:bidi="ar"/>
                    </w:rPr>
                    <w:t>喷漆</w:t>
                  </w:r>
                </w:p>
              </w:tc>
              <w:tc>
                <w:tcPr>
                  <w:tcW w:w="522" w:type="pct"/>
                  <w:vAlign w:val="center"/>
                </w:tcPr>
                <w:p w14:paraId="479305D3">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6E535C39">
                  <w:pPr>
                    <w:widowControl/>
                    <w:jc w:val="center"/>
                    <w:textAlignment w:val="center"/>
                    <w:rPr>
                      <w:color w:val="auto"/>
                      <w:kern w:val="0"/>
                      <w:szCs w:val="21"/>
                      <w:lang w:bidi="ar"/>
                    </w:rPr>
                  </w:pPr>
                  <w:r>
                    <w:rPr>
                      <w:color w:val="auto"/>
                      <w:kern w:val="0"/>
                      <w:szCs w:val="21"/>
                      <w:lang w:bidi="ar"/>
                    </w:rPr>
                    <w:t>1.35</w:t>
                  </w:r>
                </w:p>
              </w:tc>
              <w:tc>
                <w:tcPr>
                  <w:tcW w:w="1133" w:type="dxa"/>
                  <w:vAlign w:val="center"/>
                </w:tcPr>
                <w:p w14:paraId="0F05D81E">
                  <w:pPr>
                    <w:widowControl/>
                    <w:jc w:val="center"/>
                    <w:textAlignment w:val="center"/>
                    <w:rPr>
                      <w:color w:val="auto"/>
                      <w:kern w:val="0"/>
                      <w:szCs w:val="21"/>
                      <w:lang w:bidi="ar"/>
                    </w:rPr>
                  </w:pPr>
                  <w:r>
                    <w:rPr>
                      <w:color w:val="auto"/>
                      <w:kern w:val="0"/>
                      <w:szCs w:val="21"/>
                      <w:lang w:bidi="ar"/>
                    </w:rPr>
                    <w:t>0.451</w:t>
                  </w:r>
                </w:p>
              </w:tc>
              <w:tc>
                <w:tcPr>
                  <w:tcW w:w="836" w:type="dxa"/>
                  <w:vAlign w:val="center"/>
                </w:tcPr>
                <w:p w14:paraId="6E40AF78">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42986DC1">
                  <w:pPr>
                    <w:widowControl/>
                    <w:jc w:val="center"/>
                    <w:textAlignment w:val="center"/>
                    <w:rPr>
                      <w:color w:val="auto"/>
                      <w:kern w:val="0"/>
                      <w:szCs w:val="21"/>
                      <w:lang w:bidi="ar"/>
                    </w:rPr>
                  </w:pPr>
                  <w:r>
                    <w:rPr>
                      <w:color w:val="auto"/>
                      <w:kern w:val="0"/>
                      <w:szCs w:val="21"/>
                      <w:lang w:bidi="ar"/>
                    </w:rPr>
                    <w:t>1.22</w:t>
                  </w:r>
                </w:p>
              </w:tc>
              <w:tc>
                <w:tcPr>
                  <w:tcW w:w="1129" w:type="dxa"/>
                  <w:vAlign w:val="center"/>
                </w:tcPr>
                <w:p w14:paraId="6CB752F6">
                  <w:pPr>
                    <w:widowControl/>
                    <w:jc w:val="center"/>
                    <w:textAlignment w:val="center"/>
                    <w:rPr>
                      <w:color w:val="auto"/>
                      <w:kern w:val="0"/>
                      <w:szCs w:val="21"/>
                      <w:lang w:bidi="ar"/>
                    </w:rPr>
                  </w:pPr>
                  <w:r>
                    <w:rPr>
                      <w:color w:val="auto"/>
                      <w:kern w:val="0"/>
                      <w:szCs w:val="21"/>
                      <w:lang w:bidi="ar"/>
                    </w:rPr>
                    <w:t>0.406</w:t>
                  </w:r>
                </w:p>
              </w:tc>
              <w:tc>
                <w:tcPr>
                  <w:tcW w:w="1127" w:type="dxa"/>
                  <w:vAlign w:val="center"/>
                </w:tcPr>
                <w:p w14:paraId="4FF69D01">
                  <w:pPr>
                    <w:widowControl/>
                    <w:jc w:val="center"/>
                    <w:textAlignment w:val="center"/>
                    <w:rPr>
                      <w:color w:val="auto"/>
                      <w:kern w:val="0"/>
                      <w:szCs w:val="21"/>
                      <w:lang w:bidi="ar"/>
                    </w:rPr>
                  </w:pPr>
                  <w:r>
                    <w:rPr>
                      <w:color w:val="auto"/>
                      <w:kern w:val="0"/>
                      <w:szCs w:val="21"/>
                      <w:lang w:bidi="ar"/>
                    </w:rPr>
                    <w:t>0.13</w:t>
                  </w:r>
                </w:p>
              </w:tc>
              <w:tc>
                <w:tcPr>
                  <w:tcW w:w="1186" w:type="dxa"/>
                  <w:vAlign w:val="center"/>
                </w:tcPr>
                <w:p w14:paraId="42F21019">
                  <w:pPr>
                    <w:widowControl/>
                    <w:jc w:val="center"/>
                    <w:textAlignment w:val="center"/>
                    <w:rPr>
                      <w:color w:val="auto"/>
                      <w:kern w:val="0"/>
                      <w:szCs w:val="21"/>
                      <w:lang w:bidi="ar"/>
                    </w:rPr>
                  </w:pPr>
                  <w:r>
                    <w:rPr>
                      <w:color w:val="auto"/>
                      <w:kern w:val="0"/>
                      <w:szCs w:val="21"/>
                      <w:lang w:bidi="ar"/>
                    </w:rPr>
                    <w:t>0.045</w:t>
                  </w:r>
                </w:p>
              </w:tc>
            </w:tr>
            <w:tr w14:paraId="625D8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continue"/>
                  <w:vAlign w:val="center"/>
                </w:tcPr>
                <w:p w14:paraId="19C338A5">
                  <w:pPr>
                    <w:widowControl/>
                    <w:jc w:val="center"/>
                    <w:textAlignment w:val="center"/>
                    <w:rPr>
                      <w:color w:val="auto"/>
                    </w:rPr>
                  </w:pPr>
                </w:p>
              </w:tc>
              <w:tc>
                <w:tcPr>
                  <w:tcW w:w="428" w:type="pct"/>
                  <w:vMerge w:val="continue"/>
                  <w:vAlign w:val="center"/>
                </w:tcPr>
                <w:p w14:paraId="7160DC45">
                  <w:pPr>
                    <w:widowControl/>
                    <w:jc w:val="center"/>
                    <w:textAlignment w:val="center"/>
                    <w:rPr>
                      <w:color w:val="auto"/>
                    </w:rPr>
                  </w:pPr>
                </w:p>
              </w:tc>
              <w:tc>
                <w:tcPr>
                  <w:tcW w:w="522" w:type="pct"/>
                  <w:vAlign w:val="center"/>
                </w:tcPr>
                <w:p w14:paraId="2BEF241A">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1048B59E">
                  <w:pPr>
                    <w:widowControl/>
                    <w:jc w:val="center"/>
                    <w:textAlignment w:val="center"/>
                    <w:rPr>
                      <w:color w:val="auto"/>
                      <w:kern w:val="0"/>
                      <w:szCs w:val="21"/>
                      <w:lang w:bidi="ar"/>
                    </w:rPr>
                  </w:pPr>
                  <w:r>
                    <w:rPr>
                      <w:color w:val="auto"/>
                      <w:kern w:val="0"/>
                      <w:szCs w:val="21"/>
                      <w:lang w:bidi="ar"/>
                    </w:rPr>
                    <w:t>0.149</w:t>
                  </w:r>
                </w:p>
              </w:tc>
              <w:tc>
                <w:tcPr>
                  <w:tcW w:w="1133" w:type="dxa"/>
                  <w:vAlign w:val="center"/>
                </w:tcPr>
                <w:p w14:paraId="506C1C67">
                  <w:pPr>
                    <w:widowControl/>
                    <w:jc w:val="center"/>
                    <w:textAlignment w:val="center"/>
                    <w:rPr>
                      <w:color w:val="auto"/>
                      <w:kern w:val="0"/>
                      <w:szCs w:val="21"/>
                      <w:lang w:bidi="ar"/>
                    </w:rPr>
                  </w:pPr>
                  <w:r>
                    <w:rPr>
                      <w:color w:val="auto"/>
                      <w:kern w:val="0"/>
                      <w:szCs w:val="21"/>
                      <w:lang w:bidi="ar"/>
                    </w:rPr>
                    <w:t>0.0497</w:t>
                  </w:r>
                </w:p>
              </w:tc>
              <w:tc>
                <w:tcPr>
                  <w:tcW w:w="836" w:type="dxa"/>
                  <w:vAlign w:val="center"/>
                </w:tcPr>
                <w:p w14:paraId="5E8A897C">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03C953BC">
                  <w:pPr>
                    <w:widowControl/>
                    <w:jc w:val="center"/>
                    <w:textAlignment w:val="center"/>
                    <w:rPr>
                      <w:color w:val="auto"/>
                      <w:kern w:val="0"/>
                      <w:szCs w:val="21"/>
                      <w:lang w:bidi="ar"/>
                    </w:rPr>
                  </w:pPr>
                  <w:r>
                    <w:rPr>
                      <w:color w:val="auto"/>
                      <w:kern w:val="0"/>
                      <w:szCs w:val="21"/>
                      <w:lang w:bidi="ar"/>
                    </w:rPr>
                    <w:t>0.134</w:t>
                  </w:r>
                </w:p>
              </w:tc>
              <w:tc>
                <w:tcPr>
                  <w:tcW w:w="1129" w:type="dxa"/>
                  <w:vAlign w:val="center"/>
                </w:tcPr>
                <w:p w14:paraId="5D9E062C">
                  <w:pPr>
                    <w:widowControl/>
                    <w:jc w:val="center"/>
                    <w:textAlignment w:val="center"/>
                    <w:rPr>
                      <w:color w:val="auto"/>
                      <w:kern w:val="0"/>
                      <w:szCs w:val="21"/>
                      <w:lang w:bidi="ar"/>
                    </w:rPr>
                  </w:pPr>
                  <w:r>
                    <w:rPr>
                      <w:color w:val="auto"/>
                      <w:kern w:val="0"/>
                      <w:szCs w:val="21"/>
                      <w:lang w:bidi="ar"/>
                    </w:rPr>
                    <w:t>0.0447</w:t>
                  </w:r>
                </w:p>
              </w:tc>
              <w:tc>
                <w:tcPr>
                  <w:tcW w:w="1127" w:type="dxa"/>
                  <w:vAlign w:val="center"/>
                </w:tcPr>
                <w:p w14:paraId="125FACA4">
                  <w:pPr>
                    <w:widowControl/>
                    <w:jc w:val="center"/>
                    <w:textAlignment w:val="center"/>
                    <w:rPr>
                      <w:color w:val="auto"/>
                      <w:kern w:val="0"/>
                      <w:szCs w:val="21"/>
                      <w:lang w:bidi="ar"/>
                    </w:rPr>
                  </w:pPr>
                  <w:r>
                    <w:rPr>
                      <w:color w:val="auto"/>
                      <w:kern w:val="0"/>
                      <w:szCs w:val="21"/>
                      <w:lang w:bidi="ar"/>
                    </w:rPr>
                    <w:t>0.015</w:t>
                  </w:r>
                </w:p>
              </w:tc>
              <w:tc>
                <w:tcPr>
                  <w:tcW w:w="1186" w:type="dxa"/>
                  <w:vAlign w:val="center"/>
                </w:tcPr>
                <w:p w14:paraId="7B6EBD35">
                  <w:pPr>
                    <w:widowControl/>
                    <w:jc w:val="center"/>
                    <w:textAlignment w:val="center"/>
                    <w:rPr>
                      <w:color w:val="auto"/>
                      <w:kern w:val="0"/>
                      <w:szCs w:val="21"/>
                      <w:lang w:bidi="ar"/>
                    </w:rPr>
                  </w:pPr>
                  <w:r>
                    <w:rPr>
                      <w:color w:val="auto"/>
                      <w:kern w:val="0"/>
                      <w:szCs w:val="21"/>
                      <w:lang w:bidi="ar"/>
                    </w:rPr>
                    <w:t>0.005</w:t>
                  </w:r>
                </w:p>
              </w:tc>
            </w:tr>
            <w:tr w14:paraId="1665D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39CAC565">
                  <w:pPr>
                    <w:widowControl/>
                    <w:jc w:val="center"/>
                    <w:textAlignment w:val="center"/>
                    <w:rPr>
                      <w:color w:val="auto"/>
                      <w:kern w:val="0"/>
                      <w:szCs w:val="21"/>
                      <w:lang w:bidi="ar"/>
                    </w:rPr>
                  </w:pPr>
                </w:p>
              </w:tc>
              <w:tc>
                <w:tcPr>
                  <w:tcW w:w="428" w:type="pct"/>
                  <w:vAlign w:val="center"/>
                </w:tcPr>
                <w:p w14:paraId="33038B0F">
                  <w:pPr>
                    <w:widowControl/>
                    <w:jc w:val="center"/>
                    <w:textAlignment w:val="center"/>
                    <w:rPr>
                      <w:bCs/>
                      <w:color w:val="auto"/>
                      <w:kern w:val="0"/>
                      <w:szCs w:val="21"/>
                      <w:lang w:bidi="ar"/>
                    </w:rPr>
                  </w:pPr>
                  <w:r>
                    <w:rPr>
                      <w:rFonts w:hint="eastAsia"/>
                      <w:bCs/>
                      <w:color w:val="auto"/>
                      <w:kern w:val="0"/>
                      <w:szCs w:val="21"/>
                      <w:lang w:bidi="ar"/>
                    </w:rPr>
                    <w:t>烘烤</w:t>
                  </w:r>
                </w:p>
              </w:tc>
              <w:tc>
                <w:tcPr>
                  <w:tcW w:w="522" w:type="pct"/>
                  <w:vAlign w:val="center"/>
                </w:tcPr>
                <w:p w14:paraId="29FA9059">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0C806E44">
                  <w:pPr>
                    <w:widowControl/>
                    <w:jc w:val="center"/>
                    <w:textAlignment w:val="center"/>
                    <w:rPr>
                      <w:color w:val="auto"/>
                      <w:kern w:val="0"/>
                      <w:szCs w:val="21"/>
                      <w:lang w:bidi="ar"/>
                    </w:rPr>
                  </w:pPr>
                  <w:r>
                    <w:rPr>
                      <w:color w:val="auto"/>
                      <w:kern w:val="0"/>
                      <w:szCs w:val="21"/>
                      <w:lang w:bidi="ar"/>
                    </w:rPr>
                    <w:t>0.0263</w:t>
                  </w:r>
                </w:p>
              </w:tc>
              <w:tc>
                <w:tcPr>
                  <w:tcW w:w="1133" w:type="dxa"/>
                  <w:vAlign w:val="center"/>
                </w:tcPr>
                <w:p w14:paraId="3612E891">
                  <w:pPr>
                    <w:widowControl/>
                    <w:jc w:val="center"/>
                    <w:textAlignment w:val="center"/>
                    <w:rPr>
                      <w:color w:val="auto"/>
                      <w:kern w:val="0"/>
                      <w:szCs w:val="21"/>
                      <w:lang w:bidi="ar"/>
                    </w:rPr>
                  </w:pPr>
                  <w:r>
                    <w:rPr>
                      <w:color w:val="auto"/>
                      <w:kern w:val="0"/>
                      <w:szCs w:val="21"/>
                      <w:lang w:bidi="ar"/>
                    </w:rPr>
                    <w:t>0.0088</w:t>
                  </w:r>
                </w:p>
              </w:tc>
              <w:tc>
                <w:tcPr>
                  <w:tcW w:w="836" w:type="dxa"/>
                  <w:vAlign w:val="center"/>
                </w:tcPr>
                <w:p w14:paraId="0E70CF8E">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18D73C00">
                  <w:pPr>
                    <w:widowControl/>
                    <w:jc w:val="center"/>
                    <w:textAlignment w:val="center"/>
                    <w:rPr>
                      <w:color w:val="auto"/>
                      <w:kern w:val="0"/>
                      <w:szCs w:val="21"/>
                      <w:lang w:bidi="ar"/>
                    </w:rPr>
                  </w:pPr>
                  <w:r>
                    <w:rPr>
                      <w:color w:val="auto"/>
                      <w:kern w:val="0"/>
                      <w:szCs w:val="21"/>
                      <w:lang w:bidi="ar"/>
                    </w:rPr>
                    <w:t>0.025</w:t>
                  </w:r>
                </w:p>
              </w:tc>
              <w:tc>
                <w:tcPr>
                  <w:tcW w:w="1129" w:type="dxa"/>
                  <w:vAlign w:val="center"/>
                </w:tcPr>
                <w:p w14:paraId="1425956F">
                  <w:pPr>
                    <w:widowControl/>
                    <w:jc w:val="center"/>
                    <w:textAlignment w:val="center"/>
                    <w:rPr>
                      <w:color w:val="auto"/>
                      <w:kern w:val="0"/>
                      <w:szCs w:val="21"/>
                      <w:lang w:bidi="ar"/>
                    </w:rPr>
                  </w:pPr>
                  <w:r>
                    <w:rPr>
                      <w:color w:val="auto"/>
                      <w:kern w:val="0"/>
                      <w:szCs w:val="21"/>
                      <w:lang w:bidi="ar"/>
                    </w:rPr>
                    <w:t>0.0084</w:t>
                  </w:r>
                </w:p>
              </w:tc>
              <w:tc>
                <w:tcPr>
                  <w:tcW w:w="1127" w:type="dxa"/>
                  <w:vAlign w:val="center"/>
                </w:tcPr>
                <w:p w14:paraId="00E2771B">
                  <w:pPr>
                    <w:widowControl/>
                    <w:jc w:val="center"/>
                    <w:textAlignment w:val="center"/>
                    <w:rPr>
                      <w:color w:val="auto"/>
                      <w:kern w:val="0"/>
                      <w:szCs w:val="21"/>
                      <w:lang w:bidi="ar"/>
                    </w:rPr>
                  </w:pPr>
                  <w:r>
                    <w:rPr>
                      <w:color w:val="auto"/>
                      <w:kern w:val="0"/>
                      <w:szCs w:val="21"/>
                      <w:lang w:bidi="ar"/>
                    </w:rPr>
                    <w:t>0.0013</w:t>
                  </w:r>
                </w:p>
              </w:tc>
              <w:tc>
                <w:tcPr>
                  <w:tcW w:w="1186" w:type="dxa"/>
                  <w:vAlign w:val="center"/>
                </w:tcPr>
                <w:p w14:paraId="0AFFE7A1">
                  <w:pPr>
                    <w:widowControl/>
                    <w:jc w:val="center"/>
                    <w:textAlignment w:val="center"/>
                    <w:rPr>
                      <w:color w:val="auto"/>
                      <w:kern w:val="0"/>
                      <w:szCs w:val="21"/>
                      <w:lang w:bidi="ar"/>
                    </w:rPr>
                  </w:pPr>
                  <w:r>
                    <w:rPr>
                      <w:color w:val="auto"/>
                      <w:kern w:val="0"/>
                      <w:szCs w:val="21"/>
                      <w:lang w:bidi="ar"/>
                    </w:rPr>
                    <w:t>0.0004</w:t>
                  </w:r>
                </w:p>
              </w:tc>
            </w:tr>
            <w:tr w14:paraId="7CF78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continue"/>
                  <w:vAlign w:val="center"/>
                </w:tcPr>
                <w:p w14:paraId="5B9201EA">
                  <w:pPr>
                    <w:widowControl/>
                    <w:jc w:val="center"/>
                    <w:textAlignment w:val="center"/>
                    <w:rPr>
                      <w:color w:val="auto"/>
                      <w:kern w:val="0"/>
                      <w:szCs w:val="21"/>
                      <w:lang w:bidi="ar"/>
                    </w:rPr>
                  </w:pPr>
                </w:p>
              </w:tc>
              <w:tc>
                <w:tcPr>
                  <w:tcW w:w="428" w:type="pct"/>
                  <w:vMerge w:val="restart"/>
                  <w:vAlign w:val="center"/>
                </w:tcPr>
                <w:p w14:paraId="0B6060B0">
                  <w:pPr>
                    <w:widowControl/>
                    <w:jc w:val="center"/>
                    <w:textAlignment w:val="center"/>
                    <w:rPr>
                      <w:bCs/>
                      <w:color w:val="auto"/>
                      <w:kern w:val="0"/>
                      <w:szCs w:val="21"/>
                      <w:lang w:bidi="ar"/>
                    </w:rPr>
                  </w:pPr>
                  <w:r>
                    <w:rPr>
                      <w:rFonts w:hint="eastAsia"/>
                      <w:bCs/>
                      <w:color w:val="auto"/>
                      <w:kern w:val="0"/>
                      <w:szCs w:val="21"/>
                      <w:lang w:bidi="ar"/>
                    </w:rPr>
                    <w:t>天然气燃烧</w:t>
                  </w:r>
                </w:p>
              </w:tc>
              <w:tc>
                <w:tcPr>
                  <w:tcW w:w="522" w:type="pct"/>
                  <w:vAlign w:val="center"/>
                </w:tcPr>
                <w:p w14:paraId="0B6A06AC">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7D8EB9F1">
                  <w:pPr>
                    <w:widowControl/>
                    <w:jc w:val="center"/>
                    <w:textAlignment w:val="center"/>
                    <w:rPr>
                      <w:color w:val="auto"/>
                      <w:kern w:val="0"/>
                      <w:szCs w:val="21"/>
                      <w:lang w:bidi="ar"/>
                    </w:rPr>
                  </w:pPr>
                  <w:r>
                    <w:rPr>
                      <w:color w:val="auto"/>
                      <w:kern w:val="0"/>
                      <w:szCs w:val="21"/>
                      <w:lang w:bidi="ar"/>
                    </w:rPr>
                    <w:t>0.0242</w:t>
                  </w:r>
                </w:p>
              </w:tc>
              <w:tc>
                <w:tcPr>
                  <w:tcW w:w="1133" w:type="dxa"/>
                  <w:vAlign w:val="center"/>
                </w:tcPr>
                <w:p w14:paraId="67803B00">
                  <w:pPr>
                    <w:widowControl/>
                    <w:jc w:val="center"/>
                    <w:textAlignment w:val="center"/>
                    <w:rPr>
                      <w:color w:val="auto"/>
                      <w:kern w:val="0"/>
                      <w:szCs w:val="21"/>
                      <w:lang w:bidi="ar"/>
                    </w:rPr>
                  </w:pPr>
                  <w:r>
                    <w:rPr>
                      <w:color w:val="auto"/>
                      <w:kern w:val="0"/>
                      <w:szCs w:val="21"/>
                      <w:lang w:bidi="ar"/>
                    </w:rPr>
                    <w:t>0.0081</w:t>
                  </w:r>
                </w:p>
              </w:tc>
              <w:tc>
                <w:tcPr>
                  <w:tcW w:w="836" w:type="dxa"/>
                  <w:vAlign w:val="center"/>
                </w:tcPr>
                <w:p w14:paraId="3D6450EF">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4C81A3CF">
                  <w:pPr>
                    <w:widowControl/>
                    <w:jc w:val="center"/>
                    <w:textAlignment w:val="center"/>
                    <w:rPr>
                      <w:color w:val="auto"/>
                      <w:kern w:val="0"/>
                      <w:szCs w:val="21"/>
                      <w:lang w:bidi="ar"/>
                    </w:rPr>
                  </w:pPr>
                  <w:r>
                    <w:rPr>
                      <w:color w:val="auto"/>
                      <w:kern w:val="0"/>
                      <w:szCs w:val="21"/>
                      <w:lang w:bidi="ar"/>
                    </w:rPr>
                    <w:t>0.023</w:t>
                  </w:r>
                </w:p>
              </w:tc>
              <w:tc>
                <w:tcPr>
                  <w:tcW w:w="1129" w:type="dxa"/>
                  <w:vAlign w:val="center"/>
                </w:tcPr>
                <w:p w14:paraId="247624E0">
                  <w:pPr>
                    <w:widowControl/>
                    <w:jc w:val="center"/>
                    <w:textAlignment w:val="center"/>
                    <w:rPr>
                      <w:color w:val="auto"/>
                      <w:kern w:val="0"/>
                      <w:szCs w:val="21"/>
                      <w:lang w:bidi="ar"/>
                    </w:rPr>
                  </w:pPr>
                  <w:r>
                    <w:rPr>
                      <w:color w:val="auto"/>
                      <w:kern w:val="0"/>
                      <w:szCs w:val="21"/>
                      <w:lang w:bidi="ar"/>
                    </w:rPr>
                    <w:t>0.0077</w:t>
                  </w:r>
                </w:p>
              </w:tc>
              <w:tc>
                <w:tcPr>
                  <w:tcW w:w="1127" w:type="dxa"/>
                  <w:vAlign w:val="center"/>
                </w:tcPr>
                <w:p w14:paraId="637175B2">
                  <w:pPr>
                    <w:widowControl/>
                    <w:jc w:val="center"/>
                    <w:textAlignment w:val="center"/>
                    <w:rPr>
                      <w:color w:val="auto"/>
                      <w:kern w:val="0"/>
                      <w:szCs w:val="21"/>
                      <w:lang w:bidi="ar"/>
                    </w:rPr>
                  </w:pPr>
                  <w:r>
                    <w:rPr>
                      <w:color w:val="auto"/>
                      <w:kern w:val="0"/>
                      <w:szCs w:val="21"/>
                      <w:lang w:bidi="ar"/>
                    </w:rPr>
                    <w:t>0.0012</w:t>
                  </w:r>
                </w:p>
              </w:tc>
              <w:tc>
                <w:tcPr>
                  <w:tcW w:w="1186" w:type="dxa"/>
                  <w:vAlign w:val="center"/>
                </w:tcPr>
                <w:p w14:paraId="12BD2314">
                  <w:pPr>
                    <w:widowControl/>
                    <w:jc w:val="center"/>
                    <w:textAlignment w:val="center"/>
                    <w:rPr>
                      <w:color w:val="auto"/>
                      <w:kern w:val="0"/>
                      <w:szCs w:val="21"/>
                      <w:lang w:bidi="ar"/>
                    </w:rPr>
                  </w:pPr>
                  <w:r>
                    <w:rPr>
                      <w:color w:val="auto"/>
                      <w:kern w:val="0"/>
                      <w:szCs w:val="21"/>
                      <w:lang w:bidi="ar"/>
                    </w:rPr>
                    <w:t>0.0004</w:t>
                  </w:r>
                </w:p>
              </w:tc>
            </w:tr>
            <w:tr w14:paraId="7F00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34" w:type="pct"/>
                  <w:vMerge w:val="continue"/>
                  <w:vAlign w:val="center"/>
                </w:tcPr>
                <w:p w14:paraId="3E40E5EC">
                  <w:pPr>
                    <w:widowControl/>
                    <w:jc w:val="center"/>
                    <w:textAlignment w:val="center"/>
                    <w:rPr>
                      <w:color w:val="auto"/>
                    </w:rPr>
                  </w:pPr>
                </w:p>
              </w:tc>
              <w:tc>
                <w:tcPr>
                  <w:tcW w:w="428" w:type="pct"/>
                  <w:vMerge w:val="continue"/>
                  <w:vAlign w:val="center"/>
                </w:tcPr>
                <w:p w14:paraId="5AC173D0">
                  <w:pPr>
                    <w:widowControl/>
                    <w:jc w:val="center"/>
                    <w:textAlignment w:val="center"/>
                    <w:rPr>
                      <w:color w:val="auto"/>
                    </w:rPr>
                  </w:pPr>
                </w:p>
              </w:tc>
              <w:tc>
                <w:tcPr>
                  <w:tcW w:w="522" w:type="pct"/>
                  <w:vAlign w:val="center"/>
                </w:tcPr>
                <w:p w14:paraId="4A84CDAD">
                  <w:pPr>
                    <w:widowControl/>
                    <w:jc w:val="center"/>
                    <w:textAlignment w:val="center"/>
                    <w:rPr>
                      <w:color w:val="auto"/>
                      <w:kern w:val="0"/>
                      <w:szCs w:val="21"/>
                      <w:lang w:bidi="ar"/>
                    </w:rPr>
                  </w:pPr>
                  <w:r>
                    <w:rPr>
                      <w:rFonts w:hint="eastAsia"/>
                      <w:color w:val="auto"/>
                      <w:kern w:val="0"/>
                      <w:szCs w:val="21"/>
                      <w:lang w:bidi="ar"/>
                    </w:rPr>
                    <w:t>氮氧化物</w:t>
                  </w:r>
                </w:p>
              </w:tc>
              <w:tc>
                <w:tcPr>
                  <w:tcW w:w="1144" w:type="dxa"/>
                  <w:vAlign w:val="center"/>
                </w:tcPr>
                <w:p w14:paraId="63D33AE4">
                  <w:pPr>
                    <w:widowControl/>
                    <w:jc w:val="center"/>
                    <w:textAlignment w:val="center"/>
                    <w:rPr>
                      <w:color w:val="auto"/>
                      <w:kern w:val="0"/>
                      <w:szCs w:val="21"/>
                      <w:lang w:bidi="ar"/>
                    </w:rPr>
                  </w:pPr>
                  <w:r>
                    <w:rPr>
                      <w:color w:val="auto"/>
                      <w:kern w:val="0"/>
                      <w:szCs w:val="21"/>
                      <w:lang w:bidi="ar"/>
                    </w:rPr>
                    <w:t>0.0792</w:t>
                  </w:r>
                </w:p>
              </w:tc>
              <w:tc>
                <w:tcPr>
                  <w:tcW w:w="1133" w:type="dxa"/>
                  <w:vAlign w:val="center"/>
                </w:tcPr>
                <w:p w14:paraId="39871CE3">
                  <w:pPr>
                    <w:widowControl/>
                    <w:jc w:val="center"/>
                    <w:textAlignment w:val="center"/>
                    <w:rPr>
                      <w:color w:val="auto"/>
                      <w:kern w:val="0"/>
                      <w:szCs w:val="21"/>
                      <w:lang w:bidi="ar"/>
                    </w:rPr>
                  </w:pPr>
                  <w:r>
                    <w:rPr>
                      <w:color w:val="auto"/>
                      <w:kern w:val="0"/>
                      <w:szCs w:val="21"/>
                      <w:lang w:bidi="ar"/>
                    </w:rPr>
                    <w:t>0.0264</w:t>
                  </w:r>
                </w:p>
              </w:tc>
              <w:tc>
                <w:tcPr>
                  <w:tcW w:w="836" w:type="dxa"/>
                  <w:vAlign w:val="center"/>
                </w:tcPr>
                <w:p w14:paraId="0F6C0510">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3E0AED10">
                  <w:pPr>
                    <w:widowControl/>
                    <w:jc w:val="center"/>
                    <w:textAlignment w:val="center"/>
                    <w:rPr>
                      <w:color w:val="auto"/>
                      <w:kern w:val="0"/>
                      <w:szCs w:val="21"/>
                      <w:lang w:bidi="ar"/>
                    </w:rPr>
                  </w:pPr>
                  <w:r>
                    <w:rPr>
                      <w:color w:val="auto"/>
                      <w:kern w:val="0"/>
                      <w:szCs w:val="21"/>
                      <w:lang w:bidi="ar"/>
                    </w:rPr>
                    <w:t>0.0752</w:t>
                  </w:r>
                </w:p>
              </w:tc>
              <w:tc>
                <w:tcPr>
                  <w:tcW w:w="1129" w:type="dxa"/>
                  <w:vAlign w:val="center"/>
                </w:tcPr>
                <w:p w14:paraId="443545C5">
                  <w:pPr>
                    <w:widowControl/>
                    <w:jc w:val="center"/>
                    <w:textAlignment w:val="center"/>
                    <w:rPr>
                      <w:color w:val="auto"/>
                      <w:kern w:val="0"/>
                      <w:szCs w:val="21"/>
                      <w:lang w:bidi="ar"/>
                    </w:rPr>
                  </w:pPr>
                  <w:r>
                    <w:rPr>
                      <w:color w:val="auto"/>
                      <w:kern w:val="0"/>
                      <w:szCs w:val="21"/>
                      <w:lang w:bidi="ar"/>
                    </w:rPr>
                    <w:t>0.0251</w:t>
                  </w:r>
                </w:p>
              </w:tc>
              <w:tc>
                <w:tcPr>
                  <w:tcW w:w="1127" w:type="dxa"/>
                  <w:vAlign w:val="center"/>
                </w:tcPr>
                <w:p w14:paraId="4AC270EE">
                  <w:pPr>
                    <w:widowControl/>
                    <w:jc w:val="center"/>
                    <w:textAlignment w:val="center"/>
                    <w:rPr>
                      <w:color w:val="auto"/>
                      <w:kern w:val="0"/>
                      <w:szCs w:val="21"/>
                      <w:lang w:bidi="ar"/>
                    </w:rPr>
                  </w:pPr>
                  <w:r>
                    <w:rPr>
                      <w:color w:val="auto"/>
                      <w:kern w:val="0"/>
                      <w:szCs w:val="21"/>
                      <w:lang w:bidi="ar"/>
                    </w:rPr>
                    <w:t>0.004</w:t>
                  </w:r>
                </w:p>
              </w:tc>
              <w:tc>
                <w:tcPr>
                  <w:tcW w:w="1186" w:type="dxa"/>
                  <w:vAlign w:val="center"/>
                </w:tcPr>
                <w:p w14:paraId="2073368D">
                  <w:pPr>
                    <w:widowControl/>
                    <w:jc w:val="center"/>
                    <w:textAlignment w:val="center"/>
                    <w:rPr>
                      <w:color w:val="auto"/>
                      <w:kern w:val="0"/>
                      <w:szCs w:val="21"/>
                      <w:lang w:bidi="ar"/>
                    </w:rPr>
                  </w:pPr>
                  <w:r>
                    <w:rPr>
                      <w:color w:val="auto"/>
                      <w:kern w:val="0"/>
                      <w:szCs w:val="21"/>
                      <w:lang w:bidi="ar"/>
                    </w:rPr>
                    <w:t>0.0013</w:t>
                  </w:r>
                </w:p>
              </w:tc>
            </w:tr>
            <w:tr w14:paraId="76EEF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434" w:type="pct"/>
                  <w:vMerge w:val="continue"/>
                  <w:vAlign w:val="center"/>
                </w:tcPr>
                <w:p w14:paraId="5098DF0D">
                  <w:pPr>
                    <w:widowControl/>
                    <w:jc w:val="center"/>
                    <w:textAlignment w:val="center"/>
                    <w:rPr>
                      <w:color w:val="auto"/>
                      <w:kern w:val="0"/>
                      <w:szCs w:val="21"/>
                      <w:lang w:bidi="ar"/>
                    </w:rPr>
                  </w:pPr>
                </w:p>
              </w:tc>
              <w:tc>
                <w:tcPr>
                  <w:tcW w:w="428" w:type="pct"/>
                  <w:vMerge w:val="continue"/>
                  <w:vAlign w:val="center"/>
                </w:tcPr>
                <w:p w14:paraId="13B1CF44">
                  <w:pPr>
                    <w:widowControl/>
                    <w:jc w:val="center"/>
                    <w:textAlignment w:val="center"/>
                    <w:rPr>
                      <w:bCs/>
                      <w:color w:val="auto"/>
                      <w:kern w:val="0"/>
                      <w:szCs w:val="21"/>
                      <w:lang w:bidi="ar"/>
                    </w:rPr>
                  </w:pPr>
                </w:p>
              </w:tc>
              <w:tc>
                <w:tcPr>
                  <w:tcW w:w="522" w:type="pct"/>
                  <w:vAlign w:val="center"/>
                </w:tcPr>
                <w:p w14:paraId="27691981">
                  <w:pPr>
                    <w:widowControl/>
                    <w:jc w:val="center"/>
                    <w:textAlignment w:val="center"/>
                    <w:rPr>
                      <w:color w:val="auto"/>
                      <w:kern w:val="0"/>
                      <w:szCs w:val="21"/>
                      <w:lang w:bidi="ar"/>
                    </w:rPr>
                  </w:pPr>
                  <w:r>
                    <w:rPr>
                      <w:rFonts w:hint="eastAsia"/>
                      <w:color w:val="auto"/>
                      <w:kern w:val="0"/>
                      <w:szCs w:val="21"/>
                      <w:lang w:bidi="ar"/>
                    </w:rPr>
                    <w:t>二氧化硫</w:t>
                  </w:r>
                </w:p>
              </w:tc>
              <w:tc>
                <w:tcPr>
                  <w:tcW w:w="1144" w:type="dxa"/>
                  <w:vAlign w:val="center"/>
                </w:tcPr>
                <w:p w14:paraId="06042D61">
                  <w:pPr>
                    <w:widowControl/>
                    <w:jc w:val="center"/>
                    <w:textAlignment w:val="center"/>
                    <w:rPr>
                      <w:color w:val="auto"/>
                      <w:kern w:val="0"/>
                      <w:szCs w:val="21"/>
                      <w:lang w:bidi="ar"/>
                    </w:rPr>
                  </w:pPr>
                  <w:r>
                    <w:rPr>
                      <w:color w:val="auto"/>
                      <w:kern w:val="0"/>
                      <w:szCs w:val="21"/>
                      <w:lang w:bidi="ar"/>
                    </w:rPr>
                    <w:t>0.0169</w:t>
                  </w:r>
                </w:p>
              </w:tc>
              <w:tc>
                <w:tcPr>
                  <w:tcW w:w="1133" w:type="dxa"/>
                  <w:vAlign w:val="center"/>
                </w:tcPr>
                <w:p w14:paraId="694D8899">
                  <w:pPr>
                    <w:widowControl/>
                    <w:jc w:val="center"/>
                    <w:textAlignment w:val="center"/>
                    <w:rPr>
                      <w:color w:val="auto"/>
                      <w:kern w:val="0"/>
                      <w:szCs w:val="21"/>
                      <w:lang w:bidi="ar"/>
                    </w:rPr>
                  </w:pPr>
                  <w:r>
                    <w:rPr>
                      <w:color w:val="auto"/>
                      <w:kern w:val="0"/>
                      <w:szCs w:val="21"/>
                      <w:lang w:bidi="ar"/>
                    </w:rPr>
                    <w:t>0.0056</w:t>
                  </w:r>
                </w:p>
              </w:tc>
              <w:tc>
                <w:tcPr>
                  <w:tcW w:w="836" w:type="dxa"/>
                  <w:vAlign w:val="center"/>
                </w:tcPr>
                <w:p w14:paraId="5E7E55C8">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2FADD1B1">
                  <w:pPr>
                    <w:widowControl/>
                    <w:jc w:val="center"/>
                    <w:textAlignment w:val="center"/>
                    <w:rPr>
                      <w:color w:val="auto"/>
                      <w:kern w:val="0"/>
                      <w:szCs w:val="21"/>
                      <w:lang w:bidi="ar"/>
                    </w:rPr>
                  </w:pPr>
                  <w:r>
                    <w:rPr>
                      <w:color w:val="auto"/>
                      <w:kern w:val="0"/>
                      <w:szCs w:val="21"/>
                      <w:lang w:bidi="ar"/>
                    </w:rPr>
                    <w:t>0.0161</w:t>
                  </w:r>
                </w:p>
              </w:tc>
              <w:tc>
                <w:tcPr>
                  <w:tcW w:w="1129" w:type="dxa"/>
                  <w:vAlign w:val="center"/>
                </w:tcPr>
                <w:p w14:paraId="3A524CB1">
                  <w:pPr>
                    <w:widowControl/>
                    <w:jc w:val="center"/>
                    <w:textAlignment w:val="center"/>
                    <w:rPr>
                      <w:color w:val="auto"/>
                      <w:kern w:val="0"/>
                      <w:szCs w:val="21"/>
                      <w:lang w:bidi="ar"/>
                    </w:rPr>
                  </w:pPr>
                  <w:r>
                    <w:rPr>
                      <w:color w:val="auto"/>
                      <w:kern w:val="0"/>
                      <w:szCs w:val="21"/>
                      <w:lang w:bidi="ar"/>
                    </w:rPr>
                    <w:t>0.0053</w:t>
                  </w:r>
                </w:p>
              </w:tc>
              <w:tc>
                <w:tcPr>
                  <w:tcW w:w="1127" w:type="dxa"/>
                  <w:vAlign w:val="center"/>
                </w:tcPr>
                <w:p w14:paraId="0254F088">
                  <w:pPr>
                    <w:widowControl/>
                    <w:jc w:val="center"/>
                    <w:textAlignment w:val="center"/>
                    <w:rPr>
                      <w:color w:val="auto"/>
                      <w:kern w:val="0"/>
                      <w:szCs w:val="21"/>
                      <w:lang w:bidi="ar"/>
                    </w:rPr>
                  </w:pPr>
                  <w:r>
                    <w:rPr>
                      <w:color w:val="auto"/>
                      <w:kern w:val="0"/>
                      <w:szCs w:val="21"/>
                      <w:lang w:bidi="ar"/>
                    </w:rPr>
                    <w:t>0.0008</w:t>
                  </w:r>
                </w:p>
              </w:tc>
              <w:tc>
                <w:tcPr>
                  <w:tcW w:w="1186" w:type="dxa"/>
                  <w:vAlign w:val="center"/>
                </w:tcPr>
                <w:p w14:paraId="0F9C36CC">
                  <w:pPr>
                    <w:widowControl/>
                    <w:jc w:val="center"/>
                    <w:textAlignment w:val="center"/>
                    <w:rPr>
                      <w:color w:val="auto"/>
                      <w:kern w:val="0"/>
                      <w:szCs w:val="21"/>
                      <w:lang w:bidi="ar"/>
                    </w:rPr>
                  </w:pPr>
                  <w:r>
                    <w:rPr>
                      <w:color w:val="auto"/>
                      <w:kern w:val="0"/>
                      <w:szCs w:val="21"/>
                      <w:lang w:bidi="ar"/>
                    </w:rPr>
                    <w:t>0.0003</w:t>
                  </w:r>
                </w:p>
              </w:tc>
            </w:tr>
            <w:tr w14:paraId="2090D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434" w:type="pct"/>
                  <w:vMerge w:val="continue"/>
                  <w:vAlign w:val="center"/>
                </w:tcPr>
                <w:p w14:paraId="4949CFE1">
                  <w:pPr>
                    <w:widowControl/>
                    <w:jc w:val="center"/>
                    <w:textAlignment w:val="center"/>
                    <w:rPr>
                      <w:color w:val="auto"/>
                    </w:rPr>
                  </w:pPr>
                </w:p>
              </w:tc>
              <w:tc>
                <w:tcPr>
                  <w:tcW w:w="428" w:type="pct"/>
                  <w:vMerge w:val="restart"/>
                  <w:vAlign w:val="center"/>
                </w:tcPr>
                <w:p w14:paraId="2FB8B631">
                  <w:pPr>
                    <w:widowControl/>
                    <w:jc w:val="center"/>
                    <w:textAlignment w:val="center"/>
                    <w:rPr>
                      <w:color w:val="auto"/>
                    </w:rPr>
                  </w:pPr>
                  <w:r>
                    <w:rPr>
                      <w:rFonts w:hint="eastAsia"/>
                      <w:color w:val="auto"/>
                    </w:rPr>
                    <w:t>合计</w:t>
                  </w:r>
                </w:p>
              </w:tc>
              <w:tc>
                <w:tcPr>
                  <w:tcW w:w="522" w:type="pct"/>
                  <w:vAlign w:val="center"/>
                </w:tcPr>
                <w:p w14:paraId="5C324C44">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10A4BE13">
                  <w:pPr>
                    <w:widowControl/>
                    <w:jc w:val="center"/>
                    <w:textAlignment w:val="center"/>
                    <w:rPr>
                      <w:color w:val="auto"/>
                      <w:kern w:val="0"/>
                      <w:szCs w:val="21"/>
                      <w:lang w:bidi="ar"/>
                    </w:rPr>
                  </w:pPr>
                  <w:r>
                    <w:rPr>
                      <w:color w:val="auto"/>
                      <w:kern w:val="0"/>
                      <w:szCs w:val="21"/>
                      <w:lang w:bidi="ar"/>
                    </w:rPr>
                    <w:t>1.3742</w:t>
                  </w:r>
                </w:p>
              </w:tc>
              <w:tc>
                <w:tcPr>
                  <w:tcW w:w="1133" w:type="dxa"/>
                  <w:vAlign w:val="center"/>
                </w:tcPr>
                <w:p w14:paraId="1B1C8B90">
                  <w:pPr>
                    <w:widowControl/>
                    <w:jc w:val="center"/>
                    <w:textAlignment w:val="center"/>
                    <w:rPr>
                      <w:color w:val="auto"/>
                      <w:kern w:val="0"/>
                      <w:szCs w:val="21"/>
                      <w:lang w:bidi="ar"/>
                    </w:rPr>
                  </w:pPr>
                  <w:r>
                    <w:rPr>
                      <w:color w:val="auto"/>
                      <w:kern w:val="0"/>
                      <w:szCs w:val="21"/>
                      <w:lang w:bidi="ar"/>
                    </w:rPr>
                    <w:t>0.4591</w:t>
                  </w:r>
                </w:p>
              </w:tc>
              <w:tc>
                <w:tcPr>
                  <w:tcW w:w="836" w:type="dxa"/>
                  <w:vAlign w:val="center"/>
                </w:tcPr>
                <w:p w14:paraId="3122D0AE">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1FAC73FC">
                  <w:pPr>
                    <w:widowControl/>
                    <w:jc w:val="center"/>
                    <w:textAlignment w:val="center"/>
                    <w:rPr>
                      <w:color w:val="auto"/>
                      <w:kern w:val="0"/>
                      <w:szCs w:val="21"/>
                      <w:lang w:bidi="ar"/>
                    </w:rPr>
                  </w:pPr>
                  <w:r>
                    <w:rPr>
                      <w:color w:val="auto"/>
                      <w:kern w:val="0"/>
                      <w:szCs w:val="21"/>
                      <w:lang w:bidi="ar"/>
                    </w:rPr>
                    <w:t>1.243</w:t>
                  </w:r>
                </w:p>
              </w:tc>
              <w:tc>
                <w:tcPr>
                  <w:tcW w:w="1129" w:type="dxa"/>
                  <w:vAlign w:val="center"/>
                </w:tcPr>
                <w:p w14:paraId="35EA5D0B">
                  <w:pPr>
                    <w:widowControl/>
                    <w:jc w:val="center"/>
                    <w:textAlignment w:val="center"/>
                    <w:rPr>
                      <w:color w:val="auto"/>
                      <w:kern w:val="0"/>
                      <w:szCs w:val="21"/>
                      <w:lang w:bidi="ar"/>
                    </w:rPr>
                  </w:pPr>
                  <w:r>
                    <w:rPr>
                      <w:color w:val="auto"/>
                      <w:kern w:val="0"/>
                      <w:szCs w:val="21"/>
                      <w:lang w:bidi="ar"/>
                    </w:rPr>
                    <w:t>0.4137</w:t>
                  </w:r>
                </w:p>
              </w:tc>
              <w:tc>
                <w:tcPr>
                  <w:tcW w:w="1127" w:type="dxa"/>
                  <w:vAlign w:val="center"/>
                </w:tcPr>
                <w:p w14:paraId="7B00484F">
                  <w:pPr>
                    <w:widowControl/>
                    <w:jc w:val="center"/>
                    <w:textAlignment w:val="center"/>
                    <w:rPr>
                      <w:color w:val="auto"/>
                      <w:kern w:val="0"/>
                      <w:szCs w:val="21"/>
                      <w:lang w:bidi="ar"/>
                    </w:rPr>
                  </w:pPr>
                  <w:r>
                    <w:rPr>
                      <w:color w:val="auto"/>
                      <w:kern w:val="0"/>
                      <w:szCs w:val="21"/>
                      <w:lang w:bidi="ar"/>
                    </w:rPr>
                    <w:t>0.1312</w:t>
                  </w:r>
                </w:p>
              </w:tc>
              <w:tc>
                <w:tcPr>
                  <w:tcW w:w="1186" w:type="dxa"/>
                  <w:vAlign w:val="center"/>
                </w:tcPr>
                <w:p w14:paraId="54E2EC52">
                  <w:pPr>
                    <w:widowControl/>
                    <w:jc w:val="center"/>
                    <w:textAlignment w:val="center"/>
                    <w:rPr>
                      <w:color w:val="auto"/>
                      <w:kern w:val="0"/>
                      <w:szCs w:val="21"/>
                      <w:lang w:bidi="ar"/>
                    </w:rPr>
                  </w:pPr>
                  <w:r>
                    <w:rPr>
                      <w:color w:val="auto"/>
                      <w:kern w:val="0"/>
                      <w:szCs w:val="21"/>
                      <w:lang w:bidi="ar"/>
                    </w:rPr>
                    <w:t>0.0454</w:t>
                  </w:r>
                </w:p>
              </w:tc>
            </w:tr>
            <w:tr w14:paraId="0C29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434" w:type="pct"/>
                  <w:vMerge w:val="continue"/>
                  <w:vAlign w:val="center"/>
                </w:tcPr>
                <w:p w14:paraId="6F64863B">
                  <w:pPr>
                    <w:widowControl/>
                    <w:jc w:val="center"/>
                    <w:textAlignment w:val="center"/>
                    <w:rPr>
                      <w:color w:val="auto"/>
                      <w:kern w:val="0"/>
                      <w:szCs w:val="21"/>
                      <w:lang w:bidi="ar"/>
                    </w:rPr>
                  </w:pPr>
                </w:p>
              </w:tc>
              <w:tc>
                <w:tcPr>
                  <w:tcW w:w="428" w:type="pct"/>
                  <w:vMerge w:val="continue"/>
                  <w:vAlign w:val="center"/>
                </w:tcPr>
                <w:p w14:paraId="7E7E65B7">
                  <w:pPr>
                    <w:widowControl/>
                    <w:jc w:val="center"/>
                    <w:textAlignment w:val="center"/>
                    <w:rPr>
                      <w:color w:val="auto"/>
                      <w:kern w:val="0"/>
                      <w:szCs w:val="21"/>
                      <w:lang w:bidi="ar"/>
                    </w:rPr>
                  </w:pPr>
                </w:p>
              </w:tc>
              <w:tc>
                <w:tcPr>
                  <w:tcW w:w="522" w:type="pct"/>
                  <w:vAlign w:val="center"/>
                </w:tcPr>
                <w:p w14:paraId="5211070E">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72487B60">
                  <w:pPr>
                    <w:widowControl/>
                    <w:jc w:val="center"/>
                    <w:textAlignment w:val="center"/>
                    <w:rPr>
                      <w:color w:val="auto"/>
                      <w:kern w:val="0"/>
                      <w:szCs w:val="21"/>
                      <w:lang w:bidi="ar"/>
                    </w:rPr>
                  </w:pPr>
                  <w:r>
                    <w:rPr>
                      <w:color w:val="auto"/>
                      <w:kern w:val="0"/>
                      <w:szCs w:val="21"/>
                      <w:lang w:bidi="ar"/>
                    </w:rPr>
                    <w:t>0.1753</w:t>
                  </w:r>
                </w:p>
              </w:tc>
              <w:tc>
                <w:tcPr>
                  <w:tcW w:w="1133" w:type="dxa"/>
                  <w:vAlign w:val="center"/>
                </w:tcPr>
                <w:p w14:paraId="61B2032A">
                  <w:pPr>
                    <w:widowControl/>
                    <w:jc w:val="center"/>
                    <w:textAlignment w:val="center"/>
                    <w:rPr>
                      <w:color w:val="auto"/>
                      <w:kern w:val="0"/>
                      <w:szCs w:val="21"/>
                      <w:lang w:bidi="ar"/>
                    </w:rPr>
                  </w:pPr>
                  <w:r>
                    <w:rPr>
                      <w:color w:val="auto"/>
                      <w:kern w:val="0"/>
                      <w:szCs w:val="21"/>
                      <w:lang w:bidi="ar"/>
                    </w:rPr>
                    <w:t>0.0585</w:t>
                  </w:r>
                </w:p>
              </w:tc>
              <w:tc>
                <w:tcPr>
                  <w:tcW w:w="836" w:type="dxa"/>
                  <w:vAlign w:val="center"/>
                </w:tcPr>
                <w:p w14:paraId="053054AD">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2A2D3256">
                  <w:pPr>
                    <w:widowControl/>
                    <w:jc w:val="center"/>
                    <w:textAlignment w:val="center"/>
                    <w:rPr>
                      <w:color w:val="auto"/>
                      <w:kern w:val="0"/>
                      <w:szCs w:val="21"/>
                      <w:lang w:bidi="ar"/>
                    </w:rPr>
                  </w:pPr>
                  <w:r>
                    <w:rPr>
                      <w:color w:val="auto"/>
                      <w:kern w:val="0"/>
                      <w:szCs w:val="21"/>
                      <w:lang w:bidi="ar"/>
                    </w:rPr>
                    <w:t>0.159</w:t>
                  </w:r>
                </w:p>
              </w:tc>
              <w:tc>
                <w:tcPr>
                  <w:tcW w:w="1129" w:type="dxa"/>
                  <w:vAlign w:val="center"/>
                </w:tcPr>
                <w:p w14:paraId="22F0DDA4">
                  <w:pPr>
                    <w:widowControl/>
                    <w:jc w:val="center"/>
                    <w:textAlignment w:val="center"/>
                    <w:rPr>
                      <w:color w:val="auto"/>
                      <w:kern w:val="0"/>
                      <w:szCs w:val="21"/>
                      <w:lang w:bidi="ar"/>
                    </w:rPr>
                  </w:pPr>
                  <w:r>
                    <w:rPr>
                      <w:color w:val="auto"/>
                      <w:kern w:val="0"/>
                      <w:szCs w:val="21"/>
                      <w:lang w:bidi="ar"/>
                    </w:rPr>
                    <w:t>0.0531</w:t>
                  </w:r>
                </w:p>
              </w:tc>
              <w:tc>
                <w:tcPr>
                  <w:tcW w:w="1127" w:type="dxa"/>
                  <w:vAlign w:val="center"/>
                </w:tcPr>
                <w:p w14:paraId="0D73B299">
                  <w:pPr>
                    <w:widowControl/>
                    <w:jc w:val="center"/>
                    <w:textAlignment w:val="center"/>
                    <w:rPr>
                      <w:color w:val="auto"/>
                      <w:kern w:val="0"/>
                      <w:szCs w:val="21"/>
                      <w:lang w:bidi="ar"/>
                    </w:rPr>
                  </w:pPr>
                  <w:r>
                    <w:rPr>
                      <w:color w:val="auto"/>
                      <w:kern w:val="0"/>
                      <w:szCs w:val="21"/>
                      <w:lang w:bidi="ar"/>
                    </w:rPr>
                    <w:t>0.0163</w:t>
                  </w:r>
                </w:p>
              </w:tc>
              <w:tc>
                <w:tcPr>
                  <w:tcW w:w="1186" w:type="dxa"/>
                  <w:vAlign w:val="center"/>
                </w:tcPr>
                <w:p w14:paraId="2A975F24">
                  <w:pPr>
                    <w:widowControl/>
                    <w:jc w:val="center"/>
                    <w:textAlignment w:val="center"/>
                    <w:rPr>
                      <w:color w:val="auto"/>
                      <w:kern w:val="0"/>
                      <w:szCs w:val="21"/>
                      <w:lang w:bidi="ar"/>
                    </w:rPr>
                  </w:pPr>
                  <w:r>
                    <w:rPr>
                      <w:color w:val="auto"/>
                      <w:kern w:val="0"/>
                      <w:szCs w:val="21"/>
                      <w:lang w:bidi="ar"/>
                    </w:rPr>
                    <w:t>0.0054</w:t>
                  </w:r>
                </w:p>
              </w:tc>
            </w:tr>
            <w:tr w14:paraId="2DE7A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434" w:type="pct"/>
                  <w:vMerge w:val="continue"/>
                  <w:vAlign w:val="center"/>
                </w:tcPr>
                <w:p w14:paraId="35F0695A">
                  <w:pPr>
                    <w:widowControl/>
                    <w:jc w:val="center"/>
                    <w:textAlignment w:val="center"/>
                    <w:rPr>
                      <w:color w:val="auto"/>
                      <w:kern w:val="0"/>
                      <w:szCs w:val="21"/>
                      <w:lang w:bidi="ar"/>
                    </w:rPr>
                  </w:pPr>
                </w:p>
              </w:tc>
              <w:tc>
                <w:tcPr>
                  <w:tcW w:w="428" w:type="pct"/>
                  <w:vMerge w:val="continue"/>
                  <w:vAlign w:val="center"/>
                </w:tcPr>
                <w:p w14:paraId="6306613C">
                  <w:pPr>
                    <w:widowControl/>
                    <w:jc w:val="center"/>
                    <w:textAlignment w:val="center"/>
                    <w:rPr>
                      <w:color w:val="auto"/>
                      <w:kern w:val="0"/>
                      <w:szCs w:val="21"/>
                      <w:lang w:bidi="ar"/>
                    </w:rPr>
                  </w:pPr>
                </w:p>
              </w:tc>
              <w:tc>
                <w:tcPr>
                  <w:tcW w:w="522" w:type="pct"/>
                  <w:vAlign w:val="center"/>
                </w:tcPr>
                <w:p w14:paraId="06CD15D7">
                  <w:pPr>
                    <w:widowControl/>
                    <w:jc w:val="center"/>
                    <w:textAlignment w:val="center"/>
                    <w:rPr>
                      <w:color w:val="auto"/>
                      <w:kern w:val="0"/>
                      <w:szCs w:val="21"/>
                      <w:lang w:bidi="ar"/>
                    </w:rPr>
                  </w:pPr>
                  <w:r>
                    <w:rPr>
                      <w:rFonts w:hint="eastAsia"/>
                      <w:color w:val="auto"/>
                      <w:kern w:val="0"/>
                      <w:szCs w:val="21"/>
                      <w:lang w:bidi="ar"/>
                    </w:rPr>
                    <w:t>氮氧化物</w:t>
                  </w:r>
                </w:p>
              </w:tc>
              <w:tc>
                <w:tcPr>
                  <w:tcW w:w="1144" w:type="dxa"/>
                  <w:vAlign w:val="center"/>
                </w:tcPr>
                <w:p w14:paraId="04CB80D2">
                  <w:pPr>
                    <w:widowControl/>
                    <w:jc w:val="center"/>
                    <w:textAlignment w:val="center"/>
                    <w:rPr>
                      <w:color w:val="auto"/>
                      <w:kern w:val="0"/>
                      <w:szCs w:val="21"/>
                      <w:lang w:bidi="ar"/>
                    </w:rPr>
                  </w:pPr>
                  <w:r>
                    <w:rPr>
                      <w:color w:val="auto"/>
                      <w:kern w:val="0"/>
                      <w:szCs w:val="21"/>
                      <w:lang w:bidi="ar"/>
                    </w:rPr>
                    <w:t>0.0792</w:t>
                  </w:r>
                </w:p>
              </w:tc>
              <w:tc>
                <w:tcPr>
                  <w:tcW w:w="1133" w:type="dxa"/>
                  <w:vAlign w:val="center"/>
                </w:tcPr>
                <w:p w14:paraId="0E19B61C">
                  <w:pPr>
                    <w:widowControl/>
                    <w:jc w:val="center"/>
                    <w:textAlignment w:val="center"/>
                    <w:rPr>
                      <w:color w:val="auto"/>
                      <w:kern w:val="0"/>
                      <w:szCs w:val="21"/>
                      <w:lang w:bidi="ar"/>
                    </w:rPr>
                  </w:pPr>
                  <w:r>
                    <w:rPr>
                      <w:color w:val="auto"/>
                      <w:kern w:val="0"/>
                      <w:szCs w:val="21"/>
                      <w:lang w:bidi="ar"/>
                    </w:rPr>
                    <w:t>0.026</w:t>
                  </w:r>
                </w:p>
              </w:tc>
              <w:tc>
                <w:tcPr>
                  <w:tcW w:w="836" w:type="dxa"/>
                  <w:vAlign w:val="center"/>
                </w:tcPr>
                <w:p w14:paraId="0B6BFE08">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48FD32AD">
                  <w:pPr>
                    <w:widowControl/>
                    <w:jc w:val="center"/>
                    <w:textAlignment w:val="center"/>
                    <w:rPr>
                      <w:color w:val="auto"/>
                      <w:kern w:val="0"/>
                      <w:szCs w:val="21"/>
                      <w:lang w:bidi="ar"/>
                    </w:rPr>
                  </w:pPr>
                  <w:r>
                    <w:rPr>
                      <w:color w:val="auto"/>
                      <w:kern w:val="0"/>
                      <w:szCs w:val="21"/>
                      <w:lang w:bidi="ar"/>
                    </w:rPr>
                    <w:t>0.0752</w:t>
                  </w:r>
                </w:p>
              </w:tc>
              <w:tc>
                <w:tcPr>
                  <w:tcW w:w="1129" w:type="dxa"/>
                  <w:vAlign w:val="center"/>
                </w:tcPr>
                <w:p w14:paraId="348DF269">
                  <w:pPr>
                    <w:widowControl/>
                    <w:jc w:val="center"/>
                    <w:textAlignment w:val="center"/>
                    <w:rPr>
                      <w:color w:val="auto"/>
                      <w:kern w:val="0"/>
                      <w:szCs w:val="21"/>
                      <w:lang w:bidi="ar"/>
                    </w:rPr>
                  </w:pPr>
                  <w:r>
                    <w:rPr>
                      <w:color w:val="auto"/>
                      <w:kern w:val="0"/>
                      <w:szCs w:val="21"/>
                      <w:lang w:bidi="ar"/>
                    </w:rPr>
                    <w:t>0.0251</w:t>
                  </w:r>
                </w:p>
              </w:tc>
              <w:tc>
                <w:tcPr>
                  <w:tcW w:w="1127" w:type="dxa"/>
                  <w:vAlign w:val="center"/>
                </w:tcPr>
                <w:p w14:paraId="44997EA3">
                  <w:pPr>
                    <w:widowControl/>
                    <w:jc w:val="center"/>
                    <w:textAlignment w:val="center"/>
                    <w:rPr>
                      <w:color w:val="auto"/>
                      <w:kern w:val="0"/>
                      <w:szCs w:val="21"/>
                      <w:lang w:bidi="ar"/>
                    </w:rPr>
                  </w:pPr>
                  <w:r>
                    <w:rPr>
                      <w:color w:val="auto"/>
                      <w:kern w:val="0"/>
                      <w:szCs w:val="21"/>
                      <w:lang w:bidi="ar"/>
                    </w:rPr>
                    <w:t>0.004</w:t>
                  </w:r>
                </w:p>
              </w:tc>
              <w:tc>
                <w:tcPr>
                  <w:tcW w:w="1186" w:type="dxa"/>
                  <w:vAlign w:val="center"/>
                </w:tcPr>
                <w:p w14:paraId="4F9BFA8C">
                  <w:pPr>
                    <w:widowControl/>
                    <w:jc w:val="center"/>
                    <w:textAlignment w:val="center"/>
                    <w:rPr>
                      <w:color w:val="auto"/>
                      <w:kern w:val="0"/>
                      <w:szCs w:val="21"/>
                      <w:lang w:bidi="ar"/>
                    </w:rPr>
                  </w:pPr>
                  <w:r>
                    <w:rPr>
                      <w:color w:val="auto"/>
                      <w:kern w:val="0"/>
                      <w:szCs w:val="21"/>
                      <w:lang w:bidi="ar"/>
                    </w:rPr>
                    <w:t>0.0009</w:t>
                  </w:r>
                </w:p>
              </w:tc>
            </w:tr>
            <w:tr w14:paraId="1917B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434" w:type="pct"/>
                  <w:vMerge w:val="continue"/>
                  <w:vAlign w:val="center"/>
                </w:tcPr>
                <w:p w14:paraId="2A7FF7E0">
                  <w:pPr>
                    <w:widowControl/>
                    <w:jc w:val="center"/>
                    <w:textAlignment w:val="center"/>
                    <w:rPr>
                      <w:color w:val="auto"/>
                      <w:kern w:val="0"/>
                      <w:szCs w:val="21"/>
                      <w:lang w:bidi="ar"/>
                    </w:rPr>
                  </w:pPr>
                </w:p>
              </w:tc>
              <w:tc>
                <w:tcPr>
                  <w:tcW w:w="428" w:type="pct"/>
                  <w:vMerge w:val="continue"/>
                  <w:vAlign w:val="center"/>
                </w:tcPr>
                <w:p w14:paraId="0A550ACB">
                  <w:pPr>
                    <w:widowControl/>
                    <w:jc w:val="center"/>
                    <w:textAlignment w:val="center"/>
                    <w:rPr>
                      <w:color w:val="auto"/>
                      <w:kern w:val="0"/>
                      <w:szCs w:val="21"/>
                      <w:lang w:bidi="ar"/>
                    </w:rPr>
                  </w:pPr>
                </w:p>
              </w:tc>
              <w:tc>
                <w:tcPr>
                  <w:tcW w:w="522" w:type="pct"/>
                  <w:vAlign w:val="center"/>
                </w:tcPr>
                <w:p w14:paraId="7B8BCCFB">
                  <w:pPr>
                    <w:widowControl/>
                    <w:jc w:val="center"/>
                    <w:textAlignment w:val="center"/>
                    <w:rPr>
                      <w:color w:val="auto"/>
                      <w:kern w:val="0"/>
                      <w:szCs w:val="21"/>
                      <w:lang w:bidi="ar"/>
                    </w:rPr>
                  </w:pPr>
                  <w:r>
                    <w:rPr>
                      <w:rFonts w:hint="eastAsia"/>
                      <w:color w:val="auto"/>
                      <w:kern w:val="0"/>
                      <w:szCs w:val="21"/>
                      <w:lang w:bidi="ar"/>
                    </w:rPr>
                    <w:t>二氧化硫</w:t>
                  </w:r>
                </w:p>
              </w:tc>
              <w:tc>
                <w:tcPr>
                  <w:tcW w:w="1144" w:type="dxa"/>
                  <w:vAlign w:val="center"/>
                </w:tcPr>
                <w:p w14:paraId="3D43C513">
                  <w:pPr>
                    <w:widowControl/>
                    <w:jc w:val="center"/>
                    <w:textAlignment w:val="center"/>
                    <w:rPr>
                      <w:color w:val="auto"/>
                      <w:kern w:val="0"/>
                      <w:szCs w:val="21"/>
                      <w:lang w:bidi="ar"/>
                    </w:rPr>
                  </w:pPr>
                  <w:r>
                    <w:rPr>
                      <w:color w:val="auto"/>
                      <w:kern w:val="0"/>
                      <w:szCs w:val="21"/>
                      <w:lang w:bidi="ar"/>
                    </w:rPr>
                    <w:t>0.0169</w:t>
                  </w:r>
                </w:p>
              </w:tc>
              <w:tc>
                <w:tcPr>
                  <w:tcW w:w="1133" w:type="dxa"/>
                  <w:vAlign w:val="center"/>
                </w:tcPr>
                <w:p w14:paraId="6BEC4889">
                  <w:pPr>
                    <w:widowControl/>
                    <w:jc w:val="center"/>
                    <w:textAlignment w:val="center"/>
                    <w:rPr>
                      <w:color w:val="auto"/>
                      <w:kern w:val="0"/>
                      <w:szCs w:val="21"/>
                      <w:lang w:bidi="ar"/>
                    </w:rPr>
                  </w:pPr>
                  <w:r>
                    <w:rPr>
                      <w:color w:val="auto"/>
                      <w:kern w:val="0"/>
                      <w:szCs w:val="21"/>
                      <w:lang w:bidi="ar"/>
                    </w:rPr>
                    <w:t>0.0056</w:t>
                  </w:r>
                </w:p>
              </w:tc>
              <w:tc>
                <w:tcPr>
                  <w:tcW w:w="836" w:type="dxa"/>
                  <w:vAlign w:val="center"/>
                </w:tcPr>
                <w:p w14:paraId="62A7996B">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52B57C34">
                  <w:pPr>
                    <w:widowControl/>
                    <w:jc w:val="center"/>
                    <w:textAlignment w:val="center"/>
                    <w:rPr>
                      <w:color w:val="auto"/>
                      <w:kern w:val="0"/>
                      <w:szCs w:val="21"/>
                      <w:lang w:bidi="ar"/>
                    </w:rPr>
                  </w:pPr>
                  <w:r>
                    <w:rPr>
                      <w:color w:val="auto"/>
                      <w:kern w:val="0"/>
                      <w:szCs w:val="21"/>
                      <w:lang w:bidi="ar"/>
                    </w:rPr>
                    <w:t>0.0161</w:t>
                  </w:r>
                </w:p>
              </w:tc>
              <w:tc>
                <w:tcPr>
                  <w:tcW w:w="1129" w:type="dxa"/>
                  <w:vAlign w:val="center"/>
                </w:tcPr>
                <w:p w14:paraId="176ACB08">
                  <w:pPr>
                    <w:widowControl/>
                    <w:jc w:val="center"/>
                    <w:textAlignment w:val="center"/>
                    <w:rPr>
                      <w:color w:val="auto"/>
                      <w:kern w:val="0"/>
                      <w:szCs w:val="21"/>
                      <w:lang w:bidi="ar"/>
                    </w:rPr>
                  </w:pPr>
                  <w:r>
                    <w:rPr>
                      <w:color w:val="auto"/>
                      <w:kern w:val="0"/>
                      <w:szCs w:val="21"/>
                      <w:lang w:bidi="ar"/>
                    </w:rPr>
                    <w:t>0.0053</w:t>
                  </w:r>
                </w:p>
              </w:tc>
              <w:tc>
                <w:tcPr>
                  <w:tcW w:w="1127" w:type="dxa"/>
                  <w:vAlign w:val="center"/>
                </w:tcPr>
                <w:p w14:paraId="76FBBA36">
                  <w:pPr>
                    <w:widowControl/>
                    <w:jc w:val="center"/>
                    <w:textAlignment w:val="center"/>
                    <w:rPr>
                      <w:color w:val="auto"/>
                      <w:kern w:val="0"/>
                      <w:szCs w:val="21"/>
                      <w:lang w:bidi="ar"/>
                    </w:rPr>
                  </w:pPr>
                  <w:r>
                    <w:rPr>
                      <w:color w:val="auto"/>
                      <w:kern w:val="0"/>
                      <w:szCs w:val="21"/>
                      <w:lang w:bidi="ar"/>
                    </w:rPr>
                    <w:t>0.0008</w:t>
                  </w:r>
                </w:p>
              </w:tc>
              <w:tc>
                <w:tcPr>
                  <w:tcW w:w="1186" w:type="dxa"/>
                  <w:vAlign w:val="center"/>
                </w:tcPr>
                <w:p w14:paraId="32238E52">
                  <w:pPr>
                    <w:widowControl/>
                    <w:jc w:val="center"/>
                    <w:textAlignment w:val="center"/>
                    <w:rPr>
                      <w:color w:val="auto"/>
                      <w:kern w:val="0"/>
                      <w:szCs w:val="21"/>
                      <w:lang w:bidi="ar"/>
                    </w:rPr>
                  </w:pPr>
                  <w:r>
                    <w:rPr>
                      <w:color w:val="auto"/>
                      <w:kern w:val="0"/>
                      <w:szCs w:val="21"/>
                      <w:lang w:bidi="ar"/>
                    </w:rPr>
                    <w:t>0.0003</w:t>
                  </w:r>
                </w:p>
              </w:tc>
            </w:tr>
            <w:tr w14:paraId="6738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restart"/>
                  <w:vAlign w:val="center"/>
                </w:tcPr>
                <w:p w14:paraId="3EF11EE2">
                  <w:pPr>
                    <w:widowControl/>
                    <w:jc w:val="center"/>
                    <w:textAlignment w:val="center"/>
                    <w:rPr>
                      <w:color w:val="auto"/>
                      <w:kern w:val="0"/>
                      <w:szCs w:val="21"/>
                      <w:lang w:bidi="ar"/>
                    </w:rPr>
                  </w:pPr>
                  <w:r>
                    <w:rPr>
                      <w:rFonts w:hint="eastAsia"/>
                      <w:color w:val="auto"/>
                      <w:kern w:val="0"/>
                      <w:szCs w:val="21"/>
                      <w:lang w:bidi="ar"/>
                    </w:rPr>
                    <w:t>DA005</w:t>
                  </w:r>
                </w:p>
              </w:tc>
              <w:tc>
                <w:tcPr>
                  <w:tcW w:w="428" w:type="pct"/>
                  <w:vMerge w:val="restart"/>
                  <w:vAlign w:val="center"/>
                </w:tcPr>
                <w:p w14:paraId="433AA249">
                  <w:pPr>
                    <w:widowControl/>
                    <w:jc w:val="center"/>
                    <w:textAlignment w:val="center"/>
                    <w:rPr>
                      <w:bCs/>
                      <w:color w:val="auto"/>
                      <w:kern w:val="0"/>
                      <w:szCs w:val="21"/>
                      <w:lang w:bidi="ar"/>
                    </w:rPr>
                  </w:pPr>
                  <w:r>
                    <w:rPr>
                      <w:rFonts w:hint="eastAsia"/>
                      <w:bCs/>
                      <w:color w:val="auto"/>
                      <w:kern w:val="0"/>
                      <w:szCs w:val="21"/>
                      <w:lang w:bidi="ar"/>
                    </w:rPr>
                    <w:t>喷漆</w:t>
                  </w:r>
                </w:p>
              </w:tc>
              <w:tc>
                <w:tcPr>
                  <w:tcW w:w="522" w:type="pct"/>
                  <w:vAlign w:val="center"/>
                </w:tcPr>
                <w:p w14:paraId="3B70B0B9">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6D3879C1">
                  <w:pPr>
                    <w:widowControl/>
                    <w:jc w:val="center"/>
                    <w:textAlignment w:val="center"/>
                    <w:rPr>
                      <w:color w:val="auto"/>
                      <w:kern w:val="0"/>
                      <w:szCs w:val="21"/>
                      <w:lang w:bidi="ar"/>
                    </w:rPr>
                  </w:pPr>
                  <w:r>
                    <w:rPr>
                      <w:color w:val="auto"/>
                      <w:kern w:val="0"/>
                      <w:szCs w:val="21"/>
                      <w:lang w:bidi="ar"/>
                    </w:rPr>
                    <w:t>0.0513</w:t>
                  </w:r>
                </w:p>
              </w:tc>
              <w:tc>
                <w:tcPr>
                  <w:tcW w:w="1133" w:type="dxa"/>
                  <w:vAlign w:val="center"/>
                </w:tcPr>
                <w:p w14:paraId="2AA3C512">
                  <w:pPr>
                    <w:widowControl/>
                    <w:jc w:val="center"/>
                    <w:textAlignment w:val="center"/>
                    <w:rPr>
                      <w:color w:val="auto"/>
                      <w:kern w:val="0"/>
                      <w:szCs w:val="21"/>
                      <w:lang w:bidi="ar"/>
                    </w:rPr>
                  </w:pPr>
                  <w:r>
                    <w:rPr>
                      <w:color w:val="auto"/>
                      <w:kern w:val="0"/>
                      <w:szCs w:val="21"/>
                      <w:lang w:bidi="ar"/>
                    </w:rPr>
                    <w:t>0.0855</w:t>
                  </w:r>
                </w:p>
              </w:tc>
              <w:tc>
                <w:tcPr>
                  <w:tcW w:w="836" w:type="dxa"/>
                  <w:vAlign w:val="center"/>
                </w:tcPr>
                <w:p w14:paraId="67CC0300">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189C1170">
                  <w:pPr>
                    <w:widowControl/>
                    <w:jc w:val="center"/>
                    <w:textAlignment w:val="center"/>
                    <w:rPr>
                      <w:color w:val="auto"/>
                      <w:kern w:val="0"/>
                      <w:szCs w:val="21"/>
                      <w:lang w:bidi="ar"/>
                    </w:rPr>
                  </w:pPr>
                  <w:r>
                    <w:rPr>
                      <w:color w:val="auto"/>
                      <w:kern w:val="0"/>
                      <w:szCs w:val="21"/>
                      <w:lang w:bidi="ar"/>
                    </w:rPr>
                    <w:t>0.0462</w:t>
                  </w:r>
                </w:p>
              </w:tc>
              <w:tc>
                <w:tcPr>
                  <w:tcW w:w="1129" w:type="dxa"/>
                  <w:vAlign w:val="center"/>
                </w:tcPr>
                <w:p w14:paraId="3655A185">
                  <w:pPr>
                    <w:widowControl/>
                    <w:jc w:val="center"/>
                    <w:textAlignment w:val="center"/>
                    <w:rPr>
                      <w:color w:val="auto"/>
                      <w:kern w:val="0"/>
                      <w:szCs w:val="21"/>
                      <w:lang w:bidi="ar"/>
                    </w:rPr>
                  </w:pPr>
                  <w:r>
                    <w:rPr>
                      <w:color w:val="auto"/>
                      <w:kern w:val="0"/>
                      <w:szCs w:val="21"/>
                      <w:lang w:bidi="ar"/>
                    </w:rPr>
                    <w:t>0.077</w:t>
                  </w:r>
                </w:p>
              </w:tc>
              <w:tc>
                <w:tcPr>
                  <w:tcW w:w="1127" w:type="dxa"/>
                  <w:vAlign w:val="center"/>
                </w:tcPr>
                <w:p w14:paraId="0E224F20">
                  <w:pPr>
                    <w:widowControl/>
                    <w:jc w:val="center"/>
                    <w:textAlignment w:val="center"/>
                    <w:rPr>
                      <w:color w:val="auto"/>
                      <w:kern w:val="0"/>
                      <w:szCs w:val="21"/>
                      <w:lang w:bidi="ar"/>
                    </w:rPr>
                  </w:pPr>
                  <w:r>
                    <w:rPr>
                      <w:color w:val="auto"/>
                      <w:kern w:val="0"/>
                      <w:szCs w:val="21"/>
                      <w:lang w:bidi="ar"/>
                    </w:rPr>
                    <w:t>0.0051</w:t>
                  </w:r>
                </w:p>
              </w:tc>
              <w:tc>
                <w:tcPr>
                  <w:tcW w:w="1186" w:type="dxa"/>
                  <w:vAlign w:val="center"/>
                </w:tcPr>
                <w:p w14:paraId="55423000">
                  <w:pPr>
                    <w:widowControl/>
                    <w:jc w:val="center"/>
                    <w:textAlignment w:val="center"/>
                    <w:rPr>
                      <w:color w:val="auto"/>
                      <w:kern w:val="0"/>
                      <w:szCs w:val="21"/>
                      <w:lang w:bidi="ar"/>
                    </w:rPr>
                  </w:pPr>
                  <w:r>
                    <w:rPr>
                      <w:color w:val="auto"/>
                      <w:kern w:val="0"/>
                      <w:szCs w:val="21"/>
                      <w:lang w:bidi="ar"/>
                    </w:rPr>
                    <w:t>0.0085</w:t>
                  </w:r>
                </w:p>
              </w:tc>
            </w:tr>
            <w:tr w14:paraId="4FAFC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34" w:type="pct"/>
                  <w:vMerge w:val="continue"/>
                  <w:vAlign w:val="center"/>
                </w:tcPr>
                <w:p w14:paraId="797D8059">
                  <w:pPr>
                    <w:widowControl/>
                    <w:jc w:val="center"/>
                    <w:textAlignment w:val="center"/>
                    <w:rPr>
                      <w:color w:val="auto"/>
                    </w:rPr>
                  </w:pPr>
                </w:p>
              </w:tc>
              <w:tc>
                <w:tcPr>
                  <w:tcW w:w="428" w:type="pct"/>
                  <w:vMerge w:val="continue"/>
                  <w:vAlign w:val="center"/>
                </w:tcPr>
                <w:p w14:paraId="5EB1C06E">
                  <w:pPr>
                    <w:widowControl/>
                    <w:jc w:val="center"/>
                    <w:textAlignment w:val="center"/>
                    <w:rPr>
                      <w:color w:val="auto"/>
                    </w:rPr>
                  </w:pPr>
                </w:p>
              </w:tc>
              <w:tc>
                <w:tcPr>
                  <w:tcW w:w="522" w:type="pct"/>
                  <w:vAlign w:val="center"/>
                </w:tcPr>
                <w:p w14:paraId="64301D97">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24EC1DB2">
                  <w:pPr>
                    <w:widowControl/>
                    <w:jc w:val="center"/>
                    <w:textAlignment w:val="center"/>
                    <w:rPr>
                      <w:color w:val="auto"/>
                      <w:kern w:val="0"/>
                      <w:szCs w:val="21"/>
                      <w:lang w:bidi="ar"/>
                    </w:rPr>
                  </w:pPr>
                  <w:r>
                    <w:rPr>
                      <w:color w:val="auto"/>
                      <w:kern w:val="0"/>
                      <w:szCs w:val="21"/>
                      <w:lang w:bidi="ar"/>
                    </w:rPr>
                    <w:t>0.0052</w:t>
                  </w:r>
                </w:p>
              </w:tc>
              <w:tc>
                <w:tcPr>
                  <w:tcW w:w="1133" w:type="dxa"/>
                  <w:vAlign w:val="center"/>
                </w:tcPr>
                <w:p w14:paraId="113C0877">
                  <w:pPr>
                    <w:widowControl/>
                    <w:jc w:val="center"/>
                    <w:textAlignment w:val="center"/>
                    <w:rPr>
                      <w:color w:val="auto"/>
                      <w:kern w:val="0"/>
                      <w:szCs w:val="21"/>
                      <w:lang w:bidi="ar"/>
                    </w:rPr>
                  </w:pPr>
                  <w:r>
                    <w:rPr>
                      <w:color w:val="auto"/>
                      <w:kern w:val="0"/>
                      <w:szCs w:val="21"/>
                      <w:lang w:bidi="ar"/>
                    </w:rPr>
                    <w:t>0.0088</w:t>
                  </w:r>
                </w:p>
              </w:tc>
              <w:tc>
                <w:tcPr>
                  <w:tcW w:w="836" w:type="dxa"/>
                  <w:vAlign w:val="center"/>
                </w:tcPr>
                <w:p w14:paraId="471D65B1">
                  <w:pPr>
                    <w:widowControl/>
                    <w:jc w:val="center"/>
                    <w:textAlignment w:val="center"/>
                    <w:rPr>
                      <w:color w:val="auto"/>
                      <w:kern w:val="0"/>
                      <w:szCs w:val="21"/>
                      <w:lang w:bidi="ar"/>
                    </w:rPr>
                  </w:pPr>
                  <w:r>
                    <w:rPr>
                      <w:color w:val="auto"/>
                      <w:kern w:val="0"/>
                      <w:szCs w:val="21"/>
                      <w:lang w:bidi="ar"/>
                    </w:rPr>
                    <w:t>90%</w:t>
                  </w:r>
                </w:p>
              </w:tc>
              <w:tc>
                <w:tcPr>
                  <w:tcW w:w="1176" w:type="dxa"/>
                  <w:vAlign w:val="center"/>
                </w:tcPr>
                <w:p w14:paraId="4DD31470">
                  <w:pPr>
                    <w:widowControl/>
                    <w:jc w:val="center"/>
                    <w:textAlignment w:val="center"/>
                    <w:rPr>
                      <w:color w:val="auto"/>
                      <w:kern w:val="0"/>
                      <w:szCs w:val="21"/>
                      <w:lang w:bidi="ar"/>
                    </w:rPr>
                  </w:pPr>
                  <w:r>
                    <w:rPr>
                      <w:color w:val="auto"/>
                      <w:kern w:val="0"/>
                      <w:szCs w:val="21"/>
                      <w:lang w:bidi="ar"/>
                    </w:rPr>
                    <w:t>0.0047</w:t>
                  </w:r>
                </w:p>
              </w:tc>
              <w:tc>
                <w:tcPr>
                  <w:tcW w:w="1129" w:type="dxa"/>
                  <w:vAlign w:val="center"/>
                </w:tcPr>
                <w:p w14:paraId="35C3DE10">
                  <w:pPr>
                    <w:widowControl/>
                    <w:jc w:val="center"/>
                    <w:textAlignment w:val="center"/>
                    <w:rPr>
                      <w:color w:val="auto"/>
                      <w:kern w:val="0"/>
                      <w:szCs w:val="21"/>
                      <w:lang w:bidi="ar"/>
                    </w:rPr>
                  </w:pPr>
                  <w:r>
                    <w:rPr>
                      <w:color w:val="auto"/>
                      <w:kern w:val="0"/>
                      <w:szCs w:val="21"/>
                      <w:lang w:bidi="ar"/>
                    </w:rPr>
                    <w:t>0.0079</w:t>
                  </w:r>
                </w:p>
              </w:tc>
              <w:tc>
                <w:tcPr>
                  <w:tcW w:w="1127" w:type="dxa"/>
                  <w:vAlign w:val="center"/>
                </w:tcPr>
                <w:p w14:paraId="362AC954">
                  <w:pPr>
                    <w:widowControl/>
                    <w:jc w:val="center"/>
                    <w:textAlignment w:val="center"/>
                    <w:rPr>
                      <w:color w:val="auto"/>
                      <w:kern w:val="0"/>
                      <w:szCs w:val="21"/>
                      <w:lang w:bidi="ar"/>
                    </w:rPr>
                  </w:pPr>
                  <w:r>
                    <w:rPr>
                      <w:color w:val="auto"/>
                      <w:kern w:val="0"/>
                      <w:szCs w:val="21"/>
                      <w:lang w:bidi="ar"/>
                    </w:rPr>
                    <w:t>0.0005</w:t>
                  </w:r>
                </w:p>
              </w:tc>
              <w:tc>
                <w:tcPr>
                  <w:tcW w:w="1186" w:type="dxa"/>
                  <w:vAlign w:val="center"/>
                </w:tcPr>
                <w:p w14:paraId="227A7A3A">
                  <w:pPr>
                    <w:widowControl/>
                    <w:jc w:val="center"/>
                    <w:textAlignment w:val="center"/>
                    <w:rPr>
                      <w:color w:val="auto"/>
                      <w:kern w:val="0"/>
                      <w:szCs w:val="21"/>
                      <w:lang w:bidi="ar"/>
                    </w:rPr>
                  </w:pPr>
                  <w:r>
                    <w:rPr>
                      <w:color w:val="auto"/>
                      <w:kern w:val="0"/>
                      <w:szCs w:val="21"/>
                      <w:lang w:bidi="ar"/>
                    </w:rPr>
                    <w:t>0.0009</w:t>
                  </w:r>
                </w:p>
              </w:tc>
            </w:tr>
            <w:tr w14:paraId="71C11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2664C338">
                  <w:pPr>
                    <w:widowControl/>
                    <w:jc w:val="center"/>
                    <w:textAlignment w:val="center"/>
                    <w:rPr>
                      <w:color w:val="auto"/>
                      <w:kern w:val="0"/>
                      <w:szCs w:val="21"/>
                      <w:lang w:bidi="ar"/>
                    </w:rPr>
                  </w:pPr>
                </w:p>
              </w:tc>
              <w:tc>
                <w:tcPr>
                  <w:tcW w:w="428" w:type="pct"/>
                  <w:vAlign w:val="center"/>
                </w:tcPr>
                <w:p w14:paraId="02A1FB90">
                  <w:pPr>
                    <w:widowControl/>
                    <w:jc w:val="center"/>
                    <w:textAlignment w:val="center"/>
                    <w:rPr>
                      <w:bCs/>
                      <w:color w:val="auto"/>
                      <w:kern w:val="0"/>
                      <w:szCs w:val="21"/>
                      <w:lang w:bidi="ar"/>
                    </w:rPr>
                  </w:pPr>
                  <w:r>
                    <w:rPr>
                      <w:rFonts w:hint="eastAsia"/>
                      <w:bCs/>
                      <w:color w:val="auto"/>
                      <w:kern w:val="0"/>
                      <w:szCs w:val="21"/>
                      <w:lang w:bidi="ar"/>
                    </w:rPr>
                    <w:t>烘烤</w:t>
                  </w:r>
                </w:p>
              </w:tc>
              <w:tc>
                <w:tcPr>
                  <w:tcW w:w="522" w:type="pct"/>
                  <w:vAlign w:val="center"/>
                </w:tcPr>
                <w:p w14:paraId="1B3C69FA">
                  <w:pPr>
                    <w:widowControl/>
                    <w:jc w:val="center"/>
                    <w:textAlignment w:val="center"/>
                    <w:rPr>
                      <w:color w:val="auto"/>
                      <w:kern w:val="0"/>
                      <w:szCs w:val="21"/>
                      <w:lang w:bidi="ar"/>
                    </w:rPr>
                  </w:pPr>
                  <w:r>
                    <w:rPr>
                      <w:rFonts w:hint="eastAsia"/>
                      <w:color w:val="auto"/>
                      <w:kern w:val="0"/>
                      <w:szCs w:val="21"/>
                      <w:lang w:bidi="ar"/>
                    </w:rPr>
                    <w:t>TVOC</w:t>
                  </w:r>
                </w:p>
              </w:tc>
              <w:tc>
                <w:tcPr>
                  <w:tcW w:w="1144" w:type="dxa"/>
                  <w:vAlign w:val="center"/>
                </w:tcPr>
                <w:p w14:paraId="77BA6B2B">
                  <w:pPr>
                    <w:widowControl/>
                    <w:jc w:val="center"/>
                    <w:textAlignment w:val="center"/>
                    <w:rPr>
                      <w:color w:val="auto"/>
                      <w:kern w:val="0"/>
                      <w:szCs w:val="21"/>
                      <w:lang w:bidi="ar"/>
                    </w:rPr>
                  </w:pPr>
                  <w:r>
                    <w:rPr>
                      <w:color w:val="auto"/>
                      <w:kern w:val="0"/>
                      <w:szCs w:val="21"/>
                      <w:lang w:bidi="ar"/>
                    </w:rPr>
                    <w:t>0.00093</w:t>
                  </w:r>
                </w:p>
              </w:tc>
              <w:tc>
                <w:tcPr>
                  <w:tcW w:w="1133" w:type="dxa"/>
                  <w:vAlign w:val="center"/>
                </w:tcPr>
                <w:p w14:paraId="45AE4F2D">
                  <w:pPr>
                    <w:widowControl/>
                    <w:jc w:val="center"/>
                    <w:textAlignment w:val="center"/>
                    <w:rPr>
                      <w:color w:val="auto"/>
                      <w:kern w:val="0"/>
                      <w:szCs w:val="21"/>
                      <w:lang w:bidi="ar"/>
                    </w:rPr>
                  </w:pPr>
                  <w:r>
                    <w:rPr>
                      <w:color w:val="auto"/>
                      <w:kern w:val="0"/>
                      <w:szCs w:val="21"/>
                      <w:lang w:bidi="ar"/>
                    </w:rPr>
                    <w:t>0.00154</w:t>
                  </w:r>
                </w:p>
              </w:tc>
              <w:tc>
                <w:tcPr>
                  <w:tcW w:w="836" w:type="dxa"/>
                  <w:vAlign w:val="center"/>
                </w:tcPr>
                <w:p w14:paraId="4B20433E">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2FC08FD2">
                  <w:pPr>
                    <w:widowControl/>
                    <w:jc w:val="center"/>
                    <w:textAlignment w:val="center"/>
                    <w:rPr>
                      <w:color w:val="auto"/>
                      <w:kern w:val="0"/>
                      <w:szCs w:val="21"/>
                      <w:lang w:bidi="ar"/>
                    </w:rPr>
                  </w:pPr>
                  <w:r>
                    <w:rPr>
                      <w:color w:val="auto"/>
                      <w:kern w:val="0"/>
                      <w:szCs w:val="21"/>
                      <w:lang w:bidi="ar"/>
                    </w:rPr>
                    <w:t>0.0009</w:t>
                  </w:r>
                </w:p>
              </w:tc>
              <w:tc>
                <w:tcPr>
                  <w:tcW w:w="1129" w:type="dxa"/>
                  <w:vAlign w:val="center"/>
                </w:tcPr>
                <w:p w14:paraId="095A2D28">
                  <w:pPr>
                    <w:widowControl/>
                    <w:jc w:val="center"/>
                    <w:textAlignment w:val="center"/>
                    <w:rPr>
                      <w:color w:val="auto"/>
                      <w:kern w:val="0"/>
                      <w:szCs w:val="21"/>
                      <w:lang w:bidi="ar"/>
                    </w:rPr>
                  </w:pPr>
                  <w:r>
                    <w:rPr>
                      <w:color w:val="auto"/>
                      <w:kern w:val="0"/>
                      <w:szCs w:val="21"/>
                      <w:lang w:bidi="ar"/>
                    </w:rPr>
                    <w:t>0.0015</w:t>
                  </w:r>
                </w:p>
              </w:tc>
              <w:tc>
                <w:tcPr>
                  <w:tcW w:w="1127" w:type="dxa"/>
                  <w:vAlign w:val="center"/>
                </w:tcPr>
                <w:p w14:paraId="6382FE0B">
                  <w:pPr>
                    <w:widowControl/>
                    <w:jc w:val="center"/>
                    <w:textAlignment w:val="center"/>
                    <w:rPr>
                      <w:color w:val="auto"/>
                      <w:kern w:val="0"/>
                      <w:szCs w:val="21"/>
                      <w:lang w:bidi="ar"/>
                    </w:rPr>
                  </w:pPr>
                  <w:r>
                    <w:rPr>
                      <w:color w:val="auto"/>
                      <w:kern w:val="0"/>
                      <w:szCs w:val="21"/>
                      <w:lang w:bidi="ar"/>
                    </w:rPr>
                    <w:t xml:space="preserve">0.00003 </w:t>
                  </w:r>
                </w:p>
              </w:tc>
              <w:tc>
                <w:tcPr>
                  <w:tcW w:w="1186" w:type="dxa"/>
                  <w:vAlign w:val="center"/>
                </w:tcPr>
                <w:p w14:paraId="3358D3C6">
                  <w:pPr>
                    <w:widowControl/>
                    <w:jc w:val="center"/>
                    <w:textAlignment w:val="center"/>
                    <w:rPr>
                      <w:color w:val="auto"/>
                      <w:kern w:val="0"/>
                      <w:szCs w:val="21"/>
                      <w:lang w:bidi="ar"/>
                    </w:rPr>
                  </w:pPr>
                  <w:r>
                    <w:rPr>
                      <w:color w:val="auto"/>
                      <w:kern w:val="0"/>
                      <w:szCs w:val="21"/>
                      <w:lang w:bidi="ar"/>
                    </w:rPr>
                    <w:t xml:space="preserve">0.00004 </w:t>
                  </w:r>
                </w:p>
              </w:tc>
            </w:tr>
            <w:tr w14:paraId="05371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34" w:type="pct"/>
                  <w:vMerge w:val="continue"/>
                  <w:vAlign w:val="center"/>
                </w:tcPr>
                <w:p w14:paraId="1869CF90">
                  <w:pPr>
                    <w:widowControl/>
                    <w:jc w:val="center"/>
                    <w:textAlignment w:val="center"/>
                    <w:rPr>
                      <w:color w:val="auto"/>
                      <w:kern w:val="0"/>
                      <w:szCs w:val="21"/>
                      <w:lang w:bidi="ar"/>
                    </w:rPr>
                  </w:pPr>
                </w:p>
              </w:tc>
              <w:tc>
                <w:tcPr>
                  <w:tcW w:w="428" w:type="pct"/>
                  <w:vMerge w:val="restart"/>
                  <w:vAlign w:val="center"/>
                </w:tcPr>
                <w:p w14:paraId="2E4C8E92">
                  <w:pPr>
                    <w:widowControl/>
                    <w:jc w:val="center"/>
                    <w:textAlignment w:val="center"/>
                    <w:rPr>
                      <w:bCs/>
                      <w:color w:val="auto"/>
                      <w:kern w:val="0"/>
                      <w:szCs w:val="21"/>
                      <w:lang w:bidi="ar"/>
                    </w:rPr>
                  </w:pPr>
                  <w:r>
                    <w:rPr>
                      <w:rFonts w:hint="eastAsia"/>
                      <w:bCs/>
                      <w:color w:val="auto"/>
                      <w:kern w:val="0"/>
                      <w:szCs w:val="21"/>
                      <w:lang w:bidi="ar"/>
                    </w:rPr>
                    <w:t>天然气燃烧</w:t>
                  </w:r>
                </w:p>
              </w:tc>
              <w:tc>
                <w:tcPr>
                  <w:tcW w:w="522" w:type="pct"/>
                  <w:vAlign w:val="center"/>
                </w:tcPr>
                <w:p w14:paraId="4A0646EA">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6DDB4A9C">
                  <w:pPr>
                    <w:widowControl/>
                    <w:jc w:val="center"/>
                    <w:textAlignment w:val="center"/>
                    <w:rPr>
                      <w:color w:val="auto"/>
                      <w:kern w:val="0"/>
                      <w:szCs w:val="21"/>
                      <w:lang w:bidi="ar"/>
                    </w:rPr>
                  </w:pPr>
                  <w:r>
                    <w:rPr>
                      <w:color w:val="auto"/>
                      <w:kern w:val="0"/>
                      <w:szCs w:val="21"/>
                      <w:lang w:bidi="ar"/>
                    </w:rPr>
                    <w:t>0.0005</w:t>
                  </w:r>
                </w:p>
              </w:tc>
              <w:tc>
                <w:tcPr>
                  <w:tcW w:w="1133" w:type="dxa"/>
                  <w:vAlign w:val="center"/>
                </w:tcPr>
                <w:p w14:paraId="10CA2714">
                  <w:pPr>
                    <w:widowControl/>
                    <w:jc w:val="center"/>
                    <w:textAlignment w:val="center"/>
                    <w:rPr>
                      <w:color w:val="auto"/>
                      <w:kern w:val="0"/>
                      <w:szCs w:val="21"/>
                      <w:lang w:bidi="ar"/>
                    </w:rPr>
                  </w:pPr>
                  <w:r>
                    <w:rPr>
                      <w:color w:val="auto"/>
                      <w:kern w:val="0"/>
                      <w:szCs w:val="21"/>
                      <w:lang w:bidi="ar"/>
                    </w:rPr>
                    <w:t>0.0008</w:t>
                  </w:r>
                </w:p>
              </w:tc>
              <w:tc>
                <w:tcPr>
                  <w:tcW w:w="836" w:type="dxa"/>
                  <w:vAlign w:val="center"/>
                </w:tcPr>
                <w:p w14:paraId="3649ED07">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4D16F950">
                  <w:pPr>
                    <w:widowControl/>
                    <w:jc w:val="center"/>
                    <w:textAlignment w:val="center"/>
                    <w:rPr>
                      <w:color w:val="auto"/>
                      <w:kern w:val="0"/>
                      <w:szCs w:val="21"/>
                      <w:lang w:bidi="ar"/>
                    </w:rPr>
                  </w:pPr>
                  <w:r>
                    <w:rPr>
                      <w:color w:val="auto"/>
                      <w:kern w:val="0"/>
                      <w:szCs w:val="21"/>
                      <w:lang w:bidi="ar"/>
                    </w:rPr>
                    <w:t>0.00048</w:t>
                  </w:r>
                </w:p>
              </w:tc>
              <w:tc>
                <w:tcPr>
                  <w:tcW w:w="1129" w:type="dxa"/>
                  <w:vAlign w:val="center"/>
                </w:tcPr>
                <w:p w14:paraId="05674EC1">
                  <w:pPr>
                    <w:widowControl/>
                    <w:jc w:val="center"/>
                    <w:textAlignment w:val="center"/>
                    <w:rPr>
                      <w:color w:val="auto"/>
                      <w:kern w:val="0"/>
                      <w:szCs w:val="21"/>
                      <w:lang w:bidi="ar"/>
                    </w:rPr>
                  </w:pPr>
                  <w:r>
                    <w:rPr>
                      <w:color w:val="auto"/>
                      <w:kern w:val="0"/>
                      <w:szCs w:val="21"/>
                      <w:lang w:bidi="ar"/>
                    </w:rPr>
                    <w:t>0.00076</w:t>
                  </w:r>
                </w:p>
              </w:tc>
              <w:tc>
                <w:tcPr>
                  <w:tcW w:w="1127" w:type="dxa"/>
                  <w:vAlign w:val="center"/>
                </w:tcPr>
                <w:p w14:paraId="6744E9AC">
                  <w:pPr>
                    <w:widowControl/>
                    <w:jc w:val="center"/>
                    <w:textAlignment w:val="center"/>
                    <w:rPr>
                      <w:color w:val="auto"/>
                      <w:kern w:val="0"/>
                      <w:szCs w:val="21"/>
                      <w:lang w:bidi="ar"/>
                    </w:rPr>
                  </w:pPr>
                  <w:r>
                    <w:rPr>
                      <w:color w:val="auto"/>
                      <w:kern w:val="0"/>
                      <w:szCs w:val="21"/>
                      <w:lang w:bidi="ar"/>
                    </w:rPr>
                    <w:t>0.00002</w:t>
                  </w:r>
                </w:p>
              </w:tc>
              <w:tc>
                <w:tcPr>
                  <w:tcW w:w="1186" w:type="dxa"/>
                  <w:vAlign w:val="center"/>
                </w:tcPr>
                <w:p w14:paraId="59C56817">
                  <w:pPr>
                    <w:widowControl/>
                    <w:jc w:val="center"/>
                    <w:textAlignment w:val="center"/>
                    <w:rPr>
                      <w:color w:val="auto"/>
                      <w:kern w:val="0"/>
                      <w:szCs w:val="21"/>
                      <w:lang w:bidi="ar"/>
                    </w:rPr>
                  </w:pPr>
                  <w:r>
                    <w:rPr>
                      <w:color w:val="auto"/>
                      <w:kern w:val="0"/>
                      <w:szCs w:val="21"/>
                      <w:lang w:bidi="ar"/>
                    </w:rPr>
                    <w:t>0.00004</w:t>
                  </w:r>
                </w:p>
              </w:tc>
            </w:tr>
            <w:tr w14:paraId="0EBC3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34" w:type="pct"/>
                  <w:vMerge w:val="continue"/>
                  <w:vAlign w:val="center"/>
                </w:tcPr>
                <w:p w14:paraId="2D732F50">
                  <w:pPr>
                    <w:widowControl/>
                    <w:jc w:val="center"/>
                    <w:textAlignment w:val="center"/>
                    <w:rPr>
                      <w:color w:val="auto"/>
                    </w:rPr>
                  </w:pPr>
                </w:p>
              </w:tc>
              <w:tc>
                <w:tcPr>
                  <w:tcW w:w="428" w:type="pct"/>
                  <w:vMerge w:val="continue"/>
                  <w:vAlign w:val="center"/>
                </w:tcPr>
                <w:p w14:paraId="36EACC4E">
                  <w:pPr>
                    <w:widowControl/>
                    <w:jc w:val="center"/>
                    <w:textAlignment w:val="center"/>
                    <w:rPr>
                      <w:color w:val="auto"/>
                    </w:rPr>
                  </w:pPr>
                </w:p>
              </w:tc>
              <w:tc>
                <w:tcPr>
                  <w:tcW w:w="522" w:type="pct"/>
                  <w:vAlign w:val="center"/>
                </w:tcPr>
                <w:p w14:paraId="68ACA7AC">
                  <w:pPr>
                    <w:widowControl/>
                    <w:jc w:val="center"/>
                    <w:textAlignment w:val="center"/>
                    <w:rPr>
                      <w:color w:val="auto"/>
                      <w:kern w:val="0"/>
                      <w:szCs w:val="21"/>
                      <w:lang w:bidi="ar"/>
                    </w:rPr>
                  </w:pPr>
                  <w:r>
                    <w:rPr>
                      <w:rFonts w:hint="eastAsia"/>
                      <w:color w:val="auto"/>
                      <w:kern w:val="0"/>
                      <w:szCs w:val="21"/>
                      <w:lang w:bidi="ar"/>
                    </w:rPr>
                    <w:t>氮氧化物</w:t>
                  </w:r>
                </w:p>
              </w:tc>
              <w:tc>
                <w:tcPr>
                  <w:tcW w:w="1144" w:type="dxa"/>
                  <w:vAlign w:val="center"/>
                </w:tcPr>
                <w:p w14:paraId="42A95B6F">
                  <w:pPr>
                    <w:widowControl/>
                    <w:jc w:val="center"/>
                    <w:textAlignment w:val="center"/>
                    <w:rPr>
                      <w:color w:val="auto"/>
                      <w:kern w:val="0"/>
                      <w:szCs w:val="21"/>
                      <w:lang w:bidi="ar"/>
                    </w:rPr>
                  </w:pPr>
                  <w:r>
                    <w:rPr>
                      <w:color w:val="auto"/>
                      <w:kern w:val="0"/>
                      <w:szCs w:val="21"/>
                      <w:lang w:bidi="ar"/>
                    </w:rPr>
                    <w:t>0.0016</w:t>
                  </w:r>
                </w:p>
              </w:tc>
              <w:tc>
                <w:tcPr>
                  <w:tcW w:w="1133" w:type="dxa"/>
                  <w:vAlign w:val="center"/>
                </w:tcPr>
                <w:p w14:paraId="76258504">
                  <w:pPr>
                    <w:widowControl/>
                    <w:jc w:val="center"/>
                    <w:textAlignment w:val="center"/>
                    <w:rPr>
                      <w:color w:val="auto"/>
                      <w:kern w:val="0"/>
                      <w:szCs w:val="21"/>
                      <w:lang w:bidi="ar"/>
                    </w:rPr>
                  </w:pPr>
                  <w:r>
                    <w:rPr>
                      <w:color w:val="auto"/>
                      <w:kern w:val="0"/>
                      <w:szCs w:val="21"/>
                      <w:lang w:bidi="ar"/>
                    </w:rPr>
                    <w:t>0.0027</w:t>
                  </w:r>
                </w:p>
              </w:tc>
              <w:tc>
                <w:tcPr>
                  <w:tcW w:w="836" w:type="dxa"/>
                  <w:vAlign w:val="center"/>
                </w:tcPr>
                <w:p w14:paraId="186CE68A">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24D4E7D1">
                  <w:pPr>
                    <w:widowControl/>
                    <w:jc w:val="center"/>
                    <w:textAlignment w:val="center"/>
                    <w:rPr>
                      <w:color w:val="auto"/>
                      <w:kern w:val="0"/>
                      <w:szCs w:val="21"/>
                      <w:lang w:bidi="ar"/>
                    </w:rPr>
                  </w:pPr>
                  <w:r>
                    <w:rPr>
                      <w:color w:val="auto"/>
                      <w:kern w:val="0"/>
                      <w:szCs w:val="21"/>
                      <w:lang w:bidi="ar"/>
                    </w:rPr>
                    <w:t>0.0015</w:t>
                  </w:r>
                </w:p>
              </w:tc>
              <w:tc>
                <w:tcPr>
                  <w:tcW w:w="1129" w:type="dxa"/>
                  <w:vAlign w:val="center"/>
                </w:tcPr>
                <w:p w14:paraId="16CE12CC">
                  <w:pPr>
                    <w:widowControl/>
                    <w:jc w:val="center"/>
                    <w:textAlignment w:val="center"/>
                    <w:rPr>
                      <w:color w:val="auto"/>
                      <w:kern w:val="0"/>
                      <w:szCs w:val="21"/>
                      <w:lang w:bidi="ar"/>
                    </w:rPr>
                  </w:pPr>
                  <w:r>
                    <w:rPr>
                      <w:color w:val="auto"/>
                      <w:kern w:val="0"/>
                      <w:szCs w:val="21"/>
                      <w:lang w:bidi="ar"/>
                    </w:rPr>
                    <w:t>0.0026</w:t>
                  </w:r>
                </w:p>
              </w:tc>
              <w:tc>
                <w:tcPr>
                  <w:tcW w:w="1127" w:type="dxa"/>
                  <w:vAlign w:val="center"/>
                </w:tcPr>
                <w:p w14:paraId="7AB3D5BA">
                  <w:pPr>
                    <w:widowControl/>
                    <w:jc w:val="center"/>
                    <w:textAlignment w:val="center"/>
                    <w:rPr>
                      <w:color w:val="auto"/>
                      <w:kern w:val="0"/>
                      <w:szCs w:val="21"/>
                      <w:lang w:bidi="ar"/>
                    </w:rPr>
                  </w:pPr>
                  <w:r>
                    <w:rPr>
                      <w:color w:val="auto"/>
                      <w:kern w:val="0"/>
                      <w:szCs w:val="21"/>
                      <w:lang w:bidi="ar"/>
                    </w:rPr>
                    <w:t>0.0001</w:t>
                  </w:r>
                </w:p>
              </w:tc>
              <w:tc>
                <w:tcPr>
                  <w:tcW w:w="1186" w:type="dxa"/>
                  <w:vAlign w:val="center"/>
                </w:tcPr>
                <w:p w14:paraId="601B348F">
                  <w:pPr>
                    <w:widowControl/>
                    <w:jc w:val="center"/>
                    <w:textAlignment w:val="center"/>
                    <w:rPr>
                      <w:color w:val="auto"/>
                      <w:kern w:val="0"/>
                      <w:szCs w:val="21"/>
                      <w:lang w:bidi="ar"/>
                    </w:rPr>
                  </w:pPr>
                  <w:r>
                    <w:rPr>
                      <w:color w:val="auto"/>
                      <w:kern w:val="0"/>
                      <w:szCs w:val="21"/>
                      <w:lang w:bidi="ar"/>
                    </w:rPr>
                    <w:t>0.0001</w:t>
                  </w:r>
                </w:p>
              </w:tc>
            </w:tr>
            <w:tr w14:paraId="2344B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64F12A28">
                  <w:pPr>
                    <w:widowControl/>
                    <w:jc w:val="center"/>
                    <w:textAlignment w:val="center"/>
                    <w:rPr>
                      <w:color w:val="auto"/>
                      <w:kern w:val="0"/>
                      <w:szCs w:val="21"/>
                      <w:lang w:bidi="ar"/>
                    </w:rPr>
                  </w:pPr>
                </w:p>
              </w:tc>
              <w:tc>
                <w:tcPr>
                  <w:tcW w:w="428" w:type="pct"/>
                  <w:vMerge w:val="continue"/>
                  <w:vAlign w:val="center"/>
                </w:tcPr>
                <w:p w14:paraId="12EB1E6B">
                  <w:pPr>
                    <w:widowControl/>
                    <w:jc w:val="center"/>
                    <w:textAlignment w:val="center"/>
                    <w:rPr>
                      <w:bCs/>
                      <w:color w:val="auto"/>
                      <w:kern w:val="0"/>
                      <w:szCs w:val="21"/>
                      <w:lang w:bidi="ar"/>
                    </w:rPr>
                  </w:pPr>
                </w:p>
              </w:tc>
              <w:tc>
                <w:tcPr>
                  <w:tcW w:w="522" w:type="pct"/>
                  <w:vAlign w:val="center"/>
                </w:tcPr>
                <w:p w14:paraId="60FAB933">
                  <w:pPr>
                    <w:widowControl/>
                    <w:jc w:val="center"/>
                    <w:textAlignment w:val="center"/>
                    <w:rPr>
                      <w:color w:val="auto"/>
                      <w:kern w:val="0"/>
                      <w:szCs w:val="21"/>
                      <w:lang w:bidi="ar"/>
                    </w:rPr>
                  </w:pPr>
                  <w:r>
                    <w:rPr>
                      <w:rFonts w:hint="eastAsia"/>
                      <w:color w:val="auto"/>
                      <w:kern w:val="0"/>
                      <w:szCs w:val="21"/>
                      <w:lang w:bidi="ar"/>
                    </w:rPr>
                    <w:t>二氧化硫</w:t>
                  </w:r>
                </w:p>
              </w:tc>
              <w:tc>
                <w:tcPr>
                  <w:tcW w:w="1144" w:type="dxa"/>
                  <w:vAlign w:val="center"/>
                </w:tcPr>
                <w:p w14:paraId="0D9FBA90">
                  <w:pPr>
                    <w:widowControl/>
                    <w:jc w:val="center"/>
                    <w:textAlignment w:val="center"/>
                    <w:rPr>
                      <w:color w:val="auto"/>
                      <w:kern w:val="0"/>
                      <w:szCs w:val="21"/>
                      <w:lang w:bidi="ar"/>
                    </w:rPr>
                  </w:pPr>
                  <w:r>
                    <w:rPr>
                      <w:color w:val="auto"/>
                      <w:kern w:val="0"/>
                      <w:szCs w:val="21"/>
                      <w:lang w:bidi="ar"/>
                    </w:rPr>
                    <w:t>0.0003</w:t>
                  </w:r>
                </w:p>
              </w:tc>
              <w:tc>
                <w:tcPr>
                  <w:tcW w:w="1133" w:type="dxa"/>
                  <w:vAlign w:val="center"/>
                </w:tcPr>
                <w:p w14:paraId="43C4E268">
                  <w:pPr>
                    <w:widowControl/>
                    <w:jc w:val="center"/>
                    <w:textAlignment w:val="center"/>
                    <w:rPr>
                      <w:color w:val="auto"/>
                      <w:kern w:val="0"/>
                      <w:szCs w:val="21"/>
                      <w:lang w:bidi="ar"/>
                    </w:rPr>
                  </w:pPr>
                  <w:r>
                    <w:rPr>
                      <w:color w:val="auto"/>
                      <w:kern w:val="0"/>
                      <w:szCs w:val="21"/>
                      <w:lang w:bidi="ar"/>
                    </w:rPr>
                    <w:t>0.0005</w:t>
                  </w:r>
                </w:p>
              </w:tc>
              <w:tc>
                <w:tcPr>
                  <w:tcW w:w="836" w:type="dxa"/>
                  <w:vAlign w:val="center"/>
                </w:tcPr>
                <w:p w14:paraId="732E7D2E">
                  <w:pPr>
                    <w:widowControl/>
                    <w:jc w:val="center"/>
                    <w:textAlignment w:val="center"/>
                    <w:rPr>
                      <w:color w:val="auto"/>
                      <w:kern w:val="0"/>
                      <w:szCs w:val="21"/>
                      <w:lang w:bidi="ar"/>
                    </w:rPr>
                  </w:pPr>
                  <w:r>
                    <w:rPr>
                      <w:color w:val="auto"/>
                      <w:kern w:val="0"/>
                      <w:szCs w:val="21"/>
                      <w:lang w:bidi="ar"/>
                    </w:rPr>
                    <w:t>95%</w:t>
                  </w:r>
                </w:p>
              </w:tc>
              <w:tc>
                <w:tcPr>
                  <w:tcW w:w="1176" w:type="dxa"/>
                  <w:vAlign w:val="center"/>
                </w:tcPr>
                <w:p w14:paraId="59853FE7">
                  <w:pPr>
                    <w:widowControl/>
                    <w:jc w:val="center"/>
                    <w:textAlignment w:val="center"/>
                    <w:rPr>
                      <w:color w:val="auto"/>
                      <w:kern w:val="0"/>
                      <w:szCs w:val="21"/>
                      <w:lang w:bidi="ar"/>
                    </w:rPr>
                  </w:pPr>
                  <w:r>
                    <w:rPr>
                      <w:color w:val="auto"/>
                      <w:kern w:val="0"/>
                      <w:szCs w:val="21"/>
                      <w:lang w:bidi="ar"/>
                    </w:rPr>
                    <w:t>0.00029</w:t>
                  </w:r>
                </w:p>
              </w:tc>
              <w:tc>
                <w:tcPr>
                  <w:tcW w:w="1129" w:type="dxa"/>
                  <w:vAlign w:val="center"/>
                </w:tcPr>
                <w:p w14:paraId="67F153DD">
                  <w:pPr>
                    <w:widowControl/>
                    <w:jc w:val="center"/>
                    <w:textAlignment w:val="center"/>
                    <w:rPr>
                      <w:color w:val="auto"/>
                      <w:kern w:val="0"/>
                      <w:szCs w:val="21"/>
                      <w:lang w:bidi="ar"/>
                    </w:rPr>
                  </w:pPr>
                  <w:r>
                    <w:rPr>
                      <w:color w:val="auto"/>
                      <w:kern w:val="0"/>
                      <w:szCs w:val="21"/>
                      <w:lang w:bidi="ar"/>
                    </w:rPr>
                    <w:t>0.00048</w:t>
                  </w:r>
                </w:p>
              </w:tc>
              <w:tc>
                <w:tcPr>
                  <w:tcW w:w="1127" w:type="dxa"/>
                  <w:vAlign w:val="center"/>
                </w:tcPr>
                <w:p w14:paraId="302B220C">
                  <w:pPr>
                    <w:widowControl/>
                    <w:jc w:val="center"/>
                    <w:textAlignment w:val="center"/>
                    <w:rPr>
                      <w:color w:val="auto"/>
                      <w:kern w:val="0"/>
                      <w:szCs w:val="21"/>
                      <w:lang w:bidi="ar"/>
                    </w:rPr>
                  </w:pPr>
                  <w:r>
                    <w:rPr>
                      <w:color w:val="auto"/>
                      <w:kern w:val="0"/>
                      <w:szCs w:val="21"/>
                      <w:lang w:bidi="ar"/>
                    </w:rPr>
                    <w:t>0.00001</w:t>
                  </w:r>
                </w:p>
              </w:tc>
              <w:tc>
                <w:tcPr>
                  <w:tcW w:w="1186" w:type="dxa"/>
                  <w:vAlign w:val="center"/>
                </w:tcPr>
                <w:p w14:paraId="01C5FB42">
                  <w:pPr>
                    <w:widowControl/>
                    <w:jc w:val="center"/>
                    <w:textAlignment w:val="center"/>
                    <w:rPr>
                      <w:color w:val="auto"/>
                      <w:kern w:val="0"/>
                      <w:szCs w:val="21"/>
                      <w:lang w:bidi="ar"/>
                    </w:rPr>
                  </w:pPr>
                  <w:r>
                    <w:rPr>
                      <w:color w:val="auto"/>
                      <w:kern w:val="0"/>
                      <w:szCs w:val="21"/>
                      <w:lang w:bidi="ar"/>
                    </w:rPr>
                    <w:t>0.00002</w:t>
                  </w:r>
                </w:p>
              </w:tc>
            </w:tr>
            <w:tr w14:paraId="3D38A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4" w:type="pct"/>
                  <w:vMerge w:val="continue"/>
                  <w:vAlign w:val="center"/>
                </w:tcPr>
                <w:p w14:paraId="1F560F23">
                  <w:pPr>
                    <w:widowControl/>
                    <w:jc w:val="center"/>
                    <w:textAlignment w:val="center"/>
                    <w:rPr>
                      <w:color w:val="auto"/>
                      <w:kern w:val="0"/>
                      <w:szCs w:val="21"/>
                      <w:lang w:bidi="ar"/>
                    </w:rPr>
                  </w:pPr>
                </w:p>
              </w:tc>
              <w:tc>
                <w:tcPr>
                  <w:tcW w:w="428" w:type="pct"/>
                  <w:vMerge w:val="restart"/>
                  <w:vAlign w:val="center"/>
                </w:tcPr>
                <w:p w14:paraId="438F7E37">
                  <w:pPr>
                    <w:widowControl/>
                    <w:jc w:val="center"/>
                    <w:textAlignment w:val="center"/>
                    <w:rPr>
                      <w:bCs/>
                      <w:color w:val="auto"/>
                      <w:kern w:val="0"/>
                      <w:szCs w:val="21"/>
                      <w:lang w:bidi="ar"/>
                    </w:rPr>
                  </w:pPr>
                  <w:r>
                    <w:rPr>
                      <w:rFonts w:hint="eastAsia"/>
                      <w:color w:val="auto"/>
                    </w:rPr>
                    <w:t>合计</w:t>
                  </w:r>
                </w:p>
              </w:tc>
              <w:tc>
                <w:tcPr>
                  <w:tcW w:w="522" w:type="pct"/>
                  <w:vAlign w:val="center"/>
                </w:tcPr>
                <w:p w14:paraId="72E9EF46">
                  <w:pPr>
                    <w:widowControl/>
                    <w:jc w:val="center"/>
                    <w:textAlignment w:val="center"/>
                    <w:rPr>
                      <w:color w:val="auto"/>
                      <w:kern w:val="0"/>
                      <w:szCs w:val="21"/>
                      <w:lang w:bidi="ar"/>
                    </w:rPr>
                  </w:pPr>
                  <w:r>
                    <w:rPr>
                      <w:rFonts w:hint="eastAsia"/>
                      <w:color w:val="auto"/>
                      <w:kern w:val="0"/>
                      <w:szCs w:val="21"/>
                      <w:lang w:bidi="ar"/>
                    </w:rPr>
                    <w:t>颗粒物</w:t>
                  </w:r>
                </w:p>
              </w:tc>
              <w:tc>
                <w:tcPr>
                  <w:tcW w:w="1144" w:type="dxa"/>
                  <w:vAlign w:val="center"/>
                </w:tcPr>
                <w:p w14:paraId="138D54D5">
                  <w:pPr>
                    <w:widowControl/>
                    <w:jc w:val="center"/>
                    <w:textAlignment w:val="center"/>
                    <w:rPr>
                      <w:color w:val="auto"/>
                      <w:kern w:val="0"/>
                      <w:szCs w:val="21"/>
                      <w:lang w:bidi="ar"/>
                    </w:rPr>
                  </w:pPr>
                  <w:r>
                    <w:rPr>
                      <w:color w:val="auto"/>
                      <w:kern w:val="0"/>
                      <w:szCs w:val="21"/>
                      <w:lang w:bidi="ar"/>
                    </w:rPr>
                    <w:t>0.0518</w:t>
                  </w:r>
                </w:p>
              </w:tc>
              <w:tc>
                <w:tcPr>
                  <w:tcW w:w="1133" w:type="dxa"/>
                  <w:vAlign w:val="center"/>
                </w:tcPr>
                <w:p w14:paraId="2FFC215B">
                  <w:pPr>
                    <w:widowControl/>
                    <w:jc w:val="center"/>
                    <w:textAlignment w:val="center"/>
                    <w:rPr>
                      <w:color w:val="auto"/>
                      <w:kern w:val="0"/>
                      <w:szCs w:val="21"/>
                      <w:lang w:bidi="ar"/>
                    </w:rPr>
                  </w:pPr>
                  <w:r>
                    <w:rPr>
                      <w:color w:val="auto"/>
                      <w:kern w:val="0"/>
                      <w:szCs w:val="21"/>
                      <w:lang w:bidi="ar"/>
                    </w:rPr>
                    <w:t>0.0863</w:t>
                  </w:r>
                </w:p>
              </w:tc>
              <w:tc>
                <w:tcPr>
                  <w:tcW w:w="836" w:type="dxa"/>
                  <w:vAlign w:val="center"/>
                </w:tcPr>
                <w:p w14:paraId="76987FD0">
                  <w:pPr>
                    <w:widowControl/>
                    <w:jc w:val="center"/>
                    <w:textAlignment w:val="center"/>
                    <w:rPr>
                      <w:color w:val="auto"/>
                      <w:kern w:val="0"/>
                      <w:szCs w:val="21"/>
                      <w:lang w:bidi="ar"/>
                    </w:rPr>
                  </w:pPr>
                  <w:r>
                    <w:rPr>
                      <w:color w:val="auto"/>
                      <w:kern w:val="0"/>
                      <w:szCs w:val="21"/>
                      <w:lang w:bidi="ar"/>
                    </w:rPr>
                    <w:t>/</w:t>
                  </w:r>
                </w:p>
              </w:tc>
              <w:tc>
                <w:tcPr>
                  <w:tcW w:w="1176" w:type="dxa"/>
                  <w:vAlign w:val="center"/>
                </w:tcPr>
                <w:p w14:paraId="536C5402">
                  <w:pPr>
                    <w:widowControl/>
                    <w:jc w:val="center"/>
                    <w:textAlignment w:val="center"/>
                    <w:rPr>
                      <w:color w:val="auto"/>
                      <w:kern w:val="0"/>
                      <w:szCs w:val="21"/>
                      <w:lang w:bidi="ar"/>
                    </w:rPr>
                  </w:pPr>
                  <w:r>
                    <w:rPr>
                      <w:color w:val="auto"/>
                      <w:kern w:val="0"/>
                      <w:szCs w:val="21"/>
                      <w:lang w:bidi="ar"/>
                    </w:rPr>
                    <w:t>0.04668</w:t>
                  </w:r>
                </w:p>
              </w:tc>
              <w:tc>
                <w:tcPr>
                  <w:tcW w:w="1129" w:type="dxa"/>
                  <w:vAlign w:val="center"/>
                </w:tcPr>
                <w:p w14:paraId="7DDFBDE5">
                  <w:pPr>
                    <w:widowControl/>
                    <w:jc w:val="center"/>
                    <w:textAlignment w:val="center"/>
                    <w:rPr>
                      <w:color w:val="auto"/>
                      <w:kern w:val="0"/>
                      <w:szCs w:val="21"/>
                      <w:lang w:bidi="ar"/>
                    </w:rPr>
                  </w:pPr>
                  <w:r>
                    <w:rPr>
                      <w:color w:val="auto"/>
                      <w:kern w:val="0"/>
                      <w:szCs w:val="21"/>
                      <w:lang w:bidi="ar"/>
                    </w:rPr>
                    <w:t>0.07776</w:t>
                  </w:r>
                </w:p>
              </w:tc>
              <w:tc>
                <w:tcPr>
                  <w:tcW w:w="1127" w:type="dxa"/>
                  <w:vAlign w:val="center"/>
                </w:tcPr>
                <w:p w14:paraId="0B84ECFC">
                  <w:pPr>
                    <w:widowControl/>
                    <w:jc w:val="center"/>
                    <w:textAlignment w:val="center"/>
                    <w:rPr>
                      <w:color w:val="auto"/>
                      <w:kern w:val="0"/>
                      <w:szCs w:val="21"/>
                      <w:lang w:bidi="ar"/>
                    </w:rPr>
                  </w:pPr>
                  <w:r>
                    <w:rPr>
                      <w:color w:val="auto"/>
                      <w:kern w:val="0"/>
                      <w:szCs w:val="21"/>
                      <w:lang w:bidi="ar"/>
                    </w:rPr>
                    <w:t>0.00512</w:t>
                  </w:r>
                </w:p>
              </w:tc>
              <w:tc>
                <w:tcPr>
                  <w:tcW w:w="1186" w:type="dxa"/>
                  <w:vAlign w:val="center"/>
                </w:tcPr>
                <w:p w14:paraId="05843D84">
                  <w:pPr>
                    <w:widowControl/>
                    <w:jc w:val="center"/>
                    <w:textAlignment w:val="center"/>
                    <w:rPr>
                      <w:color w:val="auto"/>
                      <w:kern w:val="0"/>
                      <w:szCs w:val="21"/>
                      <w:lang w:bidi="ar"/>
                    </w:rPr>
                  </w:pPr>
                  <w:r>
                    <w:rPr>
                      <w:color w:val="auto"/>
                      <w:kern w:val="0"/>
                      <w:szCs w:val="21"/>
                      <w:lang w:bidi="ar"/>
                    </w:rPr>
                    <w:t>0.00854</w:t>
                  </w:r>
                </w:p>
              </w:tc>
            </w:tr>
            <w:tr w14:paraId="6F25E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4" w:type="pct"/>
                  <w:vMerge w:val="continue"/>
                  <w:vAlign w:val="center"/>
                </w:tcPr>
                <w:p w14:paraId="4247F347">
                  <w:pPr>
                    <w:widowControl/>
                    <w:jc w:val="center"/>
                    <w:textAlignment w:val="center"/>
                    <w:rPr>
                      <w:color w:val="auto"/>
                    </w:rPr>
                  </w:pPr>
                </w:p>
              </w:tc>
              <w:tc>
                <w:tcPr>
                  <w:tcW w:w="428" w:type="pct"/>
                  <w:vMerge w:val="continue"/>
                  <w:vAlign w:val="center"/>
                </w:tcPr>
                <w:p w14:paraId="5D4CC71A">
                  <w:pPr>
                    <w:widowControl/>
                    <w:jc w:val="center"/>
                    <w:textAlignment w:val="center"/>
                    <w:rPr>
                      <w:bCs/>
                      <w:color w:val="auto"/>
                      <w:kern w:val="0"/>
                      <w:szCs w:val="21"/>
                      <w:lang w:bidi="ar"/>
                    </w:rPr>
                  </w:pPr>
                </w:p>
              </w:tc>
              <w:tc>
                <w:tcPr>
                  <w:tcW w:w="522" w:type="pct"/>
                  <w:vAlign w:val="center"/>
                </w:tcPr>
                <w:p w14:paraId="657F2841">
                  <w:pPr>
                    <w:widowControl/>
                    <w:jc w:val="center"/>
                    <w:textAlignment w:val="center"/>
                    <w:rPr>
                      <w:bCs/>
                      <w:color w:val="auto"/>
                      <w:kern w:val="0"/>
                      <w:szCs w:val="21"/>
                      <w:lang w:bidi="ar"/>
                    </w:rPr>
                  </w:pPr>
                  <w:r>
                    <w:rPr>
                      <w:rFonts w:hint="eastAsia"/>
                      <w:color w:val="auto"/>
                      <w:kern w:val="0"/>
                      <w:szCs w:val="21"/>
                      <w:lang w:bidi="ar"/>
                    </w:rPr>
                    <w:t>TVOC</w:t>
                  </w:r>
                </w:p>
              </w:tc>
              <w:tc>
                <w:tcPr>
                  <w:tcW w:w="1144" w:type="dxa"/>
                  <w:vAlign w:val="center"/>
                </w:tcPr>
                <w:p w14:paraId="5A383076">
                  <w:pPr>
                    <w:widowControl/>
                    <w:jc w:val="center"/>
                    <w:textAlignment w:val="center"/>
                    <w:rPr>
                      <w:bCs/>
                      <w:color w:val="auto"/>
                      <w:kern w:val="0"/>
                      <w:szCs w:val="21"/>
                      <w:lang w:bidi="ar"/>
                    </w:rPr>
                  </w:pPr>
                  <w:r>
                    <w:rPr>
                      <w:color w:val="auto"/>
                      <w:kern w:val="0"/>
                      <w:szCs w:val="21"/>
                      <w:lang w:bidi="ar"/>
                    </w:rPr>
                    <w:t>0.00613</w:t>
                  </w:r>
                </w:p>
              </w:tc>
              <w:tc>
                <w:tcPr>
                  <w:tcW w:w="1133" w:type="dxa"/>
                  <w:vAlign w:val="center"/>
                </w:tcPr>
                <w:p w14:paraId="38A7F975">
                  <w:pPr>
                    <w:widowControl/>
                    <w:jc w:val="center"/>
                    <w:textAlignment w:val="center"/>
                    <w:rPr>
                      <w:bCs/>
                      <w:color w:val="auto"/>
                      <w:kern w:val="0"/>
                      <w:szCs w:val="21"/>
                      <w:lang w:bidi="ar"/>
                    </w:rPr>
                  </w:pPr>
                  <w:r>
                    <w:rPr>
                      <w:color w:val="auto"/>
                      <w:kern w:val="0"/>
                      <w:szCs w:val="21"/>
                      <w:lang w:bidi="ar"/>
                    </w:rPr>
                    <w:t>0.01034</w:t>
                  </w:r>
                </w:p>
              </w:tc>
              <w:tc>
                <w:tcPr>
                  <w:tcW w:w="836" w:type="dxa"/>
                  <w:vAlign w:val="center"/>
                </w:tcPr>
                <w:p w14:paraId="1F19C823">
                  <w:pPr>
                    <w:widowControl/>
                    <w:jc w:val="center"/>
                    <w:textAlignment w:val="center"/>
                    <w:rPr>
                      <w:bCs/>
                      <w:color w:val="auto"/>
                      <w:kern w:val="0"/>
                      <w:szCs w:val="21"/>
                      <w:lang w:bidi="ar"/>
                    </w:rPr>
                  </w:pPr>
                  <w:r>
                    <w:rPr>
                      <w:color w:val="auto"/>
                      <w:kern w:val="0"/>
                      <w:szCs w:val="21"/>
                      <w:lang w:bidi="ar"/>
                    </w:rPr>
                    <w:t>/</w:t>
                  </w:r>
                </w:p>
              </w:tc>
              <w:tc>
                <w:tcPr>
                  <w:tcW w:w="1176" w:type="dxa"/>
                  <w:vAlign w:val="center"/>
                </w:tcPr>
                <w:p w14:paraId="3B1F96E5">
                  <w:pPr>
                    <w:widowControl/>
                    <w:jc w:val="center"/>
                    <w:textAlignment w:val="center"/>
                    <w:rPr>
                      <w:bCs/>
                      <w:color w:val="auto"/>
                      <w:kern w:val="0"/>
                      <w:szCs w:val="21"/>
                      <w:lang w:bidi="ar"/>
                    </w:rPr>
                  </w:pPr>
                  <w:r>
                    <w:rPr>
                      <w:color w:val="auto"/>
                      <w:kern w:val="0"/>
                      <w:szCs w:val="21"/>
                      <w:lang w:bidi="ar"/>
                    </w:rPr>
                    <w:t>0.0056</w:t>
                  </w:r>
                </w:p>
              </w:tc>
              <w:tc>
                <w:tcPr>
                  <w:tcW w:w="1129" w:type="dxa"/>
                  <w:vAlign w:val="center"/>
                </w:tcPr>
                <w:p w14:paraId="45ECA12A">
                  <w:pPr>
                    <w:widowControl/>
                    <w:jc w:val="center"/>
                    <w:textAlignment w:val="center"/>
                    <w:rPr>
                      <w:bCs/>
                      <w:color w:val="auto"/>
                      <w:kern w:val="0"/>
                      <w:szCs w:val="21"/>
                      <w:lang w:bidi="ar"/>
                    </w:rPr>
                  </w:pPr>
                  <w:r>
                    <w:rPr>
                      <w:color w:val="auto"/>
                      <w:kern w:val="0"/>
                      <w:szCs w:val="21"/>
                      <w:lang w:bidi="ar"/>
                    </w:rPr>
                    <w:t>0.0094</w:t>
                  </w:r>
                </w:p>
              </w:tc>
              <w:tc>
                <w:tcPr>
                  <w:tcW w:w="1127" w:type="dxa"/>
                  <w:vAlign w:val="center"/>
                </w:tcPr>
                <w:p w14:paraId="21EF9729">
                  <w:pPr>
                    <w:widowControl/>
                    <w:jc w:val="center"/>
                    <w:textAlignment w:val="center"/>
                    <w:rPr>
                      <w:bCs/>
                      <w:color w:val="auto"/>
                      <w:kern w:val="0"/>
                      <w:szCs w:val="21"/>
                      <w:lang w:bidi="ar"/>
                    </w:rPr>
                  </w:pPr>
                  <w:r>
                    <w:rPr>
                      <w:color w:val="auto"/>
                      <w:kern w:val="0"/>
                      <w:szCs w:val="21"/>
                      <w:lang w:bidi="ar"/>
                    </w:rPr>
                    <w:t>0.00053</w:t>
                  </w:r>
                </w:p>
              </w:tc>
              <w:tc>
                <w:tcPr>
                  <w:tcW w:w="1186" w:type="dxa"/>
                  <w:vAlign w:val="center"/>
                </w:tcPr>
                <w:p w14:paraId="7F86BDA2">
                  <w:pPr>
                    <w:widowControl/>
                    <w:jc w:val="center"/>
                    <w:textAlignment w:val="center"/>
                    <w:rPr>
                      <w:bCs/>
                      <w:color w:val="auto"/>
                      <w:kern w:val="0"/>
                      <w:szCs w:val="21"/>
                      <w:lang w:bidi="ar"/>
                    </w:rPr>
                  </w:pPr>
                  <w:r>
                    <w:rPr>
                      <w:color w:val="auto"/>
                      <w:kern w:val="0"/>
                      <w:szCs w:val="21"/>
                      <w:lang w:bidi="ar"/>
                    </w:rPr>
                    <w:t>0.00094</w:t>
                  </w:r>
                </w:p>
              </w:tc>
            </w:tr>
            <w:tr w14:paraId="543F3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4" w:type="pct"/>
                  <w:vMerge w:val="continue"/>
                  <w:vAlign w:val="center"/>
                </w:tcPr>
                <w:p w14:paraId="1B943090">
                  <w:pPr>
                    <w:widowControl/>
                    <w:jc w:val="center"/>
                    <w:textAlignment w:val="center"/>
                    <w:rPr>
                      <w:bCs/>
                      <w:color w:val="auto"/>
                      <w:kern w:val="0"/>
                      <w:szCs w:val="21"/>
                      <w:lang w:bidi="ar"/>
                    </w:rPr>
                  </w:pPr>
                </w:p>
              </w:tc>
              <w:tc>
                <w:tcPr>
                  <w:tcW w:w="428" w:type="pct"/>
                  <w:vMerge w:val="continue"/>
                  <w:vAlign w:val="center"/>
                </w:tcPr>
                <w:p w14:paraId="1F17C02F">
                  <w:pPr>
                    <w:widowControl/>
                    <w:jc w:val="center"/>
                    <w:textAlignment w:val="center"/>
                    <w:rPr>
                      <w:bCs/>
                      <w:color w:val="auto"/>
                      <w:kern w:val="0"/>
                      <w:szCs w:val="21"/>
                      <w:lang w:bidi="ar"/>
                    </w:rPr>
                  </w:pPr>
                </w:p>
              </w:tc>
              <w:tc>
                <w:tcPr>
                  <w:tcW w:w="522" w:type="pct"/>
                  <w:vAlign w:val="center"/>
                </w:tcPr>
                <w:p w14:paraId="6D348391">
                  <w:pPr>
                    <w:widowControl/>
                    <w:jc w:val="center"/>
                    <w:textAlignment w:val="center"/>
                    <w:rPr>
                      <w:bCs/>
                      <w:color w:val="auto"/>
                      <w:kern w:val="0"/>
                      <w:szCs w:val="21"/>
                      <w:lang w:bidi="ar"/>
                    </w:rPr>
                  </w:pPr>
                  <w:r>
                    <w:rPr>
                      <w:rFonts w:hint="eastAsia"/>
                      <w:color w:val="auto"/>
                      <w:kern w:val="0"/>
                      <w:szCs w:val="21"/>
                      <w:lang w:bidi="ar"/>
                    </w:rPr>
                    <w:t>氮氧化物</w:t>
                  </w:r>
                </w:p>
              </w:tc>
              <w:tc>
                <w:tcPr>
                  <w:tcW w:w="1144" w:type="dxa"/>
                  <w:vAlign w:val="center"/>
                </w:tcPr>
                <w:p w14:paraId="12A8503C">
                  <w:pPr>
                    <w:widowControl/>
                    <w:jc w:val="center"/>
                    <w:textAlignment w:val="center"/>
                    <w:rPr>
                      <w:bCs/>
                      <w:color w:val="auto"/>
                      <w:kern w:val="0"/>
                      <w:szCs w:val="21"/>
                      <w:lang w:bidi="ar"/>
                    </w:rPr>
                  </w:pPr>
                  <w:r>
                    <w:rPr>
                      <w:color w:val="auto"/>
                      <w:kern w:val="0"/>
                      <w:szCs w:val="21"/>
                      <w:lang w:bidi="ar"/>
                    </w:rPr>
                    <w:t>0.0016</w:t>
                  </w:r>
                </w:p>
              </w:tc>
              <w:tc>
                <w:tcPr>
                  <w:tcW w:w="1133" w:type="dxa"/>
                  <w:vAlign w:val="center"/>
                </w:tcPr>
                <w:p w14:paraId="5E1AB954">
                  <w:pPr>
                    <w:widowControl/>
                    <w:jc w:val="center"/>
                    <w:textAlignment w:val="center"/>
                    <w:rPr>
                      <w:bCs/>
                      <w:color w:val="auto"/>
                      <w:kern w:val="0"/>
                      <w:szCs w:val="21"/>
                      <w:lang w:bidi="ar"/>
                    </w:rPr>
                  </w:pPr>
                  <w:r>
                    <w:rPr>
                      <w:color w:val="auto"/>
                      <w:kern w:val="0"/>
                      <w:szCs w:val="21"/>
                      <w:lang w:bidi="ar"/>
                    </w:rPr>
                    <w:t>0.0027</w:t>
                  </w:r>
                </w:p>
              </w:tc>
              <w:tc>
                <w:tcPr>
                  <w:tcW w:w="836" w:type="dxa"/>
                  <w:vAlign w:val="center"/>
                </w:tcPr>
                <w:p w14:paraId="4244B9CF">
                  <w:pPr>
                    <w:widowControl/>
                    <w:jc w:val="center"/>
                    <w:textAlignment w:val="center"/>
                    <w:rPr>
                      <w:bCs/>
                      <w:color w:val="auto"/>
                      <w:kern w:val="0"/>
                      <w:szCs w:val="21"/>
                      <w:lang w:bidi="ar"/>
                    </w:rPr>
                  </w:pPr>
                  <w:r>
                    <w:rPr>
                      <w:color w:val="auto"/>
                      <w:kern w:val="0"/>
                      <w:szCs w:val="21"/>
                      <w:lang w:bidi="ar"/>
                    </w:rPr>
                    <w:t>/</w:t>
                  </w:r>
                </w:p>
              </w:tc>
              <w:tc>
                <w:tcPr>
                  <w:tcW w:w="1176" w:type="dxa"/>
                  <w:vAlign w:val="center"/>
                </w:tcPr>
                <w:p w14:paraId="6199226C">
                  <w:pPr>
                    <w:widowControl/>
                    <w:jc w:val="center"/>
                    <w:textAlignment w:val="center"/>
                    <w:rPr>
                      <w:bCs/>
                      <w:color w:val="auto"/>
                      <w:kern w:val="0"/>
                      <w:szCs w:val="21"/>
                      <w:lang w:bidi="ar"/>
                    </w:rPr>
                  </w:pPr>
                  <w:r>
                    <w:rPr>
                      <w:color w:val="auto"/>
                      <w:kern w:val="0"/>
                      <w:szCs w:val="21"/>
                      <w:lang w:bidi="ar"/>
                    </w:rPr>
                    <w:t>0.0015</w:t>
                  </w:r>
                </w:p>
              </w:tc>
              <w:tc>
                <w:tcPr>
                  <w:tcW w:w="1129" w:type="dxa"/>
                  <w:vAlign w:val="center"/>
                </w:tcPr>
                <w:p w14:paraId="4ACA7C79">
                  <w:pPr>
                    <w:widowControl/>
                    <w:jc w:val="center"/>
                    <w:textAlignment w:val="center"/>
                    <w:rPr>
                      <w:bCs/>
                      <w:color w:val="auto"/>
                      <w:kern w:val="0"/>
                      <w:szCs w:val="21"/>
                      <w:lang w:bidi="ar"/>
                    </w:rPr>
                  </w:pPr>
                  <w:r>
                    <w:rPr>
                      <w:color w:val="auto"/>
                      <w:kern w:val="0"/>
                      <w:szCs w:val="21"/>
                      <w:lang w:bidi="ar"/>
                    </w:rPr>
                    <w:t>0.0026</w:t>
                  </w:r>
                </w:p>
              </w:tc>
              <w:tc>
                <w:tcPr>
                  <w:tcW w:w="1127" w:type="dxa"/>
                  <w:vAlign w:val="center"/>
                </w:tcPr>
                <w:p w14:paraId="551615BB">
                  <w:pPr>
                    <w:widowControl/>
                    <w:jc w:val="center"/>
                    <w:textAlignment w:val="center"/>
                    <w:rPr>
                      <w:bCs/>
                      <w:color w:val="auto"/>
                      <w:kern w:val="0"/>
                      <w:szCs w:val="21"/>
                      <w:lang w:bidi="ar"/>
                    </w:rPr>
                  </w:pPr>
                  <w:r>
                    <w:rPr>
                      <w:color w:val="auto"/>
                      <w:kern w:val="0"/>
                      <w:szCs w:val="21"/>
                      <w:lang w:bidi="ar"/>
                    </w:rPr>
                    <w:t>0.0001</w:t>
                  </w:r>
                </w:p>
              </w:tc>
              <w:tc>
                <w:tcPr>
                  <w:tcW w:w="1186" w:type="dxa"/>
                  <w:vAlign w:val="center"/>
                </w:tcPr>
                <w:p w14:paraId="4B4C96BA">
                  <w:pPr>
                    <w:widowControl/>
                    <w:jc w:val="center"/>
                    <w:textAlignment w:val="center"/>
                    <w:rPr>
                      <w:bCs/>
                      <w:color w:val="auto"/>
                      <w:kern w:val="0"/>
                      <w:szCs w:val="21"/>
                      <w:lang w:bidi="ar"/>
                    </w:rPr>
                  </w:pPr>
                  <w:r>
                    <w:rPr>
                      <w:color w:val="auto"/>
                      <w:kern w:val="0"/>
                      <w:szCs w:val="21"/>
                      <w:lang w:bidi="ar"/>
                    </w:rPr>
                    <w:t>0.0001</w:t>
                  </w:r>
                </w:p>
              </w:tc>
            </w:tr>
            <w:tr w14:paraId="39D22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34" w:type="pct"/>
                  <w:vMerge w:val="continue"/>
                  <w:vAlign w:val="center"/>
                </w:tcPr>
                <w:p w14:paraId="1849084D">
                  <w:pPr>
                    <w:widowControl/>
                    <w:jc w:val="center"/>
                    <w:textAlignment w:val="center"/>
                    <w:rPr>
                      <w:bCs/>
                      <w:color w:val="auto"/>
                      <w:kern w:val="0"/>
                      <w:szCs w:val="21"/>
                      <w:lang w:bidi="ar"/>
                    </w:rPr>
                  </w:pPr>
                </w:p>
              </w:tc>
              <w:tc>
                <w:tcPr>
                  <w:tcW w:w="428" w:type="pct"/>
                  <w:vMerge w:val="continue"/>
                  <w:vAlign w:val="center"/>
                </w:tcPr>
                <w:p w14:paraId="44D03AE1">
                  <w:pPr>
                    <w:widowControl/>
                    <w:jc w:val="center"/>
                    <w:textAlignment w:val="center"/>
                    <w:rPr>
                      <w:bCs/>
                      <w:color w:val="auto"/>
                      <w:kern w:val="0"/>
                      <w:szCs w:val="21"/>
                      <w:lang w:bidi="ar"/>
                    </w:rPr>
                  </w:pPr>
                </w:p>
              </w:tc>
              <w:tc>
                <w:tcPr>
                  <w:tcW w:w="522" w:type="pct"/>
                  <w:vAlign w:val="center"/>
                </w:tcPr>
                <w:p w14:paraId="036F9977">
                  <w:pPr>
                    <w:widowControl/>
                    <w:jc w:val="center"/>
                    <w:textAlignment w:val="center"/>
                    <w:rPr>
                      <w:bCs/>
                      <w:color w:val="auto"/>
                      <w:kern w:val="0"/>
                      <w:szCs w:val="21"/>
                      <w:lang w:bidi="ar"/>
                    </w:rPr>
                  </w:pPr>
                  <w:r>
                    <w:rPr>
                      <w:rFonts w:hint="eastAsia"/>
                      <w:color w:val="auto"/>
                      <w:kern w:val="0"/>
                      <w:szCs w:val="21"/>
                      <w:lang w:bidi="ar"/>
                    </w:rPr>
                    <w:t>二氧化硫</w:t>
                  </w:r>
                </w:p>
              </w:tc>
              <w:tc>
                <w:tcPr>
                  <w:tcW w:w="1144" w:type="dxa"/>
                  <w:vAlign w:val="center"/>
                </w:tcPr>
                <w:p w14:paraId="6B5F27E5">
                  <w:pPr>
                    <w:widowControl/>
                    <w:jc w:val="center"/>
                    <w:textAlignment w:val="center"/>
                    <w:rPr>
                      <w:bCs/>
                      <w:color w:val="auto"/>
                      <w:kern w:val="0"/>
                      <w:szCs w:val="21"/>
                      <w:lang w:bidi="ar"/>
                    </w:rPr>
                  </w:pPr>
                  <w:r>
                    <w:rPr>
                      <w:color w:val="auto"/>
                      <w:kern w:val="0"/>
                      <w:szCs w:val="21"/>
                      <w:lang w:bidi="ar"/>
                    </w:rPr>
                    <w:t>0.0003</w:t>
                  </w:r>
                </w:p>
              </w:tc>
              <w:tc>
                <w:tcPr>
                  <w:tcW w:w="1133" w:type="dxa"/>
                  <w:vAlign w:val="center"/>
                </w:tcPr>
                <w:p w14:paraId="3C8A68D7">
                  <w:pPr>
                    <w:widowControl/>
                    <w:jc w:val="center"/>
                    <w:textAlignment w:val="center"/>
                    <w:rPr>
                      <w:bCs/>
                      <w:color w:val="auto"/>
                      <w:kern w:val="0"/>
                      <w:szCs w:val="21"/>
                      <w:lang w:bidi="ar"/>
                    </w:rPr>
                  </w:pPr>
                  <w:r>
                    <w:rPr>
                      <w:color w:val="auto"/>
                      <w:kern w:val="0"/>
                      <w:szCs w:val="21"/>
                      <w:lang w:bidi="ar"/>
                    </w:rPr>
                    <w:t>0.0005</w:t>
                  </w:r>
                </w:p>
              </w:tc>
              <w:tc>
                <w:tcPr>
                  <w:tcW w:w="836" w:type="dxa"/>
                  <w:vAlign w:val="center"/>
                </w:tcPr>
                <w:p w14:paraId="24E4C245">
                  <w:pPr>
                    <w:widowControl/>
                    <w:jc w:val="center"/>
                    <w:textAlignment w:val="center"/>
                    <w:rPr>
                      <w:bCs/>
                      <w:color w:val="auto"/>
                      <w:kern w:val="0"/>
                      <w:szCs w:val="21"/>
                      <w:lang w:bidi="ar"/>
                    </w:rPr>
                  </w:pPr>
                  <w:r>
                    <w:rPr>
                      <w:color w:val="auto"/>
                      <w:kern w:val="0"/>
                      <w:szCs w:val="21"/>
                      <w:lang w:bidi="ar"/>
                    </w:rPr>
                    <w:t>/</w:t>
                  </w:r>
                </w:p>
              </w:tc>
              <w:tc>
                <w:tcPr>
                  <w:tcW w:w="1176" w:type="dxa"/>
                  <w:vAlign w:val="center"/>
                </w:tcPr>
                <w:p w14:paraId="76FD9373">
                  <w:pPr>
                    <w:widowControl/>
                    <w:jc w:val="center"/>
                    <w:textAlignment w:val="center"/>
                    <w:rPr>
                      <w:bCs/>
                      <w:color w:val="auto"/>
                      <w:kern w:val="0"/>
                      <w:szCs w:val="21"/>
                      <w:lang w:bidi="ar"/>
                    </w:rPr>
                  </w:pPr>
                  <w:r>
                    <w:rPr>
                      <w:color w:val="auto"/>
                      <w:kern w:val="0"/>
                      <w:szCs w:val="21"/>
                      <w:lang w:bidi="ar"/>
                    </w:rPr>
                    <w:t>0.00029</w:t>
                  </w:r>
                </w:p>
              </w:tc>
              <w:tc>
                <w:tcPr>
                  <w:tcW w:w="1129" w:type="dxa"/>
                  <w:vAlign w:val="center"/>
                </w:tcPr>
                <w:p w14:paraId="790EA06E">
                  <w:pPr>
                    <w:widowControl/>
                    <w:jc w:val="center"/>
                    <w:textAlignment w:val="center"/>
                    <w:rPr>
                      <w:bCs/>
                      <w:color w:val="auto"/>
                      <w:kern w:val="0"/>
                      <w:szCs w:val="21"/>
                      <w:lang w:bidi="ar"/>
                    </w:rPr>
                  </w:pPr>
                  <w:r>
                    <w:rPr>
                      <w:color w:val="auto"/>
                      <w:kern w:val="0"/>
                      <w:szCs w:val="21"/>
                      <w:lang w:bidi="ar"/>
                    </w:rPr>
                    <w:t>0.00048</w:t>
                  </w:r>
                </w:p>
              </w:tc>
              <w:tc>
                <w:tcPr>
                  <w:tcW w:w="1127" w:type="dxa"/>
                  <w:vAlign w:val="center"/>
                </w:tcPr>
                <w:p w14:paraId="412D8D54">
                  <w:pPr>
                    <w:widowControl/>
                    <w:jc w:val="center"/>
                    <w:textAlignment w:val="center"/>
                    <w:rPr>
                      <w:bCs/>
                      <w:color w:val="auto"/>
                      <w:kern w:val="0"/>
                      <w:szCs w:val="21"/>
                      <w:lang w:bidi="ar"/>
                    </w:rPr>
                  </w:pPr>
                  <w:r>
                    <w:rPr>
                      <w:color w:val="auto"/>
                      <w:kern w:val="0"/>
                      <w:szCs w:val="21"/>
                      <w:lang w:bidi="ar"/>
                    </w:rPr>
                    <w:t>0.00001</w:t>
                  </w:r>
                </w:p>
              </w:tc>
              <w:tc>
                <w:tcPr>
                  <w:tcW w:w="1186" w:type="dxa"/>
                  <w:vAlign w:val="center"/>
                </w:tcPr>
                <w:p w14:paraId="0B93A29D">
                  <w:pPr>
                    <w:widowControl/>
                    <w:jc w:val="center"/>
                    <w:textAlignment w:val="center"/>
                    <w:rPr>
                      <w:bCs/>
                      <w:color w:val="auto"/>
                      <w:kern w:val="0"/>
                      <w:szCs w:val="21"/>
                      <w:lang w:bidi="ar"/>
                    </w:rPr>
                  </w:pPr>
                  <w:r>
                    <w:rPr>
                      <w:color w:val="auto"/>
                      <w:kern w:val="0"/>
                      <w:szCs w:val="21"/>
                      <w:lang w:bidi="ar"/>
                    </w:rPr>
                    <w:t>0.00002</w:t>
                  </w:r>
                </w:p>
              </w:tc>
            </w:tr>
            <w:tr w14:paraId="5971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restart"/>
                  <w:vAlign w:val="center"/>
                </w:tcPr>
                <w:p w14:paraId="4DF07A2A">
                  <w:pPr>
                    <w:widowControl/>
                    <w:jc w:val="center"/>
                    <w:textAlignment w:val="center"/>
                    <w:rPr>
                      <w:color w:val="auto"/>
                      <w:kern w:val="0"/>
                      <w:szCs w:val="21"/>
                      <w:lang w:bidi="ar"/>
                    </w:rPr>
                  </w:pPr>
                  <w:r>
                    <w:rPr>
                      <w:rFonts w:hint="eastAsia"/>
                      <w:color w:val="auto"/>
                      <w:kern w:val="0"/>
                      <w:szCs w:val="21"/>
                      <w:lang w:bidi="ar"/>
                    </w:rPr>
                    <w:t>DA006</w:t>
                  </w:r>
                </w:p>
              </w:tc>
              <w:tc>
                <w:tcPr>
                  <w:tcW w:w="428" w:type="pct"/>
                  <w:vAlign w:val="center"/>
                </w:tcPr>
                <w:p w14:paraId="1D8B7022">
                  <w:pPr>
                    <w:widowControl/>
                    <w:jc w:val="center"/>
                    <w:textAlignment w:val="center"/>
                    <w:rPr>
                      <w:bCs/>
                      <w:color w:val="auto"/>
                      <w:kern w:val="0"/>
                      <w:szCs w:val="21"/>
                      <w:lang w:bidi="ar"/>
                    </w:rPr>
                  </w:pPr>
                  <w:r>
                    <w:rPr>
                      <w:rFonts w:hint="eastAsia"/>
                      <w:bCs/>
                      <w:color w:val="auto"/>
                      <w:kern w:val="0"/>
                      <w:szCs w:val="21"/>
                      <w:lang w:bidi="ar"/>
                    </w:rPr>
                    <w:t>除锈</w:t>
                  </w:r>
                </w:p>
              </w:tc>
              <w:tc>
                <w:tcPr>
                  <w:tcW w:w="522" w:type="pct"/>
                  <w:vAlign w:val="center"/>
                </w:tcPr>
                <w:p w14:paraId="095977C9">
                  <w:pPr>
                    <w:widowControl/>
                    <w:jc w:val="center"/>
                    <w:textAlignment w:val="center"/>
                    <w:rPr>
                      <w:color w:val="auto"/>
                      <w:kern w:val="0"/>
                      <w:szCs w:val="21"/>
                      <w:lang w:bidi="ar"/>
                    </w:rPr>
                  </w:pPr>
                  <w:r>
                    <w:rPr>
                      <w:rFonts w:hint="eastAsia"/>
                      <w:color w:val="auto"/>
                      <w:kern w:val="0"/>
                      <w:szCs w:val="21"/>
                      <w:lang w:bidi="ar"/>
                    </w:rPr>
                    <w:t>硫酸雾</w:t>
                  </w:r>
                </w:p>
              </w:tc>
              <w:tc>
                <w:tcPr>
                  <w:tcW w:w="535" w:type="pct"/>
                  <w:vAlign w:val="center"/>
                </w:tcPr>
                <w:p w14:paraId="48550CAC">
                  <w:pPr>
                    <w:widowControl/>
                    <w:jc w:val="center"/>
                    <w:textAlignment w:val="center"/>
                    <w:rPr>
                      <w:color w:val="auto"/>
                      <w:kern w:val="0"/>
                      <w:szCs w:val="21"/>
                      <w:lang w:bidi="ar"/>
                    </w:rPr>
                  </w:pPr>
                  <w:r>
                    <w:rPr>
                      <w:color w:val="auto"/>
                      <w:kern w:val="0"/>
                      <w:szCs w:val="21"/>
                      <w:lang w:bidi="ar"/>
                    </w:rPr>
                    <w:t>0.178</w:t>
                  </w:r>
                </w:p>
              </w:tc>
              <w:tc>
                <w:tcPr>
                  <w:tcW w:w="529" w:type="pct"/>
                  <w:vAlign w:val="center"/>
                </w:tcPr>
                <w:p w14:paraId="01D3F43C">
                  <w:pPr>
                    <w:widowControl/>
                    <w:jc w:val="center"/>
                    <w:textAlignment w:val="center"/>
                    <w:rPr>
                      <w:color w:val="auto"/>
                      <w:kern w:val="0"/>
                      <w:szCs w:val="21"/>
                      <w:lang w:bidi="ar"/>
                    </w:rPr>
                  </w:pPr>
                  <w:r>
                    <w:rPr>
                      <w:color w:val="auto"/>
                      <w:kern w:val="0"/>
                      <w:szCs w:val="21"/>
                      <w:lang w:bidi="ar"/>
                    </w:rPr>
                    <w:t>0.848</w:t>
                  </w:r>
                </w:p>
              </w:tc>
              <w:tc>
                <w:tcPr>
                  <w:tcW w:w="391" w:type="pct"/>
                  <w:vAlign w:val="center"/>
                </w:tcPr>
                <w:p w14:paraId="3B4D5BCB">
                  <w:pPr>
                    <w:widowControl/>
                    <w:jc w:val="center"/>
                    <w:textAlignment w:val="center"/>
                    <w:rPr>
                      <w:color w:val="auto"/>
                      <w:kern w:val="0"/>
                      <w:szCs w:val="21"/>
                      <w:lang w:bidi="ar"/>
                    </w:rPr>
                  </w:pPr>
                  <w:r>
                    <w:rPr>
                      <w:color w:val="auto"/>
                      <w:kern w:val="0"/>
                      <w:szCs w:val="21"/>
                      <w:lang w:bidi="ar"/>
                    </w:rPr>
                    <w:t>80%</w:t>
                  </w:r>
                </w:p>
              </w:tc>
              <w:tc>
                <w:tcPr>
                  <w:tcW w:w="550" w:type="pct"/>
                  <w:vAlign w:val="center"/>
                </w:tcPr>
                <w:p w14:paraId="21C744DB">
                  <w:pPr>
                    <w:widowControl/>
                    <w:jc w:val="center"/>
                    <w:textAlignment w:val="center"/>
                    <w:rPr>
                      <w:color w:val="auto"/>
                      <w:kern w:val="0"/>
                      <w:szCs w:val="21"/>
                      <w:lang w:bidi="ar"/>
                    </w:rPr>
                  </w:pPr>
                  <w:r>
                    <w:rPr>
                      <w:color w:val="auto"/>
                      <w:kern w:val="0"/>
                      <w:szCs w:val="21"/>
                      <w:lang w:bidi="ar"/>
                    </w:rPr>
                    <w:t>0.142</w:t>
                  </w:r>
                </w:p>
              </w:tc>
              <w:tc>
                <w:tcPr>
                  <w:tcW w:w="528" w:type="pct"/>
                  <w:vAlign w:val="center"/>
                </w:tcPr>
                <w:p w14:paraId="74A94253">
                  <w:pPr>
                    <w:widowControl/>
                    <w:jc w:val="center"/>
                    <w:textAlignment w:val="center"/>
                    <w:rPr>
                      <w:color w:val="auto"/>
                      <w:kern w:val="0"/>
                      <w:szCs w:val="21"/>
                      <w:lang w:bidi="ar"/>
                    </w:rPr>
                  </w:pPr>
                  <w:r>
                    <w:rPr>
                      <w:color w:val="auto"/>
                      <w:kern w:val="0"/>
                      <w:szCs w:val="21"/>
                      <w:lang w:bidi="ar"/>
                    </w:rPr>
                    <w:t>0.678</w:t>
                  </w:r>
                </w:p>
              </w:tc>
              <w:tc>
                <w:tcPr>
                  <w:tcW w:w="527" w:type="pct"/>
                  <w:vAlign w:val="center"/>
                </w:tcPr>
                <w:p w14:paraId="1C624FE8">
                  <w:pPr>
                    <w:widowControl/>
                    <w:jc w:val="center"/>
                    <w:textAlignment w:val="center"/>
                    <w:rPr>
                      <w:color w:val="auto"/>
                      <w:kern w:val="0"/>
                      <w:szCs w:val="21"/>
                      <w:lang w:bidi="ar"/>
                    </w:rPr>
                  </w:pPr>
                  <w:r>
                    <w:rPr>
                      <w:color w:val="auto"/>
                      <w:kern w:val="0"/>
                      <w:szCs w:val="21"/>
                      <w:lang w:bidi="ar"/>
                    </w:rPr>
                    <w:t>0.036</w:t>
                  </w:r>
                </w:p>
              </w:tc>
              <w:tc>
                <w:tcPr>
                  <w:tcW w:w="553" w:type="pct"/>
                  <w:vAlign w:val="center"/>
                </w:tcPr>
                <w:p w14:paraId="02A04489">
                  <w:pPr>
                    <w:widowControl/>
                    <w:jc w:val="center"/>
                    <w:textAlignment w:val="center"/>
                    <w:rPr>
                      <w:color w:val="auto"/>
                      <w:kern w:val="0"/>
                      <w:szCs w:val="21"/>
                      <w:lang w:bidi="ar"/>
                    </w:rPr>
                  </w:pPr>
                  <w:r>
                    <w:rPr>
                      <w:color w:val="auto"/>
                      <w:kern w:val="0"/>
                      <w:szCs w:val="21"/>
                      <w:lang w:bidi="ar"/>
                    </w:rPr>
                    <w:t>0.17</w:t>
                  </w:r>
                </w:p>
              </w:tc>
            </w:tr>
            <w:tr w14:paraId="23724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0483A397">
                  <w:pPr>
                    <w:widowControl/>
                    <w:jc w:val="center"/>
                    <w:textAlignment w:val="center"/>
                    <w:rPr>
                      <w:color w:val="auto"/>
                      <w:kern w:val="0"/>
                      <w:szCs w:val="21"/>
                      <w:lang w:bidi="ar"/>
                    </w:rPr>
                  </w:pPr>
                </w:p>
              </w:tc>
              <w:tc>
                <w:tcPr>
                  <w:tcW w:w="428" w:type="pct"/>
                  <w:vMerge w:val="restart"/>
                  <w:vAlign w:val="center"/>
                </w:tcPr>
                <w:p w14:paraId="49277E25">
                  <w:pPr>
                    <w:widowControl/>
                    <w:jc w:val="center"/>
                    <w:textAlignment w:val="center"/>
                    <w:rPr>
                      <w:bCs/>
                      <w:color w:val="auto"/>
                      <w:kern w:val="0"/>
                      <w:szCs w:val="21"/>
                      <w:lang w:bidi="ar"/>
                    </w:rPr>
                  </w:pPr>
                  <w:r>
                    <w:rPr>
                      <w:rFonts w:hint="eastAsia"/>
                      <w:bCs/>
                      <w:color w:val="auto"/>
                      <w:kern w:val="0"/>
                      <w:szCs w:val="21"/>
                      <w:lang w:bidi="ar"/>
                    </w:rPr>
                    <w:t>天然气燃烧</w:t>
                  </w:r>
                </w:p>
              </w:tc>
              <w:tc>
                <w:tcPr>
                  <w:tcW w:w="522" w:type="pct"/>
                  <w:vAlign w:val="center"/>
                </w:tcPr>
                <w:p w14:paraId="0B1F2451">
                  <w:pPr>
                    <w:widowControl/>
                    <w:jc w:val="center"/>
                    <w:textAlignment w:val="center"/>
                    <w:rPr>
                      <w:color w:val="auto"/>
                      <w:kern w:val="0"/>
                      <w:szCs w:val="21"/>
                      <w:lang w:bidi="ar"/>
                    </w:rPr>
                  </w:pPr>
                  <w:r>
                    <w:rPr>
                      <w:rFonts w:hint="eastAsia"/>
                      <w:color w:val="auto"/>
                      <w:kern w:val="0"/>
                      <w:szCs w:val="21"/>
                      <w:lang w:bidi="ar"/>
                    </w:rPr>
                    <w:t>颗粒物</w:t>
                  </w:r>
                </w:p>
              </w:tc>
              <w:tc>
                <w:tcPr>
                  <w:tcW w:w="535" w:type="pct"/>
                  <w:vAlign w:val="center"/>
                </w:tcPr>
                <w:p w14:paraId="44C0E6DB">
                  <w:pPr>
                    <w:widowControl/>
                    <w:jc w:val="center"/>
                    <w:textAlignment w:val="center"/>
                    <w:rPr>
                      <w:color w:val="auto"/>
                      <w:kern w:val="0"/>
                      <w:szCs w:val="21"/>
                      <w:lang w:bidi="ar"/>
                    </w:rPr>
                  </w:pPr>
                  <w:r>
                    <w:rPr>
                      <w:color w:val="auto"/>
                      <w:kern w:val="0"/>
                      <w:szCs w:val="21"/>
                      <w:lang w:bidi="ar"/>
                    </w:rPr>
                    <w:t>0.0048</w:t>
                  </w:r>
                </w:p>
              </w:tc>
              <w:tc>
                <w:tcPr>
                  <w:tcW w:w="529" w:type="pct"/>
                  <w:vAlign w:val="center"/>
                </w:tcPr>
                <w:p w14:paraId="37653893">
                  <w:pPr>
                    <w:widowControl/>
                    <w:jc w:val="center"/>
                    <w:textAlignment w:val="center"/>
                    <w:rPr>
                      <w:color w:val="auto"/>
                      <w:kern w:val="0"/>
                      <w:szCs w:val="21"/>
                      <w:lang w:bidi="ar"/>
                    </w:rPr>
                  </w:pPr>
                  <w:r>
                    <w:rPr>
                      <w:color w:val="auto"/>
                      <w:kern w:val="0"/>
                      <w:szCs w:val="21"/>
                      <w:lang w:bidi="ar"/>
                    </w:rPr>
                    <w:t>0.0016</w:t>
                  </w:r>
                </w:p>
              </w:tc>
              <w:tc>
                <w:tcPr>
                  <w:tcW w:w="391" w:type="pct"/>
                  <w:vAlign w:val="center"/>
                </w:tcPr>
                <w:p w14:paraId="41383126">
                  <w:pPr>
                    <w:widowControl/>
                    <w:jc w:val="center"/>
                    <w:textAlignment w:val="center"/>
                    <w:rPr>
                      <w:color w:val="auto"/>
                      <w:kern w:val="0"/>
                      <w:szCs w:val="21"/>
                      <w:lang w:bidi="ar"/>
                    </w:rPr>
                  </w:pPr>
                  <w:r>
                    <w:rPr>
                      <w:color w:val="auto"/>
                      <w:kern w:val="0"/>
                      <w:szCs w:val="21"/>
                      <w:lang w:bidi="ar"/>
                    </w:rPr>
                    <w:t>95%</w:t>
                  </w:r>
                </w:p>
              </w:tc>
              <w:tc>
                <w:tcPr>
                  <w:tcW w:w="550" w:type="pct"/>
                  <w:vAlign w:val="center"/>
                </w:tcPr>
                <w:p w14:paraId="23C25F2A">
                  <w:pPr>
                    <w:widowControl/>
                    <w:jc w:val="center"/>
                    <w:textAlignment w:val="center"/>
                    <w:rPr>
                      <w:color w:val="auto"/>
                      <w:kern w:val="0"/>
                      <w:szCs w:val="21"/>
                      <w:lang w:bidi="ar"/>
                    </w:rPr>
                  </w:pPr>
                  <w:r>
                    <w:rPr>
                      <w:color w:val="auto"/>
                      <w:kern w:val="0"/>
                      <w:szCs w:val="21"/>
                      <w:lang w:bidi="ar"/>
                    </w:rPr>
                    <w:t>0.0046</w:t>
                  </w:r>
                </w:p>
              </w:tc>
              <w:tc>
                <w:tcPr>
                  <w:tcW w:w="528" w:type="pct"/>
                  <w:vAlign w:val="center"/>
                </w:tcPr>
                <w:p w14:paraId="72C9985C">
                  <w:pPr>
                    <w:widowControl/>
                    <w:jc w:val="center"/>
                    <w:textAlignment w:val="center"/>
                    <w:rPr>
                      <w:color w:val="auto"/>
                      <w:kern w:val="0"/>
                      <w:szCs w:val="21"/>
                      <w:lang w:bidi="ar"/>
                    </w:rPr>
                  </w:pPr>
                  <w:r>
                    <w:rPr>
                      <w:color w:val="auto"/>
                      <w:kern w:val="0"/>
                      <w:szCs w:val="21"/>
                      <w:lang w:bidi="ar"/>
                    </w:rPr>
                    <w:t>0.0015</w:t>
                  </w:r>
                </w:p>
              </w:tc>
              <w:tc>
                <w:tcPr>
                  <w:tcW w:w="527" w:type="pct"/>
                  <w:vAlign w:val="center"/>
                </w:tcPr>
                <w:p w14:paraId="3AE6F3EA">
                  <w:pPr>
                    <w:widowControl/>
                    <w:jc w:val="center"/>
                    <w:textAlignment w:val="center"/>
                    <w:rPr>
                      <w:color w:val="auto"/>
                      <w:kern w:val="0"/>
                      <w:szCs w:val="21"/>
                      <w:lang w:bidi="ar"/>
                    </w:rPr>
                  </w:pPr>
                  <w:r>
                    <w:rPr>
                      <w:color w:val="auto"/>
                      <w:kern w:val="0"/>
                      <w:szCs w:val="21"/>
                      <w:lang w:bidi="ar"/>
                    </w:rPr>
                    <w:t>0.0002</w:t>
                  </w:r>
                </w:p>
              </w:tc>
              <w:tc>
                <w:tcPr>
                  <w:tcW w:w="553" w:type="pct"/>
                  <w:vAlign w:val="center"/>
                </w:tcPr>
                <w:p w14:paraId="49282077">
                  <w:pPr>
                    <w:widowControl/>
                    <w:jc w:val="center"/>
                    <w:textAlignment w:val="center"/>
                    <w:rPr>
                      <w:color w:val="auto"/>
                      <w:kern w:val="0"/>
                      <w:szCs w:val="21"/>
                      <w:lang w:bidi="ar"/>
                    </w:rPr>
                  </w:pPr>
                  <w:r>
                    <w:rPr>
                      <w:color w:val="auto"/>
                      <w:kern w:val="0"/>
                      <w:szCs w:val="21"/>
                      <w:lang w:bidi="ar"/>
                    </w:rPr>
                    <w:t>0.0001</w:t>
                  </w:r>
                </w:p>
              </w:tc>
            </w:tr>
            <w:tr w14:paraId="4FA5F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7147EE9E">
                  <w:pPr>
                    <w:widowControl/>
                    <w:jc w:val="center"/>
                    <w:textAlignment w:val="center"/>
                    <w:rPr>
                      <w:color w:val="auto"/>
                      <w:kern w:val="0"/>
                      <w:szCs w:val="21"/>
                      <w:lang w:bidi="ar"/>
                    </w:rPr>
                  </w:pPr>
                </w:p>
              </w:tc>
              <w:tc>
                <w:tcPr>
                  <w:tcW w:w="428" w:type="pct"/>
                  <w:vMerge w:val="continue"/>
                  <w:vAlign w:val="center"/>
                </w:tcPr>
                <w:p w14:paraId="6F9A0DCB">
                  <w:pPr>
                    <w:widowControl/>
                    <w:jc w:val="center"/>
                    <w:textAlignment w:val="center"/>
                    <w:rPr>
                      <w:bCs/>
                      <w:color w:val="auto"/>
                      <w:kern w:val="0"/>
                      <w:szCs w:val="21"/>
                      <w:lang w:bidi="ar"/>
                    </w:rPr>
                  </w:pPr>
                </w:p>
              </w:tc>
              <w:tc>
                <w:tcPr>
                  <w:tcW w:w="522" w:type="pct"/>
                  <w:vAlign w:val="center"/>
                </w:tcPr>
                <w:p w14:paraId="04102241">
                  <w:pPr>
                    <w:widowControl/>
                    <w:jc w:val="center"/>
                    <w:textAlignment w:val="center"/>
                    <w:rPr>
                      <w:color w:val="auto"/>
                      <w:kern w:val="0"/>
                      <w:szCs w:val="21"/>
                      <w:lang w:bidi="ar"/>
                    </w:rPr>
                  </w:pPr>
                  <w:r>
                    <w:rPr>
                      <w:rFonts w:hint="eastAsia"/>
                      <w:color w:val="auto"/>
                      <w:kern w:val="0"/>
                      <w:szCs w:val="21"/>
                      <w:lang w:bidi="ar"/>
                    </w:rPr>
                    <w:t>氮氧化物</w:t>
                  </w:r>
                </w:p>
              </w:tc>
              <w:tc>
                <w:tcPr>
                  <w:tcW w:w="535" w:type="pct"/>
                  <w:vAlign w:val="center"/>
                </w:tcPr>
                <w:p w14:paraId="79FED4AD">
                  <w:pPr>
                    <w:widowControl/>
                    <w:jc w:val="center"/>
                    <w:textAlignment w:val="center"/>
                    <w:rPr>
                      <w:color w:val="auto"/>
                      <w:kern w:val="0"/>
                      <w:szCs w:val="21"/>
                      <w:lang w:bidi="ar"/>
                    </w:rPr>
                  </w:pPr>
                  <w:r>
                    <w:rPr>
                      <w:color w:val="auto"/>
                      <w:kern w:val="0"/>
                      <w:szCs w:val="21"/>
                      <w:lang w:bidi="ar"/>
                    </w:rPr>
                    <w:t>0.0158</w:t>
                  </w:r>
                </w:p>
              </w:tc>
              <w:tc>
                <w:tcPr>
                  <w:tcW w:w="529" w:type="pct"/>
                  <w:vAlign w:val="center"/>
                </w:tcPr>
                <w:p w14:paraId="4031F279">
                  <w:pPr>
                    <w:widowControl/>
                    <w:jc w:val="center"/>
                    <w:textAlignment w:val="center"/>
                    <w:rPr>
                      <w:color w:val="auto"/>
                      <w:kern w:val="0"/>
                      <w:szCs w:val="21"/>
                      <w:lang w:bidi="ar"/>
                    </w:rPr>
                  </w:pPr>
                  <w:r>
                    <w:rPr>
                      <w:color w:val="auto"/>
                      <w:kern w:val="0"/>
                      <w:szCs w:val="21"/>
                      <w:lang w:bidi="ar"/>
                    </w:rPr>
                    <w:t xml:space="preserve">0.0053 </w:t>
                  </w:r>
                </w:p>
              </w:tc>
              <w:tc>
                <w:tcPr>
                  <w:tcW w:w="391" w:type="pct"/>
                  <w:vAlign w:val="center"/>
                </w:tcPr>
                <w:p w14:paraId="572FEF16">
                  <w:pPr>
                    <w:widowControl/>
                    <w:jc w:val="center"/>
                    <w:textAlignment w:val="center"/>
                    <w:rPr>
                      <w:color w:val="auto"/>
                      <w:kern w:val="0"/>
                      <w:szCs w:val="21"/>
                      <w:lang w:bidi="ar"/>
                    </w:rPr>
                  </w:pPr>
                  <w:r>
                    <w:rPr>
                      <w:color w:val="auto"/>
                      <w:kern w:val="0"/>
                      <w:szCs w:val="21"/>
                      <w:lang w:bidi="ar"/>
                    </w:rPr>
                    <w:t>95%</w:t>
                  </w:r>
                </w:p>
              </w:tc>
              <w:tc>
                <w:tcPr>
                  <w:tcW w:w="550" w:type="pct"/>
                  <w:vAlign w:val="center"/>
                </w:tcPr>
                <w:p w14:paraId="64F404BE">
                  <w:pPr>
                    <w:widowControl/>
                    <w:jc w:val="center"/>
                    <w:textAlignment w:val="center"/>
                    <w:rPr>
                      <w:color w:val="auto"/>
                      <w:kern w:val="0"/>
                      <w:szCs w:val="21"/>
                      <w:lang w:bidi="ar"/>
                    </w:rPr>
                  </w:pPr>
                  <w:r>
                    <w:rPr>
                      <w:color w:val="auto"/>
                      <w:kern w:val="0"/>
                      <w:szCs w:val="21"/>
                      <w:lang w:bidi="ar"/>
                    </w:rPr>
                    <w:t xml:space="preserve">0.0150 </w:t>
                  </w:r>
                </w:p>
              </w:tc>
              <w:tc>
                <w:tcPr>
                  <w:tcW w:w="528" w:type="pct"/>
                  <w:vAlign w:val="center"/>
                </w:tcPr>
                <w:p w14:paraId="0066E07E">
                  <w:pPr>
                    <w:widowControl/>
                    <w:jc w:val="center"/>
                    <w:textAlignment w:val="center"/>
                    <w:rPr>
                      <w:color w:val="auto"/>
                      <w:kern w:val="0"/>
                      <w:szCs w:val="21"/>
                      <w:lang w:bidi="ar"/>
                    </w:rPr>
                  </w:pPr>
                  <w:r>
                    <w:rPr>
                      <w:color w:val="auto"/>
                      <w:kern w:val="0"/>
                      <w:szCs w:val="21"/>
                      <w:lang w:bidi="ar"/>
                    </w:rPr>
                    <w:t xml:space="preserve">0.0050 </w:t>
                  </w:r>
                </w:p>
              </w:tc>
              <w:tc>
                <w:tcPr>
                  <w:tcW w:w="527" w:type="pct"/>
                  <w:vAlign w:val="center"/>
                </w:tcPr>
                <w:p w14:paraId="05BEF1BB">
                  <w:pPr>
                    <w:widowControl/>
                    <w:jc w:val="center"/>
                    <w:textAlignment w:val="center"/>
                    <w:rPr>
                      <w:color w:val="auto"/>
                      <w:kern w:val="0"/>
                      <w:szCs w:val="21"/>
                      <w:lang w:bidi="ar"/>
                    </w:rPr>
                  </w:pPr>
                  <w:r>
                    <w:rPr>
                      <w:color w:val="auto"/>
                      <w:kern w:val="0"/>
                      <w:szCs w:val="21"/>
                      <w:lang w:bidi="ar"/>
                    </w:rPr>
                    <w:t>0.0008</w:t>
                  </w:r>
                </w:p>
              </w:tc>
              <w:tc>
                <w:tcPr>
                  <w:tcW w:w="553" w:type="pct"/>
                  <w:vAlign w:val="center"/>
                </w:tcPr>
                <w:p w14:paraId="094C5001">
                  <w:pPr>
                    <w:widowControl/>
                    <w:jc w:val="center"/>
                    <w:textAlignment w:val="center"/>
                    <w:rPr>
                      <w:color w:val="auto"/>
                      <w:kern w:val="0"/>
                      <w:szCs w:val="21"/>
                      <w:lang w:bidi="ar"/>
                    </w:rPr>
                  </w:pPr>
                  <w:r>
                    <w:rPr>
                      <w:color w:val="auto"/>
                      <w:kern w:val="0"/>
                      <w:szCs w:val="21"/>
                      <w:lang w:bidi="ar"/>
                    </w:rPr>
                    <w:t>0.0003</w:t>
                  </w:r>
                </w:p>
              </w:tc>
            </w:tr>
            <w:tr w14:paraId="3AF14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pct"/>
                  <w:vMerge w:val="continue"/>
                  <w:vAlign w:val="center"/>
                </w:tcPr>
                <w:p w14:paraId="2D66A983">
                  <w:pPr>
                    <w:widowControl/>
                    <w:jc w:val="center"/>
                    <w:textAlignment w:val="center"/>
                    <w:rPr>
                      <w:color w:val="auto"/>
                      <w:kern w:val="0"/>
                      <w:szCs w:val="21"/>
                      <w:lang w:bidi="ar"/>
                    </w:rPr>
                  </w:pPr>
                </w:p>
              </w:tc>
              <w:tc>
                <w:tcPr>
                  <w:tcW w:w="428" w:type="pct"/>
                  <w:vMerge w:val="continue"/>
                  <w:vAlign w:val="center"/>
                </w:tcPr>
                <w:p w14:paraId="5681C6BA">
                  <w:pPr>
                    <w:widowControl/>
                    <w:jc w:val="center"/>
                    <w:textAlignment w:val="center"/>
                    <w:rPr>
                      <w:bCs/>
                      <w:color w:val="auto"/>
                      <w:kern w:val="0"/>
                      <w:szCs w:val="21"/>
                      <w:lang w:bidi="ar"/>
                    </w:rPr>
                  </w:pPr>
                </w:p>
              </w:tc>
              <w:tc>
                <w:tcPr>
                  <w:tcW w:w="522" w:type="pct"/>
                  <w:vAlign w:val="center"/>
                </w:tcPr>
                <w:p w14:paraId="4BB1B9FE">
                  <w:pPr>
                    <w:widowControl/>
                    <w:jc w:val="center"/>
                    <w:textAlignment w:val="center"/>
                    <w:rPr>
                      <w:color w:val="auto"/>
                      <w:kern w:val="0"/>
                      <w:szCs w:val="21"/>
                      <w:lang w:bidi="ar"/>
                    </w:rPr>
                  </w:pPr>
                  <w:r>
                    <w:rPr>
                      <w:rFonts w:hint="eastAsia"/>
                      <w:color w:val="auto"/>
                      <w:kern w:val="0"/>
                      <w:szCs w:val="21"/>
                      <w:lang w:bidi="ar"/>
                    </w:rPr>
                    <w:t>二氧化硫</w:t>
                  </w:r>
                </w:p>
              </w:tc>
              <w:tc>
                <w:tcPr>
                  <w:tcW w:w="535" w:type="pct"/>
                  <w:vAlign w:val="center"/>
                </w:tcPr>
                <w:p w14:paraId="7C3918BD">
                  <w:pPr>
                    <w:widowControl/>
                    <w:jc w:val="center"/>
                    <w:textAlignment w:val="center"/>
                    <w:rPr>
                      <w:color w:val="auto"/>
                      <w:kern w:val="0"/>
                      <w:szCs w:val="21"/>
                      <w:lang w:bidi="ar"/>
                    </w:rPr>
                  </w:pPr>
                  <w:r>
                    <w:rPr>
                      <w:color w:val="auto"/>
                      <w:kern w:val="0"/>
                      <w:szCs w:val="21"/>
                      <w:lang w:bidi="ar"/>
                    </w:rPr>
                    <w:t>0.0034</w:t>
                  </w:r>
                </w:p>
              </w:tc>
              <w:tc>
                <w:tcPr>
                  <w:tcW w:w="529" w:type="pct"/>
                  <w:vAlign w:val="center"/>
                </w:tcPr>
                <w:p w14:paraId="35771833">
                  <w:pPr>
                    <w:widowControl/>
                    <w:jc w:val="center"/>
                    <w:textAlignment w:val="center"/>
                    <w:rPr>
                      <w:color w:val="auto"/>
                      <w:kern w:val="0"/>
                      <w:szCs w:val="21"/>
                      <w:lang w:bidi="ar"/>
                    </w:rPr>
                  </w:pPr>
                  <w:r>
                    <w:rPr>
                      <w:color w:val="auto"/>
                      <w:kern w:val="0"/>
                      <w:szCs w:val="21"/>
                      <w:lang w:bidi="ar"/>
                    </w:rPr>
                    <w:t>0.0011</w:t>
                  </w:r>
                </w:p>
              </w:tc>
              <w:tc>
                <w:tcPr>
                  <w:tcW w:w="391" w:type="pct"/>
                  <w:vAlign w:val="center"/>
                </w:tcPr>
                <w:p w14:paraId="34E83B03">
                  <w:pPr>
                    <w:widowControl/>
                    <w:jc w:val="center"/>
                    <w:textAlignment w:val="center"/>
                    <w:rPr>
                      <w:color w:val="auto"/>
                      <w:kern w:val="0"/>
                      <w:szCs w:val="21"/>
                      <w:lang w:bidi="ar"/>
                    </w:rPr>
                  </w:pPr>
                  <w:r>
                    <w:rPr>
                      <w:color w:val="auto"/>
                      <w:kern w:val="0"/>
                      <w:szCs w:val="21"/>
                      <w:lang w:bidi="ar"/>
                    </w:rPr>
                    <w:t>95%</w:t>
                  </w:r>
                </w:p>
              </w:tc>
              <w:tc>
                <w:tcPr>
                  <w:tcW w:w="550" w:type="pct"/>
                  <w:vAlign w:val="center"/>
                </w:tcPr>
                <w:p w14:paraId="4C2CBDCD">
                  <w:pPr>
                    <w:widowControl/>
                    <w:jc w:val="center"/>
                    <w:textAlignment w:val="center"/>
                    <w:rPr>
                      <w:color w:val="auto"/>
                      <w:kern w:val="0"/>
                      <w:szCs w:val="21"/>
                      <w:lang w:bidi="ar"/>
                    </w:rPr>
                  </w:pPr>
                  <w:r>
                    <w:rPr>
                      <w:color w:val="auto"/>
                      <w:kern w:val="0"/>
                      <w:szCs w:val="21"/>
                      <w:lang w:bidi="ar"/>
                    </w:rPr>
                    <w:t>0.0032</w:t>
                  </w:r>
                </w:p>
              </w:tc>
              <w:tc>
                <w:tcPr>
                  <w:tcW w:w="528" w:type="pct"/>
                  <w:vAlign w:val="center"/>
                </w:tcPr>
                <w:p w14:paraId="6B7A47E6">
                  <w:pPr>
                    <w:widowControl/>
                    <w:jc w:val="center"/>
                    <w:textAlignment w:val="center"/>
                    <w:rPr>
                      <w:color w:val="auto"/>
                      <w:kern w:val="0"/>
                      <w:szCs w:val="21"/>
                      <w:lang w:bidi="ar"/>
                    </w:rPr>
                  </w:pPr>
                  <w:r>
                    <w:rPr>
                      <w:color w:val="auto"/>
                      <w:kern w:val="0"/>
                      <w:szCs w:val="21"/>
                      <w:lang w:bidi="ar"/>
                    </w:rPr>
                    <w:t>0.001</w:t>
                  </w:r>
                </w:p>
              </w:tc>
              <w:tc>
                <w:tcPr>
                  <w:tcW w:w="527" w:type="pct"/>
                  <w:vAlign w:val="center"/>
                </w:tcPr>
                <w:p w14:paraId="4D252802">
                  <w:pPr>
                    <w:widowControl/>
                    <w:jc w:val="center"/>
                    <w:textAlignment w:val="center"/>
                    <w:rPr>
                      <w:color w:val="auto"/>
                      <w:kern w:val="0"/>
                      <w:szCs w:val="21"/>
                      <w:lang w:bidi="ar"/>
                    </w:rPr>
                  </w:pPr>
                  <w:r>
                    <w:rPr>
                      <w:color w:val="auto"/>
                      <w:kern w:val="0"/>
                      <w:szCs w:val="21"/>
                      <w:lang w:bidi="ar"/>
                    </w:rPr>
                    <w:t>0.0002</w:t>
                  </w:r>
                </w:p>
              </w:tc>
              <w:tc>
                <w:tcPr>
                  <w:tcW w:w="553" w:type="pct"/>
                  <w:vAlign w:val="center"/>
                </w:tcPr>
                <w:p w14:paraId="257CAC78">
                  <w:pPr>
                    <w:widowControl/>
                    <w:jc w:val="center"/>
                    <w:textAlignment w:val="center"/>
                    <w:rPr>
                      <w:color w:val="auto"/>
                      <w:kern w:val="0"/>
                      <w:szCs w:val="21"/>
                      <w:lang w:bidi="ar"/>
                    </w:rPr>
                  </w:pPr>
                  <w:r>
                    <w:rPr>
                      <w:color w:val="auto"/>
                      <w:kern w:val="0"/>
                      <w:szCs w:val="21"/>
                      <w:lang w:bidi="ar"/>
                    </w:rPr>
                    <w:t>0.0001</w:t>
                  </w:r>
                </w:p>
              </w:tc>
            </w:tr>
            <w:tr w14:paraId="31120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434" w:type="pct"/>
                  <w:vMerge w:val="continue"/>
                  <w:vAlign w:val="center"/>
                </w:tcPr>
                <w:p w14:paraId="551614C8">
                  <w:pPr>
                    <w:widowControl/>
                    <w:jc w:val="center"/>
                    <w:textAlignment w:val="center"/>
                    <w:rPr>
                      <w:color w:val="auto"/>
                      <w:kern w:val="0"/>
                      <w:szCs w:val="21"/>
                      <w:lang w:bidi="ar"/>
                    </w:rPr>
                  </w:pPr>
                </w:p>
              </w:tc>
              <w:tc>
                <w:tcPr>
                  <w:tcW w:w="428" w:type="pct"/>
                  <w:vMerge w:val="restart"/>
                  <w:vAlign w:val="center"/>
                </w:tcPr>
                <w:p w14:paraId="4B2826C1">
                  <w:pPr>
                    <w:widowControl/>
                    <w:jc w:val="center"/>
                    <w:textAlignment w:val="center"/>
                    <w:rPr>
                      <w:bCs/>
                      <w:color w:val="auto"/>
                      <w:kern w:val="0"/>
                      <w:szCs w:val="21"/>
                      <w:lang w:bidi="ar"/>
                    </w:rPr>
                  </w:pPr>
                  <w:r>
                    <w:rPr>
                      <w:rFonts w:hint="eastAsia"/>
                      <w:color w:val="auto"/>
                    </w:rPr>
                    <w:t>合计</w:t>
                  </w:r>
                </w:p>
              </w:tc>
              <w:tc>
                <w:tcPr>
                  <w:tcW w:w="522" w:type="pct"/>
                  <w:vAlign w:val="center"/>
                </w:tcPr>
                <w:p w14:paraId="5E639BBE">
                  <w:pPr>
                    <w:widowControl/>
                    <w:jc w:val="center"/>
                    <w:textAlignment w:val="center"/>
                    <w:rPr>
                      <w:color w:val="auto"/>
                      <w:kern w:val="0"/>
                      <w:szCs w:val="21"/>
                      <w:lang w:bidi="ar"/>
                    </w:rPr>
                  </w:pPr>
                  <w:r>
                    <w:rPr>
                      <w:rFonts w:hint="eastAsia"/>
                      <w:color w:val="auto"/>
                      <w:kern w:val="0"/>
                      <w:szCs w:val="21"/>
                      <w:lang w:bidi="ar"/>
                    </w:rPr>
                    <w:t>硫酸雾</w:t>
                  </w:r>
                </w:p>
              </w:tc>
              <w:tc>
                <w:tcPr>
                  <w:tcW w:w="535" w:type="pct"/>
                  <w:vAlign w:val="center"/>
                </w:tcPr>
                <w:p w14:paraId="2E5ABBDD">
                  <w:pPr>
                    <w:widowControl/>
                    <w:jc w:val="center"/>
                    <w:textAlignment w:val="center"/>
                    <w:rPr>
                      <w:color w:val="auto"/>
                      <w:kern w:val="0"/>
                      <w:szCs w:val="21"/>
                      <w:lang w:bidi="ar"/>
                    </w:rPr>
                  </w:pPr>
                  <w:r>
                    <w:rPr>
                      <w:color w:val="auto"/>
                      <w:kern w:val="0"/>
                      <w:szCs w:val="21"/>
                      <w:lang w:bidi="ar"/>
                    </w:rPr>
                    <w:t>0.178</w:t>
                  </w:r>
                </w:p>
              </w:tc>
              <w:tc>
                <w:tcPr>
                  <w:tcW w:w="529" w:type="pct"/>
                  <w:vAlign w:val="center"/>
                </w:tcPr>
                <w:p w14:paraId="69E5E014">
                  <w:pPr>
                    <w:widowControl/>
                    <w:jc w:val="center"/>
                    <w:textAlignment w:val="center"/>
                    <w:rPr>
                      <w:color w:val="auto"/>
                      <w:kern w:val="0"/>
                      <w:szCs w:val="21"/>
                      <w:lang w:bidi="ar"/>
                    </w:rPr>
                  </w:pPr>
                  <w:r>
                    <w:rPr>
                      <w:color w:val="auto"/>
                      <w:kern w:val="0"/>
                      <w:szCs w:val="21"/>
                      <w:lang w:bidi="ar"/>
                    </w:rPr>
                    <w:t>0.848</w:t>
                  </w:r>
                </w:p>
              </w:tc>
              <w:tc>
                <w:tcPr>
                  <w:tcW w:w="391" w:type="pct"/>
                  <w:vAlign w:val="center"/>
                </w:tcPr>
                <w:p w14:paraId="32D25474">
                  <w:pPr>
                    <w:widowControl/>
                    <w:jc w:val="center"/>
                    <w:textAlignment w:val="center"/>
                    <w:rPr>
                      <w:color w:val="auto"/>
                      <w:kern w:val="0"/>
                      <w:szCs w:val="21"/>
                      <w:lang w:bidi="ar"/>
                    </w:rPr>
                  </w:pPr>
                  <w:r>
                    <w:rPr>
                      <w:color w:val="auto"/>
                      <w:kern w:val="0"/>
                      <w:szCs w:val="21"/>
                      <w:lang w:bidi="ar"/>
                    </w:rPr>
                    <w:t>/</w:t>
                  </w:r>
                </w:p>
              </w:tc>
              <w:tc>
                <w:tcPr>
                  <w:tcW w:w="550" w:type="pct"/>
                  <w:vAlign w:val="center"/>
                </w:tcPr>
                <w:p w14:paraId="49FEC347">
                  <w:pPr>
                    <w:widowControl/>
                    <w:jc w:val="center"/>
                    <w:textAlignment w:val="center"/>
                    <w:rPr>
                      <w:color w:val="auto"/>
                      <w:kern w:val="0"/>
                      <w:szCs w:val="21"/>
                      <w:lang w:bidi="ar"/>
                    </w:rPr>
                  </w:pPr>
                  <w:r>
                    <w:rPr>
                      <w:color w:val="auto"/>
                      <w:kern w:val="0"/>
                      <w:szCs w:val="21"/>
                      <w:lang w:bidi="ar"/>
                    </w:rPr>
                    <w:t>0.142</w:t>
                  </w:r>
                </w:p>
              </w:tc>
              <w:tc>
                <w:tcPr>
                  <w:tcW w:w="528" w:type="pct"/>
                  <w:vAlign w:val="center"/>
                </w:tcPr>
                <w:p w14:paraId="4D964C2A">
                  <w:pPr>
                    <w:widowControl/>
                    <w:jc w:val="center"/>
                    <w:textAlignment w:val="center"/>
                    <w:rPr>
                      <w:color w:val="auto"/>
                      <w:kern w:val="0"/>
                      <w:szCs w:val="21"/>
                      <w:lang w:bidi="ar"/>
                    </w:rPr>
                  </w:pPr>
                  <w:r>
                    <w:rPr>
                      <w:color w:val="auto"/>
                      <w:kern w:val="0"/>
                      <w:szCs w:val="21"/>
                      <w:lang w:bidi="ar"/>
                    </w:rPr>
                    <w:t>0.678</w:t>
                  </w:r>
                </w:p>
              </w:tc>
              <w:tc>
                <w:tcPr>
                  <w:tcW w:w="527" w:type="pct"/>
                  <w:vAlign w:val="center"/>
                </w:tcPr>
                <w:p w14:paraId="19F4CB24">
                  <w:pPr>
                    <w:widowControl/>
                    <w:jc w:val="center"/>
                    <w:textAlignment w:val="center"/>
                    <w:rPr>
                      <w:color w:val="auto"/>
                      <w:kern w:val="0"/>
                      <w:szCs w:val="21"/>
                      <w:lang w:bidi="ar"/>
                    </w:rPr>
                  </w:pPr>
                  <w:r>
                    <w:rPr>
                      <w:color w:val="auto"/>
                      <w:kern w:val="0"/>
                      <w:szCs w:val="21"/>
                      <w:lang w:bidi="ar"/>
                    </w:rPr>
                    <w:t>0.036</w:t>
                  </w:r>
                </w:p>
              </w:tc>
              <w:tc>
                <w:tcPr>
                  <w:tcW w:w="553" w:type="pct"/>
                  <w:vAlign w:val="center"/>
                </w:tcPr>
                <w:p w14:paraId="5F21DC6C">
                  <w:pPr>
                    <w:widowControl/>
                    <w:jc w:val="center"/>
                    <w:textAlignment w:val="center"/>
                    <w:rPr>
                      <w:color w:val="auto"/>
                      <w:kern w:val="0"/>
                      <w:szCs w:val="21"/>
                      <w:lang w:bidi="ar"/>
                    </w:rPr>
                  </w:pPr>
                  <w:r>
                    <w:rPr>
                      <w:color w:val="auto"/>
                      <w:kern w:val="0"/>
                      <w:szCs w:val="21"/>
                      <w:lang w:bidi="ar"/>
                    </w:rPr>
                    <w:t>0.17</w:t>
                  </w:r>
                </w:p>
              </w:tc>
            </w:tr>
            <w:tr w14:paraId="0D450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434" w:type="pct"/>
                  <w:vMerge w:val="continue"/>
                  <w:vAlign w:val="center"/>
                </w:tcPr>
                <w:p w14:paraId="1C5D8443">
                  <w:pPr>
                    <w:widowControl/>
                    <w:jc w:val="center"/>
                    <w:textAlignment w:val="center"/>
                    <w:rPr>
                      <w:color w:val="auto"/>
                    </w:rPr>
                  </w:pPr>
                </w:p>
              </w:tc>
              <w:tc>
                <w:tcPr>
                  <w:tcW w:w="428" w:type="pct"/>
                  <w:vMerge w:val="continue"/>
                  <w:vAlign w:val="center"/>
                </w:tcPr>
                <w:p w14:paraId="4AA7BE8E">
                  <w:pPr>
                    <w:widowControl/>
                    <w:jc w:val="center"/>
                    <w:textAlignment w:val="center"/>
                    <w:rPr>
                      <w:bCs/>
                      <w:color w:val="auto"/>
                      <w:kern w:val="0"/>
                      <w:szCs w:val="21"/>
                      <w:lang w:bidi="ar"/>
                    </w:rPr>
                  </w:pPr>
                </w:p>
              </w:tc>
              <w:tc>
                <w:tcPr>
                  <w:tcW w:w="522" w:type="pct"/>
                  <w:vAlign w:val="center"/>
                </w:tcPr>
                <w:p w14:paraId="20461A9D">
                  <w:pPr>
                    <w:widowControl/>
                    <w:jc w:val="center"/>
                    <w:textAlignment w:val="center"/>
                    <w:rPr>
                      <w:color w:val="auto"/>
                      <w:kern w:val="0"/>
                      <w:szCs w:val="21"/>
                      <w:lang w:bidi="ar"/>
                    </w:rPr>
                  </w:pPr>
                  <w:r>
                    <w:rPr>
                      <w:rFonts w:hint="eastAsia"/>
                      <w:color w:val="auto"/>
                      <w:kern w:val="0"/>
                      <w:szCs w:val="21"/>
                      <w:lang w:bidi="ar"/>
                    </w:rPr>
                    <w:t>颗粒物</w:t>
                  </w:r>
                </w:p>
              </w:tc>
              <w:tc>
                <w:tcPr>
                  <w:tcW w:w="535" w:type="pct"/>
                  <w:vAlign w:val="center"/>
                </w:tcPr>
                <w:p w14:paraId="3C77C862">
                  <w:pPr>
                    <w:widowControl/>
                    <w:jc w:val="center"/>
                    <w:textAlignment w:val="center"/>
                    <w:rPr>
                      <w:bCs/>
                      <w:color w:val="auto"/>
                      <w:kern w:val="0"/>
                      <w:szCs w:val="21"/>
                      <w:lang w:bidi="ar"/>
                    </w:rPr>
                  </w:pPr>
                  <w:r>
                    <w:rPr>
                      <w:color w:val="auto"/>
                      <w:kern w:val="0"/>
                      <w:szCs w:val="21"/>
                      <w:lang w:bidi="ar"/>
                    </w:rPr>
                    <w:t>0.0048</w:t>
                  </w:r>
                </w:p>
              </w:tc>
              <w:tc>
                <w:tcPr>
                  <w:tcW w:w="529" w:type="pct"/>
                  <w:vAlign w:val="center"/>
                </w:tcPr>
                <w:p w14:paraId="5A4F3F27">
                  <w:pPr>
                    <w:widowControl/>
                    <w:jc w:val="center"/>
                    <w:textAlignment w:val="center"/>
                    <w:rPr>
                      <w:bCs/>
                      <w:color w:val="auto"/>
                      <w:kern w:val="0"/>
                      <w:szCs w:val="21"/>
                      <w:lang w:bidi="ar"/>
                    </w:rPr>
                  </w:pPr>
                  <w:r>
                    <w:rPr>
                      <w:color w:val="auto"/>
                      <w:kern w:val="0"/>
                      <w:szCs w:val="21"/>
                      <w:lang w:bidi="ar"/>
                    </w:rPr>
                    <w:t>0.0016</w:t>
                  </w:r>
                </w:p>
              </w:tc>
              <w:tc>
                <w:tcPr>
                  <w:tcW w:w="391" w:type="pct"/>
                  <w:vAlign w:val="center"/>
                </w:tcPr>
                <w:p w14:paraId="2D36960F">
                  <w:pPr>
                    <w:widowControl/>
                    <w:jc w:val="center"/>
                    <w:textAlignment w:val="center"/>
                    <w:rPr>
                      <w:bCs/>
                      <w:color w:val="auto"/>
                      <w:kern w:val="0"/>
                      <w:szCs w:val="21"/>
                      <w:lang w:bidi="ar"/>
                    </w:rPr>
                  </w:pPr>
                  <w:r>
                    <w:rPr>
                      <w:color w:val="auto"/>
                      <w:kern w:val="0"/>
                      <w:szCs w:val="21"/>
                      <w:lang w:bidi="ar"/>
                    </w:rPr>
                    <w:t>/</w:t>
                  </w:r>
                </w:p>
              </w:tc>
              <w:tc>
                <w:tcPr>
                  <w:tcW w:w="550" w:type="pct"/>
                  <w:vAlign w:val="center"/>
                </w:tcPr>
                <w:p w14:paraId="22277D97">
                  <w:pPr>
                    <w:widowControl/>
                    <w:jc w:val="center"/>
                    <w:textAlignment w:val="center"/>
                    <w:rPr>
                      <w:bCs/>
                      <w:color w:val="auto"/>
                      <w:kern w:val="0"/>
                      <w:szCs w:val="21"/>
                      <w:lang w:bidi="ar"/>
                    </w:rPr>
                  </w:pPr>
                  <w:r>
                    <w:rPr>
                      <w:color w:val="auto"/>
                      <w:kern w:val="0"/>
                      <w:szCs w:val="21"/>
                      <w:lang w:bidi="ar"/>
                    </w:rPr>
                    <w:t>0.0046</w:t>
                  </w:r>
                </w:p>
              </w:tc>
              <w:tc>
                <w:tcPr>
                  <w:tcW w:w="528" w:type="pct"/>
                  <w:vAlign w:val="center"/>
                </w:tcPr>
                <w:p w14:paraId="6009CFE9">
                  <w:pPr>
                    <w:widowControl/>
                    <w:jc w:val="center"/>
                    <w:textAlignment w:val="center"/>
                    <w:rPr>
                      <w:bCs/>
                      <w:color w:val="auto"/>
                      <w:kern w:val="0"/>
                      <w:szCs w:val="21"/>
                      <w:lang w:bidi="ar"/>
                    </w:rPr>
                  </w:pPr>
                  <w:r>
                    <w:rPr>
                      <w:color w:val="auto"/>
                      <w:kern w:val="0"/>
                      <w:szCs w:val="21"/>
                      <w:lang w:bidi="ar"/>
                    </w:rPr>
                    <w:t>0.0015</w:t>
                  </w:r>
                </w:p>
              </w:tc>
              <w:tc>
                <w:tcPr>
                  <w:tcW w:w="527" w:type="pct"/>
                  <w:vAlign w:val="center"/>
                </w:tcPr>
                <w:p w14:paraId="737A177A">
                  <w:pPr>
                    <w:widowControl/>
                    <w:jc w:val="center"/>
                    <w:textAlignment w:val="center"/>
                    <w:rPr>
                      <w:bCs/>
                      <w:color w:val="auto"/>
                      <w:kern w:val="0"/>
                      <w:szCs w:val="21"/>
                      <w:lang w:bidi="ar"/>
                    </w:rPr>
                  </w:pPr>
                  <w:r>
                    <w:rPr>
                      <w:color w:val="auto"/>
                      <w:kern w:val="0"/>
                      <w:szCs w:val="21"/>
                      <w:lang w:bidi="ar"/>
                    </w:rPr>
                    <w:t>0.0002</w:t>
                  </w:r>
                </w:p>
              </w:tc>
              <w:tc>
                <w:tcPr>
                  <w:tcW w:w="553" w:type="pct"/>
                  <w:vAlign w:val="center"/>
                </w:tcPr>
                <w:p w14:paraId="2DE38A7F">
                  <w:pPr>
                    <w:widowControl/>
                    <w:jc w:val="center"/>
                    <w:textAlignment w:val="center"/>
                    <w:rPr>
                      <w:bCs/>
                      <w:color w:val="auto"/>
                      <w:kern w:val="0"/>
                      <w:szCs w:val="21"/>
                      <w:lang w:bidi="ar"/>
                    </w:rPr>
                  </w:pPr>
                  <w:r>
                    <w:rPr>
                      <w:color w:val="auto"/>
                      <w:kern w:val="0"/>
                      <w:szCs w:val="21"/>
                      <w:lang w:bidi="ar"/>
                    </w:rPr>
                    <w:t>0.0001</w:t>
                  </w:r>
                </w:p>
              </w:tc>
            </w:tr>
            <w:tr w14:paraId="0543F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434" w:type="pct"/>
                  <w:vMerge w:val="continue"/>
                  <w:vAlign w:val="center"/>
                </w:tcPr>
                <w:p w14:paraId="2C68977A">
                  <w:pPr>
                    <w:widowControl/>
                    <w:jc w:val="center"/>
                    <w:textAlignment w:val="center"/>
                    <w:rPr>
                      <w:bCs/>
                      <w:color w:val="auto"/>
                      <w:kern w:val="0"/>
                      <w:szCs w:val="21"/>
                      <w:lang w:bidi="ar"/>
                    </w:rPr>
                  </w:pPr>
                </w:p>
              </w:tc>
              <w:tc>
                <w:tcPr>
                  <w:tcW w:w="428" w:type="pct"/>
                  <w:vMerge w:val="continue"/>
                  <w:vAlign w:val="center"/>
                </w:tcPr>
                <w:p w14:paraId="4387E362">
                  <w:pPr>
                    <w:widowControl/>
                    <w:jc w:val="center"/>
                    <w:textAlignment w:val="center"/>
                    <w:rPr>
                      <w:bCs/>
                      <w:color w:val="auto"/>
                      <w:kern w:val="0"/>
                      <w:szCs w:val="21"/>
                      <w:lang w:bidi="ar"/>
                    </w:rPr>
                  </w:pPr>
                </w:p>
              </w:tc>
              <w:tc>
                <w:tcPr>
                  <w:tcW w:w="522" w:type="pct"/>
                  <w:vAlign w:val="center"/>
                </w:tcPr>
                <w:p w14:paraId="4F2B0C0E">
                  <w:pPr>
                    <w:widowControl/>
                    <w:jc w:val="center"/>
                    <w:textAlignment w:val="center"/>
                    <w:rPr>
                      <w:color w:val="auto"/>
                      <w:kern w:val="0"/>
                      <w:szCs w:val="21"/>
                      <w:lang w:bidi="ar"/>
                    </w:rPr>
                  </w:pPr>
                  <w:r>
                    <w:rPr>
                      <w:rFonts w:hint="eastAsia"/>
                      <w:color w:val="auto"/>
                      <w:kern w:val="0"/>
                      <w:szCs w:val="21"/>
                      <w:lang w:bidi="ar"/>
                    </w:rPr>
                    <w:t>氮氧化物</w:t>
                  </w:r>
                </w:p>
              </w:tc>
              <w:tc>
                <w:tcPr>
                  <w:tcW w:w="535" w:type="pct"/>
                  <w:vAlign w:val="center"/>
                </w:tcPr>
                <w:p w14:paraId="417A4CAD">
                  <w:pPr>
                    <w:widowControl/>
                    <w:jc w:val="center"/>
                    <w:textAlignment w:val="center"/>
                    <w:rPr>
                      <w:bCs/>
                      <w:color w:val="auto"/>
                      <w:kern w:val="0"/>
                      <w:szCs w:val="21"/>
                      <w:lang w:bidi="ar"/>
                    </w:rPr>
                  </w:pPr>
                  <w:r>
                    <w:rPr>
                      <w:color w:val="auto"/>
                      <w:kern w:val="0"/>
                      <w:szCs w:val="21"/>
                      <w:lang w:bidi="ar"/>
                    </w:rPr>
                    <w:t>0.0158</w:t>
                  </w:r>
                </w:p>
              </w:tc>
              <w:tc>
                <w:tcPr>
                  <w:tcW w:w="529" w:type="pct"/>
                  <w:vAlign w:val="center"/>
                </w:tcPr>
                <w:p w14:paraId="0BDC6FA7">
                  <w:pPr>
                    <w:widowControl/>
                    <w:jc w:val="center"/>
                    <w:textAlignment w:val="center"/>
                    <w:rPr>
                      <w:bCs/>
                      <w:color w:val="auto"/>
                      <w:kern w:val="0"/>
                      <w:szCs w:val="21"/>
                      <w:lang w:bidi="ar"/>
                    </w:rPr>
                  </w:pPr>
                  <w:r>
                    <w:rPr>
                      <w:color w:val="auto"/>
                      <w:kern w:val="0"/>
                      <w:szCs w:val="21"/>
                      <w:lang w:bidi="ar"/>
                    </w:rPr>
                    <w:t xml:space="preserve">0.0053 </w:t>
                  </w:r>
                </w:p>
              </w:tc>
              <w:tc>
                <w:tcPr>
                  <w:tcW w:w="391" w:type="pct"/>
                  <w:vAlign w:val="center"/>
                </w:tcPr>
                <w:p w14:paraId="22B4153D">
                  <w:pPr>
                    <w:widowControl/>
                    <w:jc w:val="center"/>
                    <w:textAlignment w:val="center"/>
                    <w:rPr>
                      <w:bCs/>
                      <w:color w:val="auto"/>
                      <w:kern w:val="0"/>
                      <w:szCs w:val="21"/>
                      <w:lang w:bidi="ar"/>
                    </w:rPr>
                  </w:pPr>
                  <w:r>
                    <w:rPr>
                      <w:color w:val="auto"/>
                      <w:kern w:val="0"/>
                      <w:szCs w:val="21"/>
                      <w:lang w:bidi="ar"/>
                    </w:rPr>
                    <w:t>/</w:t>
                  </w:r>
                </w:p>
              </w:tc>
              <w:tc>
                <w:tcPr>
                  <w:tcW w:w="550" w:type="pct"/>
                  <w:vAlign w:val="center"/>
                </w:tcPr>
                <w:p w14:paraId="719F8825">
                  <w:pPr>
                    <w:widowControl/>
                    <w:jc w:val="center"/>
                    <w:textAlignment w:val="center"/>
                    <w:rPr>
                      <w:bCs/>
                      <w:color w:val="auto"/>
                      <w:kern w:val="0"/>
                      <w:szCs w:val="21"/>
                      <w:lang w:bidi="ar"/>
                    </w:rPr>
                  </w:pPr>
                  <w:r>
                    <w:rPr>
                      <w:color w:val="auto"/>
                      <w:kern w:val="0"/>
                      <w:szCs w:val="21"/>
                      <w:lang w:bidi="ar"/>
                    </w:rPr>
                    <w:t xml:space="preserve">0.0150 </w:t>
                  </w:r>
                </w:p>
              </w:tc>
              <w:tc>
                <w:tcPr>
                  <w:tcW w:w="528" w:type="pct"/>
                  <w:vAlign w:val="center"/>
                </w:tcPr>
                <w:p w14:paraId="1036DC1F">
                  <w:pPr>
                    <w:widowControl/>
                    <w:jc w:val="center"/>
                    <w:textAlignment w:val="center"/>
                    <w:rPr>
                      <w:bCs/>
                      <w:color w:val="auto"/>
                      <w:kern w:val="0"/>
                      <w:szCs w:val="21"/>
                      <w:lang w:bidi="ar"/>
                    </w:rPr>
                  </w:pPr>
                  <w:r>
                    <w:rPr>
                      <w:color w:val="auto"/>
                      <w:kern w:val="0"/>
                      <w:szCs w:val="21"/>
                      <w:lang w:bidi="ar"/>
                    </w:rPr>
                    <w:t xml:space="preserve">0.0050 </w:t>
                  </w:r>
                </w:p>
              </w:tc>
              <w:tc>
                <w:tcPr>
                  <w:tcW w:w="527" w:type="pct"/>
                  <w:vAlign w:val="center"/>
                </w:tcPr>
                <w:p w14:paraId="23A73B4C">
                  <w:pPr>
                    <w:widowControl/>
                    <w:jc w:val="center"/>
                    <w:textAlignment w:val="center"/>
                    <w:rPr>
                      <w:bCs/>
                      <w:color w:val="auto"/>
                      <w:kern w:val="0"/>
                      <w:szCs w:val="21"/>
                      <w:lang w:bidi="ar"/>
                    </w:rPr>
                  </w:pPr>
                  <w:r>
                    <w:rPr>
                      <w:color w:val="auto"/>
                      <w:kern w:val="0"/>
                      <w:szCs w:val="21"/>
                      <w:lang w:bidi="ar"/>
                    </w:rPr>
                    <w:t>0.0008</w:t>
                  </w:r>
                </w:p>
              </w:tc>
              <w:tc>
                <w:tcPr>
                  <w:tcW w:w="553" w:type="pct"/>
                  <w:vAlign w:val="center"/>
                </w:tcPr>
                <w:p w14:paraId="619AA8A0">
                  <w:pPr>
                    <w:widowControl/>
                    <w:jc w:val="center"/>
                    <w:textAlignment w:val="center"/>
                    <w:rPr>
                      <w:bCs/>
                      <w:color w:val="auto"/>
                      <w:kern w:val="0"/>
                      <w:szCs w:val="21"/>
                      <w:lang w:bidi="ar"/>
                    </w:rPr>
                  </w:pPr>
                  <w:r>
                    <w:rPr>
                      <w:color w:val="auto"/>
                      <w:kern w:val="0"/>
                      <w:szCs w:val="21"/>
                      <w:lang w:bidi="ar"/>
                    </w:rPr>
                    <w:t>0.0003</w:t>
                  </w:r>
                </w:p>
              </w:tc>
            </w:tr>
            <w:tr w14:paraId="218FA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434" w:type="pct"/>
                  <w:vMerge w:val="continue"/>
                  <w:vAlign w:val="center"/>
                </w:tcPr>
                <w:p w14:paraId="1A5CC1BF">
                  <w:pPr>
                    <w:widowControl/>
                    <w:jc w:val="center"/>
                    <w:textAlignment w:val="center"/>
                    <w:rPr>
                      <w:bCs/>
                      <w:color w:val="auto"/>
                      <w:kern w:val="0"/>
                      <w:szCs w:val="21"/>
                      <w:lang w:bidi="ar"/>
                    </w:rPr>
                  </w:pPr>
                </w:p>
              </w:tc>
              <w:tc>
                <w:tcPr>
                  <w:tcW w:w="428" w:type="pct"/>
                  <w:vMerge w:val="continue"/>
                  <w:vAlign w:val="center"/>
                </w:tcPr>
                <w:p w14:paraId="73817781">
                  <w:pPr>
                    <w:widowControl/>
                    <w:jc w:val="center"/>
                    <w:textAlignment w:val="center"/>
                    <w:rPr>
                      <w:bCs/>
                      <w:color w:val="auto"/>
                      <w:kern w:val="0"/>
                      <w:szCs w:val="21"/>
                      <w:lang w:bidi="ar"/>
                    </w:rPr>
                  </w:pPr>
                </w:p>
              </w:tc>
              <w:tc>
                <w:tcPr>
                  <w:tcW w:w="522" w:type="pct"/>
                  <w:vAlign w:val="center"/>
                </w:tcPr>
                <w:p w14:paraId="48D275C4">
                  <w:pPr>
                    <w:widowControl/>
                    <w:jc w:val="center"/>
                    <w:textAlignment w:val="center"/>
                    <w:rPr>
                      <w:color w:val="auto"/>
                      <w:kern w:val="0"/>
                      <w:szCs w:val="21"/>
                      <w:lang w:bidi="ar"/>
                    </w:rPr>
                  </w:pPr>
                  <w:r>
                    <w:rPr>
                      <w:rFonts w:hint="eastAsia"/>
                      <w:color w:val="auto"/>
                      <w:kern w:val="0"/>
                      <w:szCs w:val="21"/>
                      <w:lang w:bidi="ar"/>
                    </w:rPr>
                    <w:t>二氧化硫</w:t>
                  </w:r>
                </w:p>
              </w:tc>
              <w:tc>
                <w:tcPr>
                  <w:tcW w:w="535" w:type="pct"/>
                  <w:vAlign w:val="center"/>
                </w:tcPr>
                <w:p w14:paraId="4CFCBB3E">
                  <w:pPr>
                    <w:widowControl/>
                    <w:jc w:val="center"/>
                    <w:textAlignment w:val="center"/>
                    <w:rPr>
                      <w:bCs/>
                      <w:color w:val="auto"/>
                      <w:kern w:val="0"/>
                      <w:szCs w:val="21"/>
                      <w:lang w:bidi="ar"/>
                    </w:rPr>
                  </w:pPr>
                  <w:r>
                    <w:rPr>
                      <w:color w:val="auto"/>
                      <w:kern w:val="0"/>
                      <w:szCs w:val="21"/>
                      <w:lang w:bidi="ar"/>
                    </w:rPr>
                    <w:t>0.0034</w:t>
                  </w:r>
                </w:p>
              </w:tc>
              <w:tc>
                <w:tcPr>
                  <w:tcW w:w="529" w:type="pct"/>
                  <w:vAlign w:val="center"/>
                </w:tcPr>
                <w:p w14:paraId="16A8079A">
                  <w:pPr>
                    <w:widowControl/>
                    <w:jc w:val="center"/>
                    <w:textAlignment w:val="center"/>
                    <w:rPr>
                      <w:bCs/>
                      <w:color w:val="auto"/>
                      <w:kern w:val="0"/>
                      <w:szCs w:val="21"/>
                      <w:lang w:bidi="ar"/>
                    </w:rPr>
                  </w:pPr>
                  <w:r>
                    <w:rPr>
                      <w:color w:val="auto"/>
                      <w:kern w:val="0"/>
                      <w:szCs w:val="21"/>
                      <w:lang w:bidi="ar"/>
                    </w:rPr>
                    <w:t>0.0011</w:t>
                  </w:r>
                </w:p>
              </w:tc>
              <w:tc>
                <w:tcPr>
                  <w:tcW w:w="391" w:type="pct"/>
                  <w:vAlign w:val="center"/>
                </w:tcPr>
                <w:p w14:paraId="47385CC3">
                  <w:pPr>
                    <w:widowControl/>
                    <w:jc w:val="center"/>
                    <w:textAlignment w:val="center"/>
                    <w:rPr>
                      <w:bCs/>
                      <w:color w:val="auto"/>
                      <w:kern w:val="0"/>
                      <w:szCs w:val="21"/>
                      <w:lang w:bidi="ar"/>
                    </w:rPr>
                  </w:pPr>
                  <w:r>
                    <w:rPr>
                      <w:color w:val="auto"/>
                      <w:kern w:val="0"/>
                      <w:szCs w:val="21"/>
                      <w:lang w:bidi="ar"/>
                    </w:rPr>
                    <w:t>/</w:t>
                  </w:r>
                </w:p>
              </w:tc>
              <w:tc>
                <w:tcPr>
                  <w:tcW w:w="550" w:type="pct"/>
                  <w:vAlign w:val="center"/>
                </w:tcPr>
                <w:p w14:paraId="584B790F">
                  <w:pPr>
                    <w:widowControl/>
                    <w:jc w:val="center"/>
                    <w:textAlignment w:val="center"/>
                    <w:rPr>
                      <w:bCs/>
                      <w:color w:val="auto"/>
                      <w:kern w:val="0"/>
                      <w:szCs w:val="21"/>
                      <w:lang w:bidi="ar"/>
                    </w:rPr>
                  </w:pPr>
                  <w:r>
                    <w:rPr>
                      <w:color w:val="auto"/>
                      <w:kern w:val="0"/>
                      <w:szCs w:val="21"/>
                      <w:lang w:bidi="ar"/>
                    </w:rPr>
                    <w:t>0.0032</w:t>
                  </w:r>
                </w:p>
              </w:tc>
              <w:tc>
                <w:tcPr>
                  <w:tcW w:w="528" w:type="pct"/>
                  <w:vAlign w:val="center"/>
                </w:tcPr>
                <w:p w14:paraId="62701495">
                  <w:pPr>
                    <w:widowControl/>
                    <w:jc w:val="center"/>
                    <w:textAlignment w:val="center"/>
                    <w:rPr>
                      <w:bCs/>
                      <w:color w:val="auto"/>
                      <w:kern w:val="0"/>
                      <w:szCs w:val="21"/>
                      <w:lang w:bidi="ar"/>
                    </w:rPr>
                  </w:pPr>
                  <w:r>
                    <w:rPr>
                      <w:color w:val="auto"/>
                      <w:kern w:val="0"/>
                      <w:szCs w:val="21"/>
                      <w:lang w:bidi="ar"/>
                    </w:rPr>
                    <w:t>0.001</w:t>
                  </w:r>
                </w:p>
              </w:tc>
              <w:tc>
                <w:tcPr>
                  <w:tcW w:w="527" w:type="pct"/>
                  <w:vAlign w:val="center"/>
                </w:tcPr>
                <w:p w14:paraId="00D273B2">
                  <w:pPr>
                    <w:widowControl/>
                    <w:jc w:val="center"/>
                    <w:textAlignment w:val="center"/>
                    <w:rPr>
                      <w:bCs/>
                      <w:color w:val="auto"/>
                      <w:kern w:val="0"/>
                      <w:szCs w:val="21"/>
                      <w:lang w:bidi="ar"/>
                    </w:rPr>
                  </w:pPr>
                  <w:r>
                    <w:rPr>
                      <w:color w:val="auto"/>
                      <w:kern w:val="0"/>
                      <w:szCs w:val="21"/>
                      <w:lang w:bidi="ar"/>
                    </w:rPr>
                    <w:t>0.0002</w:t>
                  </w:r>
                </w:p>
              </w:tc>
              <w:tc>
                <w:tcPr>
                  <w:tcW w:w="553" w:type="pct"/>
                  <w:vAlign w:val="center"/>
                </w:tcPr>
                <w:p w14:paraId="24AD25CB">
                  <w:pPr>
                    <w:widowControl/>
                    <w:jc w:val="center"/>
                    <w:textAlignment w:val="center"/>
                    <w:rPr>
                      <w:bCs/>
                      <w:color w:val="auto"/>
                      <w:kern w:val="0"/>
                      <w:szCs w:val="21"/>
                      <w:lang w:bidi="ar"/>
                    </w:rPr>
                  </w:pPr>
                  <w:r>
                    <w:rPr>
                      <w:color w:val="auto"/>
                      <w:kern w:val="0"/>
                      <w:szCs w:val="21"/>
                      <w:lang w:bidi="ar"/>
                    </w:rPr>
                    <w:t>0.0001</w:t>
                  </w:r>
                </w:p>
              </w:tc>
            </w:tr>
            <w:tr w14:paraId="5BF10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5000" w:type="pct"/>
                  <w:gridSpan w:val="10"/>
                  <w:vAlign w:val="center"/>
                </w:tcPr>
                <w:p w14:paraId="1E96759D">
                  <w:pPr>
                    <w:widowControl/>
                    <w:textAlignment w:val="center"/>
                    <w:rPr>
                      <w:color w:val="auto"/>
                      <w:kern w:val="0"/>
                      <w:szCs w:val="21"/>
                      <w:lang w:bidi="ar"/>
                    </w:rPr>
                  </w:pPr>
                  <w:r>
                    <w:rPr>
                      <w:color w:val="auto"/>
                      <w:kern w:val="0"/>
                      <w:szCs w:val="21"/>
                      <w:lang w:bidi="ar"/>
                    </w:rPr>
                    <w:t>备注：</w:t>
                  </w:r>
                </w:p>
                <w:p w14:paraId="0D2AB7CE">
                  <w:pPr>
                    <w:widowControl/>
                    <w:textAlignment w:val="center"/>
                    <w:rPr>
                      <w:color w:val="auto"/>
                      <w:kern w:val="0"/>
                      <w:szCs w:val="21"/>
                      <w:lang w:bidi="ar"/>
                    </w:rPr>
                  </w:pPr>
                  <w:r>
                    <w:rPr>
                      <w:color w:val="auto"/>
                      <w:kern w:val="0"/>
                      <w:szCs w:val="21"/>
                      <w:lang w:bidi="ar"/>
                    </w:rPr>
                    <w:t>①DA001和DA002均收集喷粉粉尘，其中DA001收集白色粉尘，DA002收集杂色粉尘。根据建设单位提供，白色粉末涂料和杂色粉末涂料的使用量各占一半，则DA001颗粒物产生量为</w:t>
                  </w:r>
                  <w:r>
                    <w:rPr>
                      <w:rFonts w:hint="eastAsia"/>
                      <w:color w:val="auto"/>
                      <w:kern w:val="0"/>
                      <w:szCs w:val="21"/>
                      <w:lang w:bidi="ar"/>
                    </w:rPr>
                    <w:t>2.1</w:t>
                  </w:r>
                  <w:r>
                    <w:rPr>
                      <w:color w:val="auto"/>
                      <w:kern w:val="0"/>
                      <w:szCs w:val="21"/>
                      <w:lang w:bidi="ar"/>
                    </w:rPr>
                    <w:t>t/a，</w:t>
                  </w:r>
                  <w:r>
                    <w:rPr>
                      <w:rFonts w:hint="eastAsia"/>
                      <w:color w:val="auto"/>
                      <w:kern w:val="0"/>
                      <w:szCs w:val="21"/>
                      <w:lang w:bidi="ar"/>
                    </w:rPr>
                    <w:t>产生速率为0.7kg/h；</w:t>
                  </w:r>
                  <w:r>
                    <w:rPr>
                      <w:color w:val="auto"/>
                      <w:kern w:val="0"/>
                      <w:szCs w:val="21"/>
                      <w:lang w:bidi="ar"/>
                    </w:rPr>
                    <w:t>DA002颗粒物产生量为</w:t>
                  </w:r>
                  <w:r>
                    <w:rPr>
                      <w:rFonts w:hint="eastAsia"/>
                      <w:color w:val="auto"/>
                      <w:kern w:val="0"/>
                      <w:szCs w:val="21"/>
                      <w:lang w:bidi="ar"/>
                    </w:rPr>
                    <w:t>2.1</w:t>
                  </w:r>
                  <w:r>
                    <w:rPr>
                      <w:color w:val="auto"/>
                      <w:kern w:val="0"/>
                      <w:szCs w:val="21"/>
                      <w:lang w:bidi="ar"/>
                    </w:rPr>
                    <w:t>t/a，</w:t>
                  </w:r>
                  <w:r>
                    <w:rPr>
                      <w:rFonts w:hint="eastAsia"/>
                      <w:color w:val="auto"/>
                      <w:kern w:val="0"/>
                      <w:szCs w:val="21"/>
                      <w:lang w:bidi="ar"/>
                    </w:rPr>
                    <w:t>产生速率为0.7kg/h</w:t>
                  </w:r>
                  <w:r>
                    <w:rPr>
                      <w:color w:val="auto"/>
                      <w:kern w:val="0"/>
                      <w:szCs w:val="21"/>
                      <w:lang w:bidi="ar"/>
                    </w:rPr>
                    <w:t>。</w:t>
                  </w:r>
                </w:p>
                <w:p w14:paraId="3ADA18AA">
                  <w:pPr>
                    <w:widowControl/>
                    <w:textAlignment w:val="center"/>
                    <w:rPr>
                      <w:color w:val="auto"/>
                      <w:kern w:val="0"/>
                      <w:szCs w:val="21"/>
                      <w:lang w:bidi="ar"/>
                    </w:rPr>
                  </w:pPr>
                  <w:r>
                    <w:rPr>
                      <w:color w:val="auto"/>
                      <w:kern w:val="0"/>
                      <w:szCs w:val="21"/>
                      <w:lang w:bidi="ar"/>
                    </w:rPr>
                    <w:t>②由于</w:t>
                  </w:r>
                  <w:r>
                    <w:rPr>
                      <w:color w:val="auto"/>
                      <w:szCs w:val="21"/>
                    </w:rPr>
                    <w:t>底漆、面漆喷涂线</w:t>
                  </w:r>
                  <w:r>
                    <w:rPr>
                      <w:rFonts w:hint="eastAsia"/>
                      <w:color w:val="auto"/>
                      <w:szCs w:val="21"/>
                    </w:rPr>
                    <w:t>不存在同时喷涂底漆、面漆的情况，根据建设单位提供，喷涂底漆和喷涂面漆的工作时间各占一半，即5h/d，300d/a，喷涂底漆、面漆过程产生的废气量为两种涂料加工时产污叠加，产生速率按两种涂料加工时产生的最大速率，即DA003颗粒物产生量为2.07t/a，产生速率为0.712kg/h；喷漆时TVOC产生量为0.376t/a，产生速率为0.127kg/h；烘烤时TVOC产生量为0.0663t/a，产生速率为0.0224kg/h。</w:t>
                  </w:r>
                </w:p>
              </w:tc>
            </w:tr>
          </w:tbl>
          <w:p w14:paraId="4838BB16">
            <w:pPr>
              <w:adjustRightInd w:val="0"/>
              <w:snapToGrid w:val="0"/>
              <w:spacing w:line="360" w:lineRule="auto"/>
              <w:ind w:firstLine="482" w:firstLineChars="200"/>
              <w:jc w:val="left"/>
              <w:rPr>
                <w:b/>
                <w:bCs/>
                <w:color w:val="auto"/>
                <w:sz w:val="24"/>
              </w:rPr>
            </w:pPr>
          </w:p>
          <w:p w14:paraId="436E04F2">
            <w:pPr>
              <w:adjustRightInd w:val="0"/>
              <w:snapToGrid w:val="0"/>
              <w:spacing w:line="360" w:lineRule="auto"/>
              <w:ind w:firstLine="482" w:firstLineChars="200"/>
              <w:jc w:val="left"/>
              <w:rPr>
                <w:b/>
                <w:bCs/>
                <w:color w:val="auto"/>
                <w:sz w:val="24"/>
              </w:rPr>
            </w:pPr>
            <w:r>
              <w:rPr>
                <w:rFonts w:hint="eastAsia"/>
                <w:b/>
                <w:bCs/>
                <w:color w:val="auto"/>
                <w:sz w:val="24"/>
              </w:rPr>
              <w:t>4、废气处理设施效率分析</w:t>
            </w:r>
          </w:p>
          <w:p w14:paraId="6EC09C77">
            <w:pPr>
              <w:adjustRightInd w:val="0"/>
              <w:snapToGrid w:val="0"/>
              <w:spacing w:line="360" w:lineRule="auto"/>
              <w:ind w:firstLine="482" w:firstLineChars="200"/>
              <w:jc w:val="left"/>
              <w:rPr>
                <w:b/>
                <w:bCs/>
                <w:color w:val="auto"/>
                <w:sz w:val="24"/>
              </w:rPr>
            </w:pPr>
            <w:r>
              <w:rPr>
                <w:rFonts w:hint="eastAsia"/>
                <w:b/>
                <w:bCs/>
                <w:color w:val="auto"/>
                <w:sz w:val="24"/>
              </w:rPr>
              <w:t>（1）布袋除尘器</w:t>
            </w:r>
          </w:p>
          <w:p w14:paraId="6E3F784A">
            <w:pPr>
              <w:adjustRightInd w:val="0"/>
              <w:snapToGrid w:val="0"/>
              <w:spacing w:line="360" w:lineRule="auto"/>
              <w:ind w:firstLine="480" w:firstLineChars="200"/>
              <w:jc w:val="left"/>
              <w:rPr>
                <w:color w:val="auto"/>
                <w:sz w:val="24"/>
              </w:rPr>
            </w:pPr>
            <w:r>
              <w:rPr>
                <w:rFonts w:hint="eastAsia"/>
                <w:color w:val="auto"/>
                <w:sz w:val="24"/>
              </w:rPr>
              <w:t>喷粉粉尘废气采用布袋除尘器，参考</w:t>
            </w:r>
            <w:r>
              <w:rPr>
                <w:color w:val="auto"/>
                <w:sz w:val="24"/>
              </w:rPr>
              <w:t>《环境工程技术手册-废气处理工程技术手册》中</w:t>
            </w:r>
            <w:r>
              <w:rPr>
                <w:rFonts w:hint="eastAsia"/>
                <w:color w:val="auto"/>
                <w:sz w:val="24"/>
              </w:rPr>
              <w:t>袋式</w:t>
            </w:r>
            <w:r>
              <w:rPr>
                <w:color w:val="auto"/>
                <w:sz w:val="24"/>
              </w:rPr>
              <w:t>除尘器对粉尘处理效率可达 99%</w:t>
            </w:r>
            <w:r>
              <w:rPr>
                <w:rFonts w:hint="eastAsia"/>
                <w:color w:val="auto"/>
                <w:sz w:val="24"/>
              </w:rPr>
              <w:t>以上</w:t>
            </w:r>
            <w:r>
              <w:rPr>
                <w:color w:val="auto"/>
                <w:sz w:val="24"/>
              </w:rPr>
              <w:t>，故可认为项目</w:t>
            </w:r>
            <w:r>
              <w:rPr>
                <w:rFonts w:hint="eastAsia"/>
                <w:color w:val="auto"/>
                <w:sz w:val="24"/>
              </w:rPr>
              <w:t>喷粉</w:t>
            </w:r>
            <w:r>
              <w:rPr>
                <w:color w:val="auto"/>
                <w:sz w:val="24"/>
              </w:rPr>
              <w:t>粉尘得到有效处理，</w:t>
            </w:r>
            <w:r>
              <w:rPr>
                <w:rFonts w:hint="eastAsia"/>
                <w:color w:val="auto"/>
                <w:sz w:val="24"/>
              </w:rPr>
              <w:t>本报告</w:t>
            </w:r>
            <w:r>
              <w:rPr>
                <w:color w:val="auto"/>
                <w:sz w:val="24"/>
              </w:rPr>
              <w:t>“</w:t>
            </w:r>
            <w:r>
              <w:rPr>
                <w:rFonts w:hint="eastAsia"/>
                <w:color w:val="auto"/>
                <w:sz w:val="24"/>
              </w:rPr>
              <w:t>袋式</w:t>
            </w:r>
            <w:r>
              <w:rPr>
                <w:color w:val="auto"/>
                <w:sz w:val="24"/>
              </w:rPr>
              <w:t>除尘器”对喷粉粉尘处理效率</w:t>
            </w:r>
            <w:r>
              <w:rPr>
                <w:rFonts w:hint="eastAsia"/>
                <w:color w:val="auto"/>
                <w:sz w:val="24"/>
              </w:rPr>
              <w:t>按保守的99</w:t>
            </w:r>
            <w:r>
              <w:rPr>
                <w:color w:val="auto"/>
                <w:sz w:val="24"/>
              </w:rPr>
              <w:t>%计。</w:t>
            </w:r>
          </w:p>
          <w:p w14:paraId="13F6A0DA">
            <w:pPr>
              <w:adjustRightInd w:val="0"/>
              <w:snapToGrid w:val="0"/>
              <w:spacing w:line="360" w:lineRule="auto"/>
              <w:ind w:firstLine="482" w:firstLineChars="200"/>
              <w:jc w:val="left"/>
              <w:rPr>
                <w:b/>
                <w:bCs/>
                <w:color w:val="auto"/>
                <w:sz w:val="24"/>
              </w:rPr>
            </w:pPr>
            <w:r>
              <w:rPr>
                <w:rFonts w:hint="eastAsia"/>
                <w:b/>
                <w:bCs/>
                <w:color w:val="auto"/>
                <w:sz w:val="24"/>
              </w:rPr>
              <w:t>（2）水帘柜+喷淋塔+除湿装置</w:t>
            </w:r>
          </w:p>
          <w:p w14:paraId="7785894F">
            <w:pPr>
              <w:adjustRightInd w:val="0"/>
              <w:snapToGrid w:val="0"/>
              <w:spacing w:line="360" w:lineRule="auto"/>
              <w:ind w:firstLine="480" w:firstLineChars="200"/>
              <w:jc w:val="left"/>
              <w:rPr>
                <w:color w:val="auto"/>
                <w:sz w:val="24"/>
              </w:rPr>
            </w:pPr>
            <w:r>
              <w:rPr>
                <w:rFonts w:hint="eastAsia"/>
                <w:color w:val="auto"/>
                <w:sz w:val="24"/>
              </w:rPr>
              <w:t>项目采用水帘柜、喷淋塔处理漆雾。</w:t>
            </w:r>
          </w:p>
          <w:p w14:paraId="58F18BCA">
            <w:pPr>
              <w:adjustRightInd w:val="0"/>
              <w:snapToGrid w:val="0"/>
              <w:spacing w:line="360" w:lineRule="auto"/>
              <w:ind w:firstLine="480" w:firstLineChars="200"/>
              <w:jc w:val="left"/>
              <w:rPr>
                <w:color w:val="auto"/>
                <w:sz w:val="24"/>
              </w:rPr>
            </w:pPr>
            <w:r>
              <w:rPr>
                <w:rFonts w:hint="eastAsia"/>
                <w:color w:val="auto"/>
                <w:sz w:val="24"/>
              </w:rPr>
              <w:t>水帘柜，又称过滤除尘设备或水膜过滤设备，是一种用于喷漆车间废气处理的工业环保设备，主要由水循环系统、排风系统和过滤装置构成。其工作原理通过自吸水泵形成水帘幕拦截漆雾颗粒，残余废气经风机排出室外，核心组件包括不锈钢水帘板、可拆卸滤网及多层除尘结构；喷淋塔是使特定容器内含水率增加并改变气流方向、降低气流速度，让其与含尘气体充分混合，使尘的比重增加并粘附，水尘由空气中脱离出来的一种除尘装置。当其有一定进气速度的含尘气体经进气管进入后，冲击水层并改变了气体的运动方向，而尘粒由于惯性则继续按原方向运动水喷淋净化塔，其中大部分尘粒与水粘附后便停留在水中，在冲击水浴后，有一部分尘粒随气体运动，与冲击水雾并与循环喷淋水相结合，在主体内进一步充分混合作用，此时含尘气体中的尘粒便被水捕集，尘水径离心或过滤脱离，因重力经塔壁流入循环池；净化后的气体直接从喷淋塔顶部的排气管排出。</w:t>
            </w:r>
          </w:p>
          <w:p w14:paraId="458CBA65">
            <w:pPr>
              <w:adjustRightInd w:val="0"/>
              <w:snapToGrid w:val="0"/>
              <w:spacing w:line="360" w:lineRule="auto"/>
              <w:ind w:firstLine="480" w:firstLineChars="200"/>
              <w:jc w:val="left"/>
              <w:rPr>
                <w:color w:val="auto"/>
                <w:sz w:val="24"/>
              </w:rPr>
            </w:pPr>
            <w:r>
              <w:rPr>
                <w:rFonts w:hint="eastAsia"/>
                <w:color w:val="auto"/>
                <w:sz w:val="24"/>
              </w:rPr>
              <w:t>除湿装置：由多折向波形板、支撑架及冲洗系统等组成，利用气体惯性碰撞、液滴凝聚及重力分离原理实现高效捕集。当含有雾沫的气体以一定速度流经除雾器时，由于气体的惯性撞击作用，雾沫与波形板相碰撞而被聚的液滴大到其自身产生的重力超过气体的上升力与液体表面张力的合力时，液滴就从波形板表面上被分离下来。除雾器波形板的多折向结构增加了雾沫被捕集的机会，未被除去的雾沫在下一个转弯处经过相同的作用而被捕集，这样反复作用，从而大大提高了除雾效率。气体通过波形板除雾器后，基本上不含雾沫。烟气通过除雾器的弯曲通道，在惯性力及重力的作用下将气流中夹带的液滴分离出来：除尘后的烟气以一定的速度流经除雾器，烟气被快速、连续改变运动方向，因离心力和惯性的作用，烟气内的雾滴撞击到除雾器叶片上被捕集下来，雾滴汇集形成水流，因重力的作用，下落至浆液池内，实现了气液分离，使得流经除雾器的烟气达到除雾要求后排出。折流板式除雾器的除湿效率通常在‌90%-99.9%‌之间，具体效率受设计结构、操作条件及液滴直径影响。</w:t>
            </w:r>
          </w:p>
          <w:p w14:paraId="42D791C1">
            <w:pPr>
              <w:adjustRightInd w:val="0"/>
              <w:snapToGrid w:val="0"/>
              <w:spacing w:line="360" w:lineRule="auto"/>
              <w:ind w:firstLine="480" w:firstLineChars="200"/>
              <w:jc w:val="left"/>
              <w:rPr>
                <w:color w:val="auto"/>
                <w:sz w:val="24"/>
              </w:rPr>
            </w:pPr>
            <w:r>
              <w:rPr>
                <w:rFonts w:hint="eastAsia"/>
                <w:color w:val="auto"/>
                <w:sz w:val="24"/>
              </w:rPr>
              <w:t>参考《污染源源强核算技术指南 汽车制造》（HJ 1097-2020）附录F 汽车制造污染治理技术及效果，漆雾净化污染治理技术-水帘湿式漆雾净化的去除效率为85%，水旋湿式漆雾净化的去除效率为90%，</w:t>
            </w:r>
            <w:r>
              <w:rPr>
                <w:bCs/>
                <w:color w:val="auto"/>
                <w:sz w:val="24"/>
              </w:rPr>
              <w:t>当存在两种或两种以上治理设施联合治理时，治理效率可按公式η=1-（1-ηl）×（1-η2）...（1-ηi）进行计算，则本项目</w:t>
            </w:r>
            <w:r>
              <w:rPr>
                <w:rFonts w:hint="eastAsia"/>
                <w:bCs/>
                <w:color w:val="auto"/>
                <w:sz w:val="24"/>
              </w:rPr>
              <w:t>水帘柜+喷淋塔</w:t>
            </w:r>
            <w:r>
              <w:rPr>
                <w:bCs/>
                <w:color w:val="auto"/>
                <w:sz w:val="24"/>
              </w:rPr>
              <w:t>的综合处理效率为：1-（1-</w:t>
            </w:r>
            <w:r>
              <w:rPr>
                <w:rFonts w:hint="eastAsia"/>
                <w:bCs/>
                <w:color w:val="auto"/>
                <w:sz w:val="24"/>
              </w:rPr>
              <w:t>85</w:t>
            </w:r>
            <w:r>
              <w:rPr>
                <w:bCs/>
                <w:color w:val="auto"/>
                <w:sz w:val="24"/>
              </w:rPr>
              <w:t>%）×（1-</w:t>
            </w:r>
            <w:r>
              <w:rPr>
                <w:rFonts w:hint="eastAsia"/>
                <w:bCs/>
                <w:color w:val="auto"/>
                <w:sz w:val="24"/>
              </w:rPr>
              <w:t>90</w:t>
            </w:r>
            <w:r>
              <w:rPr>
                <w:bCs/>
                <w:color w:val="auto"/>
                <w:sz w:val="24"/>
              </w:rPr>
              <w:t>%）=</w:t>
            </w:r>
            <w:r>
              <w:rPr>
                <w:rFonts w:hint="eastAsia"/>
                <w:bCs/>
                <w:color w:val="auto"/>
                <w:sz w:val="24"/>
              </w:rPr>
              <w:t>98.5</w:t>
            </w:r>
            <w:r>
              <w:rPr>
                <w:bCs/>
                <w:color w:val="auto"/>
                <w:sz w:val="24"/>
              </w:rPr>
              <w:t>%</w:t>
            </w:r>
            <w:r>
              <w:rPr>
                <w:rFonts w:hint="eastAsia"/>
                <w:color w:val="auto"/>
                <w:sz w:val="24"/>
              </w:rPr>
              <w:t>则合计处理效率按保守的98%计。</w:t>
            </w:r>
          </w:p>
          <w:p w14:paraId="62FF6384">
            <w:pPr>
              <w:adjustRightInd w:val="0"/>
              <w:snapToGrid w:val="0"/>
              <w:spacing w:line="360" w:lineRule="auto"/>
              <w:ind w:firstLine="482" w:firstLineChars="200"/>
              <w:jc w:val="left"/>
              <w:rPr>
                <w:b/>
                <w:bCs/>
                <w:color w:val="auto"/>
                <w:sz w:val="24"/>
              </w:rPr>
            </w:pPr>
            <w:r>
              <w:rPr>
                <w:rFonts w:hint="eastAsia"/>
                <w:b/>
                <w:bCs/>
                <w:color w:val="auto"/>
                <w:sz w:val="24"/>
              </w:rPr>
              <w:t>（3）二级活性炭吸附装置</w:t>
            </w:r>
          </w:p>
          <w:p w14:paraId="7A99A6F3">
            <w:pPr>
              <w:adjustRightInd w:val="0"/>
              <w:snapToGrid w:val="0"/>
              <w:spacing w:line="360" w:lineRule="auto"/>
              <w:ind w:firstLine="480" w:firstLineChars="200"/>
              <w:jc w:val="left"/>
              <w:rPr>
                <w:color w:val="auto"/>
                <w:sz w:val="24"/>
              </w:rPr>
            </w:pPr>
            <w:r>
              <w:rPr>
                <w:color w:val="auto"/>
                <w:sz w:val="24"/>
              </w:rPr>
              <w:t>《广东省生态环境厅关于印发工业源挥发性有机物和氮氧化物减排量核算方法的通知》粤环函</w:t>
            </w:r>
            <w:r>
              <w:rPr>
                <w:rFonts w:hint="eastAsia"/>
                <w:color w:val="auto"/>
                <w:sz w:val="24"/>
              </w:rPr>
              <w:t>[</w:t>
            </w:r>
            <w:r>
              <w:rPr>
                <w:color w:val="auto"/>
                <w:sz w:val="24"/>
              </w:rPr>
              <w:t>2023</w:t>
            </w:r>
            <w:r>
              <w:rPr>
                <w:rFonts w:hint="eastAsia"/>
                <w:color w:val="auto"/>
                <w:sz w:val="24"/>
              </w:rPr>
              <w:t>]</w:t>
            </w:r>
            <w:r>
              <w:rPr>
                <w:color w:val="auto"/>
                <w:sz w:val="24"/>
              </w:rPr>
              <w:t>538号</w:t>
            </w:r>
            <w:r>
              <w:rPr>
                <w:rFonts w:hint="eastAsia"/>
                <w:color w:val="auto"/>
                <w:sz w:val="24"/>
              </w:rPr>
              <w:t>未对吸附技术的治理效率提出规定，只规定吸附技术的活性炭吸附比例。因此活性炭吸附装置的治理效率</w:t>
            </w:r>
            <w:r>
              <w:rPr>
                <w:bCs/>
                <w:color w:val="auto"/>
                <w:sz w:val="24"/>
              </w:rPr>
              <w:t>参考《广东省印刷行业挥发性有机化合物废气治理指南》（粤环〔2013〕79号）中对有机废气治理设施的治理效率，吸附法处理效率为50～80%，本项目废气处理设施“二级活性炭吸附装置”中第一级活性炭吸附处理效率取</w:t>
            </w:r>
            <w:r>
              <w:rPr>
                <w:rFonts w:hint="eastAsia"/>
                <w:bCs/>
                <w:color w:val="auto"/>
                <w:sz w:val="24"/>
              </w:rPr>
              <w:t>50</w:t>
            </w:r>
            <w:r>
              <w:rPr>
                <w:bCs/>
                <w:color w:val="auto"/>
                <w:sz w:val="24"/>
              </w:rPr>
              <w:t>%，第二级处理活性炭吸附处理效率取</w:t>
            </w:r>
            <w:r>
              <w:rPr>
                <w:rFonts w:hint="eastAsia"/>
                <w:bCs/>
                <w:color w:val="auto"/>
                <w:sz w:val="24"/>
              </w:rPr>
              <w:t>50</w:t>
            </w:r>
            <w:r>
              <w:rPr>
                <w:bCs/>
                <w:color w:val="auto"/>
                <w:sz w:val="24"/>
              </w:rPr>
              <w:t>%，当存在两种或两种以上治理设施联合治理时，治理效率可按公式η=1-（1-ηl）×（1-η2）...（1-ηi）进行计算，则本项目二级活性炭吸附设施的综合处理效率为：1-（1-</w:t>
            </w:r>
            <w:r>
              <w:rPr>
                <w:rFonts w:hint="eastAsia"/>
                <w:bCs/>
                <w:color w:val="auto"/>
                <w:sz w:val="24"/>
              </w:rPr>
              <w:t>5</w:t>
            </w:r>
            <w:r>
              <w:rPr>
                <w:bCs/>
                <w:color w:val="auto"/>
                <w:sz w:val="24"/>
              </w:rPr>
              <w:t>0%）×（1-</w:t>
            </w:r>
            <w:r>
              <w:rPr>
                <w:rFonts w:hint="eastAsia"/>
                <w:bCs/>
                <w:color w:val="auto"/>
                <w:sz w:val="24"/>
              </w:rPr>
              <w:t>50</w:t>
            </w:r>
            <w:r>
              <w:rPr>
                <w:bCs/>
                <w:color w:val="auto"/>
                <w:sz w:val="24"/>
              </w:rPr>
              <w:t>%）=</w:t>
            </w:r>
            <w:r>
              <w:rPr>
                <w:rFonts w:hint="eastAsia"/>
                <w:bCs/>
                <w:color w:val="auto"/>
                <w:sz w:val="24"/>
              </w:rPr>
              <w:t>75</w:t>
            </w:r>
            <w:r>
              <w:rPr>
                <w:bCs/>
                <w:color w:val="auto"/>
                <w:sz w:val="24"/>
              </w:rPr>
              <w:t>%；为保守起见，本评价有机废气处理效率取</w:t>
            </w:r>
            <w:r>
              <w:rPr>
                <w:rFonts w:hint="eastAsia"/>
                <w:bCs/>
                <w:color w:val="auto"/>
                <w:sz w:val="24"/>
              </w:rPr>
              <w:t>70</w:t>
            </w:r>
            <w:r>
              <w:rPr>
                <w:bCs/>
                <w:color w:val="auto"/>
                <w:sz w:val="24"/>
              </w:rPr>
              <w:t>%</w:t>
            </w:r>
            <w:r>
              <w:rPr>
                <w:color w:val="auto"/>
                <w:sz w:val="24"/>
              </w:rPr>
              <w:t>。</w:t>
            </w:r>
          </w:p>
          <w:p w14:paraId="73A6BCF9">
            <w:pPr>
              <w:adjustRightInd w:val="0"/>
              <w:snapToGrid w:val="0"/>
              <w:spacing w:line="360" w:lineRule="auto"/>
              <w:ind w:firstLine="482" w:firstLineChars="200"/>
              <w:jc w:val="left"/>
              <w:rPr>
                <w:b/>
                <w:bCs/>
                <w:color w:val="auto"/>
                <w:sz w:val="24"/>
              </w:rPr>
            </w:pPr>
            <w:r>
              <w:rPr>
                <w:rFonts w:hint="eastAsia"/>
                <w:b/>
                <w:bCs/>
                <w:color w:val="auto"/>
                <w:sz w:val="24"/>
              </w:rPr>
              <w:t>（4）碱液喷淋塔</w:t>
            </w:r>
          </w:p>
          <w:p w14:paraId="5EAC90AB">
            <w:pPr>
              <w:adjustRightInd w:val="0"/>
              <w:snapToGrid w:val="0"/>
              <w:spacing w:line="360" w:lineRule="auto"/>
              <w:ind w:firstLine="480" w:firstLineChars="200"/>
              <w:jc w:val="left"/>
              <w:rPr>
                <w:color w:val="auto"/>
                <w:sz w:val="24"/>
              </w:rPr>
            </w:pPr>
            <w:r>
              <w:rPr>
                <w:rFonts w:hint="eastAsia"/>
                <w:color w:val="auto"/>
                <w:sz w:val="24"/>
              </w:rPr>
              <w:t>针对除锈工序产生的硫酸雾，项目拟采用碱液喷淋塔处理，喷淋液采用10%碳酸钠和氢氧化钠溶液。</w:t>
            </w:r>
            <w:r>
              <w:rPr>
                <w:color w:val="auto"/>
                <w:sz w:val="24"/>
              </w:rPr>
              <w:t>参照《污染源源强核算技术指南电镀》（HJ984-2018）中附录F 表F.1 电镀废气污染治理技术及效果，喷淋塔中和法（碱液喷淋塔）对</w:t>
            </w:r>
            <w:r>
              <w:rPr>
                <w:rFonts w:hint="eastAsia"/>
                <w:color w:val="auto"/>
                <w:sz w:val="24"/>
              </w:rPr>
              <w:t>硫酸雾</w:t>
            </w:r>
            <w:r>
              <w:rPr>
                <w:color w:val="auto"/>
                <w:sz w:val="24"/>
              </w:rPr>
              <w:t>的去除效率≥</w:t>
            </w:r>
            <w:r>
              <w:rPr>
                <w:rFonts w:hint="eastAsia"/>
                <w:color w:val="auto"/>
                <w:sz w:val="24"/>
              </w:rPr>
              <w:t>90</w:t>
            </w:r>
            <w:r>
              <w:rPr>
                <w:color w:val="auto"/>
                <w:sz w:val="24"/>
              </w:rPr>
              <w:t>%。本项目碱液喷淋塔对</w:t>
            </w:r>
            <w:r>
              <w:rPr>
                <w:rFonts w:hint="eastAsia"/>
                <w:color w:val="auto"/>
                <w:sz w:val="24"/>
              </w:rPr>
              <w:t>硫酸雾</w:t>
            </w:r>
            <w:r>
              <w:rPr>
                <w:color w:val="auto"/>
                <w:sz w:val="24"/>
              </w:rPr>
              <w:t>的处理效率取值为90%</w:t>
            </w:r>
            <w:r>
              <w:rPr>
                <w:rFonts w:hint="eastAsia"/>
                <w:color w:val="auto"/>
              </w:rPr>
              <w:t>，</w:t>
            </w:r>
            <w:r>
              <w:rPr>
                <w:rFonts w:hint="eastAsia"/>
                <w:color w:val="auto"/>
                <w:sz w:val="24"/>
              </w:rPr>
              <w:t>喷淋塔对颗粒物的去除效果参考《污染源源强核算技术指南 汽车制造》（HJ 1097-2020）附录F 汽车制造污染治理技术及效果，湿式除尘的处理效率为80%。</w:t>
            </w:r>
          </w:p>
          <w:p w14:paraId="1D36E5D6">
            <w:pPr>
              <w:adjustRightInd w:val="0"/>
              <w:snapToGrid w:val="0"/>
              <w:spacing w:line="360" w:lineRule="auto"/>
              <w:ind w:firstLine="482" w:firstLineChars="200"/>
              <w:jc w:val="left"/>
              <w:rPr>
                <w:b/>
                <w:bCs/>
                <w:color w:val="auto"/>
                <w:sz w:val="24"/>
              </w:rPr>
            </w:pPr>
            <w:r>
              <w:rPr>
                <w:rFonts w:hint="eastAsia"/>
                <w:b/>
                <w:bCs/>
                <w:color w:val="auto"/>
                <w:sz w:val="24"/>
              </w:rPr>
              <w:t>5、废气排放情况分析</w:t>
            </w:r>
          </w:p>
          <w:p w14:paraId="5E1C03EE">
            <w:pPr>
              <w:adjustRightInd w:val="0"/>
              <w:snapToGrid w:val="0"/>
              <w:spacing w:line="360" w:lineRule="auto"/>
              <w:ind w:firstLine="480" w:firstLineChars="200"/>
              <w:jc w:val="left"/>
              <w:rPr>
                <w:color w:val="auto"/>
                <w:sz w:val="24"/>
              </w:rPr>
            </w:pPr>
            <w:r>
              <w:rPr>
                <w:rFonts w:hint="eastAsia"/>
                <w:color w:val="auto"/>
                <w:sz w:val="24"/>
              </w:rPr>
              <w:t>根据各类废气源强以及表4-31内容，结合拟设末端处理装置的处理效率，可计算出项目废气处理设施建成后，各类废气的产排情况如下表：</w:t>
            </w:r>
          </w:p>
          <w:p w14:paraId="73CF9C59">
            <w:pPr>
              <w:pStyle w:val="77"/>
              <w:numPr>
                <w:ilvl w:val="0"/>
                <w:numId w:val="18"/>
              </w:numPr>
              <w:adjustRightInd w:val="0"/>
              <w:snapToGrid w:val="0"/>
              <w:jc w:val="center"/>
              <w:rPr>
                <w:b/>
                <w:bCs/>
                <w:color w:val="auto"/>
                <w:szCs w:val="21"/>
              </w:rPr>
            </w:pPr>
            <w:r>
              <w:rPr>
                <w:rFonts w:hint="eastAsia"/>
                <w:b/>
                <w:bCs/>
                <w:color w:val="auto"/>
                <w:szCs w:val="21"/>
              </w:rPr>
              <w:t xml:space="preserve"> 项目废气产排情况一览表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1198"/>
              <w:gridCol w:w="1074"/>
              <w:gridCol w:w="806"/>
              <w:gridCol w:w="990"/>
              <w:gridCol w:w="1080"/>
              <w:gridCol w:w="1112"/>
              <w:gridCol w:w="691"/>
              <w:gridCol w:w="911"/>
              <w:gridCol w:w="1069"/>
              <w:gridCol w:w="1112"/>
            </w:tblGrid>
            <w:tr w14:paraId="18DF5F96">
              <w:tblPrEx>
                <w:tblCellMar>
                  <w:top w:w="0" w:type="dxa"/>
                  <w:left w:w="108" w:type="dxa"/>
                  <w:bottom w:w="0" w:type="dxa"/>
                  <w:right w:w="108" w:type="dxa"/>
                </w:tblCellMar>
              </w:tblPrEx>
              <w:tc>
                <w:tcPr>
                  <w:tcW w:w="302" w:type="pct"/>
                  <w:vMerge w:val="restart"/>
                  <w:vAlign w:val="center"/>
                </w:tcPr>
                <w:p w14:paraId="7EADE8D5">
                  <w:pPr>
                    <w:widowControl/>
                    <w:jc w:val="center"/>
                    <w:textAlignment w:val="center"/>
                    <w:rPr>
                      <w:b/>
                      <w:bCs/>
                      <w:color w:val="auto"/>
                      <w:kern w:val="0"/>
                      <w:szCs w:val="21"/>
                      <w:lang w:bidi="ar"/>
                    </w:rPr>
                  </w:pPr>
                  <w:r>
                    <w:rPr>
                      <w:rFonts w:hint="eastAsia"/>
                      <w:b/>
                      <w:bCs/>
                      <w:color w:val="auto"/>
                      <w:kern w:val="0"/>
                      <w:szCs w:val="21"/>
                      <w:lang w:bidi="ar"/>
                    </w:rPr>
                    <w:t>排放</w:t>
                  </w:r>
                </w:p>
                <w:p w14:paraId="70CA1FCC">
                  <w:pPr>
                    <w:widowControl/>
                    <w:jc w:val="center"/>
                    <w:textAlignment w:val="center"/>
                    <w:rPr>
                      <w:b/>
                      <w:bCs/>
                      <w:color w:val="auto"/>
                      <w:kern w:val="0"/>
                      <w:szCs w:val="21"/>
                      <w:lang w:bidi="ar"/>
                    </w:rPr>
                  </w:pPr>
                  <w:r>
                    <w:rPr>
                      <w:rFonts w:hint="eastAsia"/>
                      <w:b/>
                      <w:bCs/>
                      <w:color w:val="auto"/>
                      <w:kern w:val="0"/>
                      <w:szCs w:val="21"/>
                      <w:lang w:bidi="ar"/>
                    </w:rPr>
                    <w:t>方式</w:t>
                  </w:r>
                </w:p>
              </w:tc>
              <w:tc>
                <w:tcPr>
                  <w:tcW w:w="560" w:type="pct"/>
                  <w:vMerge w:val="restart"/>
                  <w:vAlign w:val="center"/>
                </w:tcPr>
                <w:p w14:paraId="1532CF05">
                  <w:pPr>
                    <w:widowControl/>
                    <w:jc w:val="center"/>
                    <w:textAlignment w:val="center"/>
                    <w:rPr>
                      <w:b/>
                      <w:bCs/>
                      <w:color w:val="auto"/>
                      <w:kern w:val="0"/>
                      <w:szCs w:val="21"/>
                      <w:lang w:bidi="ar"/>
                    </w:rPr>
                  </w:pPr>
                  <w:r>
                    <w:rPr>
                      <w:rFonts w:hint="eastAsia"/>
                      <w:b/>
                      <w:bCs/>
                      <w:color w:val="auto"/>
                      <w:kern w:val="0"/>
                      <w:szCs w:val="21"/>
                      <w:lang w:bidi="ar"/>
                    </w:rPr>
                    <w:t>污染源</w:t>
                  </w:r>
                </w:p>
              </w:tc>
              <w:tc>
                <w:tcPr>
                  <w:tcW w:w="502" w:type="pct"/>
                  <w:vMerge w:val="restart"/>
                  <w:vAlign w:val="center"/>
                </w:tcPr>
                <w:p w14:paraId="593CBAAC">
                  <w:pPr>
                    <w:widowControl/>
                    <w:jc w:val="center"/>
                    <w:textAlignment w:val="center"/>
                    <w:rPr>
                      <w:b/>
                      <w:bCs/>
                      <w:color w:val="auto"/>
                      <w:kern w:val="0"/>
                      <w:szCs w:val="21"/>
                      <w:lang w:bidi="ar"/>
                    </w:rPr>
                  </w:pPr>
                  <w:r>
                    <w:rPr>
                      <w:rFonts w:hint="eastAsia"/>
                      <w:b/>
                      <w:bCs/>
                      <w:color w:val="auto"/>
                      <w:kern w:val="0"/>
                      <w:szCs w:val="21"/>
                      <w:lang w:bidi="ar"/>
                    </w:rPr>
                    <w:t>污染物</w:t>
                  </w:r>
                </w:p>
              </w:tc>
              <w:tc>
                <w:tcPr>
                  <w:tcW w:w="377" w:type="pct"/>
                  <w:vMerge w:val="restart"/>
                  <w:vAlign w:val="center"/>
                </w:tcPr>
                <w:p w14:paraId="09D239BF">
                  <w:pPr>
                    <w:widowControl/>
                    <w:jc w:val="center"/>
                    <w:textAlignment w:val="center"/>
                    <w:rPr>
                      <w:b/>
                      <w:bCs/>
                      <w:color w:val="auto"/>
                      <w:kern w:val="0"/>
                      <w:szCs w:val="21"/>
                      <w:lang w:bidi="ar"/>
                    </w:rPr>
                  </w:pPr>
                  <w:r>
                    <w:rPr>
                      <w:rFonts w:hint="eastAsia"/>
                      <w:b/>
                      <w:bCs/>
                      <w:color w:val="auto"/>
                      <w:kern w:val="0"/>
                      <w:szCs w:val="21"/>
                      <w:lang w:bidi="ar"/>
                    </w:rPr>
                    <w:t>风机</w:t>
                  </w:r>
                </w:p>
                <w:p w14:paraId="60FDFF05">
                  <w:pPr>
                    <w:widowControl/>
                    <w:jc w:val="center"/>
                    <w:textAlignment w:val="center"/>
                    <w:rPr>
                      <w:b/>
                      <w:bCs/>
                      <w:color w:val="auto"/>
                      <w:kern w:val="0"/>
                      <w:szCs w:val="21"/>
                      <w:lang w:bidi="ar"/>
                    </w:rPr>
                  </w:pPr>
                  <w:r>
                    <w:rPr>
                      <w:rFonts w:hint="eastAsia"/>
                      <w:b/>
                      <w:bCs/>
                      <w:color w:val="auto"/>
                      <w:kern w:val="0"/>
                      <w:szCs w:val="21"/>
                      <w:lang w:bidi="ar"/>
                    </w:rPr>
                    <w:t>风量m</w:t>
                  </w:r>
                  <w:r>
                    <w:rPr>
                      <w:rFonts w:hint="eastAsia"/>
                      <w:b/>
                      <w:bCs/>
                      <w:color w:val="auto"/>
                      <w:kern w:val="0"/>
                      <w:szCs w:val="21"/>
                      <w:vertAlign w:val="superscript"/>
                      <w:lang w:bidi="ar"/>
                    </w:rPr>
                    <w:t>3</w:t>
                  </w:r>
                  <w:r>
                    <w:rPr>
                      <w:rFonts w:hint="eastAsia"/>
                      <w:b/>
                      <w:bCs/>
                      <w:color w:val="auto"/>
                      <w:kern w:val="0"/>
                      <w:szCs w:val="21"/>
                      <w:lang w:bidi="ar"/>
                    </w:rPr>
                    <w:t>/h</w:t>
                  </w:r>
                </w:p>
              </w:tc>
              <w:tc>
                <w:tcPr>
                  <w:tcW w:w="1488" w:type="pct"/>
                  <w:gridSpan w:val="3"/>
                  <w:vAlign w:val="center"/>
                </w:tcPr>
                <w:p w14:paraId="0B2D4A39">
                  <w:pPr>
                    <w:widowControl/>
                    <w:jc w:val="center"/>
                    <w:textAlignment w:val="center"/>
                    <w:rPr>
                      <w:b/>
                      <w:bCs/>
                      <w:color w:val="auto"/>
                      <w:kern w:val="0"/>
                      <w:szCs w:val="21"/>
                      <w:lang w:bidi="ar"/>
                    </w:rPr>
                  </w:pPr>
                  <w:r>
                    <w:rPr>
                      <w:rFonts w:hint="eastAsia"/>
                      <w:b/>
                      <w:bCs/>
                      <w:color w:val="auto"/>
                      <w:kern w:val="0"/>
                      <w:szCs w:val="21"/>
                      <w:lang w:bidi="ar"/>
                    </w:rPr>
                    <w:t>收集情况</w:t>
                  </w:r>
                </w:p>
              </w:tc>
              <w:tc>
                <w:tcPr>
                  <w:tcW w:w="323" w:type="pct"/>
                  <w:vMerge w:val="restart"/>
                  <w:vAlign w:val="center"/>
                </w:tcPr>
                <w:p w14:paraId="6385134B">
                  <w:pPr>
                    <w:widowControl/>
                    <w:jc w:val="center"/>
                    <w:textAlignment w:val="center"/>
                    <w:rPr>
                      <w:b/>
                      <w:bCs/>
                      <w:color w:val="auto"/>
                      <w:kern w:val="0"/>
                      <w:szCs w:val="21"/>
                      <w:lang w:bidi="ar"/>
                    </w:rPr>
                  </w:pPr>
                  <w:r>
                    <w:rPr>
                      <w:rFonts w:hint="eastAsia"/>
                      <w:b/>
                      <w:bCs/>
                      <w:color w:val="auto"/>
                      <w:kern w:val="0"/>
                      <w:szCs w:val="21"/>
                      <w:lang w:bidi="ar"/>
                    </w:rPr>
                    <w:t>处理效率</w:t>
                  </w:r>
                </w:p>
              </w:tc>
              <w:tc>
                <w:tcPr>
                  <w:tcW w:w="1446" w:type="pct"/>
                  <w:gridSpan w:val="3"/>
                  <w:vAlign w:val="center"/>
                </w:tcPr>
                <w:p w14:paraId="034212FE">
                  <w:pPr>
                    <w:widowControl/>
                    <w:jc w:val="center"/>
                    <w:textAlignment w:val="center"/>
                    <w:rPr>
                      <w:b/>
                      <w:bCs/>
                      <w:color w:val="auto"/>
                      <w:kern w:val="0"/>
                      <w:szCs w:val="21"/>
                      <w:lang w:bidi="ar"/>
                    </w:rPr>
                  </w:pPr>
                  <w:r>
                    <w:rPr>
                      <w:rFonts w:hint="eastAsia"/>
                      <w:b/>
                      <w:bCs/>
                      <w:color w:val="auto"/>
                      <w:kern w:val="0"/>
                      <w:szCs w:val="21"/>
                      <w:lang w:bidi="ar"/>
                    </w:rPr>
                    <w:t>排放情况</w:t>
                  </w:r>
                </w:p>
              </w:tc>
            </w:tr>
            <w:tr w14:paraId="6A539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302" w:type="pct"/>
                  <w:vMerge w:val="continue"/>
                  <w:vAlign w:val="center"/>
                </w:tcPr>
                <w:p w14:paraId="4C62B1A5">
                  <w:pPr>
                    <w:widowControl/>
                    <w:jc w:val="center"/>
                    <w:textAlignment w:val="center"/>
                    <w:rPr>
                      <w:color w:val="auto"/>
                      <w:kern w:val="0"/>
                      <w:szCs w:val="21"/>
                      <w:lang w:bidi="ar"/>
                    </w:rPr>
                  </w:pPr>
                </w:p>
              </w:tc>
              <w:tc>
                <w:tcPr>
                  <w:tcW w:w="560" w:type="pct"/>
                  <w:vMerge w:val="continue"/>
                  <w:vAlign w:val="center"/>
                </w:tcPr>
                <w:p w14:paraId="0145E19C">
                  <w:pPr>
                    <w:widowControl/>
                    <w:jc w:val="center"/>
                    <w:textAlignment w:val="center"/>
                    <w:rPr>
                      <w:color w:val="auto"/>
                      <w:kern w:val="0"/>
                      <w:szCs w:val="21"/>
                      <w:lang w:bidi="ar"/>
                    </w:rPr>
                  </w:pPr>
                </w:p>
              </w:tc>
              <w:tc>
                <w:tcPr>
                  <w:tcW w:w="502" w:type="pct"/>
                  <w:vMerge w:val="continue"/>
                  <w:vAlign w:val="center"/>
                </w:tcPr>
                <w:p w14:paraId="70ECC8E7">
                  <w:pPr>
                    <w:widowControl/>
                    <w:jc w:val="center"/>
                    <w:textAlignment w:val="center"/>
                    <w:rPr>
                      <w:color w:val="auto"/>
                      <w:kern w:val="0"/>
                      <w:szCs w:val="21"/>
                      <w:lang w:bidi="ar"/>
                    </w:rPr>
                  </w:pPr>
                </w:p>
              </w:tc>
              <w:tc>
                <w:tcPr>
                  <w:tcW w:w="377" w:type="pct"/>
                  <w:vMerge w:val="continue"/>
                  <w:vAlign w:val="center"/>
                </w:tcPr>
                <w:p w14:paraId="46E43EB4">
                  <w:pPr>
                    <w:widowControl/>
                    <w:jc w:val="center"/>
                    <w:textAlignment w:val="center"/>
                    <w:rPr>
                      <w:b/>
                      <w:bCs/>
                      <w:color w:val="auto"/>
                      <w:kern w:val="0"/>
                      <w:szCs w:val="21"/>
                      <w:lang w:bidi="ar"/>
                    </w:rPr>
                  </w:pPr>
                </w:p>
              </w:tc>
              <w:tc>
                <w:tcPr>
                  <w:tcW w:w="463" w:type="pct"/>
                  <w:vAlign w:val="center"/>
                </w:tcPr>
                <w:p w14:paraId="3D465D47">
                  <w:pPr>
                    <w:widowControl/>
                    <w:jc w:val="center"/>
                    <w:textAlignment w:val="center"/>
                    <w:rPr>
                      <w:b/>
                      <w:bCs/>
                      <w:color w:val="auto"/>
                      <w:kern w:val="0"/>
                      <w:szCs w:val="21"/>
                      <w:lang w:bidi="ar"/>
                    </w:rPr>
                  </w:pPr>
                  <w:r>
                    <w:rPr>
                      <w:rFonts w:hint="eastAsia"/>
                      <w:b/>
                      <w:bCs/>
                      <w:color w:val="auto"/>
                      <w:kern w:val="0"/>
                      <w:szCs w:val="21"/>
                      <w:lang w:bidi="ar"/>
                    </w:rPr>
                    <w:t>收集量t/a</w:t>
                  </w:r>
                </w:p>
              </w:tc>
              <w:tc>
                <w:tcPr>
                  <w:tcW w:w="505" w:type="pct"/>
                  <w:vAlign w:val="center"/>
                </w:tcPr>
                <w:p w14:paraId="4F75371F">
                  <w:pPr>
                    <w:widowControl/>
                    <w:jc w:val="center"/>
                    <w:textAlignment w:val="center"/>
                    <w:rPr>
                      <w:b/>
                      <w:bCs/>
                      <w:color w:val="auto"/>
                      <w:kern w:val="0"/>
                      <w:szCs w:val="21"/>
                      <w:lang w:bidi="ar"/>
                    </w:rPr>
                  </w:pPr>
                  <w:r>
                    <w:rPr>
                      <w:rFonts w:hint="eastAsia"/>
                      <w:b/>
                      <w:bCs/>
                      <w:color w:val="auto"/>
                      <w:kern w:val="0"/>
                      <w:szCs w:val="21"/>
                      <w:lang w:bidi="ar"/>
                    </w:rPr>
                    <w:t>收集效率kg/h</w:t>
                  </w:r>
                </w:p>
              </w:tc>
              <w:tc>
                <w:tcPr>
                  <w:tcW w:w="520" w:type="pct"/>
                  <w:vAlign w:val="center"/>
                </w:tcPr>
                <w:p w14:paraId="5ED0814B">
                  <w:pPr>
                    <w:widowControl/>
                    <w:jc w:val="center"/>
                    <w:textAlignment w:val="center"/>
                    <w:rPr>
                      <w:b/>
                      <w:bCs/>
                      <w:color w:val="auto"/>
                      <w:kern w:val="0"/>
                      <w:szCs w:val="21"/>
                      <w:lang w:bidi="ar"/>
                    </w:rPr>
                  </w:pPr>
                  <w:r>
                    <w:rPr>
                      <w:rFonts w:hint="eastAsia"/>
                      <w:b/>
                      <w:bCs/>
                      <w:color w:val="auto"/>
                      <w:kern w:val="0"/>
                      <w:szCs w:val="21"/>
                      <w:lang w:bidi="ar"/>
                    </w:rPr>
                    <w:t>收集浓度mg/m</w:t>
                  </w:r>
                  <w:r>
                    <w:rPr>
                      <w:rFonts w:hint="eastAsia"/>
                      <w:b/>
                      <w:bCs/>
                      <w:color w:val="auto"/>
                      <w:kern w:val="0"/>
                      <w:szCs w:val="21"/>
                      <w:vertAlign w:val="superscript"/>
                      <w:lang w:bidi="ar"/>
                    </w:rPr>
                    <w:t>3</w:t>
                  </w:r>
                </w:p>
              </w:tc>
              <w:tc>
                <w:tcPr>
                  <w:tcW w:w="323" w:type="pct"/>
                  <w:vMerge w:val="continue"/>
                  <w:vAlign w:val="center"/>
                </w:tcPr>
                <w:p w14:paraId="7FFCFCB3">
                  <w:pPr>
                    <w:widowControl/>
                    <w:jc w:val="center"/>
                    <w:textAlignment w:val="center"/>
                    <w:rPr>
                      <w:b/>
                      <w:bCs/>
                      <w:color w:val="auto"/>
                      <w:kern w:val="0"/>
                      <w:szCs w:val="21"/>
                      <w:lang w:bidi="ar"/>
                    </w:rPr>
                  </w:pPr>
                </w:p>
              </w:tc>
              <w:tc>
                <w:tcPr>
                  <w:tcW w:w="426" w:type="pct"/>
                  <w:vAlign w:val="center"/>
                </w:tcPr>
                <w:p w14:paraId="277752CB">
                  <w:pPr>
                    <w:widowControl/>
                    <w:jc w:val="center"/>
                    <w:textAlignment w:val="center"/>
                    <w:rPr>
                      <w:b/>
                      <w:bCs/>
                      <w:color w:val="auto"/>
                      <w:kern w:val="0"/>
                      <w:szCs w:val="21"/>
                      <w:lang w:bidi="ar"/>
                    </w:rPr>
                  </w:pPr>
                  <w:r>
                    <w:rPr>
                      <w:rFonts w:hint="eastAsia"/>
                      <w:b/>
                      <w:bCs/>
                      <w:color w:val="auto"/>
                      <w:kern w:val="0"/>
                      <w:szCs w:val="21"/>
                      <w:lang w:bidi="ar"/>
                    </w:rPr>
                    <w:t>排放量t/a</w:t>
                  </w:r>
                </w:p>
              </w:tc>
              <w:tc>
                <w:tcPr>
                  <w:tcW w:w="500" w:type="pct"/>
                  <w:vAlign w:val="center"/>
                </w:tcPr>
                <w:p w14:paraId="27B001A6">
                  <w:pPr>
                    <w:widowControl/>
                    <w:jc w:val="center"/>
                    <w:textAlignment w:val="center"/>
                    <w:rPr>
                      <w:b/>
                      <w:bCs/>
                      <w:color w:val="auto"/>
                      <w:kern w:val="0"/>
                      <w:szCs w:val="21"/>
                      <w:lang w:bidi="ar"/>
                    </w:rPr>
                  </w:pPr>
                  <w:r>
                    <w:rPr>
                      <w:rFonts w:hint="eastAsia"/>
                      <w:b/>
                      <w:bCs/>
                      <w:color w:val="auto"/>
                      <w:kern w:val="0"/>
                      <w:szCs w:val="21"/>
                      <w:lang w:bidi="ar"/>
                    </w:rPr>
                    <w:t>排放效率kg/h</w:t>
                  </w:r>
                </w:p>
              </w:tc>
              <w:tc>
                <w:tcPr>
                  <w:tcW w:w="520" w:type="pct"/>
                  <w:vAlign w:val="center"/>
                </w:tcPr>
                <w:p w14:paraId="263C1738">
                  <w:pPr>
                    <w:widowControl/>
                    <w:jc w:val="center"/>
                    <w:textAlignment w:val="center"/>
                    <w:rPr>
                      <w:b/>
                      <w:bCs/>
                      <w:color w:val="auto"/>
                      <w:kern w:val="0"/>
                      <w:szCs w:val="21"/>
                      <w:lang w:bidi="ar"/>
                    </w:rPr>
                  </w:pPr>
                  <w:r>
                    <w:rPr>
                      <w:rFonts w:hint="eastAsia"/>
                      <w:b/>
                      <w:bCs/>
                      <w:color w:val="auto"/>
                      <w:kern w:val="0"/>
                      <w:szCs w:val="21"/>
                      <w:lang w:bidi="ar"/>
                    </w:rPr>
                    <w:t>排放浓度mg/m</w:t>
                  </w:r>
                  <w:r>
                    <w:rPr>
                      <w:rFonts w:hint="eastAsia"/>
                      <w:b/>
                      <w:bCs/>
                      <w:color w:val="auto"/>
                      <w:kern w:val="0"/>
                      <w:szCs w:val="21"/>
                      <w:vertAlign w:val="superscript"/>
                      <w:lang w:bidi="ar"/>
                    </w:rPr>
                    <w:t>3</w:t>
                  </w:r>
                </w:p>
              </w:tc>
            </w:tr>
            <w:tr w14:paraId="70727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vMerge w:val="restart"/>
                  <w:vAlign w:val="center"/>
                </w:tcPr>
                <w:p w14:paraId="23FA73D1">
                  <w:pPr>
                    <w:widowControl/>
                    <w:jc w:val="center"/>
                    <w:textAlignment w:val="center"/>
                    <w:rPr>
                      <w:color w:val="auto"/>
                      <w:kern w:val="0"/>
                      <w:szCs w:val="21"/>
                      <w:lang w:bidi="ar"/>
                    </w:rPr>
                  </w:pPr>
                  <w:r>
                    <w:rPr>
                      <w:rFonts w:hint="eastAsia"/>
                      <w:color w:val="auto"/>
                      <w:kern w:val="0"/>
                      <w:szCs w:val="21"/>
                      <w:lang w:bidi="ar"/>
                    </w:rPr>
                    <w:t>有</w:t>
                  </w:r>
                </w:p>
                <w:p w14:paraId="5A39E786">
                  <w:pPr>
                    <w:widowControl/>
                    <w:jc w:val="center"/>
                    <w:textAlignment w:val="center"/>
                    <w:rPr>
                      <w:color w:val="auto"/>
                      <w:kern w:val="0"/>
                      <w:szCs w:val="21"/>
                      <w:lang w:bidi="ar"/>
                    </w:rPr>
                  </w:pPr>
                  <w:r>
                    <w:rPr>
                      <w:rFonts w:hint="eastAsia"/>
                      <w:color w:val="auto"/>
                      <w:kern w:val="0"/>
                      <w:szCs w:val="21"/>
                      <w:lang w:bidi="ar"/>
                    </w:rPr>
                    <w:t>组</w:t>
                  </w:r>
                </w:p>
                <w:p w14:paraId="7A73EE45">
                  <w:pPr>
                    <w:widowControl/>
                    <w:jc w:val="center"/>
                    <w:textAlignment w:val="center"/>
                    <w:rPr>
                      <w:color w:val="auto"/>
                      <w:kern w:val="0"/>
                      <w:szCs w:val="21"/>
                      <w:lang w:bidi="ar"/>
                    </w:rPr>
                  </w:pPr>
                  <w:r>
                    <w:rPr>
                      <w:rFonts w:hint="eastAsia"/>
                      <w:color w:val="auto"/>
                      <w:kern w:val="0"/>
                      <w:szCs w:val="21"/>
                      <w:lang w:bidi="ar"/>
                    </w:rPr>
                    <w:t>织</w:t>
                  </w:r>
                </w:p>
              </w:tc>
              <w:tc>
                <w:tcPr>
                  <w:tcW w:w="560" w:type="pct"/>
                  <w:vAlign w:val="center"/>
                </w:tcPr>
                <w:p w14:paraId="4C88D12A">
                  <w:pPr>
                    <w:widowControl/>
                    <w:jc w:val="center"/>
                    <w:textAlignment w:val="center"/>
                    <w:rPr>
                      <w:color w:val="auto"/>
                      <w:kern w:val="0"/>
                      <w:szCs w:val="21"/>
                      <w:lang w:bidi="ar"/>
                    </w:rPr>
                  </w:pPr>
                  <w:r>
                    <w:rPr>
                      <w:rFonts w:hint="eastAsia"/>
                      <w:color w:val="auto"/>
                      <w:kern w:val="0"/>
                      <w:szCs w:val="21"/>
                      <w:lang w:bidi="ar"/>
                    </w:rPr>
                    <w:t>DA001</w:t>
                  </w:r>
                </w:p>
              </w:tc>
              <w:tc>
                <w:tcPr>
                  <w:tcW w:w="502" w:type="pct"/>
                  <w:vAlign w:val="center"/>
                </w:tcPr>
                <w:p w14:paraId="37CD1B17">
                  <w:pPr>
                    <w:widowControl/>
                    <w:jc w:val="center"/>
                    <w:textAlignment w:val="center"/>
                    <w:rPr>
                      <w:color w:val="auto"/>
                      <w:kern w:val="0"/>
                      <w:szCs w:val="21"/>
                      <w:lang w:bidi="ar"/>
                    </w:rPr>
                  </w:pPr>
                  <w:r>
                    <w:rPr>
                      <w:rFonts w:hint="eastAsia"/>
                      <w:color w:val="auto"/>
                      <w:kern w:val="0"/>
                      <w:szCs w:val="21"/>
                      <w:lang w:bidi="ar"/>
                    </w:rPr>
                    <w:t>颗粒物</w:t>
                  </w:r>
                </w:p>
              </w:tc>
              <w:tc>
                <w:tcPr>
                  <w:tcW w:w="377" w:type="pct"/>
                  <w:vAlign w:val="center"/>
                </w:tcPr>
                <w:p w14:paraId="52950B3C">
                  <w:pPr>
                    <w:widowControl/>
                    <w:jc w:val="center"/>
                    <w:textAlignment w:val="center"/>
                    <w:rPr>
                      <w:color w:val="auto"/>
                      <w:kern w:val="0"/>
                      <w:szCs w:val="21"/>
                      <w:lang w:bidi="ar"/>
                    </w:rPr>
                  </w:pPr>
                  <w:r>
                    <w:rPr>
                      <w:rFonts w:hint="eastAsia"/>
                      <w:color w:val="auto"/>
                      <w:kern w:val="0"/>
                      <w:szCs w:val="21"/>
                      <w:lang w:bidi="ar"/>
                    </w:rPr>
                    <w:t>13000</w:t>
                  </w:r>
                </w:p>
              </w:tc>
              <w:tc>
                <w:tcPr>
                  <w:tcW w:w="463" w:type="pct"/>
                  <w:vAlign w:val="center"/>
                </w:tcPr>
                <w:p w14:paraId="3ADCDA62">
                  <w:pPr>
                    <w:widowControl/>
                    <w:jc w:val="center"/>
                    <w:textAlignment w:val="center"/>
                    <w:rPr>
                      <w:color w:val="auto"/>
                      <w:kern w:val="0"/>
                      <w:szCs w:val="21"/>
                      <w:lang w:bidi="ar"/>
                    </w:rPr>
                  </w:pPr>
                  <w:r>
                    <w:rPr>
                      <w:color w:val="auto"/>
                      <w:kern w:val="0"/>
                      <w:szCs w:val="21"/>
                      <w:lang w:bidi="ar"/>
                    </w:rPr>
                    <w:t>1.89</w:t>
                  </w:r>
                </w:p>
              </w:tc>
              <w:tc>
                <w:tcPr>
                  <w:tcW w:w="505" w:type="pct"/>
                  <w:vAlign w:val="center"/>
                </w:tcPr>
                <w:p w14:paraId="45B2B66C">
                  <w:pPr>
                    <w:widowControl/>
                    <w:jc w:val="center"/>
                    <w:textAlignment w:val="center"/>
                    <w:rPr>
                      <w:color w:val="auto"/>
                      <w:kern w:val="0"/>
                      <w:szCs w:val="21"/>
                      <w:lang w:bidi="ar"/>
                    </w:rPr>
                  </w:pPr>
                  <w:r>
                    <w:rPr>
                      <w:color w:val="auto"/>
                      <w:kern w:val="0"/>
                      <w:szCs w:val="21"/>
                      <w:lang w:bidi="ar"/>
                    </w:rPr>
                    <w:t>0.63</w:t>
                  </w:r>
                </w:p>
              </w:tc>
              <w:tc>
                <w:tcPr>
                  <w:tcW w:w="520" w:type="pct"/>
                  <w:vAlign w:val="center"/>
                </w:tcPr>
                <w:p w14:paraId="740D1862">
                  <w:pPr>
                    <w:widowControl/>
                    <w:jc w:val="center"/>
                    <w:textAlignment w:val="center"/>
                    <w:rPr>
                      <w:color w:val="auto"/>
                      <w:kern w:val="0"/>
                      <w:szCs w:val="21"/>
                      <w:lang w:bidi="ar"/>
                    </w:rPr>
                  </w:pPr>
                  <w:r>
                    <w:rPr>
                      <w:color w:val="auto"/>
                      <w:kern w:val="0"/>
                      <w:szCs w:val="21"/>
                      <w:lang w:bidi="ar"/>
                    </w:rPr>
                    <w:t xml:space="preserve">48.46 </w:t>
                  </w:r>
                </w:p>
              </w:tc>
              <w:tc>
                <w:tcPr>
                  <w:tcW w:w="323" w:type="pct"/>
                  <w:vAlign w:val="center"/>
                </w:tcPr>
                <w:p w14:paraId="356D6EEC">
                  <w:pPr>
                    <w:widowControl/>
                    <w:jc w:val="center"/>
                    <w:textAlignment w:val="center"/>
                    <w:rPr>
                      <w:color w:val="auto"/>
                      <w:kern w:val="0"/>
                      <w:szCs w:val="21"/>
                      <w:lang w:bidi="ar"/>
                    </w:rPr>
                  </w:pPr>
                  <w:r>
                    <w:rPr>
                      <w:color w:val="auto"/>
                      <w:kern w:val="0"/>
                      <w:szCs w:val="21"/>
                      <w:lang w:bidi="ar"/>
                    </w:rPr>
                    <w:t>99%</w:t>
                  </w:r>
                </w:p>
              </w:tc>
              <w:tc>
                <w:tcPr>
                  <w:tcW w:w="426" w:type="pct"/>
                  <w:vAlign w:val="center"/>
                </w:tcPr>
                <w:p w14:paraId="42452F5F">
                  <w:pPr>
                    <w:widowControl/>
                    <w:jc w:val="center"/>
                    <w:textAlignment w:val="center"/>
                    <w:rPr>
                      <w:color w:val="auto"/>
                      <w:kern w:val="0"/>
                      <w:szCs w:val="21"/>
                      <w:lang w:bidi="ar"/>
                    </w:rPr>
                  </w:pPr>
                  <w:r>
                    <w:rPr>
                      <w:color w:val="auto"/>
                      <w:kern w:val="0"/>
                      <w:szCs w:val="21"/>
                      <w:lang w:bidi="ar"/>
                    </w:rPr>
                    <w:t>0.0189</w:t>
                  </w:r>
                </w:p>
              </w:tc>
              <w:tc>
                <w:tcPr>
                  <w:tcW w:w="500" w:type="pct"/>
                  <w:vAlign w:val="center"/>
                </w:tcPr>
                <w:p w14:paraId="73372EF8">
                  <w:pPr>
                    <w:widowControl/>
                    <w:jc w:val="center"/>
                    <w:textAlignment w:val="center"/>
                    <w:rPr>
                      <w:color w:val="auto"/>
                      <w:kern w:val="0"/>
                      <w:szCs w:val="21"/>
                      <w:lang w:bidi="ar"/>
                    </w:rPr>
                  </w:pPr>
                  <w:r>
                    <w:rPr>
                      <w:color w:val="auto"/>
                      <w:kern w:val="0"/>
                      <w:szCs w:val="21"/>
                      <w:lang w:bidi="ar"/>
                    </w:rPr>
                    <w:t>0.0063</w:t>
                  </w:r>
                </w:p>
              </w:tc>
              <w:tc>
                <w:tcPr>
                  <w:tcW w:w="520" w:type="pct"/>
                  <w:vAlign w:val="center"/>
                </w:tcPr>
                <w:p w14:paraId="2711C9AB">
                  <w:pPr>
                    <w:widowControl/>
                    <w:jc w:val="center"/>
                    <w:textAlignment w:val="center"/>
                    <w:rPr>
                      <w:color w:val="auto"/>
                      <w:kern w:val="0"/>
                      <w:szCs w:val="21"/>
                      <w:lang w:bidi="ar"/>
                    </w:rPr>
                  </w:pPr>
                  <w:r>
                    <w:rPr>
                      <w:color w:val="auto"/>
                      <w:kern w:val="0"/>
                      <w:szCs w:val="21"/>
                      <w:lang w:bidi="ar"/>
                    </w:rPr>
                    <w:t xml:space="preserve">0.485 </w:t>
                  </w:r>
                </w:p>
              </w:tc>
            </w:tr>
            <w:tr w14:paraId="2D59A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302" w:type="pct"/>
                  <w:vMerge w:val="continue"/>
                  <w:vAlign w:val="center"/>
                </w:tcPr>
                <w:p w14:paraId="731BB96F">
                  <w:pPr>
                    <w:widowControl/>
                    <w:jc w:val="center"/>
                    <w:textAlignment w:val="center"/>
                    <w:rPr>
                      <w:color w:val="auto"/>
                      <w:kern w:val="0"/>
                      <w:szCs w:val="21"/>
                      <w:lang w:bidi="ar"/>
                    </w:rPr>
                  </w:pPr>
                </w:p>
              </w:tc>
              <w:tc>
                <w:tcPr>
                  <w:tcW w:w="560" w:type="pct"/>
                  <w:vAlign w:val="center"/>
                </w:tcPr>
                <w:p w14:paraId="09A5C9BE">
                  <w:pPr>
                    <w:widowControl/>
                    <w:jc w:val="center"/>
                    <w:textAlignment w:val="center"/>
                    <w:rPr>
                      <w:color w:val="auto"/>
                      <w:kern w:val="0"/>
                      <w:szCs w:val="21"/>
                      <w:lang w:bidi="ar"/>
                    </w:rPr>
                  </w:pPr>
                  <w:r>
                    <w:rPr>
                      <w:rFonts w:hint="eastAsia"/>
                      <w:color w:val="auto"/>
                      <w:kern w:val="0"/>
                      <w:szCs w:val="21"/>
                      <w:lang w:bidi="ar"/>
                    </w:rPr>
                    <w:t>DA002</w:t>
                  </w:r>
                </w:p>
              </w:tc>
              <w:tc>
                <w:tcPr>
                  <w:tcW w:w="502" w:type="pct"/>
                  <w:vAlign w:val="center"/>
                </w:tcPr>
                <w:p w14:paraId="38393F96">
                  <w:pPr>
                    <w:widowControl/>
                    <w:jc w:val="center"/>
                    <w:textAlignment w:val="center"/>
                    <w:rPr>
                      <w:color w:val="auto"/>
                      <w:kern w:val="0"/>
                      <w:szCs w:val="21"/>
                      <w:lang w:bidi="ar"/>
                    </w:rPr>
                  </w:pPr>
                  <w:r>
                    <w:rPr>
                      <w:rFonts w:hint="eastAsia"/>
                      <w:color w:val="auto"/>
                      <w:kern w:val="0"/>
                      <w:szCs w:val="21"/>
                      <w:lang w:bidi="ar"/>
                    </w:rPr>
                    <w:t>颗粒物</w:t>
                  </w:r>
                </w:p>
              </w:tc>
              <w:tc>
                <w:tcPr>
                  <w:tcW w:w="377" w:type="pct"/>
                  <w:vAlign w:val="center"/>
                </w:tcPr>
                <w:p w14:paraId="074934DD">
                  <w:pPr>
                    <w:widowControl/>
                    <w:jc w:val="center"/>
                    <w:textAlignment w:val="center"/>
                    <w:rPr>
                      <w:color w:val="auto"/>
                      <w:kern w:val="0"/>
                      <w:szCs w:val="21"/>
                      <w:lang w:bidi="ar"/>
                    </w:rPr>
                  </w:pPr>
                  <w:r>
                    <w:rPr>
                      <w:rFonts w:hint="eastAsia"/>
                      <w:color w:val="auto"/>
                      <w:kern w:val="0"/>
                      <w:szCs w:val="21"/>
                      <w:lang w:bidi="ar"/>
                    </w:rPr>
                    <w:t>13000</w:t>
                  </w:r>
                </w:p>
              </w:tc>
              <w:tc>
                <w:tcPr>
                  <w:tcW w:w="463" w:type="pct"/>
                  <w:vAlign w:val="center"/>
                </w:tcPr>
                <w:p w14:paraId="1E7DADD2">
                  <w:pPr>
                    <w:widowControl/>
                    <w:jc w:val="center"/>
                    <w:textAlignment w:val="center"/>
                    <w:rPr>
                      <w:color w:val="auto"/>
                      <w:kern w:val="0"/>
                      <w:szCs w:val="21"/>
                      <w:lang w:bidi="ar"/>
                    </w:rPr>
                  </w:pPr>
                  <w:r>
                    <w:rPr>
                      <w:color w:val="auto"/>
                      <w:kern w:val="0"/>
                      <w:szCs w:val="21"/>
                      <w:lang w:bidi="ar"/>
                    </w:rPr>
                    <w:t>1.89</w:t>
                  </w:r>
                </w:p>
              </w:tc>
              <w:tc>
                <w:tcPr>
                  <w:tcW w:w="505" w:type="pct"/>
                  <w:vAlign w:val="center"/>
                </w:tcPr>
                <w:p w14:paraId="56821938">
                  <w:pPr>
                    <w:widowControl/>
                    <w:jc w:val="center"/>
                    <w:textAlignment w:val="center"/>
                    <w:rPr>
                      <w:color w:val="auto"/>
                      <w:kern w:val="0"/>
                      <w:szCs w:val="21"/>
                      <w:lang w:bidi="ar"/>
                    </w:rPr>
                  </w:pPr>
                  <w:r>
                    <w:rPr>
                      <w:color w:val="auto"/>
                      <w:kern w:val="0"/>
                      <w:szCs w:val="21"/>
                      <w:lang w:bidi="ar"/>
                    </w:rPr>
                    <w:t>0.63</w:t>
                  </w:r>
                </w:p>
              </w:tc>
              <w:tc>
                <w:tcPr>
                  <w:tcW w:w="520" w:type="pct"/>
                  <w:vAlign w:val="center"/>
                </w:tcPr>
                <w:p w14:paraId="580E6191">
                  <w:pPr>
                    <w:widowControl/>
                    <w:jc w:val="center"/>
                    <w:textAlignment w:val="center"/>
                    <w:rPr>
                      <w:color w:val="auto"/>
                      <w:kern w:val="0"/>
                      <w:szCs w:val="21"/>
                      <w:lang w:bidi="ar"/>
                    </w:rPr>
                  </w:pPr>
                  <w:r>
                    <w:rPr>
                      <w:color w:val="auto"/>
                      <w:kern w:val="0"/>
                      <w:szCs w:val="21"/>
                      <w:lang w:bidi="ar"/>
                    </w:rPr>
                    <w:t xml:space="preserve">48.46 </w:t>
                  </w:r>
                </w:p>
              </w:tc>
              <w:tc>
                <w:tcPr>
                  <w:tcW w:w="323" w:type="pct"/>
                  <w:vAlign w:val="center"/>
                </w:tcPr>
                <w:p w14:paraId="3AC1EAEB">
                  <w:pPr>
                    <w:widowControl/>
                    <w:jc w:val="center"/>
                    <w:textAlignment w:val="center"/>
                    <w:rPr>
                      <w:color w:val="auto"/>
                      <w:kern w:val="0"/>
                      <w:szCs w:val="21"/>
                      <w:lang w:bidi="ar"/>
                    </w:rPr>
                  </w:pPr>
                  <w:r>
                    <w:rPr>
                      <w:color w:val="auto"/>
                      <w:kern w:val="0"/>
                      <w:szCs w:val="21"/>
                      <w:lang w:bidi="ar"/>
                    </w:rPr>
                    <w:t>99%</w:t>
                  </w:r>
                </w:p>
              </w:tc>
              <w:tc>
                <w:tcPr>
                  <w:tcW w:w="426" w:type="pct"/>
                  <w:vAlign w:val="center"/>
                </w:tcPr>
                <w:p w14:paraId="3C5DFAC9">
                  <w:pPr>
                    <w:widowControl/>
                    <w:jc w:val="center"/>
                    <w:textAlignment w:val="center"/>
                    <w:rPr>
                      <w:color w:val="auto"/>
                      <w:kern w:val="0"/>
                      <w:szCs w:val="21"/>
                      <w:lang w:bidi="ar"/>
                    </w:rPr>
                  </w:pPr>
                  <w:r>
                    <w:rPr>
                      <w:color w:val="auto"/>
                      <w:kern w:val="0"/>
                      <w:szCs w:val="21"/>
                      <w:lang w:bidi="ar"/>
                    </w:rPr>
                    <w:t>0.0189</w:t>
                  </w:r>
                </w:p>
              </w:tc>
              <w:tc>
                <w:tcPr>
                  <w:tcW w:w="500" w:type="pct"/>
                  <w:vAlign w:val="center"/>
                </w:tcPr>
                <w:p w14:paraId="7C6ABA72">
                  <w:pPr>
                    <w:widowControl/>
                    <w:jc w:val="center"/>
                    <w:textAlignment w:val="center"/>
                    <w:rPr>
                      <w:color w:val="auto"/>
                      <w:kern w:val="0"/>
                      <w:szCs w:val="21"/>
                      <w:lang w:bidi="ar"/>
                    </w:rPr>
                  </w:pPr>
                  <w:r>
                    <w:rPr>
                      <w:color w:val="auto"/>
                      <w:kern w:val="0"/>
                      <w:szCs w:val="21"/>
                      <w:lang w:bidi="ar"/>
                    </w:rPr>
                    <w:t>0.0063</w:t>
                  </w:r>
                </w:p>
              </w:tc>
              <w:tc>
                <w:tcPr>
                  <w:tcW w:w="520" w:type="pct"/>
                  <w:vAlign w:val="center"/>
                </w:tcPr>
                <w:p w14:paraId="257FA7EB">
                  <w:pPr>
                    <w:widowControl/>
                    <w:jc w:val="center"/>
                    <w:textAlignment w:val="center"/>
                    <w:rPr>
                      <w:color w:val="auto"/>
                      <w:kern w:val="0"/>
                      <w:szCs w:val="21"/>
                      <w:lang w:bidi="ar"/>
                    </w:rPr>
                  </w:pPr>
                  <w:r>
                    <w:rPr>
                      <w:color w:val="auto"/>
                      <w:kern w:val="0"/>
                      <w:szCs w:val="21"/>
                      <w:lang w:bidi="ar"/>
                    </w:rPr>
                    <w:t xml:space="preserve">0.485 </w:t>
                  </w:r>
                </w:p>
              </w:tc>
            </w:tr>
            <w:tr w14:paraId="55931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vMerge w:val="continue"/>
                  <w:vAlign w:val="center"/>
                </w:tcPr>
                <w:p w14:paraId="63CD555C">
                  <w:pPr>
                    <w:widowControl/>
                    <w:jc w:val="center"/>
                    <w:textAlignment w:val="center"/>
                    <w:rPr>
                      <w:color w:val="auto"/>
                      <w:kern w:val="0"/>
                      <w:szCs w:val="21"/>
                      <w:lang w:bidi="ar"/>
                    </w:rPr>
                  </w:pPr>
                </w:p>
              </w:tc>
              <w:tc>
                <w:tcPr>
                  <w:tcW w:w="560" w:type="pct"/>
                  <w:vMerge w:val="restart"/>
                  <w:vAlign w:val="center"/>
                </w:tcPr>
                <w:p w14:paraId="57509C63">
                  <w:pPr>
                    <w:widowControl/>
                    <w:jc w:val="center"/>
                    <w:textAlignment w:val="center"/>
                    <w:rPr>
                      <w:bCs/>
                      <w:color w:val="auto"/>
                      <w:kern w:val="0"/>
                      <w:szCs w:val="21"/>
                      <w:lang w:bidi="ar"/>
                    </w:rPr>
                  </w:pPr>
                  <w:r>
                    <w:rPr>
                      <w:rFonts w:hint="eastAsia"/>
                      <w:color w:val="auto"/>
                      <w:kern w:val="0"/>
                      <w:szCs w:val="21"/>
                      <w:lang w:bidi="ar"/>
                    </w:rPr>
                    <w:t>DA003</w:t>
                  </w:r>
                </w:p>
              </w:tc>
              <w:tc>
                <w:tcPr>
                  <w:tcW w:w="502" w:type="pct"/>
                  <w:vAlign w:val="center"/>
                </w:tcPr>
                <w:p w14:paraId="4A8C665E">
                  <w:pPr>
                    <w:widowControl/>
                    <w:jc w:val="center"/>
                    <w:textAlignment w:val="center"/>
                    <w:rPr>
                      <w:color w:val="auto"/>
                      <w:kern w:val="0"/>
                      <w:szCs w:val="21"/>
                      <w:lang w:bidi="ar"/>
                    </w:rPr>
                  </w:pPr>
                  <w:r>
                    <w:rPr>
                      <w:rFonts w:hint="eastAsia"/>
                      <w:color w:val="auto"/>
                      <w:kern w:val="0"/>
                      <w:szCs w:val="21"/>
                      <w:lang w:bidi="ar"/>
                    </w:rPr>
                    <w:t>颗粒物</w:t>
                  </w:r>
                </w:p>
              </w:tc>
              <w:tc>
                <w:tcPr>
                  <w:tcW w:w="377" w:type="pct"/>
                  <w:vMerge w:val="restart"/>
                  <w:vAlign w:val="center"/>
                </w:tcPr>
                <w:p w14:paraId="07400D47">
                  <w:pPr>
                    <w:widowControl/>
                    <w:jc w:val="center"/>
                    <w:textAlignment w:val="center"/>
                    <w:rPr>
                      <w:color w:val="auto"/>
                      <w:kern w:val="0"/>
                      <w:szCs w:val="21"/>
                      <w:lang w:bidi="ar"/>
                    </w:rPr>
                  </w:pPr>
                  <w:r>
                    <w:rPr>
                      <w:rFonts w:hint="eastAsia"/>
                      <w:color w:val="auto"/>
                      <w:kern w:val="0"/>
                      <w:szCs w:val="21"/>
                      <w:lang w:bidi="ar"/>
                    </w:rPr>
                    <w:t>20000</w:t>
                  </w:r>
                </w:p>
              </w:tc>
              <w:tc>
                <w:tcPr>
                  <w:tcW w:w="463" w:type="pct"/>
                  <w:vAlign w:val="center"/>
                </w:tcPr>
                <w:p w14:paraId="3F4A0A33">
                  <w:pPr>
                    <w:widowControl/>
                    <w:jc w:val="center"/>
                    <w:textAlignment w:val="center"/>
                    <w:rPr>
                      <w:color w:val="auto"/>
                      <w:kern w:val="0"/>
                      <w:szCs w:val="21"/>
                      <w:lang w:bidi="ar"/>
                    </w:rPr>
                  </w:pPr>
                  <w:r>
                    <w:rPr>
                      <w:color w:val="auto"/>
                      <w:kern w:val="0"/>
                      <w:szCs w:val="21"/>
                      <w:lang w:bidi="ar"/>
                    </w:rPr>
                    <w:t>1.906</w:t>
                  </w:r>
                </w:p>
              </w:tc>
              <w:tc>
                <w:tcPr>
                  <w:tcW w:w="505" w:type="pct"/>
                  <w:vAlign w:val="center"/>
                </w:tcPr>
                <w:p w14:paraId="16762337">
                  <w:pPr>
                    <w:widowControl/>
                    <w:jc w:val="center"/>
                    <w:textAlignment w:val="center"/>
                    <w:rPr>
                      <w:color w:val="auto"/>
                      <w:kern w:val="0"/>
                      <w:szCs w:val="21"/>
                      <w:lang w:bidi="ar"/>
                    </w:rPr>
                  </w:pPr>
                  <w:r>
                    <w:rPr>
                      <w:color w:val="auto"/>
                      <w:kern w:val="0"/>
                      <w:szCs w:val="21"/>
                      <w:lang w:bidi="ar"/>
                    </w:rPr>
                    <w:t>0.6563</w:t>
                  </w:r>
                </w:p>
              </w:tc>
              <w:tc>
                <w:tcPr>
                  <w:tcW w:w="520" w:type="pct"/>
                  <w:vAlign w:val="center"/>
                </w:tcPr>
                <w:p w14:paraId="4D31C2E8">
                  <w:pPr>
                    <w:widowControl/>
                    <w:jc w:val="center"/>
                    <w:textAlignment w:val="center"/>
                    <w:rPr>
                      <w:color w:val="auto"/>
                      <w:kern w:val="0"/>
                      <w:szCs w:val="21"/>
                      <w:lang w:bidi="ar"/>
                    </w:rPr>
                  </w:pPr>
                  <w:r>
                    <w:rPr>
                      <w:color w:val="auto"/>
                      <w:kern w:val="0"/>
                      <w:szCs w:val="21"/>
                      <w:lang w:bidi="ar"/>
                    </w:rPr>
                    <w:t>32.82</w:t>
                  </w:r>
                </w:p>
              </w:tc>
              <w:tc>
                <w:tcPr>
                  <w:tcW w:w="323" w:type="pct"/>
                  <w:vAlign w:val="center"/>
                </w:tcPr>
                <w:p w14:paraId="090F1487">
                  <w:pPr>
                    <w:widowControl/>
                    <w:jc w:val="center"/>
                    <w:textAlignment w:val="center"/>
                    <w:rPr>
                      <w:color w:val="auto"/>
                      <w:kern w:val="0"/>
                      <w:szCs w:val="21"/>
                      <w:lang w:bidi="ar"/>
                    </w:rPr>
                  </w:pPr>
                  <w:r>
                    <w:rPr>
                      <w:color w:val="auto"/>
                      <w:kern w:val="0"/>
                      <w:szCs w:val="21"/>
                      <w:lang w:bidi="ar"/>
                    </w:rPr>
                    <w:t>98%</w:t>
                  </w:r>
                </w:p>
              </w:tc>
              <w:tc>
                <w:tcPr>
                  <w:tcW w:w="426" w:type="pct"/>
                  <w:vAlign w:val="center"/>
                </w:tcPr>
                <w:p w14:paraId="22933525">
                  <w:pPr>
                    <w:widowControl/>
                    <w:jc w:val="center"/>
                    <w:textAlignment w:val="center"/>
                    <w:rPr>
                      <w:color w:val="auto"/>
                      <w:kern w:val="0"/>
                      <w:szCs w:val="21"/>
                      <w:lang w:bidi="ar"/>
                    </w:rPr>
                  </w:pPr>
                  <w:r>
                    <w:rPr>
                      <w:color w:val="auto"/>
                      <w:kern w:val="0"/>
                      <w:szCs w:val="21"/>
                      <w:lang w:bidi="ar"/>
                    </w:rPr>
                    <w:t>0.0381</w:t>
                  </w:r>
                </w:p>
              </w:tc>
              <w:tc>
                <w:tcPr>
                  <w:tcW w:w="500" w:type="pct"/>
                  <w:vAlign w:val="center"/>
                </w:tcPr>
                <w:p w14:paraId="046A8577">
                  <w:pPr>
                    <w:widowControl/>
                    <w:jc w:val="center"/>
                    <w:textAlignment w:val="center"/>
                    <w:rPr>
                      <w:color w:val="auto"/>
                      <w:kern w:val="0"/>
                      <w:szCs w:val="21"/>
                      <w:lang w:bidi="ar"/>
                    </w:rPr>
                  </w:pPr>
                  <w:r>
                    <w:rPr>
                      <w:color w:val="auto"/>
                      <w:kern w:val="0"/>
                      <w:szCs w:val="21"/>
                      <w:lang w:bidi="ar"/>
                    </w:rPr>
                    <w:t>0.0131</w:t>
                  </w:r>
                </w:p>
              </w:tc>
              <w:tc>
                <w:tcPr>
                  <w:tcW w:w="520" w:type="pct"/>
                  <w:vAlign w:val="center"/>
                </w:tcPr>
                <w:p w14:paraId="058EE27A">
                  <w:pPr>
                    <w:widowControl/>
                    <w:jc w:val="center"/>
                    <w:textAlignment w:val="center"/>
                    <w:rPr>
                      <w:color w:val="auto"/>
                      <w:kern w:val="0"/>
                      <w:szCs w:val="21"/>
                      <w:lang w:bidi="ar"/>
                    </w:rPr>
                  </w:pPr>
                  <w:r>
                    <w:rPr>
                      <w:color w:val="auto"/>
                      <w:kern w:val="0"/>
                      <w:szCs w:val="21"/>
                      <w:lang w:bidi="ar"/>
                    </w:rPr>
                    <w:t>0.656</w:t>
                  </w:r>
                </w:p>
              </w:tc>
            </w:tr>
            <w:tr w14:paraId="60411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vMerge w:val="continue"/>
                  <w:vAlign w:val="center"/>
                </w:tcPr>
                <w:p w14:paraId="06F18233">
                  <w:pPr>
                    <w:widowControl/>
                    <w:jc w:val="center"/>
                    <w:textAlignment w:val="center"/>
                    <w:rPr>
                      <w:color w:val="auto"/>
                      <w:kern w:val="0"/>
                      <w:szCs w:val="21"/>
                      <w:lang w:bidi="ar"/>
                    </w:rPr>
                  </w:pPr>
                </w:p>
              </w:tc>
              <w:tc>
                <w:tcPr>
                  <w:tcW w:w="560" w:type="pct"/>
                  <w:vMerge w:val="continue"/>
                  <w:vAlign w:val="center"/>
                </w:tcPr>
                <w:p w14:paraId="7A1C8BDB">
                  <w:pPr>
                    <w:widowControl/>
                    <w:jc w:val="center"/>
                    <w:textAlignment w:val="center"/>
                    <w:rPr>
                      <w:bCs/>
                      <w:color w:val="auto"/>
                      <w:kern w:val="0"/>
                      <w:szCs w:val="21"/>
                      <w:lang w:bidi="ar"/>
                    </w:rPr>
                  </w:pPr>
                </w:p>
              </w:tc>
              <w:tc>
                <w:tcPr>
                  <w:tcW w:w="502" w:type="pct"/>
                  <w:vAlign w:val="center"/>
                </w:tcPr>
                <w:p w14:paraId="342E4CA4">
                  <w:pPr>
                    <w:widowControl/>
                    <w:jc w:val="center"/>
                    <w:textAlignment w:val="center"/>
                    <w:rPr>
                      <w:color w:val="auto"/>
                      <w:kern w:val="0"/>
                      <w:szCs w:val="21"/>
                      <w:lang w:bidi="ar"/>
                    </w:rPr>
                  </w:pPr>
                  <w:r>
                    <w:rPr>
                      <w:rFonts w:hint="eastAsia"/>
                      <w:color w:val="auto"/>
                      <w:kern w:val="0"/>
                      <w:szCs w:val="21"/>
                      <w:lang w:bidi="ar"/>
                    </w:rPr>
                    <w:t>TVOC</w:t>
                  </w:r>
                </w:p>
              </w:tc>
              <w:tc>
                <w:tcPr>
                  <w:tcW w:w="377" w:type="pct"/>
                  <w:vMerge w:val="continue"/>
                  <w:vAlign w:val="center"/>
                </w:tcPr>
                <w:p w14:paraId="6F3F019F">
                  <w:pPr>
                    <w:widowControl/>
                    <w:jc w:val="center"/>
                    <w:textAlignment w:val="center"/>
                    <w:rPr>
                      <w:color w:val="auto"/>
                      <w:kern w:val="0"/>
                      <w:szCs w:val="21"/>
                      <w:lang w:bidi="ar"/>
                    </w:rPr>
                  </w:pPr>
                </w:p>
              </w:tc>
              <w:tc>
                <w:tcPr>
                  <w:tcW w:w="463" w:type="pct"/>
                  <w:vAlign w:val="center"/>
                </w:tcPr>
                <w:p w14:paraId="5F2E2CFE">
                  <w:pPr>
                    <w:widowControl/>
                    <w:jc w:val="center"/>
                    <w:textAlignment w:val="center"/>
                    <w:rPr>
                      <w:color w:val="auto"/>
                      <w:kern w:val="0"/>
                      <w:szCs w:val="21"/>
                      <w:lang w:bidi="ar"/>
                    </w:rPr>
                  </w:pPr>
                  <w:r>
                    <w:rPr>
                      <w:color w:val="auto"/>
                      <w:kern w:val="0"/>
                      <w:szCs w:val="21"/>
                      <w:lang w:bidi="ar"/>
                    </w:rPr>
                    <w:t>0.4418</w:t>
                  </w:r>
                </w:p>
              </w:tc>
              <w:tc>
                <w:tcPr>
                  <w:tcW w:w="505" w:type="pct"/>
                  <w:vAlign w:val="center"/>
                </w:tcPr>
                <w:p w14:paraId="0980EC69">
                  <w:pPr>
                    <w:widowControl/>
                    <w:jc w:val="center"/>
                    <w:textAlignment w:val="center"/>
                    <w:rPr>
                      <w:color w:val="auto"/>
                      <w:kern w:val="0"/>
                      <w:szCs w:val="21"/>
                      <w:lang w:bidi="ar"/>
                    </w:rPr>
                  </w:pPr>
                  <w:r>
                    <w:rPr>
                      <w:color w:val="auto"/>
                      <w:kern w:val="0"/>
                      <w:szCs w:val="21"/>
                      <w:lang w:bidi="ar"/>
                    </w:rPr>
                    <w:t>0.1489</w:t>
                  </w:r>
                </w:p>
              </w:tc>
              <w:tc>
                <w:tcPr>
                  <w:tcW w:w="520" w:type="pct"/>
                  <w:vAlign w:val="center"/>
                </w:tcPr>
                <w:p w14:paraId="31FA2D58">
                  <w:pPr>
                    <w:widowControl/>
                    <w:jc w:val="center"/>
                    <w:textAlignment w:val="center"/>
                    <w:rPr>
                      <w:color w:val="auto"/>
                      <w:kern w:val="0"/>
                      <w:szCs w:val="21"/>
                      <w:lang w:bidi="ar"/>
                    </w:rPr>
                  </w:pPr>
                  <w:r>
                    <w:rPr>
                      <w:color w:val="auto"/>
                      <w:kern w:val="0"/>
                      <w:szCs w:val="21"/>
                      <w:lang w:bidi="ar"/>
                    </w:rPr>
                    <w:t xml:space="preserve">7.45 </w:t>
                  </w:r>
                </w:p>
              </w:tc>
              <w:tc>
                <w:tcPr>
                  <w:tcW w:w="323" w:type="pct"/>
                  <w:vAlign w:val="center"/>
                </w:tcPr>
                <w:p w14:paraId="65AA6175">
                  <w:pPr>
                    <w:widowControl/>
                    <w:jc w:val="center"/>
                    <w:textAlignment w:val="center"/>
                    <w:rPr>
                      <w:color w:val="auto"/>
                      <w:kern w:val="0"/>
                      <w:szCs w:val="21"/>
                      <w:lang w:bidi="ar"/>
                    </w:rPr>
                  </w:pPr>
                  <w:r>
                    <w:rPr>
                      <w:color w:val="auto"/>
                      <w:kern w:val="0"/>
                      <w:szCs w:val="21"/>
                      <w:lang w:bidi="ar"/>
                    </w:rPr>
                    <w:t>70%</w:t>
                  </w:r>
                </w:p>
              </w:tc>
              <w:tc>
                <w:tcPr>
                  <w:tcW w:w="426" w:type="pct"/>
                  <w:vAlign w:val="center"/>
                </w:tcPr>
                <w:p w14:paraId="5469B333">
                  <w:pPr>
                    <w:widowControl/>
                    <w:jc w:val="center"/>
                    <w:textAlignment w:val="center"/>
                    <w:rPr>
                      <w:color w:val="auto"/>
                      <w:kern w:val="0"/>
                      <w:szCs w:val="21"/>
                      <w:lang w:bidi="ar"/>
                    </w:rPr>
                  </w:pPr>
                  <w:r>
                    <w:rPr>
                      <w:color w:val="auto"/>
                      <w:kern w:val="0"/>
                      <w:szCs w:val="21"/>
                      <w:lang w:bidi="ar"/>
                    </w:rPr>
                    <w:t xml:space="preserve">0.133 </w:t>
                  </w:r>
                </w:p>
              </w:tc>
              <w:tc>
                <w:tcPr>
                  <w:tcW w:w="500" w:type="pct"/>
                  <w:vAlign w:val="center"/>
                </w:tcPr>
                <w:p w14:paraId="760C825E">
                  <w:pPr>
                    <w:widowControl/>
                    <w:jc w:val="center"/>
                    <w:textAlignment w:val="center"/>
                    <w:rPr>
                      <w:color w:val="auto"/>
                      <w:kern w:val="0"/>
                      <w:szCs w:val="21"/>
                      <w:lang w:bidi="ar"/>
                    </w:rPr>
                  </w:pPr>
                  <w:r>
                    <w:rPr>
                      <w:color w:val="auto"/>
                      <w:kern w:val="0"/>
                      <w:szCs w:val="21"/>
                      <w:lang w:bidi="ar"/>
                    </w:rPr>
                    <w:t xml:space="preserve">0.0447 </w:t>
                  </w:r>
                </w:p>
              </w:tc>
              <w:tc>
                <w:tcPr>
                  <w:tcW w:w="520" w:type="pct"/>
                  <w:vAlign w:val="center"/>
                </w:tcPr>
                <w:p w14:paraId="58F23DFE">
                  <w:pPr>
                    <w:widowControl/>
                    <w:jc w:val="center"/>
                    <w:textAlignment w:val="center"/>
                    <w:rPr>
                      <w:color w:val="auto"/>
                      <w:kern w:val="0"/>
                      <w:szCs w:val="21"/>
                      <w:lang w:bidi="ar"/>
                    </w:rPr>
                  </w:pPr>
                  <w:r>
                    <w:rPr>
                      <w:color w:val="auto"/>
                      <w:kern w:val="0"/>
                      <w:szCs w:val="21"/>
                      <w:lang w:bidi="ar"/>
                    </w:rPr>
                    <w:t xml:space="preserve">2.23 </w:t>
                  </w:r>
                </w:p>
              </w:tc>
            </w:tr>
            <w:tr w14:paraId="5B466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vMerge w:val="continue"/>
                  <w:vAlign w:val="center"/>
                </w:tcPr>
                <w:p w14:paraId="3D307E11">
                  <w:pPr>
                    <w:widowControl/>
                    <w:jc w:val="center"/>
                    <w:textAlignment w:val="center"/>
                    <w:rPr>
                      <w:color w:val="auto"/>
                      <w:kern w:val="0"/>
                      <w:szCs w:val="21"/>
                      <w:lang w:bidi="ar"/>
                    </w:rPr>
                  </w:pPr>
                </w:p>
              </w:tc>
              <w:tc>
                <w:tcPr>
                  <w:tcW w:w="560" w:type="pct"/>
                  <w:vMerge w:val="continue"/>
                  <w:vAlign w:val="center"/>
                </w:tcPr>
                <w:p w14:paraId="08612F77">
                  <w:pPr>
                    <w:widowControl/>
                    <w:jc w:val="center"/>
                    <w:textAlignment w:val="center"/>
                    <w:rPr>
                      <w:bCs/>
                      <w:color w:val="auto"/>
                      <w:kern w:val="0"/>
                      <w:szCs w:val="21"/>
                      <w:lang w:bidi="ar"/>
                    </w:rPr>
                  </w:pPr>
                </w:p>
              </w:tc>
              <w:tc>
                <w:tcPr>
                  <w:tcW w:w="502" w:type="pct"/>
                  <w:vAlign w:val="center"/>
                </w:tcPr>
                <w:p w14:paraId="1366A12E">
                  <w:pPr>
                    <w:widowControl/>
                    <w:jc w:val="center"/>
                    <w:textAlignment w:val="center"/>
                    <w:rPr>
                      <w:color w:val="auto"/>
                      <w:kern w:val="0"/>
                      <w:szCs w:val="21"/>
                      <w:lang w:bidi="ar"/>
                    </w:rPr>
                  </w:pPr>
                  <w:r>
                    <w:rPr>
                      <w:rFonts w:hint="eastAsia"/>
                      <w:color w:val="auto"/>
                      <w:kern w:val="0"/>
                      <w:szCs w:val="21"/>
                      <w:lang w:bidi="ar"/>
                    </w:rPr>
                    <w:t>氮氧化物</w:t>
                  </w:r>
                </w:p>
              </w:tc>
              <w:tc>
                <w:tcPr>
                  <w:tcW w:w="377" w:type="pct"/>
                  <w:vMerge w:val="continue"/>
                  <w:vAlign w:val="center"/>
                </w:tcPr>
                <w:p w14:paraId="634216FC">
                  <w:pPr>
                    <w:widowControl/>
                    <w:jc w:val="center"/>
                    <w:textAlignment w:val="center"/>
                    <w:rPr>
                      <w:color w:val="auto"/>
                      <w:kern w:val="0"/>
                      <w:szCs w:val="21"/>
                      <w:lang w:bidi="ar"/>
                    </w:rPr>
                  </w:pPr>
                </w:p>
              </w:tc>
              <w:tc>
                <w:tcPr>
                  <w:tcW w:w="463" w:type="pct"/>
                  <w:vAlign w:val="center"/>
                </w:tcPr>
                <w:p w14:paraId="7978A101">
                  <w:pPr>
                    <w:widowControl/>
                    <w:jc w:val="center"/>
                    <w:textAlignment w:val="center"/>
                    <w:rPr>
                      <w:color w:val="auto"/>
                      <w:kern w:val="0"/>
                      <w:szCs w:val="21"/>
                      <w:lang w:bidi="ar"/>
                    </w:rPr>
                  </w:pPr>
                  <w:r>
                    <w:rPr>
                      <w:color w:val="auto"/>
                      <w:kern w:val="0"/>
                      <w:szCs w:val="21"/>
                      <w:lang w:bidi="ar"/>
                    </w:rPr>
                    <w:t>0.15</w:t>
                  </w:r>
                </w:p>
              </w:tc>
              <w:tc>
                <w:tcPr>
                  <w:tcW w:w="505" w:type="pct"/>
                  <w:vAlign w:val="center"/>
                </w:tcPr>
                <w:p w14:paraId="23C58CF0">
                  <w:pPr>
                    <w:widowControl/>
                    <w:jc w:val="center"/>
                    <w:textAlignment w:val="center"/>
                    <w:rPr>
                      <w:color w:val="auto"/>
                      <w:kern w:val="0"/>
                      <w:szCs w:val="21"/>
                      <w:lang w:bidi="ar"/>
                    </w:rPr>
                  </w:pPr>
                  <w:r>
                    <w:rPr>
                      <w:color w:val="auto"/>
                      <w:kern w:val="0"/>
                      <w:szCs w:val="21"/>
                      <w:lang w:bidi="ar"/>
                    </w:rPr>
                    <w:t>0.0502</w:t>
                  </w:r>
                </w:p>
              </w:tc>
              <w:tc>
                <w:tcPr>
                  <w:tcW w:w="520" w:type="pct"/>
                  <w:vAlign w:val="center"/>
                </w:tcPr>
                <w:p w14:paraId="6CBCAA7A">
                  <w:pPr>
                    <w:widowControl/>
                    <w:jc w:val="center"/>
                    <w:textAlignment w:val="center"/>
                    <w:rPr>
                      <w:color w:val="auto"/>
                      <w:kern w:val="0"/>
                      <w:szCs w:val="21"/>
                      <w:lang w:bidi="ar"/>
                    </w:rPr>
                  </w:pPr>
                  <w:r>
                    <w:rPr>
                      <w:color w:val="auto"/>
                      <w:kern w:val="0"/>
                      <w:szCs w:val="21"/>
                      <w:lang w:bidi="ar"/>
                    </w:rPr>
                    <w:t>2.51</w:t>
                  </w:r>
                </w:p>
              </w:tc>
              <w:tc>
                <w:tcPr>
                  <w:tcW w:w="323" w:type="pct"/>
                  <w:vAlign w:val="center"/>
                </w:tcPr>
                <w:p w14:paraId="1CE4FB9D">
                  <w:pPr>
                    <w:widowControl/>
                    <w:jc w:val="center"/>
                    <w:textAlignment w:val="center"/>
                    <w:rPr>
                      <w:color w:val="auto"/>
                      <w:kern w:val="0"/>
                      <w:szCs w:val="21"/>
                      <w:lang w:bidi="ar"/>
                    </w:rPr>
                  </w:pPr>
                  <w:r>
                    <w:rPr>
                      <w:color w:val="auto"/>
                      <w:kern w:val="0"/>
                      <w:szCs w:val="21"/>
                      <w:lang w:bidi="ar"/>
                    </w:rPr>
                    <w:t>0</w:t>
                  </w:r>
                </w:p>
              </w:tc>
              <w:tc>
                <w:tcPr>
                  <w:tcW w:w="426" w:type="pct"/>
                  <w:vAlign w:val="center"/>
                </w:tcPr>
                <w:p w14:paraId="17958217">
                  <w:pPr>
                    <w:widowControl/>
                    <w:jc w:val="center"/>
                    <w:textAlignment w:val="center"/>
                    <w:rPr>
                      <w:color w:val="auto"/>
                      <w:kern w:val="0"/>
                      <w:szCs w:val="21"/>
                      <w:lang w:bidi="ar"/>
                    </w:rPr>
                  </w:pPr>
                  <w:r>
                    <w:rPr>
                      <w:color w:val="auto"/>
                      <w:kern w:val="0"/>
                      <w:szCs w:val="21"/>
                      <w:lang w:bidi="ar"/>
                    </w:rPr>
                    <w:t>0.15</w:t>
                  </w:r>
                </w:p>
              </w:tc>
              <w:tc>
                <w:tcPr>
                  <w:tcW w:w="500" w:type="pct"/>
                  <w:vAlign w:val="center"/>
                </w:tcPr>
                <w:p w14:paraId="5DAC6DD7">
                  <w:pPr>
                    <w:widowControl/>
                    <w:jc w:val="center"/>
                    <w:textAlignment w:val="center"/>
                    <w:rPr>
                      <w:color w:val="auto"/>
                      <w:kern w:val="0"/>
                      <w:szCs w:val="21"/>
                      <w:lang w:bidi="ar"/>
                    </w:rPr>
                  </w:pPr>
                  <w:r>
                    <w:rPr>
                      <w:color w:val="auto"/>
                      <w:kern w:val="0"/>
                      <w:szCs w:val="21"/>
                      <w:lang w:bidi="ar"/>
                    </w:rPr>
                    <w:t>0.0502</w:t>
                  </w:r>
                </w:p>
              </w:tc>
              <w:tc>
                <w:tcPr>
                  <w:tcW w:w="520" w:type="pct"/>
                  <w:vAlign w:val="center"/>
                </w:tcPr>
                <w:p w14:paraId="3AFEC7DE">
                  <w:pPr>
                    <w:widowControl/>
                    <w:jc w:val="center"/>
                    <w:textAlignment w:val="center"/>
                    <w:rPr>
                      <w:color w:val="auto"/>
                      <w:kern w:val="0"/>
                      <w:szCs w:val="21"/>
                      <w:lang w:bidi="ar"/>
                    </w:rPr>
                  </w:pPr>
                  <w:r>
                    <w:rPr>
                      <w:color w:val="auto"/>
                      <w:kern w:val="0"/>
                      <w:szCs w:val="21"/>
                      <w:lang w:bidi="ar"/>
                    </w:rPr>
                    <w:t>2.51</w:t>
                  </w:r>
                </w:p>
              </w:tc>
            </w:tr>
            <w:tr w14:paraId="6D526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 w:type="pct"/>
                  <w:vMerge w:val="continue"/>
                  <w:vAlign w:val="center"/>
                </w:tcPr>
                <w:p w14:paraId="36B718AE">
                  <w:pPr>
                    <w:widowControl/>
                    <w:jc w:val="center"/>
                    <w:textAlignment w:val="center"/>
                    <w:rPr>
                      <w:color w:val="auto"/>
                      <w:kern w:val="0"/>
                      <w:szCs w:val="21"/>
                      <w:lang w:bidi="ar"/>
                    </w:rPr>
                  </w:pPr>
                </w:p>
              </w:tc>
              <w:tc>
                <w:tcPr>
                  <w:tcW w:w="560" w:type="pct"/>
                  <w:vMerge w:val="continue"/>
                  <w:vAlign w:val="center"/>
                </w:tcPr>
                <w:p w14:paraId="293A9099">
                  <w:pPr>
                    <w:widowControl/>
                    <w:jc w:val="center"/>
                    <w:textAlignment w:val="center"/>
                    <w:rPr>
                      <w:bCs/>
                      <w:color w:val="auto"/>
                      <w:kern w:val="0"/>
                      <w:szCs w:val="21"/>
                      <w:lang w:bidi="ar"/>
                    </w:rPr>
                  </w:pPr>
                </w:p>
              </w:tc>
              <w:tc>
                <w:tcPr>
                  <w:tcW w:w="502" w:type="pct"/>
                  <w:vAlign w:val="center"/>
                </w:tcPr>
                <w:p w14:paraId="46C9F8B3">
                  <w:pPr>
                    <w:widowControl/>
                    <w:jc w:val="center"/>
                    <w:textAlignment w:val="center"/>
                    <w:rPr>
                      <w:color w:val="auto"/>
                      <w:kern w:val="0"/>
                      <w:szCs w:val="21"/>
                      <w:lang w:bidi="ar"/>
                    </w:rPr>
                  </w:pPr>
                  <w:r>
                    <w:rPr>
                      <w:rFonts w:hint="eastAsia"/>
                      <w:color w:val="auto"/>
                      <w:kern w:val="0"/>
                      <w:szCs w:val="21"/>
                      <w:lang w:bidi="ar"/>
                    </w:rPr>
                    <w:t>二氧化硫</w:t>
                  </w:r>
                </w:p>
              </w:tc>
              <w:tc>
                <w:tcPr>
                  <w:tcW w:w="377" w:type="pct"/>
                  <w:vMerge w:val="continue"/>
                  <w:vAlign w:val="center"/>
                </w:tcPr>
                <w:p w14:paraId="4D56D0EE">
                  <w:pPr>
                    <w:widowControl/>
                    <w:jc w:val="center"/>
                    <w:textAlignment w:val="center"/>
                    <w:rPr>
                      <w:color w:val="auto"/>
                      <w:kern w:val="0"/>
                      <w:szCs w:val="21"/>
                      <w:lang w:bidi="ar"/>
                    </w:rPr>
                  </w:pPr>
                </w:p>
              </w:tc>
              <w:tc>
                <w:tcPr>
                  <w:tcW w:w="463" w:type="pct"/>
                  <w:vAlign w:val="center"/>
                </w:tcPr>
                <w:p w14:paraId="169A1580">
                  <w:pPr>
                    <w:widowControl/>
                    <w:jc w:val="center"/>
                    <w:textAlignment w:val="center"/>
                    <w:rPr>
                      <w:color w:val="auto"/>
                      <w:kern w:val="0"/>
                      <w:szCs w:val="21"/>
                      <w:lang w:bidi="ar"/>
                    </w:rPr>
                  </w:pPr>
                  <w:r>
                    <w:rPr>
                      <w:color w:val="auto"/>
                      <w:kern w:val="0"/>
                      <w:szCs w:val="21"/>
                      <w:lang w:bidi="ar"/>
                    </w:rPr>
                    <w:t>0.0321</w:t>
                  </w:r>
                </w:p>
              </w:tc>
              <w:tc>
                <w:tcPr>
                  <w:tcW w:w="505" w:type="pct"/>
                  <w:vAlign w:val="center"/>
                </w:tcPr>
                <w:p w14:paraId="30379D94">
                  <w:pPr>
                    <w:widowControl/>
                    <w:jc w:val="center"/>
                    <w:textAlignment w:val="center"/>
                    <w:rPr>
                      <w:color w:val="auto"/>
                      <w:kern w:val="0"/>
                      <w:szCs w:val="21"/>
                      <w:lang w:bidi="ar"/>
                    </w:rPr>
                  </w:pPr>
                  <w:r>
                    <w:rPr>
                      <w:color w:val="auto"/>
                      <w:kern w:val="0"/>
                      <w:szCs w:val="21"/>
                      <w:lang w:bidi="ar"/>
                    </w:rPr>
                    <w:t>0.0107</w:t>
                  </w:r>
                </w:p>
              </w:tc>
              <w:tc>
                <w:tcPr>
                  <w:tcW w:w="520" w:type="pct"/>
                  <w:vAlign w:val="center"/>
                </w:tcPr>
                <w:p w14:paraId="60A4F494">
                  <w:pPr>
                    <w:widowControl/>
                    <w:jc w:val="center"/>
                    <w:textAlignment w:val="center"/>
                    <w:rPr>
                      <w:color w:val="auto"/>
                      <w:kern w:val="0"/>
                      <w:szCs w:val="21"/>
                      <w:lang w:bidi="ar"/>
                    </w:rPr>
                  </w:pPr>
                  <w:r>
                    <w:rPr>
                      <w:color w:val="auto"/>
                      <w:kern w:val="0"/>
                      <w:szCs w:val="21"/>
                      <w:lang w:bidi="ar"/>
                    </w:rPr>
                    <w:t>0.535</w:t>
                  </w:r>
                </w:p>
              </w:tc>
              <w:tc>
                <w:tcPr>
                  <w:tcW w:w="323" w:type="pct"/>
                  <w:vAlign w:val="center"/>
                </w:tcPr>
                <w:p w14:paraId="3347CC59">
                  <w:pPr>
                    <w:widowControl/>
                    <w:jc w:val="center"/>
                    <w:textAlignment w:val="center"/>
                    <w:rPr>
                      <w:color w:val="auto"/>
                      <w:kern w:val="0"/>
                      <w:szCs w:val="21"/>
                      <w:lang w:bidi="ar"/>
                    </w:rPr>
                  </w:pPr>
                  <w:r>
                    <w:rPr>
                      <w:color w:val="auto"/>
                      <w:kern w:val="0"/>
                      <w:szCs w:val="21"/>
                      <w:lang w:bidi="ar"/>
                    </w:rPr>
                    <w:t>0</w:t>
                  </w:r>
                </w:p>
              </w:tc>
              <w:tc>
                <w:tcPr>
                  <w:tcW w:w="426" w:type="pct"/>
                  <w:vAlign w:val="center"/>
                </w:tcPr>
                <w:p w14:paraId="64775277">
                  <w:pPr>
                    <w:widowControl/>
                    <w:jc w:val="center"/>
                    <w:textAlignment w:val="center"/>
                    <w:rPr>
                      <w:color w:val="auto"/>
                      <w:kern w:val="0"/>
                      <w:szCs w:val="21"/>
                      <w:lang w:bidi="ar"/>
                    </w:rPr>
                  </w:pPr>
                  <w:r>
                    <w:rPr>
                      <w:color w:val="auto"/>
                      <w:kern w:val="0"/>
                      <w:szCs w:val="21"/>
                      <w:lang w:bidi="ar"/>
                    </w:rPr>
                    <w:t>0.0321</w:t>
                  </w:r>
                </w:p>
              </w:tc>
              <w:tc>
                <w:tcPr>
                  <w:tcW w:w="500" w:type="pct"/>
                  <w:vAlign w:val="center"/>
                </w:tcPr>
                <w:p w14:paraId="50A37ACB">
                  <w:pPr>
                    <w:widowControl/>
                    <w:jc w:val="center"/>
                    <w:textAlignment w:val="center"/>
                    <w:rPr>
                      <w:color w:val="auto"/>
                      <w:kern w:val="0"/>
                      <w:szCs w:val="21"/>
                      <w:lang w:bidi="ar"/>
                    </w:rPr>
                  </w:pPr>
                  <w:r>
                    <w:rPr>
                      <w:color w:val="auto"/>
                      <w:kern w:val="0"/>
                      <w:szCs w:val="21"/>
                      <w:lang w:bidi="ar"/>
                    </w:rPr>
                    <w:t>0.0107</w:t>
                  </w:r>
                </w:p>
              </w:tc>
              <w:tc>
                <w:tcPr>
                  <w:tcW w:w="520" w:type="pct"/>
                  <w:vAlign w:val="center"/>
                </w:tcPr>
                <w:p w14:paraId="2AAA963D">
                  <w:pPr>
                    <w:widowControl/>
                    <w:jc w:val="center"/>
                    <w:textAlignment w:val="center"/>
                    <w:rPr>
                      <w:color w:val="auto"/>
                      <w:kern w:val="0"/>
                      <w:szCs w:val="21"/>
                      <w:lang w:bidi="ar"/>
                    </w:rPr>
                  </w:pPr>
                  <w:r>
                    <w:rPr>
                      <w:color w:val="auto"/>
                      <w:kern w:val="0"/>
                      <w:szCs w:val="21"/>
                      <w:lang w:bidi="ar"/>
                    </w:rPr>
                    <w:t>0.535</w:t>
                  </w:r>
                </w:p>
              </w:tc>
            </w:tr>
            <w:tr w14:paraId="14E47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302" w:type="pct"/>
                  <w:vMerge w:val="continue"/>
                  <w:vAlign w:val="center"/>
                </w:tcPr>
                <w:p w14:paraId="0DA5DD9E">
                  <w:pPr>
                    <w:widowControl/>
                    <w:jc w:val="center"/>
                    <w:textAlignment w:val="center"/>
                    <w:rPr>
                      <w:color w:val="auto"/>
                    </w:rPr>
                  </w:pPr>
                </w:p>
              </w:tc>
              <w:tc>
                <w:tcPr>
                  <w:tcW w:w="560" w:type="pct"/>
                  <w:vMerge w:val="restart"/>
                  <w:vAlign w:val="center"/>
                </w:tcPr>
                <w:p w14:paraId="2F33BDF5">
                  <w:pPr>
                    <w:widowControl/>
                    <w:jc w:val="center"/>
                    <w:textAlignment w:val="center"/>
                    <w:rPr>
                      <w:color w:val="auto"/>
                    </w:rPr>
                  </w:pPr>
                  <w:r>
                    <w:rPr>
                      <w:rFonts w:hint="eastAsia"/>
                      <w:color w:val="auto"/>
                      <w:kern w:val="0"/>
                      <w:szCs w:val="21"/>
                      <w:lang w:bidi="ar"/>
                    </w:rPr>
                    <w:t>DA004</w:t>
                  </w:r>
                </w:p>
              </w:tc>
              <w:tc>
                <w:tcPr>
                  <w:tcW w:w="502" w:type="pct"/>
                  <w:vAlign w:val="center"/>
                </w:tcPr>
                <w:p w14:paraId="6F0B2563">
                  <w:pPr>
                    <w:widowControl/>
                    <w:jc w:val="center"/>
                    <w:textAlignment w:val="center"/>
                    <w:rPr>
                      <w:color w:val="auto"/>
                      <w:kern w:val="0"/>
                      <w:szCs w:val="21"/>
                      <w:lang w:bidi="ar"/>
                    </w:rPr>
                  </w:pPr>
                  <w:r>
                    <w:rPr>
                      <w:rFonts w:hint="eastAsia"/>
                      <w:color w:val="auto"/>
                      <w:kern w:val="0"/>
                      <w:szCs w:val="21"/>
                      <w:lang w:bidi="ar"/>
                    </w:rPr>
                    <w:t>颗粒物</w:t>
                  </w:r>
                </w:p>
              </w:tc>
              <w:tc>
                <w:tcPr>
                  <w:tcW w:w="377" w:type="pct"/>
                  <w:vMerge w:val="restart"/>
                  <w:vAlign w:val="center"/>
                </w:tcPr>
                <w:p w14:paraId="19A62873">
                  <w:pPr>
                    <w:widowControl/>
                    <w:jc w:val="center"/>
                    <w:textAlignment w:val="center"/>
                    <w:rPr>
                      <w:color w:val="auto"/>
                      <w:kern w:val="0"/>
                      <w:szCs w:val="21"/>
                      <w:lang w:bidi="ar"/>
                    </w:rPr>
                  </w:pPr>
                  <w:r>
                    <w:rPr>
                      <w:rFonts w:hint="eastAsia"/>
                      <w:color w:val="auto"/>
                      <w:kern w:val="0"/>
                      <w:szCs w:val="21"/>
                      <w:lang w:bidi="ar"/>
                    </w:rPr>
                    <w:t>15000</w:t>
                  </w:r>
                </w:p>
              </w:tc>
              <w:tc>
                <w:tcPr>
                  <w:tcW w:w="463" w:type="pct"/>
                  <w:vAlign w:val="center"/>
                </w:tcPr>
                <w:p w14:paraId="166A8365">
                  <w:pPr>
                    <w:widowControl/>
                    <w:jc w:val="center"/>
                    <w:textAlignment w:val="center"/>
                    <w:rPr>
                      <w:color w:val="auto"/>
                      <w:kern w:val="0"/>
                      <w:szCs w:val="21"/>
                      <w:lang w:bidi="ar"/>
                    </w:rPr>
                  </w:pPr>
                  <w:r>
                    <w:rPr>
                      <w:color w:val="auto"/>
                      <w:kern w:val="0"/>
                      <w:szCs w:val="21"/>
                      <w:lang w:bidi="ar"/>
                    </w:rPr>
                    <w:t>1.243</w:t>
                  </w:r>
                </w:p>
              </w:tc>
              <w:tc>
                <w:tcPr>
                  <w:tcW w:w="505" w:type="pct"/>
                  <w:vAlign w:val="center"/>
                </w:tcPr>
                <w:p w14:paraId="0F3F7556">
                  <w:pPr>
                    <w:widowControl/>
                    <w:jc w:val="center"/>
                    <w:textAlignment w:val="center"/>
                    <w:rPr>
                      <w:color w:val="auto"/>
                      <w:kern w:val="0"/>
                      <w:szCs w:val="21"/>
                      <w:lang w:bidi="ar"/>
                    </w:rPr>
                  </w:pPr>
                  <w:r>
                    <w:rPr>
                      <w:color w:val="auto"/>
                      <w:kern w:val="0"/>
                      <w:szCs w:val="21"/>
                      <w:lang w:bidi="ar"/>
                    </w:rPr>
                    <w:t>0.4137</w:t>
                  </w:r>
                </w:p>
              </w:tc>
              <w:tc>
                <w:tcPr>
                  <w:tcW w:w="520" w:type="pct"/>
                  <w:vAlign w:val="center"/>
                </w:tcPr>
                <w:p w14:paraId="10852E33">
                  <w:pPr>
                    <w:widowControl/>
                    <w:jc w:val="center"/>
                    <w:textAlignment w:val="center"/>
                    <w:rPr>
                      <w:color w:val="auto"/>
                      <w:kern w:val="0"/>
                      <w:szCs w:val="21"/>
                      <w:lang w:bidi="ar"/>
                    </w:rPr>
                  </w:pPr>
                  <w:r>
                    <w:rPr>
                      <w:color w:val="auto"/>
                      <w:kern w:val="0"/>
                      <w:szCs w:val="21"/>
                      <w:lang w:bidi="ar"/>
                    </w:rPr>
                    <w:t>27.58</w:t>
                  </w:r>
                </w:p>
              </w:tc>
              <w:tc>
                <w:tcPr>
                  <w:tcW w:w="323" w:type="pct"/>
                  <w:vAlign w:val="center"/>
                </w:tcPr>
                <w:p w14:paraId="604A18B7">
                  <w:pPr>
                    <w:widowControl/>
                    <w:jc w:val="center"/>
                    <w:textAlignment w:val="center"/>
                    <w:rPr>
                      <w:color w:val="auto"/>
                      <w:kern w:val="0"/>
                      <w:szCs w:val="21"/>
                      <w:lang w:bidi="ar"/>
                    </w:rPr>
                  </w:pPr>
                  <w:r>
                    <w:rPr>
                      <w:color w:val="auto"/>
                      <w:kern w:val="0"/>
                      <w:szCs w:val="21"/>
                      <w:lang w:bidi="ar"/>
                    </w:rPr>
                    <w:t>98%</w:t>
                  </w:r>
                </w:p>
              </w:tc>
              <w:tc>
                <w:tcPr>
                  <w:tcW w:w="426" w:type="pct"/>
                  <w:vAlign w:val="center"/>
                </w:tcPr>
                <w:p w14:paraId="15A31B8B">
                  <w:pPr>
                    <w:widowControl/>
                    <w:jc w:val="center"/>
                    <w:textAlignment w:val="center"/>
                    <w:rPr>
                      <w:color w:val="auto"/>
                      <w:kern w:val="0"/>
                      <w:szCs w:val="21"/>
                      <w:lang w:bidi="ar"/>
                    </w:rPr>
                  </w:pPr>
                  <w:r>
                    <w:rPr>
                      <w:color w:val="auto"/>
                      <w:kern w:val="0"/>
                      <w:szCs w:val="21"/>
                      <w:lang w:bidi="ar"/>
                    </w:rPr>
                    <w:t>0.0249</w:t>
                  </w:r>
                </w:p>
              </w:tc>
              <w:tc>
                <w:tcPr>
                  <w:tcW w:w="500" w:type="pct"/>
                  <w:vAlign w:val="center"/>
                </w:tcPr>
                <w:p w14:paraId="2D646F06">
                  <w:pPr>
                    <w:widowControl/>
                    <w:jc w:val="center"/>
                    <w:textAlignment w:val="center"/>
                    <w:rPr>
                      <w:color w:val="auto"/>
                      <w:kern w:val="0"/>
                      <w:szCs w:val="21"/>
                      <w:lang w:bidi="ar"/>
                    </w:rPr>
                  </w:pPr>
                  <w:r>
                    <w:rPr>
                      <w:color w:val="auto"/>
                      <w:kern w:val="0"/>
                      <w:szCs w:val="21"/>
                      <w:lang w:bidi="ar"/>
                    </w:rPr>
                    <w:t>0.0083</w:t>
                  </w:r>
                </w:p>
              </w:tc>
              <w:tc>
                <w:tcPr>
                  <w:tcW w:w="520" w:type="pct"/>
                  <w:vAlign w:val="center"/>
                </w:tcPr>
                <w:p w14:paraId="0104169F">
                  <w:pPr>
                    <w:widowControl/>
                    <w:jc w:val="center"/>
                    <w:textAlignment w:val="center"/>
                    <w:rPr>
                      <w:color w:val="auto"/>
                      <w:kern w:val="0"/>
                      <w:szCs w:val="21"/>
                      <w:lang w:bidi="ar"/>
                    </w:rPr>
                  </w:pPr>
                  <w:r>
                    <w:rPr>
                      <w:color w:val="auto"/>
                      <w:kern w:val="0"/>
                      <w:szCs w:val="21"/>
                      <w:lang w:bidi="ar"/>
                    </w:rPr>
                    <w:t>0.552</w:t>
                  </w:r>
                </w:p>
              </w:tc>
            </w:tr>
            <w:tr w14:paraId="69C1C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302" w:type="pct"/>
                  <w:vMerge w:val="continue"/>
                  <w:vAlign w:val="center"/>
                </w:tcPr>
                <w:p w14:paraId="1B01078E">
                  <w:pPr>
                    <w:widowControl/>
                    <w:jc w:val="center"/>
                    <w:textAlignment w:val="center"/>
                    <w:rPr>
                      <w:color w:val="auto"/>
                      <w:kern w:val="0"/>
                      <w:szCs w:val="21"/>
                      <w:lang w:bidi="ar"/>
                    </w:rPr>
                  </w:pPr>
                </w:p>
              </w:tc>
              <w:tc>
                <w:tcPr>
                  <w:tcW w:w="560" w:type="pct"/>
                  <w:vMerge w:val="continue"/>
                  <w:vAlign w:val="center"/>
                </w:tcPr>
                <w:p w14:paraId="118B97EF">
                  <w:pPr>
                    <w:widowControl/>
                    <w:jc w:val="center"/>
                    <w:textAlignment w:val="center"/>
                    <w:rPr>
                      <w:color w:val="auto"/>
                      <w:kern w:val="0"/>
                      <w:szCs w:val="21"/>
                      <w:lang w:bidi="ar"/>
                    </w:rPr>
                  </w:pPr>
                </w:p>
              </w:tc>
              <w:tc>
                <w:tcPr>
                  <w:tcW w:w="502" w:type="pct"/>
                  <w:vAlign w:val="center"/>
                </w:tcPr>
                <w:p w14:paraId="335076A4">
                  <w:pPr>
                    <w:widowControl/>
                    <w:jc w:val="center"/>
                    <w:textAlignment w:val="center"/>
                    <w:rPr>
                      <w:color w:val="auto"/>
                      <w:kern w:val="0"/>
                      <w:szCs w:val="21"/>
                      <w:lang w:bidi="ar"/>
                    </w:rPr>
                  </w:pPr>
                  <w:r>
                    <w:rPr>
                      <w:rFonts w:hint="eastAsia"/>
                      <w:color w:val="auto"/>
                      <w:kern w:val="0"/>
                      <w:szCs w:val="21"/>
                      <w:lang w:bidi="ar"/>
                    </w:rPr>
                    <w:t>TVOC</w:t>
                  </w:r>
                </w:p>
              </w:tc>
              <w:tc>
                <w:tcPr>
                  <w:tcW w:w="377" w:type="pct"/>
                  <w:vMerge w:val="continue"/>
                  <w:vAlign w:val="center"/>
                </w:tcPr>
                <w:p w14:paraId="30E4465C">
                  <w:pPr>
                    <w:widowControl/>
                    <w:jc w:val="center"/>
                    <w:textAlignment w:val="center"/>
                    <w:rPr>
                      <w:color w:val="auto"/>
                      <w:kern w:val="0"/>
                      <w:szCs w:val="21"/>
                      <w:lang w:bidi="ar"/>
                    </w:rPr>
                  </w:pPr>
                </w:p>
              </w:tc>
              <w:tc>
                <w:tcPr>
                  <w:tcW w:w="463" w:type="pct"/>
                  <w:vAlign w:val="center"/>
                </w:tcPr>
                <w:p w14:paraId="406C1246">
                  <w:pPr>
                    <w:widowControl/>
                    <w:jc w:val="center"/>
                    <w:textAlignment w:val="center"/>
                    <w:rPr>
                      <w:color w:val="auto"/>
                      <w:kern w:val="0"/>
                      <w:szCs w:val="21"/>
                      <w:lang w:bidi="ar"/>
                    </w:rPr>
                  </w:pPr>
                  <w:r>
                    <w:rPr>
                      <w:color w:val="auto"/>
                      <w:kern w:val="0"/>
                      <w:szCs w:val="21"/>
                      <w:lang w:bidi="ar"/>
                    </w:rPr>
                    <w:t>0.159</w:t>
                  </w:r>
                </w:p>
              </w:tc>
              <w:tc>
                <w:tcPr>
                  <w:tcW w:w="505" w:type="pct"/>
                  <w:vAlign w:val="center"/>
                </w:tcPr>
                <w:p w14:paraId="0D05D745">
                  <w:pPr>
                    <w:widowControl/>
                    <w:jc w:val="center"/>
                    <w:textAlignment w:val="center"/>
                    <w:rPr>
                      <w:color w:val="auto"/>
                      <w:kern w:val="0"/>
                      <w:szCs w:val="21"/>
                      <w:lang w:bidi="ar"/>
                    </w:rPr>
                  </w:pPr>
                  <w:r>
                    <w:rPr>
                      <w:color w:val="auto"/>
                      <w:kern w:val="0"/>
                      <w:szCs w:val="21"/>
                      <w:lang w:bidi="ar"/>
                    </w:rPr>
                    <w:t>0.0531</w:t>
                  </w:r>
                </w:p>
              </w:tc>
              <w:tc>
                <w:tcPr>
                  <w:tcW w:w="520" w:type="pct"/>
                  <w:vAlign w:val="center"/>
                </w:tcPr>
                <w:p w14:paraId="342026F8">
                  <w:pPr>
                    <w:widowControl/>
                    <w:jc w:val="center"/>
                    <w:textAlignment w:val="center"/>
                    <w:rPr>
                      <w:color w:val="auto"/>
                      <w:kern w:val="0"/>
                      <w:szCs w:val="21"/>
                      <w:lang w:bidi="ar"/>
                    </w:rPr>
                  </w:pPr>
                  <w:r>
                    <w:rPr>
                      <w:color w:val="auto"/>
                      <w:kern w:val="0"/>
                      <w:szCs w:val="21"/>
                      <w:lang w:bidi="ar"/>
                    </w:rPr>
                    <w:t>3.5</w:t>
                  </w:r>
                </w:p>
              </w:tc>
              <w:tc>
                <w:tcPr>
                  <w:tcW w:w="323" w:type="pct"/>
                  <w:vAlign w:val="center"/>
                </w:tcPr>
                <w:p w14:paraId="5083B4B6">
                  <w:pPr>
                    <w:widowControl/>
                    <w:jc w:val="center"/>
                    <w:textAlignment w:val="center"/>
                    <w:rPr>
                      <w:color w:val="auto"/>
                      <w:kern w:val="0"/>
                      <w:szCs w:val="21"/>
                      <w:lang w:bidi="ar"/>
                    </w:rPr>
                  </w:pPr>
                  <w:r>
                    <w:rPr>
                      <w:color w:val="auto"/>
                      <w:kern w:val="0"/>
                      <w:szCs w:val="21"/>
                      <w:lang w:bidi="ar"/>
                    </w:rPr>
                    <w:t>70%</w:t>
                  </w:r>
                </w:p>
              </w:tc>
              <w:tc>
                <w:tcPr>
                  <w:tcW w:w="426" w:type="pct"/>
                  <w:vAlign w:val="center"/>
                </w:tcPr>
                <w:p w14:paraId="67B881EE">
                  <w:pPr>
                    <w:widowControl/>
                    <w:jc w:val="center"/>
                    <w:textAlignment w:val="center"/>
                    <w:rPr>
                      <w:color w:val="auto"/>
                      <w:kern w:val="0"/>
                      <w:szCs w:val="21"/>
                      <w:lang w:bidi="ar"/>
                    </w:rPr>
                  </w:pPr>
                  <w:r>
                    <w:rPr>
                      <w:color w:val="auto"/>
                      <w:kern w:val="0"/>
                      <w:szCs w:val="21"/>
                      <w:lang w:bidi="ar"/>
                    </w:rPr>
                    <w:t>0.0477</w:t>
                  </w:r>
                </w:p>
              </w:tc>
              <w:tc>
                <w:tcPr>
                  <w:tcW w:w="500" w:type="pct"/>
                  <w:vAlign w:val="center"/>
                </w:tcPr>
                <w:p w14:paraId="2C5D832B">
                  <w:pPr>
                    <w:widowControl/>
                    <w:jc w:val="center"/>
                    <w:textAlignment w:val="center"/>
                    <w:rPr>
                      <w:color w:val="auto"/>
                      <w:kern w:val="0"/>
                      <w:szCs w:val="21"/>
                      <w:lang w:bidi="ar"/>
                    </w:rPr>
                  </w:pPr>
                  <w:r>
                    <w:rPr>
                      <w:color w:val="auto"/>
                      <w:kern w:val="0"/>
                      <w:szCs w:val="21"/>
                      <w:lang w:bidi="ar"/>
                    </w:rPr>
                    <w:t>0.0159</w:t>
                  </w:r>
                </w:p>
              </w:tc>
              <w:tc>
                <w:tcPr>
                  <w:tcW w:w="520" w:type="pct"/>
                  <w:vAlign w:val="center"/>
                </w:tcPr>
                <w:p w14:paraId="1A7DDE31">
                  <w:pPr>
                    <w:widowControl/>
                    <w:jc w:val="center"/>
                    <w:textAlignment w:val="center"/>
                    <w:rPr>
                      <w:color w:val="auto"/>
                      <w:kern w:val="0"/>
                      <w:szCs w:val="21"/>
                      <w:lang w:bidi="ar"/>
                    </w:rPr>
                  </w:pPr>
                  <w:r>
                    <w:rPr>
                      <w:color w:val="auto"/>
                      <w:kern w:val="0"/>
                      <w:szCs w:val="21"/>
                      <w:lang w:bidi="ar"/>
                    </w:rPr>
                    <w:t>1.06</w:t>
                  </w:r>
                </w:p>
              </w:tc>
            </w:tr>
            <w:tr w14:paraId="1CE53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302" w:type="pct"/>
                  <w:vMerge w:val="continue"/>
                  <w:vAlign w:val="center"/>
                </w:tcPr>
                <w:p w14:paraId="4938E5C1">
                  <w:pPr>
                    <w:widowControl/>
                    <w:jc w:val="center"/>
                    <w:textAlignment w:val="center"/>
                    <w:rPr>
                      <w:color w:val="auto"/>
                      <w:kern w:val="0"/>
                      <w:szCs w:val="21"/>
                      <w:lang w:bidi="ar"/>
                    </w:rPr>
                  </w:pPr>
                </w:p>
              </w:tc>
              <w:tc>
                <w:tcPr>
                  <w:tcW w:w="560" w:type="pct"/>
                  <w:vMerge w:val="continue"/>
                  <w:vAlign w:val="center"/>
                </w:tcPr>
                <w:p w14:paraId="26D2FC59">
                  <w:pPr>
                    <w:widowControl/>
                    <w:jc w:val="center"/>
                    <w:textAlignment w:val="center"/>
                    <w:rPr>
                      <w:color w:val="auto"/>
                      <w:kern w:val="0"/>
                      <w:szCs w:val="21"/>
                      <w:lang w:bidi="ar"/>
                    </w:rPr>
                  </w:pPr>
                </w:p>
              </w:tc>
              <w:tc>
                <w:tcPr>
                  <w:tcW w:w="502" w:type="pct"/>
                  <w:vAlign w:val="center"/>
                </w:tcPr>
                <w:p w14:paraId="0727B701">
                  <w:pPr>
                    <w:widowControl/>
                    <w:jc w:val="center"/>
                    <w:textAlignment w:val="center"/>
                    <w:rPr>
                      <w:color w:val="auto"/>
                      <w:kern w:val="0"/>
                      <w:szCs w:val="21"/>
                      <w:lang w:bidi="ar"/>
                    </w:rPr>
                  </w:pPr>
                  <w:r>
                    <w:rPr>
                      <w:rFonts w:hint="eastAsia"/>
                      <w:color w:val="auto"/>
                      <w:kern w:val="0"/>
                      <w:szCs w:val="21"/>
                      <w:lang w:bidi="ar"/>
                    </w:rPr>
                    <w:t>氮氧化物</w:t>
                  </w:r>
                </w:p>
              </w:tc>
              <w:tc>
                <w:tcPr>
                  <w:tcW w:w="377" w:type="pct"/>
                  <w:vMerge w:val="continue"/>
                  <w:vAlign w:val="center"/>
                </w:tcPr>
                <w:p w14:paraId="19A45E95">
                  <w:pPr>
                    <w:widowControl/>
                    <w:jc w:val="center"/>
                    <w:textAlignment w:val="center"/>
                    <w:rPr>
                      <w:color w:val="auto"/>
                      <w:kern w:val="0"/>
                      <w:szCs w:val="21"/>
                      <w:lang w:bidi="ar"/>
                    </w:rPr>
                  </w:pPr>
                </w:p>
              </w:tc>
              <w:tc>
                <w:tcPr>
                  <w:tcW w:w="463" w:type="pct"/>
                  <w:vAlign w:val="center"/>
                </w:tcPr>
                <w:p w14:paraId="51CD3CF7">
                  <w:pPr>
                    <w:widowControl/>
                    <w:jc w:val="center"/>
                    <w:textAlignment w:val="center"/>
                    <w:rPr>
                      <w:color w:val="auto"/>
                      <w:kern w:val="0"/>
                      <w:szCs w:val="21"/>
                      <w:lang w:bidi="ar"/>
                    </w:rPr>
                  </w:pPr>
                  <w:r>
                    <w:rPr>
                      <w:color w:val="auto"/>
                      <w:kern w:val="0"/>
                      <w:szCs w:val="21"/>
                      <w:lang w:bidi="ar"/>
                    </w:rPr>
                    <w:t>0.0752</w:t>
                  </w:r>
                </w:p>
              </w:tc>
              <w:tc>
                <w:tcPr>
                  <w:tcW w:w="505" w:type="pct"/>
                  <w:vAlign w:val="center"/>
                </w:tcPr>
                <w:p w14:paraId="49A8AA78">
                  <w:pPr>
                    <w:widowControl/>
                    <w:jc w:val="center"/>
                    <w:textAlignment w:val="center"/>
                    <w:rPr>
                      <w:color w:val="auto"/>
                      <w:kern w:val="0"/>
                      <w:szCs w:val="21"/>
                      <w:lang w:bidi="ar"/>
                    </w:rPr>
                  </w:pPr>
                  <w:r>
                    <w:rPr>
                      <w:color w:val="auto"/>
                      <w:kern w:val="0"/>
                      <w:szCs w:val="21"/>
                      <w:lang w:bidi="ar"/>
                    </w:rPr>
                    <w:t>0.0251</w:t>
                  </w:r>
                </w:p>
              </w:tc>
              <w:tc>
                <w:tcPr>
                  <w:tcW w:w="520" w:type="pct"/>
                  <w:vAlign w:val="center"/>
                </w:tcPr>
                <w:p w14:paraId="66A09628">
                  <w:pPr>
                    <w:widowControl/>
                    <w:jc w:val="center"/>
                    <w:textAlignment w:val="center"/>
                    <w:rPr>
                      <w:color w:val="auto"/>
                      <w:kern w:val="0"/>
                      <w:szCs w:val="21"/>
                      <w:lang w:bidi="ar"/>
                    </w:rPr>
                  </w:pPr>
                  <w:r>
                    <w:rPr>
                      <w:color w:val="auto"/>
                      <w:kern w:val="0"/>
                      <w:szCs w:val="21"/>
                      <w:lang w:bidi="ar"/>
                    </w:rPr>
                    <w:t>1.67</w:t>
                  </w:r>
                </w:p>
              </w:tc>
              <w:tc>
                <w:tcPr>
                  <w:tcW w:w="323" w:type="pct"/>
                  <w:vAlign w:val="center"/>
                </w:tcPr>
                <w:p w14:paraId="39AD7132">
                  <w:pPr>
                    <w:widowControl/>
                    <w:jc w:val="center"/>
                    <w:textAlignment w:val="center"/>
                    <w:rPr>
                      <w:color w:val="auto"/>
                      <w:kern w:val="0"/>
                      <w:szCs w:val="21"/>
                      <w:lang w:bidi="ar"/>
                    </w:rPr>
                  </w:pPr>
                  <w:r>
                    <w:rPr>
                      <w:color w:val="auto"/>
                      <w:kern w:val="0"/>
                      <w:szCs w:val="21"/>
                      <w:lang w:bidi="ar"/>
                    </w:rPr>
                    <w:t>0</w:t>
                  </w:r>
                </w:p>
              </w:tc>
              <w:tc>
                <w:tcPr>
                  <w:tcW w:w="426" w:type="pct"/>
                  <w:vAlign w:val="center"/>
                </w:tcPr>
                <w:p w14:paraId="4DDC5DE2">
                  <w:pPr>
                    <w:widowControl/>
                    <w:jc w:val="center"/>
                    <w:textAlignment w:val="center"/>
                    <w:rPr>
                      <w:color w:val="auto"/>
                      <w:kern w:val="0"/>
                      <w:szCs w:val="21"/>
                      <w:lang w:bidi="ar"/>
                    </w:rPr>
                  </w:pPr>
                  <w:r>
                    <w:rPr>
                      <w:color w:val="auto"/>
                      <w:kern w:val="0"/>
                      <w:szCs w:val="21"/>
                      <w:lang w:bidi="ar"/>
                    </w:rPr>
                    <w:t>0.0752</w:t>
                  </w:r>
                </w:p>
              </w:tc>
              <w:tc>
                <w:tcPr>
                  <w:tcW w:w="500" w:type="pct"/>
                  <w:vAlign w:val="center"/>
                </w:tcPr>
                <w:p w14:paraId="1A0A9553">
                  <w:pPr>
                    <w:widowControl/>
                    <w:jc w:val="center"/>
                    <w:textAlignment w:val="center"/>
                    <w:rPr>
                      <w:color w:val="auto"/>
                      <w:kern w:val="0"/>
                      <w:szCs w:val="21"/>
                      <w:lang w:bidi="ar"/>
                    </w:rPr>
                  </w:pPr>
                  <w:r>
                    <w:rPr>
                      <w:color w:val="auto"/>
                      <w:kern w:val="0"/>
                      <w:szCs w:val="21"/>
                      <w:lang w:bidi="ar"/>
                    </w:rPr>
                    <w:t>0.0251</w:t>
                  </w:r>
                </w:p>
              </w:tc>
              <w:tc>
                <w:tcPr>
                  <w:tcW w:w="520" w:type="pct"/>
                  <w:vAlign w:val="center"/>
                </w:tcPr>
                <w:p w14:paraId="230F4C0C">
                  <w:pPr>
                    <w:widowControl/>
                    <w:jc w:val="center"/>
                    <w:textAlignment w:val="center"/>
                    <w:rPr>
                      <w:color w:val="auto"/>
                      <w:kern w:val="0"/>
                      <w:szCs w:val="21"/>
                      <w:lang w:bidi="ar"/>
                    </w:rPr>
                  </w:pPr>
                  <w:r>
                    <w:rPr>
                      <w:color w:val="auto"/>
                      <w:kern w:val="0"/>
                      <w:szCs w:val="21"/>
                      <w:lang w:bidi="ar"/>
                    </w:rPr>
                    <w:t>1.67</w:t>
                  </w:r>
                </w:p>
              </w:tc>
            </w:tr>
            <w:tr w14:paraId="0E1B9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302" w:type="pct"/>
                  <w:vMerge w:val="continue"/>
                  <w:vAlign w:val="center"/>
                </w:tcPr>
                <w:p w14:paraId="20D63F76">
                  <w:pPr>
                    <w:widowControl/>
                    <w:jc w:val="center"/>
                    <w:textAlignment w:val="center"/>
                    <w:rPr>
                      <w:color w:val="auto"/>
                      <w:kern w:val="0"/>
                      <w:szCs w:val="21"/>
                      <w:lang w:bidi="ar"/>
                    </w:rPr>
                  </w:pPr>
                </w:p>
              </w:tc>
              <w:tc>
                <w:tcPr>
                  <w:tcW w:w="560" w:type="pct"/>
                  <w:vMerge w:val="continue"/>
                  <w:vAlign w:val="center"/>
                </w:tcPr>
                <w:p w14:paraId="564D5ED1">
                  <w:pPr>
                    <w:widowControl/>
                    <w:jc w:val="center"/>
                    <w:textAlignment w:val="center"/>
                    <w:rPr>
                      <w:color w:val="auto"/>
                      <w:kern w:val="0"/>
                      <w:szCs w:val="21"/>
                      <w:lang w:bidi="ar"/>
                    </w:rPr>
                  </w:pPr>
                </w:p>
              </w:tc>
              <w:tc>
                <w:tcPr>
                  <w:tcW w:w="502" w:type="pct"/>
                  <w:vAlign w:val="center"/>
                </w:tcPr>
                <w:p w14:paraId="713B66AB">
                  <w:pPr>
                    <w:widowControl/>
                    <w:jc w:val="center"/>
                    <w:textAlignment w:val="center"/>
                    <w:rPr>
                      <w:color w:val="auto"/>
                      <w:kern w:val="0"/>
                      <w:szCs w:val="21"/>
                      <w:lang w:bidi="ar"/>
                    </w:rPr>
                  </w:pPr>
                  <w:r>
                    <w:rPr>
                      <w:rFonts w:hint="eastAsia"/>
                      <w:color w:val="auto"/>
                      <w:kern w:val="0"/>
                      <w:szCs w:val="21"/>
                      <w:lang w:bidi="ar"/>
                    </w:rPr>
                    <w:t>二氧化硫</w:t>
                  </w:r>
                </w:p>
              </w:tc>
              <w:tc>
                <w:tcPr>
                  <w:tcW w:w="377" w:type="pct"/>
                  <w:vMerge w:val="continue"/>
                  <w:vAlign w:val="center"/>
                </w:tcPr>
                <w:p w14:paraId="0EDE99CC">
                  <w:pPr>
                    <w:widowControl/>
                    <w:jc w:val="center"/>
                    <w:textAlignment w:val="center"/>
                    <w:rPr>
                      <w:color w:val="auto"/>
                      <w:kern w:val="0"/>
                      <w:szCs w:val="21"/>
                      <w:lang w:bidi="ar"/>
                    </w:rPr>
                  </w:pPr>
                </w:p>
              </w:tc>
              <w:tc>
                <w:tcPr>
                  <w:tcW w:w="463" w:type="pct"/>
                  <w:vAlign w:val="center"/>
                </w:tcPr>
                <w:p w14:paraId="0CBEDB56">
                  <w:pPr>
                    <w:widowControl/>
                    <w:jc w:val="center"/>
                    <w:textAlignment w:val="center"/>
                    <w:rPr>
                      <w:color w:val="auto"/>
                      <w:kern w:val="0"/>
                      <w:szCs w:val="21"/>
                      <w:lang w:bidi="ar"/>
                    </w:rPr>
                  </w:pPr>
                  <w:r>
                    <w:rPr>
                      <w:color w:val="auto"/>
                      <w:kern w:val="0"/>
                      <w:szCs w:val="21"/>
                      <w:lang w:bidi="ar"/>
                    </w:rPr>
                    <w:t>0.0161</w:t>
                  </w:r>
                </w:p>
              </w:tc>
              <w:tc>
                <w:tcPr>
                  <w:tcW w:w="505" w:type="pct"/>
                  <w:vAlign w:val="center"/>
                </w:tcPr>
                <w:p w14:paraId="10F13CE0">
                  <w:pPr>
                    <w:widowControl/>
                    <w:jc w:val="center"/>
                    <w:textAlignment w:val="center"/>
                    <w:rPr>
                      <w:color w:val="auto"/>
                      <w:kern w:val="0"/>
                      <w:szCs w:val="21"/>
                      <w:lang w:bidi="ar"/>
                    </w:rPr>
                  </w:pPr>
                  <w:r>
                    <w:rPr>
                      <w:color w:val="auto"/>
                      <w:kern w:val="0"/>
                      <w:szCs w:val="21"/>
                      <w:lang w:bidi="ar"/>
                    </w:rPr>
                    <w:t>0.0053</w:t>
                  </w:r>
                </w:p>
              </w:tc>
              <w:tc>
                <w:tcPr>
                  <w:tcW w:w="520" w:type="pct"/>
                  <w:vAlign w:val="center"/>
                </w:tcPr>
                <w:p w14:paraId="11B90D8F">
                  <w:pPr>
                    <w:widowControl/>
                    <w:jc w:val="center"/>
                    <w:textAlignment w:val="center"/>
                    <w:rPr>
                      <w:color w:val="auto"/>
                      <w:kern w:val="0"/>
                      <w:szCs w:val="21"/>
                      <w:lang w:bidi="ar"/>
                    </w:rPr>
                  </w:pPr>
                  <w:r>
                    <w:rPr>
                      <w:color w:val="auto"/>
                      <w:kern w:val="0"/>
                      <w:szCs w:val="21"/>
                      <w:lang w:bidi="ar"/>
                    </w:rPr>
                    <w:t>0.353</w:t>
                  </w:r>
                </w:p>
              </w:tc>
              <w:tc>
                <w:tcPr>
                  <w:tcW w:w="323" w:type="pct"/>
                  <w:vAlign w:val="center"/>
                </w:tcPr>
                <w:p w14:paraId="0349D290">
                  <w:pPr>
                    <w:widowControl/>
                    <w:jc w:val="center"/>
                    <w:textAlignment w:val="center"/>
                    <w:rPr>
                      <w:color w:val="auto"/>
                      <w:kern w:val="0"/>
                      <w:szCs w:val="21"/>
                      <w:lang w:bidi="ar"/>
                    </w:rPr>
                  </w:pPr>
                  <w:r>
                    <w:rPr>
                      <w:color w:val="auto"/>
                      <w:kern w:val="0"/>
                      <w:szCs w:val="21"/>
                      <w:lang w:bidi="ar"/>
                    </w:rPr>
                    <w:t>0</w:t>
                  </w:r>
                </w:p>
              </w:tc>
              <w:tc>
                <w:tcPr>
                  <w:tcW w:w="426" w:type="pct"/>
                  <w:vAlign w:val="center"/>
                </w:tcPr>
                <w:p w14:paraId="421F86D9">
                  <w:pPr>
                    <w:widowControl/>
                    <w:jc w:val="center"/>
                    <w:textAlignment w:val="center"/>
                    <w:rPr>
                      <w:color w:val="auto"/>
                      <w:kern w:val="0"/>
                      <w:szCs w:val="21"/>
                      <w:lang w:bidi="ar"/>
                    </w:rPr>
                  </w:pPr>
                  <w:r>
                    <w:rPr>
                      <w:color w:val="auto"/>
                      <w:kern w:val="0"/>
                      <w:szCs w:val="21"/>
                      <w:lang w:bidi="ar"/>
                    </w:rPr>
                    <w:t>0.0161</w:t>
                  </w:r>
                </w:p>
              </w:tc>
              <w:tc>
                <w:tcPr>
                  <w:tcW w:w="500" w:type="pct"/>
                  <w:vAlign w:val="center"/>
                </w:tcPr>
                <w:p w14:paraId="4E8516F0">
                  <w:pPr>
                    <w:widowControl/>
                    <w:jc w:val="center"/>
                    <w:textAlignment w:val="center"/>
                    <w:rPr>
                      <w:color w:val="auto"/>
                      <w:kern w:val="0"/>
                      <w:szCs w:val="21"/>
                      <w:lang w:bidi="ar"/>
                    </w:rPr>
                  </w:pPr>
                  <w:r>
                    <w:rPr>
                      <w:color w:val="auto"/>
                      <w:kern w:val="0"/>
                      <w:szCs w:val="21"/>
                      <w:lang w:bidi="ar"/>
                    </w:rPr>
                    <w:t>0.0053</w:t>
                  </w:r>
                </w:p>
              </w:tc>
              <w:tc>
                <w:tcPr>
                  <w:tcW w:w="520" w:type="pct"/>
                  <w:vAlign w:val="center"/>
                </w:tcPr>
                <w:p w14:paraId="62CDD971">
                  <w:pPr>
                    <w:widowControl/>
                    <w:jc w:val="center"/>
                    <w:textAlignment w:val="center"/>
                    <w:rPr>
                      <w:color w:val="auto"/>
                      <w:kern w:val="0"/>
                      <w:szCs w:val="21"/>
                      <w:lang w:bidi="ar"/>
                    </w:rPr>
                  </w:pPr>
                  <w:r>
                    <w:rPr>
                      <w:color w:val="auto"/>
                      <w:kern w:val="0"/>
                      <w:szCs w:val="21"/>
                      <w:lang w:bidi="ar"/>
                    </w:rPr>
                    <w:t>0.353</w:t>
                  </w:r>
                </w:p>
              </w:tc>
            </w:tr>
            <w:tr w14:paraId="15ABE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 w:type="pct"/>
                  <w:vMerge w:val="continue"/>
                  <w:vAlign w:val="center"/>
                </w:tcPr>
                <w:p w14:paraId="54B8C32C">
                  <w:pPr>
                    <w:widowControl/>
                    <w:jc w:val="center"/>
                    <w:textAlignment w:val="center"/>
                    <w:rPr>
                      <w:color w:val="auto"/>
                      <w:kern w:val="0"/>
                      <w:szCs w:val="21"/>
                      <w:lang w:bidi="ar"/>
                    </w:rPr>
                  </w:pPr>
                </w:p>
              </w:tc>
              <w:tc>
                <w:tcPr>
                  <w:tcW w:w="560" w:type="pct"/>
                  <w:vMerge w:val="restart"/>
                  <w:vAlign w:val="center"/>
                </w:tcPr>
                <w:p w14:paraId="4F244AEC">
                  <w:pPr>
                    <w:widowControl/>
                    <w:jc w:val="center"/>
                    <w:textAlignment w:val="center"/>
                    <w:rPr>
                      <w:bCs/>
                      <w:color w:val="auto"/>
                      <w:kern w:val="0"/>
                      <w:szCs w:val="21"/>
                      <w:lang w:bidi="ar"/>
                    </w:rPr>
                  </w:pPr>
                  <w:r>
                    <w:rPr>
                      <w:rFonts w:hint="eastAsia"/>
                      <w:color w:val="auto"/>
                      <w:kern w:val="0"/>
                      <w:szCs w:val="21"/>
                      <w:lang w:bidi="ar"/>
                    </w:rPr>
                    <w:t>DA005</w:t>
                  </w:r>
                </w:p>
              </w:tc>
              <w:tc>
                <w:tcPr>
                  <w:tcW w:w="502" w:type="pct"/>
                  <w:vAlign w:val="center"/>
                </w:tcPr>
                <w:p w14:paraId="3E5B14B4">
                  <w:pPr>
                    <w:widowControl/>
                    <w:jc w:val="center"/>
                    <w:textAlignment w:val="center"/>
                    <w:rPr>
                      <w:color w:val="auto"/>
                      <w:kern w:val="0"/>
                      <w:szCs w:val="21"/>
                      <w:lang w:bidi="ar"/>
                    </w:rPr>
                  </w:pPr>
                  <w:r>
                    <w:rPr>
                      <w:rFonts w:hint="eastAsia"/>
                      <w:color w:val="auto"/>
                      <w:kern w:val="0"/>
                      <w:szCs w:val="21"/>
                      <w:lang w:bidi="ar"/>
                    </w:rPr>
                    <w:t>颗粒物</w:t>
                  </w:r>
                </w:p>
              </w:tc>
              <w:tc>
                <w:tcPr>
                  <w:tcW w:w="377" w:type="pct"/>
                  <w:vMerge w:val="restart"/>
                  <w:vAlign w:val="center"/>
                </w:tcPr>
                <w:p w14:paraId="4736167B">
                  <w:pPr>
                    <w:widowControl/>
                    <w:jc w:val="center"/>
                    <w:textAlignment w:val="center"/>
                    <w:rPr>
                      <w:color w:val="auto"/>
                      <w:kern w:val="0"/>
                      <w:szCs w:val="21"/>
                      <w:lang w:bidi="ar"/>
                    </w:rPr>
                  </w:pPr>
                  <w:r>
                    <w:rPr>
                      <w:rFonts w:hint="eastAsia"/>
                      <w:color w:val="auto"/>
                      <w:kern w:val="0"/>
                      <w:szCs w:val="21"/>
                      <w:lang w:bidi="ar"/>
                    </w:rPr>
                    <w:t>10000</w:t>
                  </w:r>
                </w:p>
              </w:tc>
              <w:tc>
                <w:tcPr>
                  <w:tcW w:w="463" w:type="pct"/>
                  <w:vAlign w:val="center"/>
                </w:tcPr>
                <w:p w14:paraId="01094567">
                  <w:pPr>
                    <w:widowControl/>
                    <w:jc w:val="center"/>
                    <w:textAlignment w:val="center"/>
                    <w:rPr>
                      <w:color w:val="auto"/>
                      <w:kern w:val="0"/>
                      <w:szCs w:val="21"/>
                      <w:lang w:bidi="ar"/>
                    </w:rPr>
                  </w:pPr>
                  <w:r>
                    <w:rPr>
                      <w:color w:val="auto"/>
                      <w:kern w:val="0"/>
                      <w:szCs w:val="21"/>
                      <w:lang w:bidi="ar"/>
                    </w:rPr>
                    <w:t>0.04668</w:t>
                  </w:r>
                </w:p>
              </w:tc>
              <w:tc>
                <w:tcPr>
                  <w:tcW w:w="505" w:type="pct"/>
                  <w:vAlign w:val="center"/>
                </w:tcPr>
                <w:p w14:paraId="5BB8364A">
                  <w:pPr>
                    <w:widowControl/>
                    <w:jc w:val="center"/>
                    <w:textAlignment w:val="center"/>
                    <w:rPr>
                      <w:color w:val="auto"/>
                      <w:kern w:val="0"/>
                      <w:szCs w:val="21"/>
                      <w:lang w:bidi="ar"/>
                    </w:rPr>
                  </w:pPr>
                  <w:r>
                    <w:rPr>
                      <w:color w:val="auto"/>
                      <w:kern w:val="0"/>
                      <w:szCs w:val="21"/>
                      <w:lang w:bidi="ar"/>
                    </w:rPr>
                    <w:t>0.07776</w:t>
                  </w:r>
                </w:p>
              </w:tc>
              <w:tc>
                <w:tcPr>
                  <w:tcW w:w="520" w:type="pct"/>
                  <w:vAlign w:val="center"/>
                </w:tcPr>
                <w:p w14:paraId="4507A5BA">
                  <w:pPr>
                    <w:widowControl/>
                    <w:jc w:val="center"/>
                    <w:textAlignment w:val="center"/>
                    <w:rPr>
                      <w:color w:val="auto"/>
                      <w:kern w:val="0"/>
                      <w:szCs w:val="21"/>
                      <w:lang w:bidi="ar"/>
                    </w:rPr>
                  </w:pPr>
                  <w:r>
                    <w:rPr>
                      <w:color w:val="auto"/>
                      <w:kern w:val="0"/>
                      <w:szCs w:val="21"/>
                      <w:lang w:bidi="ar"/>
                    </w:rPr>
                    <w:t>7.78</w:t>
                  </w:r>
                </w:p>
              </w:tc>
              <w:tc>
                <w:tcPr>
                  <w:tcW w:w="323" w:type="pct"/>
                  <w:vAlign w:val="center"/>
                </w:tcPr>
                <w:p w14:paraId="516DA4A4">
                  <w:pPr>
                    <w:widowControl/>
                    <w:jc w:val="center"/>
                    <w:textAlignment w:val="center"/>
                    <w:rPr>
                      <w:color w:val="auto"/>
                      <w:kern w:val="0"/>
                      <w:szCs w:val="21"/>
                      <w:lang w:bidi="ar"/>
                    </w:rPr>
                  </w:pPr>
                  <w:r>
                    <w:rPr>
                      <w:color w:val="auto"/>
                      <w:kern w:val="0"/>
                      <w:szCs w:val="21"/>
                      <w:lang w:bidi="ar"/>
                    </w:rPr>
                    <w:t>98%</w:t>
                  </w:r>
                </w:p>
              </w:tc>
              <w:tc>
                <w:tcPr>
                  <w:tcW w:w="426" w:type="pct"/>
                  <w:vAlign w:val="center"/>
                </w:tcPr>
                <w:p w14:paraId="7651F9C5">
                  <w:pPr>
                    <w:widowControl/>
                    <w:jc w:val="center"/>
                    <w:textAlignment w:val="center"/>
                    <w:rPr>
                      <w:color w:val="auto"/>
                      <w:kern w:val="0"/>
                      <w:szCs w:val="21"/>
                      <w:lang w:bidi="ar"/>
                    </w:rPr>
                  </w:pPr>
                  <w:r>
                    <w:rPr>
                      <w:color w:val="auto"/>
                      <w:kern w:val="0"/>
                      <w:szCs w:val="21"/>
                      <w:lang w:bidi="ar"/>
                    </w:rPr>
                    <w:t>0.0009</w:t>
                  </w:r>
                </w:p>
              </w:tc>
              <w:tc>
                <w:tcPr>
                  <w:tcW w:w="500" w:type="pct"/>
                  <w:vAlign w:val="center"/>
                </w:tcPr>
                <w:p w14:paraId="41E804BC">
                  <w:pPr>
                    <w:widowControl/>
                    <w:jc w:val="center"/>
                    <w:textAlignment w:val="center"/>
                    <w:rPr>
                      <w:color w:val="auto"/>
                      <w:kern w:val="0"/>
                      <w:szCs w:val="21"/>
                      <w:lang w:bidi="ar"/>
                    </w:rPr>
                  </w:pPr>
                  <w:r>
                    <w:rPr>
                      <w:color w:val="auto"/>
                      <w:kern w:val="0"/>
                      <w:szCs w:val="21"/>
                      <w:lang w:bidi="ar"/>
                    </w:rPr>
                    <w:t>0.0016</w:t>
                  </w:r>
                </w:p>
              </w:tc>
              <w:tc>
                <w:tcPr>
                  <w:tcW w:w="520" w:type="pct"/>
                  <w:vAlign w:val="center"/>
                </w:tcPr>
                <w:p w14:paraId="7D0A7809">
                  <w:pPr>
                    <w:widowControl/>
                    <w:jc w:val="center"/>
                    <w:textAlignment w:val="center"/>
                    <w:rPr>
                      <w:color w:val="auto"/>
                      <w:kern w:val="0"/>
                      <w:szCs w:val="21"/>
                      <w:lang w:bidi="ar"/>
                    </w:rPr>
                  </w:pPr>
                  <w:r>
                    <w:rPr>
                      <w:color w:val="auto"/>
                      <w:kern w:val="0"/>
                      <w:szCs w:val="21"/>
                      <w:lang w:bidi="ar"/>
                    </w:rPr>
                    <w:t>0.156</w:t>
                  </w:r>
                </w:p>
              </w:tc>
            </w:tr>
            <w:tr w14:paraId="59699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2" w:type="pct"/>
                  <w:vMerge w:val="continue"/>
                  <w:vAlign w:val="center"/>
                </w:tcPr>
                <w:p w14:paraId="7EA3B490">
                  <w:pPr>
                    <w:widowControl/>
                    <w:jc w:val="center"/>
                    <w:textAlignment w:val="center"/>
                    <w:rPr>
                      <w:color w:val="auto"/>
                    </w:rPr>
                  </w:pPr>
                </w:p>
              </w:tc>
              <w:tc>
                <w:tcPr>
                  <w:tcW w:w="560" w:type="pct"/>
                  <w:vMerge w:val="continue"/>
                  <w:vAlign w:val="center"/>
                </w:tcPr>
                <w:p w14:paraId="6952F058">
                  <w:pPr>
                    <w:widowControl/>
                    <w:jc w:val="center"/>
                    <w:textAlignment w:val="center"/>
                    <w:rPr>
                      <w:bCs/>
                      <w:color w:val="auto"/>
                      <w:kern w:val="0"/>
                      <w:szCs w:val="21"/>
                      <w:lang w:bidi="ar"/>
                    </w:rPr>
                  </w:pPr>
                </w:p>
              </w:tc>
              <w:tc>
                <w:tcPr>
                  <w:tcW w:w="502" w:type="pct"/>
                  <w:vAlign w:val="center"/>
                </w:tcPr>
                <w:p w14:paraId="2DDB5FDF">
                  <w:pPr>
                    <w:widowControl/>
                    <w:jc w:val="center"/>
                    <w:textAlignment w:val="center"/>
                    <w:rPr>
                      <w:bCs/>
                      <w:color w:val="auto"/>
                      <w:kern w:val="0"/>
                      <w:szCs w:val="21"/>
                      <w:lang w:bidi="ar"/>
                    </w:rPr>
                  </w:pPr>
                  <w:r>
                    <w:rPr>
                      <w:rFonts w:hint="eastAsia"/>
                      <w:color w:val="auto"/>
                      <w:kern w:val="0"/>
                      <w:szCs w:val="21"/>
                      <w:lang w:bidi="ar"/>
                    </w:rPr>
                    <w:t>TVOC</w:t>
                  </w:r>
                </w:p>
              </w:tc>
              <w:tc>
                <w:tcPr>
                  <w:tcW w:w="377" w:type="pct"/>
                  <w:vMerge w:val="continue"/>
                  <w:vAlign w:val="center"/>
                </w:tcPr>
                <w:p w14:paraId="53F9CA2C">
                  <w:pPr>
                    <w:widowControl/>
                    <w:jc w:val="center"/>
                    <w:textAlignment w:val="center"/>
                    <w:rPr>
                      <w:color w:val="auto"/>
                      <w:kern w:val="0"/>
                      <w:szCs w:val="21"/>
                      <w:lang w:bidi="ar"/>
                    </w:rPr>
                  </w:pPr>
                </w:p>
              </w:tc>
              <w:tc>
                <w:tcPr>
                  <w:tcW w:w="463" w:type="pct"/>
                  <w:vAlign w:val="center"/>
                </w:tcPr>
                <w:p w14:paraId="30CDE3DC">
                  <w:pPr>
                    <w:widowControl/>
                    <w:jc w:val="center"/>
                    <w:textAlignment w:val="center"/>
                    <w:rPr>
                      <w:bCs/>
                      <w:color w:val="auto"/>
                      <w:kern w:val="0"/>
                      <w:szCs w:val="21"/>
                      <w:lang w:bidi="ar"/>
                    </w:rPr>
                  </w:pPr>
                  <w:r>
                    <w:rPr>
                      <w:color w:val="auto"/>
                      <w:kern w:val="0"/>
                      <w:szCs w:val="21"/>
                      <w:lang w:bidi="ar"/>
                    </w:rPr>
                    <w:t>0.0056</w:t>
                  </w:r>
                </w:p>
              </w:tc>
              <w:tc>
                <w:tcPr>
                  <w:tcW w:w="505" w:type="pct"/>
                  <w:vAlign w:val="center"/>
                </w:tcPr>
                <w:p w14:paraId="65AB3BA5">
                  <w:pPr>
                    <w:widowControl/>
                    <w:jc w:val="center"/>
                    <w:textAlignment w:val="center"/>
                    <w:rPr>
                      <w:bCs/>
                      <w:color w:val="auto"/>
                      <w:kern w:val="0"/>
                      <w:szCs w:val="21"/>
                      <w:lang w:bidi="ar"/>
                    </w:rPr>
                  </w:pPr>
                  <w:r>
                    <w:rPr>
                      <w:color w:val="auto"/>
                      <w:kern w:val="0"/>
                      <w:szCs w:val="21"/>
                      <w:lang w:bidi="ar"/>
                    </w:rPr>
                    <w:t>0.0094</w:t>
                  </w:r>
                </w:p>
              </w:tc>
              <w:tc>
                <w:tcPr>
                  <w:tcW w:w="520" w:type="pct"/>
                  <w:vAlign w:val="center"/>
                </w:tcPr>
                <w:p w14:paraId="751C2924">
                  <w:pPr>
                    <w:widowControl/>
                    <w:jc w:val="center"/>
                    <w:textAlignment w:val="center"/>
                    <w:rPr>
                      <w:color w:val="auto"/>
                      <w:kern w:val="0"/>
                      <w:szCs w:val="21"/>
                      <w:lang w:bidi="ar"/>
                    </w:rPr>
                  </w:pPr>
                  <w:r>
                    <w:rPr>
                      <w:color w:val="auto"/>
                      <w:kern w:val="0"/>
                      <w:szCs w:val="21"/>
                      <w:lang w:bidi="ar"/>
                    </w:rPr>
                    <w:t>0.94</w:t>
                  </w:r>
                </w:p>
              </w:tc>
              <w:tc>
                <w:tcPr>
                  <w:tcW w:w="323" w:type="pct"/>
                  <w:vAlign w:val="center"/>
                </w:tcPr>
                <w:p w14:paraId="5463421D">
                  <w:pPr>
                    <w:widowControl/>
                    <w:jc w:val="center"/>
                    <w:textAlignment w:val="center"/>
                    <w:rPr>
                      <w:color w:val="auto"/>
                      <w:kern w:val="0"/>
                      <w:szCs w:val="21"/>
                      <w:lang w:bidi="ar"/>
                    </w:rPr>
                  </w:pPr>
                  <w:r>
                    <w:rPr>
                      <w:color w:val="auto"/>
                      <w:kern w:val="0"/>
                      <w:szCs w:val="21"/>
                      <w:lang w:bidi="ar"/>
                    </w:rPr>
                    <w:t>70%</w:t>
                  </w:r>
                </w:p>
              </w:tc>
              <w:tc>
                <w:tcPr>
                  <w:tcW w:w="426" w:type="pct"/>
                  <w:vAlign w:val="center"/>
                </w:tcPr>
                <w:p w14:paraId="7EEC2C12">
                  <w:pPr>
                    <w:widowControl/>
                    <w:jc w:val="center"/>
                    <w:textAlignment w:val="center"/>
                    <w:rPr>
                      <w:bCs/>
                      <w:color w:val="auto"/>
                      <w:kern w:val="0"/>
                      <w:szCs w:val="21"/>
                      <w:lang w:bidi="ar"/>
                    </w:rPr>
                  </w:pPr>
                  <w:r>
                    <w:rPr>
                      <w:color w:val="auto"/>
                      <w:kern w:val="0"/>
                      <w:szCs w:val="21"/>
                      <w:lang w:bidi="ar"/>
                    </w:rPr>
                    <w:t>0.0017</w:t>
                  </w:r>
                </w:p>
              </w:tc>
              <w:tc>
                <w:tcPr>
                  <w:tcW w:w="500" w:type="pct"/>
                  <w:vAlign w:val="center"/>
                </w:tcPr>
                <w:p w14:paraId="4563B110">
                  <w:pPr>
                    <w:widowControl/>
                    <w:jc w:val="center"/>
                    <w:textAlignment w:val="center"/>
                    <w:rPr>
                      <w:bCs/>
                      <w:color w:val="auto"/>
                      <w:kern w:val="0"/>
                      <w:szCs w:val="21"/>
                      <w:lang w:bidi="ar"/>
                    </w:rPr>
                  </w:pPr>
                  <w:r>
                    <w:rPr>
                      <w:color w:val="auto"/>
                      <w:kern w:val="0"/>
                      <w:szCs w:val="21"/>
                      <w:lang w:bidi="ar"/>
                    </w:rPr>
                    <w:t>0.0028</w:t>
                  </w:r>
                </w:p>
              </w:tc>
              <w:tc>
                <w:tcPr>
                  <w:tcW w:w="520" w:type="pct"/>
                  <w:vAlign w:val="center"/>
                </w:tcPr>
                <w:p w14:paraId="1C8C9CD7">
                  <w:pPr>
                    <w:widowControl/>
                    <w:jc w:val="center"/>
                    <w:textAlignment w:val="center"/>
                    <w:rPr>
                      <w:bCs/>
                      <w:color w:val="auto"/>
                      <w:kern w:val="0"/>
                      <w:szCs w:val="21"/>
                      <w:lang w:bidi="ar"/>
                    </w:rPr>
                  </w:pPr>
                  <w:r>
                    <w:rPr>
                      <w:color w:val="auto"/>
                      <w:kern w:val="0"/>
                      <w:szCs w:val="21"/>
                      <w:lang w:bidi="ar"/>
                    </w:rPr>
                    <w:t>0.282</w:t>
                  </w:r>
                </w:p>
              </w:tc>
            </w:tr>
            <w:tr w14:paraId="4FAF3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2" w:type="pct"/>
                  <w:vMerge w:val="continue"/>
                  <w:vAlign w:val="center"/>
                </w:tcPr>
                <w:p w14:paraId="43089F61">
                  <w:pPr>
                    <w:widowControl/>
                    <w:jc w:val="center"/>
                    <w:textAlignment w:val="center"/>
                    <w:rPr>
                      <w:bCs/>
                      <w:color w:val="auto"/>
                      <w:kern w:val="0"/>
                      <w:szCs w:val="21"/>
                      <w:lang w:bidi="ar"/>
                    </w:rPr>
                  </w:pPr>
                </w:p>
              </w:tc>
              <w:tc>
                <w:tcPr>
                  <w:tcW w:w="560" w:type="pct"/>
                  <w:vMerge w:val="continue"/>
                  <w:vAlign w:val="center"/>
                </w:tcPr>
                <w:p w14:paraId="3CD71EA9">
                  <w:pPr>
                    <w:widowControl/>
                    <w:jc w:val="center"/>
                    <w:textAlignment w:val="center"/>
                    <w:rPr>
                      <w:bCs/>
                      <w:color w:val="auto"/>
                      <w:kern w:val="0"/>
                      <w:szCs w:val="21"/>
                      <w:lang w:bidi="ar"/>
                    </w:rPr>
                  </w:pPr>
                </w:p>
              </w:tc>
              <w:tc>
                <w:tcPr>
                  <w:tcW w:w="502" w:type="pct"/>
                  <w:vAlign w:val="center"/>
                </w:tcPr>
                <w:p w14:paraId="23C00BBE">
                  <w:pPr>
                    <w:widowControl/>
                    <w:jc w:val="center"/>
                    <w:textAlignment w:val="center"/>
                    <w:rPr>
                      <w:bCs/>
                      <w:color w:val="auto"/>
                      <w:kern w:val="0"/>
                      <w:szCs w:val="21"/>
                      <w:lang w:bidi="ar"/>
                    </w:rPr>
                  </w:pPr>
                  <w:r>
                    <w:rPr>
                      <w:rFonts w:hint="eastAsia"/>
                      <w:color w:val="auto"/>
                      <w:kern w:val="0"/>
                      <w:szCs w:val="21"/>
                      <w:lang w:bidi="ar"/>
                    </w:rPr>
                    <w:t>氮氧化物</w:t>
                  </w:r>
                </w:p>
              </w:tc>
              <w:tc>
                <w:tcPr>
                  <w:tcW w:w="377" w:type="pct"/>
                  <w:vMerge w:val="continue"/>
                  <w:vAlign w:val="center"/>
                </w:tcPr>
                <w:p w14:paraId="198F4367">
                  <w:pPr>
                    <w:widowControl/>
                    <w:jc w:val="center"/>
                    <w:textAlignment w:val="center"/>
                    <w:rPr>
                      <w:color w:val="auto"/>
                      <w:kern w:val="0"/>
                      <w:szCs w:val="21"/>
                      <w:lang w:bidi="ar"/>
                    </w:rPr>
                  </w:pPr>
                </w:p>
              </w:tc>
              <w:tc>
                <w:tcPr>
                  <w:tcW w:w="463" w:type="pct"/>
                  <w:vAlign w:val="center"/>
                </w:tcPr>
                <w:p w14:paraId="281995EB">
                  <w:pPr>
                    <w:widowControl/>
                    <w:jc w:val="center"/>
                    <w:textAlignment w:val="center"/>
                    <w:rPr>
                      <w:bCs/>
                      <w:color w:val="auto"/>
                      <w:kern w:val="0"/>
                      <w:szCs w:val="21"/>
                      <w:lang w:bidi="ar"/>
                    </w:rPr>
                  </w:pPr>
                  <w:r>
                    <w:rPr>
                      <w:color w:val="auto"/>
                      <w:kern w:val="0"/>
                      <w:szCs w:val="21"/>
                      <w:lang w:bidi="ar"/>
                    </w:rPr>
                    <w:t>0.0015</w:t>
                  </w:r>
                </w:p>
              </w:tc>
              <w:tc>
                <w:tcPr>
                  <w:tcW w:w="505" w:type="pct"/>
                  <w:vAlign w:val="center"/>
                </w:tcPr>
                <w:p w14:paraId="7899277E">
                  <w:pPr>
                    <w:widowControl/>
                    <w:jc w:val="center"/>
                    <w:textAlignment w:val="center"/>
                    <w:rPr>
                      <w:bCs/>
                      <w:color w:val="auto"/>
                      <w:kern w:val="0"/>
                      <w:szCs w:val="21"/>
                      <w:lang w:bidi="ar"/>
                    </w:rPr>
                  </w:pPr>
                  <w:r>
                    <w:rPr>
                      <w:color w:val="auto"/>
                      <w:kern w:val="0"/>
                      <w:szCs w:val="21"/>
                      <w:lang w:bidi="ar"/>
                    </w:rPr>
                    <w:t>0.0026</w:t>
                  </w:r>
                </w:p>
              </w:tc>
              <w:tc>
                <w:tcPr>
                  <w:tcW w:w="520" w:type="pct"/>
                  <w:vAlign w:val="center"/>
                </w:tcPr>
                <w:p w14:paraId="268D05C9">
                  <w:pPr>
                    <w:widowControl/>
                    <w:jc w:val="center"/>
                    <w:textAlignment w:val="center"/>
                    <w:rPr>
                      <w:color w:val="auto"/>
                      <w:kern w:val="0"/>
                      <w:szCs w:val="21"/>
                      <w:lang w:bidi="ar"/>
                    </w:rPr>
                  </w:pPr>
                  <w:r>
                    <w:rPr>
                      <w:color w:val="auto"/>
                      <w:kern w:val="0"/>
                      <w:szCs w:val="21"/>
                      <w:lang w:bidi="ar"/>
                    </w:rPr>
                    <w:t>0.3</w:t>
                  </w:r>
                </w:p>
              </w:tc>
              <w:tc>
                <w:tcPr>
                  <w:tcW w:w="323" w:type="pct"/>
                  <w:vAlign w:val="center"/>
                </w:tcPr>
                <w:p w14:paraId="0B23B0FC">
                  <w:pPr>
                    <w:widowControl/>
                    <w:jc w:val="center"/>
                    <w:textAlignment w:val="center"/>
                    <w:rPr>
                      <w:color w:val="auto"/>
                      <w:kern w:val="0"/>
                      <w:szCs w:val="21"/>
                      <w:lang w:bidi="ar"/>
                    </w:rPr>
                  </w:pPr>
                  <w:r>
                    <w:rPr>
                      <w:color w:val="auto"/>
                      <w:kern w:val="0"/>
                      <w:szCs w:val="21"/>
                      <w:lang w:bidi="ar"/>
                    </w:rPr>
                    <w:t>0</w:t>
                  </w:r>
                </w:p>
              </w:tc>
              <w:tc>
                <w:tcPr>
                  <w:tcW w:w="426" w:type="pct"/>
                  <w:vAlign w:val="center"/>
                </w:tcPr>
                <w:p w14:paraId="73497987">
                  <w:pPr>
                    <w:widowControl/>
                    <w:jc w:val="center"/>
                    <w:textAlignment w:val="center"/>
                    <w:rPr>
                      <w:bCs/>
                      <w:color w:val="auto"/>
                      <w:kern w:val="0"/>
                      <w:szCs w:val="21"/>
                      <w:lang w:bidi="ar"/>
                    </w:rPr>
                  </w:pPr>
                  <w:r>
                    <w:rPr>
                      <w:color w:val="auto"/>
                      <w:kern w:val="0"/>
                      <w:szCs w:val="21"/>
                      <w:lang w:bidi="ar"/>
                    </w:rPr>
                    <w:t>0.0015</w:t>
                  </w:r>
                </w:p>
              </w:tc>
              <w:tc>
                <w:tcPr>
                  <w:tcW w:w="500" w:type="pct"/>
                  <w:vAlign w:val="center"/>
                </w:tcPr>
                <w:p w14:paraId="64C822E8">
                  <w:pPr>
                    <w:widowControl/>
                    <w:jc w:val="center"/>
                    <w:textAlignment w:val="center"/>
                    <w:rPr>
                      <w:bCs/>
                      <w:color w:val="auto"/>
                      <w:kern w:val="0"/>
                      <w:szCs w:val="21"/>
                      <w:lang w:bidi="ar"/>
                    </w:rPr>
                  </w:pPr>
                  <w:r>
                    <w:rPr>
                      <w:color w:val="auto"/>
                      <w:kern w:val="0"/>
                      <w:szCs w:val="21"/>
                      <w:lang w:bidi="ar"/>
                    </w:rPr>
                    <w:t>0.0026</w:t>
                  </w:r>
                </w:p>
              </w:tc>
              <w:tc>
                <w:tcPr>
                  <w:tcW w:w="520" w:type="pct"/>
                  <w:vAlign w:val="center"/>
                </w:tcPr>
                <w:p w14:paraId="6CF009A7">
                  <w:pPr>
                    <w:widowControl/>
                    <w:jc w:val="center"/>
                    <w:textAlignment w:val="center"/>
                    <w:rPr>
                      <w:bCs/>
                      <w:color w:val="auto"/>
                      <w:kern w:val="0"/>
                      <w:szCs w:val="21"/>
                      <w:lang w:bidi="ar"/>
                    </w:rPr>
                  </w:pPr>
                  <w:r>
                    <w:rPr>
                      <w:color w:val="auto"/>
                      <w:kern w:val="0"/>
                      <w:szCs w:val="21"/>
                      <w:lang w:bidi="ar"/>
                    </w:rPr>
                    <w:t>0.3</w:t>
                  </w:r>
                </w:p>
              </w:tc>
            </w:tr>
            <w:tr w14:paraId="4934D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2" w:type="pct"/>
                  <w:vMerge w:val="continue"/>
                  <w:vAlign w:val="center"/>
                </w:tcPr>
                <w:p w14:paraId="0EEB0AA2">
                  <w:pPr>
                    <w:widowControl/>
                    <w:jc w:val="center"/>
                    <w:textAlignment w:val="center"/>
                    <w:rPr>
                      <w:bCs/>
                      <w:color w:val="auto"/>
                      <w:kern w:val="0"/>
                      <w:szCs w:val="21"/>
                      <w:lang w:bidi="ar"/>
                    </w:rPr>
                  </w:pPr>
                </w:p>
              </w:tc>
              <w:tc>
                <w:tcPr>
                  <w:tcW w:w="560" w:type="pct"/>
                  <w:vMerge w:val="continue"/>
                  <w:vAlign w:val="center"/>
                </w:tcPr>
                <w:p w14:paraId="6A039BA7">
                  <w:pPr>
                    <w:widowControl/>
                    <w:jc w:val="center"/>
                    <w:textAlignment w:val="center"/>
                    <w:rPr>
                      <w:bCs/>
                      <w:color w:val="auto"/>
                      <w:kern w:val="0"/>
                      <w:szCs w:val="21"/>
                      <w:lang w:bidi="ar"/>
                    </w:rPr>
                  </w:pPr>
                </w:p>
              </w:tc>
              <w:tc>
                <w:tcPr>
                  <w:tcW w:w="502" w:type="pct"/>
                  <w:vAlign w:val="center"/>
                </w:tcPr>
                <w:p w14:paraId="2777355A">
                  <w:pPr>
                    <w:widowControl/>
                    <w:jc w:val="center"/>
                    <w:textAlignment w:val="center"/>
                    <w:rPr>
                      <w:bCs/>
                      <w:color w:val="auto"/>
                      <w:kern w:val="0"/>
                      <w:szCs w:val="21"/>
                      <w:lang w:bidi="ar"/>
                    </w:rPr>
                  </w:pPr>
                  <w:r>
                    <w:rPr>
                      <w:rFonts w:hint="eastAsia"/>
                      <w:color w:val="auto"/>
                      <w:kern w:val="0"/>
                      <w:szCs w:val="21"/>
                      <w:lang w:bidi="ar"/>
                    </w:rPr>
                    <w:t>二氧化硫</w:t>
                  </w:r>
                </w:p>
              </w:tc>
              <w:tc>
                <w:tcPr>
                  <w:tcW w:w="377" w:type="pct"/>
                  <w:vMerge w:val="continue"/>
                  <w:vAlign w:val="center"/>
                </w:tcPr>
                <w:p w14:paraId="234695D0">
                  <w:pPr>
                    <w:widowControl/>
                    <w:jc w:val="center"/>
                    <w:textAlignment w:val="center"/>
                    <w:rPr>
                      <w:color w:val="auto"/>
                      <w:kern w:val="0"/>
                      <w:szCs w:val="21"/>
                      <w:lang w:bidi="ar"/>
                    </w:rPr>
                  </w:pPr>
                </w:p>
              </w:tc>
              <w:tc>
                <w:tcPr>
                  <w:tcW w:w="463" w:type="pct"/>
                  <w:vAlign w:val="center"/>
                </w:tcPr>
                <w:p w14:paraId="65EE176A">
                  <w:pPr>
                    <w:widowControl/>
                    <w:jc w:val="center"/>
                    <w:textAlignment w:val="center"/>
                    <w:rPr>
                      <w:bCs/>
                      <w:color w:val="auto"/>
                      <w:kern w:val="0"/>
                      <w:szCs w:val="21"/>
                      <w:lang w:bidi="ar"/>
                    </w:rPr>
                  </w:pPr>
                  <w:r>
                    <w:rPr>
                      <w:color w:val="auto"/>
                      <w:kern w:val="0"/>
                      <w:szCs w:val="21"/>
                      <w:lang w:bidi="ar"/>
                    </w:rPr>
                    <w:t>0.00029</w:t>
                  </w:r>
                </w:p>
              </w:tc>
              <w:tc>
                <w:tcPr>
                  <w:tcW w:w="505" w:type="pct"/>
                  <w:vAlign w:val="center"/>
                </w:tcPr>
                <w:p w14:paraId="7A0528F4">
                  <w:pPr>
                    <w:widowControl/>
                    <w:jc w:val="center"/>
                    <w:textAlignment w:val="center"/>
                    <w:rPr>
                      <w:bCs/>
                      <w:color w:val="auto"/>
                      <w:kern w:val="0"/>
                      <w:szCs w:val="21"/>
                      <w:lang w:bidi="ar"/>
                    </w:rPr>
                  </w:pPr>
                  <w:r>
                    <w:rPr>
                      <w:color w:val="auto"/>
                      <w:kern w:val="0"/>
                      <w:szCs w:val="21"/>
                      <w:lang w:bidi="ar"/>
                    </w:rPr>
                    <w:t>0.00048</w:t>
                  </w:r>
                </w:p>
              </w:tc>
              <w:tc>
                <w:tcPr>
                  <w:tcW w:w="520" w:type="pct"/>
                  <w:vAlign w:val="center"/>
                </w:tcPr>
                <w:p w14:paraId="3301049D">
                  <w:pPr>
                    <w:widowControl/>
                    <w:jc w:val="center"/>
                    <w:textAlignment w:val="center"/>
                    <w:rPr>
                      <w:color w:val="auto"/>
                      <w:kern w:val="0"/>
                      <w:szCs w:val="21"/>
                      <w:lang w:bidi="ar"/>
                    </w:rPr>
                  </w:pPr>
                  <w:r>
                    <w:rPr>
                      <w:color w:val="auto"/>
                      <w:kern w:val="0"/>
                      <w:szCs w:val="21"/>
                      <w:lang w:bidi="ar"/>
                    </w:rPr>
                    <w:t>0.048</w:t>
                  </w:r>
                </w:p>
              </w:tc>
              <w:tc>
                <w:tcPr>
                  <w:tcW w:w="323" w:type="pct"/>
                  <w:vAlign w:val="center"/>
                </w:tcPr>
                <w:p w14:paraId="491ACB22">
                  <w:pPr>
                    <w:widowControl/>
                    <w:jc w:val="center"/>
                    <w:textAlignment w:val="center"/>
                    <w:rPr>
                      <w:color w:val="auto"/>
                      <w:kern w:val="0"/>
                      <w:szCs w:val="21"/>
                      <w:lang w:bidi="ar"/>
                    </w:rPr>
                  </w:pPr>
                  <w:r>
                    <w:rPr>
                      <w:color w:val="auto"/>
                      <w:kern w:val="0"/>
                      <w:szCs w:val="21"/>
                      <w:lang w:bidi="ar"/>
                    </w:rPr>
                    <w:t>0</w:t>
                  </w:r>
                </w:p>
              </w:tc>
              <w:tc>
                <w:tcPr>
                  <w:tcW w:w="426" w:type="pct"/>
                  <w:vAlign w:val="center"/>
                </w:tcPr>
                <w:p w14:paraId="23EFB7DC">
                  <w:pPr>
                    <w:widowControl/>
                    <w:jc w:val="center"/>
                    <w:textAlignment w:val="center"/>
                    <w:rPr>
                      <w:bCs/>
                      <w:color w:val="auto"/>
                      <w:kern w:val="0"/>
                      <w:szCs w:val="21"/>
                      <w:lang w:bidi="ar"/>
                    </w:rPr>
                  </w:pPr>
                  <w:r>
                    <w:rPr>
                      <w:color w:val="auto"/>
                      <w:kern w:val="0"/>
                      <w:szCs w:val="21"/>
                      <w:lang w:bidi="ar"/>
                    </w:rPr>
                    <w:t>0.00029</w:t>
                  </w:r>
                </w:p>
              </w:tc>
              <w:tc>
                <w:tcPr>
                  <w:tcW w:w="500" w:type="pct"/>
                  <w:vAlign w:val="center"/>
                </w:tcPr>
                <w:p w14:paraId="3E6D4AF7">
                  <w:pPr>
                    <w:widowControl/>
                    <w:jc w:val="center"/>
                    <w:textAlignment w:val="center"/>
                    <w:rPr>
                      <w:bCs/>
                      <w:color w:val="auto"/>
                      <w:kern w:val="0"/>
                      <w:szCs w:val="21"/>
                      <w:lang w:bidi="ar"/>
                    </w:rPr>
                  </w:pPr>
                  <w:r>
                    <w:rPr>
                      <w:color w:val="auto"/>
                      <w:kern w:val="0"/>
                      <w:szCs w:val="21"/>
                      <w:lang w:bidi="ar"/>
                    </w:rPr>
                    <w:t>0.0005</w:t>
                  </w:r>
                </w:p>
              </w:tc>
              <w:tc>
                <w:tcPr>
                  <w:tcW w:w="520" w:type="pct"/>
                  <w:vAlign w:val="center"/>
                </w:tcPr>
                <w:p w14:paraId="01E1A99F">
                  <w:pPr>
                    <w:widowControl/>
                    <w:jc w:val="center"/>
                    <w:textAlignment w:val="center"/>
                    <w:rPr>
                      <w:bCs/>
                      <w:color w:val="auto"/>
                      <w:kern w:val="0"/>
                      <w:szCs w:val="21"/>
                      <w:lang w:bidi="ar"/>
                    </w:rPr>
                  </w:pPr>
                  <w:r>
                    <w:rPr>
                      <w:color w:val="auto"/>
                      <w:kern w:val="0"/>
                      <w:szCs w:val="21"/>
                      <w:lang w:bidi="ar"/>
                    </w:rPr>
                    <w:t>0.048</w:t>
                  </w:r>
                </w:p>
              </w:tc>
            </w:tr>
            <w:tr w14:paraId="17D57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302" w:type="pct"/>
                  <w:vMerge w:val="continue"/>
                  <w:vAlign w:val="center"/>
                </w:tcPr>
                <w:p w14:paraId="0BD98E8C">
                  <w:pPr>
                    <w:widowControl/>
                    <w:jc w:val="center"/>
                    <w:textAlignment w:val="center"/>
                    <w:rPr>
                      <w:color w:val="auto"/>
                      <w:kern w:val="0"/>
                      <w:szCs w:val="21"/>
                      <w:lang w:bidi="ar"/>
                    </w:rPr>
                  </w:pPr>
                </w:p>
              </w:tc>
              <w:tc>
                <w:tcPr>
                  <w:tcW w:w="560" w:type="pct"/>
                  <w:vMerge w:val="restart"/>
                  <w:vAlign w:val="center"/>
                </w:tcPr>
                <w:p w14:paraId="343E550C">
                  <w:pPr>
                    <w:widowControl/>
                    <w:jc w:val="center"/>
                    <w:textAlignment w:val="center"/>
                    <w:rPr>
                      <w:bCs/>
                      <w:color w:val="auto"/>
                      <w:kern w:val="0"/>
                      <w:szCs w:val="21"/>
                      <w:lang w:bidi="ar"/>
                    </w:rPr>
                  </w:pPr>
                  <w:r>
                    <w:rPr>
                      <w:rFonts w:hint="eastAsia"/>
                      <w:color w:val="auto"/>
                      <w:kern w:val="0"/>
                      <w:szCs w:val="21"/>
                      <w:lang w:bidi="ar"/>
                    </w:rPr>
                    <w:t>DA006</w:t>
                  </w:r>
                </w:p>
              </w:tc>
              <w:tc>
                <w:tcPr>
                  <w:tcW w:w="502" w:type="pct"/>
                  <w:vAlign w:val="center"/>
                </w:tcPr>
                <w:p w14:paraId="56516C13">
                  <w:pPr>
                    <w:widowControl/>
                    <w:jc w:val="center"/>
                    <w:textAlignment w:val="center"/>
                    <w:rPr>
                      <w:color w:val="auto"/>
                      <w:kern w:val="0"/>
                      <w:szCs w:val="21"/>
                      <w:lang w:bidi="ar"/>
                    </w:rPr>
                  </w:pPr>
                  <w:r>
                    <w:rPr>
                      <w:rFonts w:hint="eastAsia"/>
                      <w:color w:val="auto"/>
                      <w:kern w:val="0"/>
                      <w:szCs w:val="21"/>
                      <w:lang w:bidi="ar"/>
                    </w:rPr>
                    <w:t>硫酸雾</w:t>
                  </w:r>
                </w:p>
              </w:tc>
              <w:tc>
                <w:tcPr>
                  <w:tcW w:w="377" w:type="pct"/>
                  <w:vMerge w:val="restart"/>
                  <w:vAlign w:val="center"/>
                </w:tcPr>
                <w:p w14:paraId="0CABF005">
                  <w:pPr>
                    <w:widowControl/>
                    <w:jc w:val="center"/>
                    <w:textAlignment w:val="center"/>
                    <w:rPr>
                      <w:color w:val="auto"/>
                      <w:kern w:val="0"/>
                      <w:szCs w:val="21"/>
                      <w:lang w:bidi="ar"/>
                    </w:rPr>
                  </w:pPr>
                  <w:r>
                    <w:rPr>
                      <w:rFonts w:hint="eastAsia"/>
                      <w:color w:val="auto"/>
                      <w:kern w:val="0"/>
                      <w:szCs w:val="21"/>
                      <w:lang w:bidi="ar"/>
                    </w:rPr>
                    <w:t>7000</w:t>
                  </w:r>
                </w:p>
              </w:tc>
              <w:tc>
                <w:tcPr>
                  <w:tcW w:w="463" w:type="pct"/>
                  <w:vAlign w:val="center"/>
                </w:tcPr>
                <w:p w14:paraId="3B239E7F">
                  <w:pPr>
                    <w:widowControl/>
                    <w:jc w:val="center"/>
                    <w:textAlignment w:val="center"/>
                    <w:rPr>
                      <w:color w:val="auto"/>
                      <w:kern w:val="0"/>
                      <w:szCs w:val="21"/>
                      <w:lang w:bidi="ar"/>
                    </w:rPr>
                  </w:pPr>
                  <w:r>
                    <w:rPr>
                      <w:color w:val="auto"/>
                      <w:kern w:val="0"/>
                      <w:szCs w:val="21"/>
                      <w:lang w:bidi="ar"/>
                    </w:rPr>
                    <w:t>0.142</w:t>
                  </w:r>
                </w:p>
              </w:tc>
              <w:tc>
                <w:tcPr>
                  <w:tcW w:w="505" w:type="pct"/>
                  <w:vAlign w:val="center"/>
                </w:tcPr>
                <w:p w14:paraId="60844E31">
                  <w:pPr>
                    <w:widowControl/>
                    <w:jc w:val="center"/>
                    <w:textAlignment w:val="center"/>
                    <w:rPr>
                      <w:color w:val="auto"/>
                      <w:kern w:val="0"/>
                      <w:szCs w:val="21"/>
                      <w:lang w:bidi="ar"/>
                    </w:rPr>
                  </w:pPr>
                  <w:r>
                    <w:rPr>
                      <w:color w:val="auto"/>
                      <w:kern w:val="0"/>
                      <w:szCs w:val="21"/>
                      <w:lang w:bidi="ar"/>
                    </w:rPr>
                    <w:t>0.678</w:t>
                  </w:r>
                </w:p>
              </w:tc>
              <w:tc>
                <w:tcPr>
                  <w:tcW w:w="520" w:type="pct"/>
                  <w:vAlign w:val="center"/>
                </w:tcPr>
                <w:p w14:paraId="4EB8A8C2">
                  <w:pPr>
                    <w:widowControl/>
                    <w:jc w:val="center"/>
                    <w:textAlignment w:val="center"/>
                    <w:rPr>
                      <w:color w:val="auto"/>
                      <w:kern w:val="0"/>
                      <w:szCs w:val="21"/>
                      <w:lang w:bidi="ar"/>
                    </w:rPr>
                  </w:pPr>
                  <w:r>
                    <w:rPr>
                      <w:color w:val="auto"/>
                      <w:kern w:val="0"/>
                      <w:szCs w:val="21"/>
                      <w:lang w:bidi="ar"/>
                    </w:rPr>
                    <w:t>96.86</w:t>
                  </w:r>
                </w:p>
              </w:tc>
              <w:tc>
                <w:tcPr>
                  <w:tcW w:w="323" w:type="pct"/>
                  <w:vAlign w:val="center"/>
                </w:tcPr>
                <w:p w14:paraId="1D2EF717">
                  <w:pPr>
                    <w:widowControl/>
                    <w:jc w:val="center"/>
                    <w:textAlignment w:val="center"/>
                    <w:rPr>
                      <w:color w:val="auto"/>
                      <w:kern w:val="0"/>
                      <w:szCs w:val="21"/>
                      <w:lang w:bidi="ar"/>
                    </w:rPr>
                  </w:pPr>
                  <w:r>
                    <w:rPr>
                      <w:color w:val="auto"/>
                      <w:kern w:val="0"/>
                      <w:szCs w:val="21"/>
                      <w:lang w:bidi="ar"/>
                    </w:rPr>
                    <w:t>90%</w:t>
                  </w:r>
                </w:p>
              </w:tc>
              <w:tc>
                <w:tcPr>
                  <w:tcW w:w="426" w:type="pct"/>
                  <w:vAlign w:val="center"/>
                </w:tcPr>
                <w:p w14:paraId="2DC9F450">
                  <w:pPr>
                    <w:widowControl/>
                    <w:jc w:val="center"/>
                    <w:textAlignment w:val="center"/>
                    <w:rPr>
                      <w:color w:val="auto"/>
                      <w:kern w:val="0"/>
                      <w:szCs w:val="21"/>
                      <w:lang w:bidi="ar"/>
                    </w:rPr>
                  </w:pPr>
                  <w:r>
                    <w:rPr>
                      <w:color w:val="auto"/>
                      <w:kern w:val="0"/>
                      <w:szCs w:val="21"/>
                      <w:lang w:bidi="ar"/>
                    </w:rPr>
                    <w:t>0.0142</w:t>
                  </w:r>
                </w:p>
              </w:tc>
              <w:tc>
                <w:tcPr>
                  <w:tcW w:w="500" w:type="pct"/>
                  <w:vAlign w:val="center"/>
                </w:tcPr>
                <w:p w14:paraId="37AE7B6D">
                  <w:pPr>
                    <w:widowControl/>
                    <w:jc w:val="center"/>
                    <w:textAlignment w:val="center"/>
                    <w:rPr>
                      <w:color w:val="auto"/>
                      <w:kern w:val="0"/>
                      <w:szCs w:val="21"/>
                      <w:lang w:bidi="ar"/>
                    </w:rPr>
                  </w:pPr>
                  <w:r>
                    <w:rPr>
                      <w:color w:val="auto"/>
                      <w:kern w:val="0"/>
                      <w:szCs w:val="21"/>
                      <w:lang w:bidi="ar"/>
                    </w:rPr>
                    <w:t>0.0678</w:t>
                  </w:r>
                </w:p>
              </w:tc>
              <w:tc>
                <w:tcPr>
                  <w:tcW w:w="520" w:type="pct"/>
                  <w:vAlign w:val="center"/>
                </w:tcPr>
                <w:p w14:paraId="3BC1E0AF">
                  <w:pPr>
                    <w:widowControl/>
                    <w:jc w:val="center"/>
                    <w:textAlignment w:val="center"/>
                    <w:rPr>
                      <w:color w:val="auto"/>
                      <w:kern w:val="0"/>
                      <w:szCs w:val="21"/>
                      <w:lang w:bidi="ar"/>
                    </w:rPr>
                  </w:pPr>
                  <w:r>
                    <w:rPr>
                      <w:color w:val="auto"/>
                      <w:kern w:val="0"/>
                      <w:szCs w:val="21"/>
                      <w:lang w:bidi="ar"/>
                    </w:rPr>
                    <w:t>9.7</w:t>
                  </w:r>
                </w:p>
              </w:tc>
            </w:tr>
            <w:tr w14:paraId="07F1F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74154B87">
                  <w:pPr>
                    <w:widowControl/>
                    <w:jc w:val="center"/>
                    <w:textAlignment w:val="center"/>
                    <w:rPr>
                      <w:color w:val="auto"/>
                    </w:rPr>
                  </w:pPr>
                </w:p>
              </w:tc>
              <w:tc>
                <w:tcPr>
                  <w:tcW w:w="560" w:type="pct"/>
                  <w:vMerge w:val="continue"/>
                  <w:vAlign w:val="center"/>
                </w:tcPr>
                <w:p w14:paraId="6FFF79DE">
                  <w:pPr>
                    <w:widowControl/>
                    <w:jc w:val="center"/>
                    <w:textAlignment w:val="center"/>
                    <w:rPr>
                      <w:bCs/>
                      <w:color w:val="auto"/>
                      <w:kern w:val="0"/>
                      <w:szCs w:val="21"/>
                      <w:lang w:bidi="ar"/>
                    </w:rPr>
                  </w:pPr>
                </w:p>
              </w:tc>
              <w:tc>
                <w:tcPr>
                  <w:tcW w:w="502" w:type="pct"/>
                  <w:vAlign w:val="center"/>
                </w:tcPr>
                <w:p w14:paraId="36F3355B">
                  <w:pPr>
                    <w:widowControl/>
                    <w:jc w:val="center"/>
                    <w:textAlignment w:val="center"/>
                    <w:rPr>
                      <w:color w:val="auto"/>
                      <w:kern w:val="0"/>
                      <w:szCs w:val="21"/>
                      <w:lang w:bidi="ar"/>
                    </w:rPr>
                  </w:pPr>
                  <w:r>
                    <w:rPr>
                      <w:rFonts w:hint="eastAsia"/>
                      <w:color w:val="auto"/>
                      <w:kern w:val="0"/>
                      <w:szCs w:val="21"/>
                      <w:lang w:bidi="ar"/>
                    </w:rPr>
                    <w:t>颗粒物</w:t>
                  </w:r>
                </w:p>
              </w:tc>
              <w:tc>
                <w:tcPr>
                  <w:tcW w:w="377" w:type="pct"/>
                  <w:vMerge w:val="continue"/>
                  <w:vAlign w:val="center"/>
                </w:tcPr>
                <w:p w14:paraId="2B52B9B4">
                  <w:pPr>
                    <w:widowControl/>
                    <w:jc w:val="center"/>
                    <w:textAlignment w:val="center"/>
                    <w:rPr>
                      <w:color w:val="auto"/>
                      <w:kern w:val="0"/>
                      <w:szCs w:val="21"/>
                      <w:lang w:bidi="ar"/>
                    </w:rPr>
                  </w:pPr>
                </w:p>
              </w:tc>
              <w:tc>
                <w:tcPr>
                  <w:tcW w:w="463" w:type="pct"/>
                  <w:vAlign w:val="center"/>
                </w:tcPr>
                <w:p w14:paraId="1FAAF979">
                  <w:pPr>
                    <w:widowControl/>
                    <w:jc w:val="center"/>
                    <w:textAlignment w:val="center"/>
                    <w:rPr>
                      <w:bCs/>
                      <w:color w:val="auto"/>
                      <w:kern w:val="0"/>
                      <w:szCs w:val="21"/>
                      <w:lang w:bidi="ar"/>
                    </w:rPr>
                  </w:pPr>
                  <w:r>
                    <w:rPr>
                      <w:color w:val="auto"/>
                      <w:kern w:val="0"/>
                      <w:szCs w:val="21"/>
                      <w:lang w:bidi="ar"/>
                    </w:rPr>
                    <w:t>0.0046</w:t>
                  </w:r>
                </w:p>
              </w:tc>
              <w:tc>
                <w:tcPr>
                  <w:tcW w:w="505" w:type="pct"/>
                  <w:vAlign w:val="center"/>
                </w:tcPr>
                <w:p w14:paraId="7D314A94">
                  <w:pPr>
                    <w:widowControl/>
                    <w:jc w:val="center"/>
                    <w:textAlignment w:val="center"/>
                    <w:rPr>
                      <w:bCs/>
                      <w:color w:val="auto"/>
                      <w:kern w:val="0"/>
                      <w:szCs w:val="21"/>
                      <w:lang w:bidi="ar"/>
                    </w:rPr>
                  </w:pPr>
                  <w:r>
                    <w:rPr>
                      <w:color w:val="auto"/>
                      <w:kern w:val="0"/>
                      <w:szCs w:val="21"/>
                      <w:lang w:bidi="ar"/>
                    </w:rPr>
                    <w:t>0.0015</w:t>
                  </w:r>
                </w:p>
              </w:tc>
              <w:tc>
                <w:tcPr>
                  <w:tcW w:w="520" w:type="pct"/>
                  <w:vAlign w:val="center"/>
                </w:tcPr>
                <w:p w14:paraId="670715BC">
                  <w:pPr>
                    <w:widowControl/>
                    <w:jc w:val="center"/>
                    <w:textAlignment w:val="center"/>
                    <w:rPr>
                      <w:color w:val="auto"/>
                      <w:kern w:val="0"/>
                      <w:szCs w:val="21"/>
                      <w:lang w:bidi="ar"/>
                    </w:rPr>
                  </w:pPr>
                  <w:r>
                    <w:rPr>
                      <w:color w:val="auto"/>
                      <w:kern w:val="0"/>
                      <w:szCs w:val="21"/>
                      <w:lang w:bidi="ar"/>
                    </w:rPr>
                    <w:t>0.214</w:t>
                  </w:r>
                </w:p>
              </w:tc>
              <w:tc>
                <w:tcPr>
                  <w:tcW w:w="323" w:type="pct"/>
                  <w:vAlign w:val="center"/>
                </w:tcPr>
                <w:p w14:paraId="15D9C4CF">
                  <w:pPr>
                    <w:widowControl/>
                    <w:jc w:val="center"/>
                    <w:textAlignment w:val="center"/>
                    <w:rPr>
                      <w:bCs/>
                      <w:color w:val="auto"/>
                      <w:kern w:val="0"/>
                      <w:szCs w:val="21"/>
                      <w:lang w:bidi="ar"/>
                    </w:rPr>
                  </w:pPr>
                  <w:r>
                    <w:rPr>
                      <w:color w:val="auto"/>
                      <w:kern w:val="0"/>
                      <w:szCs w:val="21"/>
                      <w:lang w:bidi="ar"/>
                    </w:rPr>
                    <w:t>80%</w:t>
                  </w:r>
                </w:p>
              </w:tc>
              <w:tc>
                <w:tcPr>
                  <w:tcW w:w="426" w:type="pct"/>
                  <w:vAlign w:val="center"/>
                </w:tcPr>
                <w:p w14:paraId="5E60082C">
                  <w:pPr>
                    <w:widowControl/>
                    <w:jc w:val="center"/>
                    <w:textAlignment w:val="center"/>
                    <w:rPr>
                      <w:bCs/>
                      <w:color w:val="auto"/>
                      <w:kern w:val="0"/>
                      <w:szCs w:val="21"/>
                      <w:lang w:bidi="ar"/>
                    </w:rPr>
                  </w:pPr>
                  <w:r>
                    <w:rPr>
                      <w:color w:val="auto"/>
                      <w:kern w:val="0"/>
                      <w:szCs w:val="21"/>
                      <w:lang w:bidi="ar"/>
                    </w:rPr>
                    <w:t>0.0009</w:t>
                  </w:r>
                </w:p>
              </w:tc>
              <w:tc>
                <w:tcPr>
                  <w:tcW w:w="500" w:type="pct"/>
                  <w:vAlign w:val="center"/>
                </w:tcPr>
                <w:p w14:paraId="25266B0F">
                  <w:pPr>
                    <w:widowControl/>
                    <w:jc w:val="center"/>
                    <w:textAlignment w:val="center"/>
                    <w:rPr>
                      <w:bCs/>
                      <w:color w:val="auto"/>
                      <w:kern w:val="0"/>
                      <w:szCs w:val="21"/>
                      <w:lang w:bidi="ar"/>
                    </w:rPr>
                  </w:pPr>
                  <w:r>
                    <w:rPr>
                      <w:color w:val="auto"/>
                      <w:kern w:val="0"/>
                      <w:szCs w:val="21"/>
                      <w:lang w:bidi="ar"/>
                    </w:rPr>
                    <w:t>0.0003</w:t>
                  </w:r>
                </w:p>
              </w:tc>
              <w:tc>
                <w:tcPr>
                  <w:tcW w:w="520" w:type="pct"/>
                  <w:vAlign w:val="center"/>
                </w:tcPr>
                <w:p w14:paraId="4DE5E794">
                  <w:pPr>
                    <w:widowControl/>
                    <w:jc w:val="center"/>
                    <w:textAlignment w:val="center"/>
                    <w:rPr>
                      <w:bCs/>
                      <w:color w:val="auto"/>
                      <w:kern w:val="0"/>
                      <w:szCs w:val="21"/>
                      <w:lang w:bidi="ar"/>
                    </w:rPr>
                  </w:pPr>
                  <w:r>
                    <w:rPr>
                      <w:color w:val="auto"/>
                      <w:kern w:val="0"/>
                      <w:szCs w:val="21"/>
                      <w:lang w:bidi="ar"/>
                    </w:rPr>
                    <w:t>0.0429</w:t>
                  </w:r>
                </w:p>
              </w:tc>
            </w:tr>
            <w:tr w14:paraId="3DDD2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6992E35B">
                  <w:pPr>
                    <w:widowControl/>
                    <w:jc w:val="center"/>
                    <w:textAlignment w:val="center"/>
                    <w:rPr>
                      <w:bCs/>
                      <w:color w:val="auto"/>
                      <w:kern w:val="0"/>
                      <w:szCs w:val="21"/>
                      <w:lang w:bidi="ar"/>
                    </w:rPr>
                  </w:pPr>
                </w:p>
              </w:tc>
              <w:tc>
                <w:tcPr>
                  <w:tcW w:w="560" w:type="pct"/>
                  <w:vMerge w:val="continue"/>
                  <w:vAlign w:val="center"/>
                </w:tcPr>
                <w:p w14:paraId="432907D4">
                  <w:pPr>
                    <w:widowControl/>
                    <w:jc w:val="center"/>
                    <w:textAlignment w:val="center"/>
                    <w:rPr>
                      <w:bCs/>
                      <w:color w:val="auto"/>
                      <w:kern w:val="0"/>
                      <w:szCs w:val="21"/>
                      <w:lang w:bidi="ar"/>
                    </w:rPr>
                  </w:pPr>
                </w:p>
              </w:tc>
              <w:tc>
                <w:tcPr>
                  <w:tcW w:w="502" w:type="pct"/>
                  <w:vAlign w:val="center"/>
                </w:tcPr>
                <w:p w14:paraId="181E2DD4">
                  <w:pPr>
                    <w:widowControl/>
                    <w:jc w:val="center"/>
                    <w:textAlignment w:val="center"/>
                    <w:rPr>
                      <w:color w:val="auto"/>
                      <w:kern w:val="0"/>
                      <w:szCs w:val="21"/>
                      <w:lang w:bidi="ar"/>
                    </w:rPr>
                  </w:pPr>
                  <w:r>
                    <w:rPr>
                      <w:rFonts w:hint="eastAsia"/>
                      <w:color w:val="auto"/>
                      <w:kern w:val="0"/>
                      <w:szCs w:val="21"/>
                      <w:lang w:bidi="ar"/>
                    </w:rPr>
                    <w:t>氮氧化物</w:t>
                  </w:r>
                </w:p>
              </w:tc>
              <w:tc>
                <w:tcPr>
                  <w:tcW w:w="377" w:type="pct"/>
                  <w:vMerge w:val="continue"/>
                  <w:vAlign w:val="center"/>
                </w:tcPr>
                <w:p w14:paraId="58D0E160">
                  <w:pPr>
                    <w:widowControl/>
                    <w:jc w:val="center"/>
                    <w:textAlignment w:val="center"/>
                    <w:rPr>
                      <w:color w:val="auto"/>
                      <w:kern w:val="0"/>
                      <w:szCs w:val="21"/>
                      <w:lang w:bidi="ar"/>
                    </w:rPr>
                  </w:pPr>
                </w:p>
              </w:tc>
              <w:tc>
                <w:tcPr>
                  <w:tcW w:w="463" w:type="pct"/>
                  <w:vAlign w:val="center"/>
                </w:tcPr>
                <w:p w14:paraId="60630507">
                  <w:pPr>
                    <w:widowControl/>
                    <w:jc w:val="center"/>
                    <w:textAlignment w:val="center"/>
                    <w:rPr>
                      <w:bCs/>
                      <w:color w:val="auto"/>
                      <w:kern w:val="0"/>
                      <w:szCs w:val="21"/>
                      <w:lang w:bidi="ar"/>
                    </w:rPr>
                  </w:pPr>
                  <w:r>
                    <w:rPr>
                      <w:color w:val="auto"/>
                      <w:kern w:val="0"/>
                      <w:szCs w:val="21"/>
                      <w:lang w:bidi="ar"/>
                    </w:rPr>
                    <w:t>0.015</w:t>
                  </w:r>
                </w:p>
              </w:tc>
              <w:tc>
                <w:tcPr>
                  <w:tcW w:w="505" w:type="pct"/>
                  <w:vAlign w:val="center"/>
                </w:tcPr>
                <w:p w14:paraId="51C4BFA0">
                  <w:pPr>
                    <w:widowControl/>
                    <w:jc w:val="center"/>
                    <w:textAlignment w:val="center"/>
                    <w:rPr>
                      <w:bCs/>
                      <w:color w:val="auto"/>
                      <w:kern w:val="0"/>
                      <w:szCs w:val="21"/>
                      <w:lang w:bidi="ar"/>
                    </w:rPr>
                  </w:pPr>
                  <w:r>
                    <w:rPr>
                      <w:color w:val="auto"/>
                      <w:kern w:val="0"/>
                      <w:szCs w:val="21"/>
                      <w:lang w:bidi="ar"/>
                    </w:rPr>
                    <w:t>0.005</w:t>
                  </w:r>
                </w:p>
              </w:tc>
              <w:tc>
                <w:tcPr>
                  <w:tcW w:w="520" w:type="pct"/>
                  <w:vAlign w:val="center"/>
                </w:tcPr>
                <w:p w14:paraId="03F82E0D">
                  <w:pPr>
                    <w:widowControl/>
                    <w:jc w:val="center"/>
                    <w:textAlignment w:val="center"/>
                    <w:rPr>
                      <w:color w:val="auto"/>
                      <w:kern w:val="0"/>
                      <w:szCs w:val="21"/>
                      <w:lang w:bidi="ar"/>
                    </w:rPr>
                  </w:pPr>
                  <w:r>
                    <w:rPr>
                      <w:color w:val="auto"/>
                      <w:kern w:val="0"/>
                      <w:szCs w:val="21"/>
                      <w:lang w:bidi="ar"/>
                    </w:rPr>
                    <w:t>0.714</w:t>
                  </w:r>
                </w:p>
              </w:tc>
              <w:tc>
                <w:tcPr>
                  <w:tcW w:w="323" w:type="pct"/>
                  <w:vAlign w:val="center"/>
                </w:tcPr>
                <w:p w14:paraId="630B62CA">
                  <w:pPr>
                    <w:widowControl/>
                    <w:jc w:val="center"/>
                    <w:textAlignment w:val="center"/>
                    <w:rPr>
                      <w:bCs/>
                      <w:color w:val="auto"/>
                      <w:kern w:val="0"/>
                      <w:szCs w:val="21"/>
                      <w:lang w:bidi="ar"/>
                    </w:rPr>
                  </w:pPr>
                  <w:r>
                    <w:rPr>
                      <w:color w:val="auto"/>
                      <w:kern w:val="0"/>
                      <w:szCs w:val="21"/>
                      <w:lang w:bidi="ar"/>
                    </w:rPr>
                    <w:t>0</w:t>
                  </w:r>
                </w:p>
              </w:tc>
              <w:tc>
                <w:tcPr>
                  <w:tcW w:w="426" w:type="pct"/>
                  <w:vAlign w:val="center"/>
                </w:tcPr>
                <w:p w14:paraId="46D9D6D2">
                  <w:pPr>
                    <w:widowControl/>
                    <w:jc w:val="center"/>
                    <w:textAlignment w:val="center"/>
                    <w:rPr>
                      <w:bCs/>
                      <w:color w:val="auto"/>
                      <w:kern w:val="0"/>
                      <w:szCs w:val="21"/>
                      <w:lang w:bidi="ar"/>
                    </w:rPr>
                  </w:pPr>
                  <w:r>
                    <w:rPr>
                      <w:color w:val="auto"/>
                      <w:kern w:val="0"/>
                      <w:szCs w:val="21"/>
                      <w:lang w:bidi="ar"/>
                    </w:rPr>
                    <w:t>0.015</w:t>
                  </w:r>
                </w:p>
              </w:tc>
              <w:tc>
                <w:tcPr>
                  <w:tcW w:w="500" w:type="pct"/>
                  <w:vAlign w:val="center"/>
                </w:tcPr>
                <w:p w14:paraId="2E12FE4C">
                  <w:pPr>
                    <w:widowControl/>
                    <w:jc w:val="center"/>
                    <w:textAlignment w:val="center"/>
                    <w:rPr>
                      <w:bCs/>
                      <w:color w:val="auto"/>
                      <w:kern w:val="0"/>
                      <w:szCs w:val="21"/>
                      <w:lang w:bidi="ar"/>
                    </w:rPr>
                  </w:pPr>
                  <w:r>
                    <w:rPr>
                      <w:color w:val="auto"/>
                      <w:kern w:val="0"/>
                      <w:szCs w:val="21"/>
                      <w:lang w:bidi="ar"/>
                    </w:rPr>
                    <w:t>0.005</w:t>
                  </w:r>
                </w:p>
              </w:tc>
              <w:tc>
                <w:tcPr>
                  <w:tcW w:w="520" w:type="pct"/>
                  <w:vAlign w:val="center"/>
                </w:tcPr>
                <w:p w14:paraId="29B27271">
                  <w:pPr>
                    <w:widowControl/>
                    <w:jc w:val="center"/>
                    <w:textAlignment w:val="center"/>
                    <w:rPr>
                      <w:bCs/>
                      <w:color w:val="auto"/>
                      <w:kern w:val="0"/>
                      <w:szCs w:val="21"/>
                      <w:lang w:bidi="ar"/>
                    </w:rPr>
                  </w:pPr>
                  <w:r>
                    <w:rPr>
                      <w:color w:val="auto"/>
                      <w:kern w:val="0"/>
                      <w:szCs w:val="21"/>
                      <w:lang w:bidi="ar"/>
                    </w:rPr>
                    <w:t>0.714</w:t>
                  </w:r>
                </w:p>
              </w:tc>
            </w:tr>
            <w:tr w14:paraId="2F0D8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6766C3FC">
                  <w:pPr>
                    <w:widowControl/>
                    <w:jc w:val="center"/>
                    <w:textAlignment w:val="center"/>
                    <w:rPr>
                      <w:bCs/>
                      <w:color w:val="auto"/>
                      <w:kern w:val="0"/>
                      <w:szCs w:val="21"/>
                      <w:lang w:bidi="ar"/>
                    </w:rPr>
                  </w:pPr>
                </w:p>
              </w:tc>
              <w:tc>
                <w:tcPr>
                  <w:tcW w:w="560" w:type="pct"/>
                  <w:vMerge w:val="continue"/>
                  <w:vAlign w:val="center"/>
                </w:tcPr>
                <w:p w14:paraId="6C7986D1">
                  <w:pPr>
                    <w:widowControl/>
                    <w:jc w:val="center"/>
                    <w:textAlignment w:val="center"/>
                    <w:rPr>
                      <w:bCs/>
                      <w:color w:val="auto"/>
                      <w:kern w:val="0"/>
                      <w:szCs w:val="21"/>
                      <w:lang w:bidi="ar"/>
                    </w:rPr>
                  </w:pPr>
                </w:p>
              </w:tc>
              <w:tc>
                <w:tcPr>
                  <w:tcW w:w="502" w:type="pct"/>
                  <w:vAlign w:val="center"/>
                </w:tcPr>
                <w:p w14:paraId="0D35EBD3">
                  <w:pPr>
                    <w:widowControl/>
                    <w:jc w:val="center"/>
                    <w:textAlignment w:val="center"/>
                    <w:rPr>
                      <w:color w:val="auto"/>
                      <w:kern w:val="0"/>
                      <w:szCs w:val="21"/>
                      <w:lang w:bidi="ar"/>
                    </w:rPr>
                  </w:pPr>
                  <w:r>
                    <w:rPr>
                      <w:rFonts w:hint="eastAsia"/>
                      <w:color w:val="auto"/>
                      <w:kern w:val="0"/>
                      <w:szCs w:val="21"/>
                      <w:lang w:bidi="ar"/>
                    </w:rPr>
                    <w:t>二氧化硫</w:t>
                  </w:r>
                </w:p>
              </w:tc>
              <w:tc>
                <w:tcPr>
                  <w:tcW w:w="377" w:type="pct"/>
                  <w:vMerge w:val="continue"/>
                  <w:vAlign w:val="center"/>
                </w:tcPr>
                <w:p w14:paraId="68A4C6B5">
                  <w:pPr>
                    <w:widowControl/>
                    <w:jc w:val="center"/>
                    <w:textAlignment w:val="center"/>
                    <w:rPr>
                      <w:color w:val="auto"/>
                      <w:kern w:val="0"/>
                      <w:szCs w:val="21"/>
                      <w:lang w:bidi="ar"/>
                    </w:rPr>
                  </w:pPr>
                </w:p>
              </w:tc>
              <w:tc>
                <w:tcPr>
                  <w:tcW w:w="463" w:type="pct"/>
                  <w:vAlign w:val="center"/>
                </w:tcPr>
                <w:p w14:paraId="1467EB6B">
                  <w:pPr>
                    <w:widowControl/>
                    <w:jc w:val="center"/>
                    <w:textAlignment w:val="center"/>
                    <w:rPr>
                      <w:bCs/>
                      <w:color w:val="auto"/>
                      <w:kern w:val="0"/>
                      <w:szCs w:val="21"/>
                      <w:lang w:bidi="ar"/>
                    </w:rPr>
                  </w:pPr>
                  <w:r>
                    <w:rPr>
                      <w:color w:val="auto"/>
                      <w:kern w:val="0"/>
                      <w:szCs w:val="21"/>
                      <w:lang w:bidi="ar"/>
                    </w:rPr>
                    <w:t>0.0032</w:t>
                  </w:r>
                </w:p>
              </w:tc>
              <w:tc>
                <w:tcPr>
                  <w:tcW w:w="505" w:type="pct"/>
                  <w:vAlign w:val="center"/>
                </w:tcPr>
                <w:p w14:paraId="71BF1D4B">
                  <w:pPr>
                    <w:widowControl/>
                    <w:jc w:val="center"/>
                    <w:textAlignment w:val="center"/>
                    <w:rPr>
                      <w:bCs/>
                      <w:color w:val="auto"/>
                      <w:kern w:val="0"/>
                      <w:szCs w:val="21"/>
                      <w:lang w:bidi="ar"/>
                    </w:rPr>
                  </w:pPr>
                  <w:r>
                    <w:rPr>
                      <w:color w:val="auto"/>
                      <w:kern w:val="0"/>
                      <w:szCs w:val="21"/>
                      <w:lang w:bidi="ar"/>
                    </w:rPr>
                    <w:t>0.001</w:t>
                  </w:r>
                </w:p>
              </w:tc>
              <w:tc>
                <w:tcPr>
                  <w:tcW w:w="520" w:type="pct"/>
                  <w:vAlign w:val="center"/>
                </w:tcPr>
                <w:p w14:paraId="4BD3B3A4">
                  <w:pPr>
                    <w:widowControl/>
                    <w:jc w:val="center"/>
                    <w:textAlignment w:val="center"/>
                    <w:rPr>
                      <w:color w:val="auto"/>
                      <w:kern w:val="0"/>
                      <w:szCs w:val="21"/>
                      <w:lang w:bidi="ar"/>
                    </w:rPr>
                  </w:pPr>
                  <w:r>
                    <w:rPr>
                      <w:color w:val="auto"/>
                      <w:kern w:val="0"/>
                      <w:szCs w:val="21"/>
                      <w:lang w:bidi="ar"/>
                    </w:rPr>
                    <w:t>0.143</w:t>
                  </w:r>
                </w:p>
              </w:tc>
              <w:tc>
                <w:tcPr>
                  <w:tcW w:w="323" w:type="pct"/>
                  <w:vAlign w:val="center"/>
                </w:tcPr>
                <w:p w14:paraId="139F7BEA">
                  <w:pPr>
                    <w:widowControl/>
                    <w:jc w:val="center"/>
                    <w:textAlignment w:val="center"/>
                    <w:rPr>
                      <w:bCs/>
                      <w:color w:val="auto"/>
                      <w:kern w:val="0"/>
                      <w:szCs w:val="21"/>
                      <w:lang w:bidi="ar"/>
                    </w:rPr>
                  </w:pPr>
                  <w:r>
                    <w:rPr>
                      <w:color w:val="auto"/>
                      <w:kern w:val="0"/>
                      <w:szCs w:val="21"/>
                      <w:lang w:bidi="ar"/>
                    </w:rPr>
                    <w:t>0</w:t>
                  </w:r>
                </w:p>
              </w:tc>
              <w:tc>
                <w:tcPr>
                  <w:tcW w:w="426" w:type="pct"/>
                  <w:vAlign w:val="center"/>
                </w:tcPr>
                <w:p w14:paraId="6861719C">
                  <w:pPr>
                    <w:widowControl/>
                    <w:jc w:val="center"/>
                    <w:textAlignment w:val="center"/>
                    <w:rPr>
                      <w:bCs/>
                      <w:color w:val="auto"/>
                      <w:kern w:val="0"/>
                      <w:szCs w:val="21"/>
                      <w:lang w:bidi="ar"/>
                    </w:rPr>
                  </w:pPr>
                  <w:r>
                    <w:rPr>
                      <w:color w:val="auto"/>
                      <w:kern w:val="0"/>
                      <w:szCs w:val="21"/>
                      <w:lang w:bidi="ar"/>
                    </w:rPr>
                    <w:t>0.0032</w:t>
                  </w:r>
                </w:p>
              </w:tc>
              <w:tc>
                <w:tcPr>
                  <w:tcW w:w="500" w:type="pct"/>
                  <w:vAlign w:val="center"/>
                </w:tcPr>
                <w:p w14:paraId="7D5050F3">
                  <w:pPr>
                    <w:widowControl/>
                    <w:jc w:val="center"/>
                    <w:textAlignment w:val="center"/>
                    <w:rPr>
                      <w:bCs/>
                      <w:color w:val="auto"/>
                      <w:kern w:val="0"/>
                      <w:szCs w:val="21"/>
                      <w:lang w:bidi="ar"/>
                    </w:rPr>
                  </w:pPr>
                  <w:r>
                    <w:rPr>
                      <w:color w:val="auto"/>
                      <w:kern w:val="0"/>
                      <w:szCs w:val="21"/>
                      <w:lang w:bidi="ar"/>
                    </w:rPr>
                    <w:t>0.001</w:t>
                  </w:r>
                </w:p>
              </w:tc>
              <w:tc>
                <w:tcPr>
                  <w:tcW w:w="520" w:type="pct"/>
                  <w:vAlign w:val="center"/>
                </w:tcPr>
                <w:p w14:paraId="0D3E6DF8">
                  <w:pPr>
                    <w:widowControl/>
                    <w:jc w:val="center"/>
                    <w:textAlignment w:val="center"/>
                    <w:rPr>
                      <w:bCs/>
                      <w:color w:val="auto"/>
                      <w:kern w:val="0"/>
                      <w:szCs w:val="21"/>
                      <w:lang w:bidi="ar"/>
                    </w:rPr>
                  </w:pPr>
                  <w:r>
                    <w:rPr>
                      <w:color w:val="auto"/>
                      <w:kern w:val="0"/>
                      <w:szCs w:val="21"/>
                      <w:lang w:bidi="ar"/>
                    </w:rPr>
                    <w:t>0.143</w:t>
                  </w:r>
                </w:p>
              </w:tc>
            </w:tr>
            <w:tr w14:paraId="63C53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352572B5">
                  <w:pPr>
                    <w:widowControl/>
                    <w:jc w:val="center"/>
                    <w:textAlignment w:val="center"/>
                    <w:rPr>
                      <w:bCs/>
                      <w:color w:val="auto"/>
                      <w:kern w:val="0"/>
                      <w:szCs w:val="21"/>
                      <w:lang w:bidi="ar"/>
                    </w:rPr>
                  </w:pPr>
                </w:p>
              </w:tc>
              <w:tc>
                <w:tcPr>
                  <w:tcW w:w="560" w:type="pct"/>
                  <w:vMerge w:val="restart"/>
                  <w:vAlign w:val="center"/>
                </w:tcPr>
                <w:p w14:paraId="78AE6623">
                  <w:pPr>
                    <w:widowControl/>
                    <w:jc w:val="center"/>
                    <w:textAlignment w:val="center"/>
                    <w:rPr>
                      <w:bCs/>
                      <w:color w:val="auto"/>
                      <w:kern w:val="0"/>
                      <w:szCs w:val="21"/>
                      <w:lang w:bidi="ar"/>
                    </w:rPr>
                  </w:pPr>
                  <w:r>
                    <w:rPr>
                      <w:rFonts w:hint="eastAsia"/>
                      <w:bCs/>
                      <w:color w:val="auto"/>
                      <w:kern w:val="0"/>
                      <w:szCs w:val="21"/>
                      <w:lang w:bidi="ar"/>
                    </w:rPr>
                    <w:t>合计</w:t>
                  </w:r>
                </w:p>
              </w:tc>
              <w:tc>
                <w:tcPr>
                  <w:tcW w:w="502" w:type="pct"/>
                  <w:vAlign w:val="center"/>
                </w:tcPr>
                <w:p w14:paraId="55914B7E">
                  <w:pPr>
                    <w:widowControl/>
                    <w:jc w:val="center"/>
                    <w:textAlignment w:val="center"/>
                    <w:rPr>
                      <w:color w:val="auto"/>
                      <w:kern w:val="0"/>
                      <w:szCs w:val="21"/>
                      <w:lang w:bidi="ar"/>
                    </w:rPr>
                  </w:pPr>
                  <w:r>
                    <w:rPr>
                      <w:rFonts w:hint="eastAsia"/>
                      <w:color w:val="auto"/>
                      <w:kern w:val="0"/>
                      <w:szCs w:val="21"/>
                      <w:lang w:bidi="ar"/>
                    </w:rPr>
                    <w:t>颗粒物</w:t>
                  </w:r>
                </w:p>
              </w:tc>
              <w:tc>
                <w:tcPr>
                  <w:tcW w:w="377" w:type="pct"/>
                  <w:vMerge w:val="restart"/>
                  <w:vAlign w:val="center"/>
                </w:tcPr>
                <w:p w14:paraId="420A0780">
                  <w:pPr>
                    <w:widowControl/>
                    <w:jc w:val="center"/>
                    <w:textAlignment w:val="center"/>
                    <w:rPr>
                      <w:color w:val="auto"/>
                      <w:kern w:val="0"/>
                      <w:szCs w:val="21"/>
                      <w:lang w:bidi="ar"/>
                    </w:rPr>
                  </w:pPr>
                  <w:r>
                    <w:rPr>
                      <w:rFonts w:hint="eastAsia"/>
                      <w:color w:val="auto"/>
                      <w:kern w:val="0"/>
                      <w:szCs w:val="21"/>
                      <w:lang w:bidi="ar"/>
                    </w:rPr>
                    <w:t>/</w:t>
                  </w:r>
                </w:p>
              </w:tc>
              <w:tc>
                <w:tcPr>
                  <w:tcW w:w="990" w:type="dxa"/>
                  <w:vAlign w:val="center"/>
                </w:tcPr>
                <w:p w14:paraId="15CE9477">
                  <w:pPr>
                    <w:widowControl/>
                    <w:jc w:val="center"/>
                    <w:textAlignment w:val="center"/>
                    <w:rPr>
                      <w:color w:val="auto"/>
                      <w:kern w:val="0"/>
                      <w:szCs w:val="21"/>
                      <w:lang w:bidi="ar"/>
                    </w:rPr>
                  </w:pPr>
                  <w:r>
                    <w:rPr>
                      <w:color w:val="auto"/>
                      <w:kern w:val="0"/>
                      <w:szCs w:val="21"/>
                      <w:lang w:bidi="ar"/>
                    </w:rPr>
                    <w:t>6.98028</w:t>
                  </w:r>
                </w:p>
              </w:tc>
              <w:tc>
                <w:tcPr>
                  <w:tcW w:w="1080" w:type="dxa"/>
                  <w:vAlign w:val="center"/>
                </w:tcPr>
                <w:p w14:paraId="31226057">
                  <w:pPr>
                    <w:widowControl/>
                    <w:jc w:val="center"/>
                    <w:textAlignment w:val="center"/>
                    <w:rPr>
                      <w:color w:val="auto"/>
                      <w:kern w:val="0"/>
                      <w:szCs w:val="21"/>
                      <w:lang w:bidi="ar"/>
                    </w:rPr>
                  </w:pPr>
                  <w:r>
                    <w:rPr>
                      <w:color w:val="auto"/>
                      <w:kern w:val="0"/>
                      <w:szCs w:val="21"/>
                      <w:lang w:bidi="ar"/>
                    </w:rPr>
                    <w:t xml:space="preserve">2.41 </w:t>
                  </w:r>
                </w:p>
              </w:tc>
              <w:tc>
                <w:tcPr>
                  <w:tcW w:w="1112" w:type="dxa"/>
                  <w:vAlign w:val="center"/>
                </w:tcPr>
                <w:p w14:paraId="0ED6AB8C">
                  <w:pPr>
                    <w:widowControl/>
                    <w:jc w:val="center"/>
                    <w:textAlignment w:val="center"/>
                    <w:rPr>
                      <w:color w:val="auto"/>
                      <w:kern w:val="0"/>
                      <w:szCs w:val="21"/>
                      <w:lang w:bidi="ar"/>
                    </w:rPr>
                  </w:pPr>
                  <w:r>
                    <w:rPr>
                      <w:color w:val="auto"/>
                      <w:kern w:val="0"/>
                      <w:szCs w:val="21"/>
                      <w:lang w:bidi="ar"/>
                    </w:rPr>
                    <w:t>/</w:t>
                  </w:r>
                </w:p>
              </w:tc>
              <w:tc>
                <w:tcPr>
                  <w:tcW w:w="691" w:type="dxa"/>
                  <w:vAlign w:val="center"/>
                </w:tcPr>
                <w:p w14:paraId="5C7FC757">
                  <w:pPr>
                    <w:widowControl/>
                    <w:jc w:val="center"/>
                    <w:textAlignment w:val="center"/>
                    <w:rPr>
                      <w:color w:val="auto"/>
                      <w:kern w:val="0"/>
                      <w:szCs w:val="21"/>
                      <w:lang w:bidi="ar"/>
                    </w:rPr>
                  </w:pPr>
                  <w:r>
                    <w:rPr>
                      <w:color w:val="auto"/>
                      <w:kern w:val="0"/>
                      <w:szCs w:val="21"/>
                      <w:lang w:bidi="ar"/>
                    </w:rPr>
                    <w:t>/</w:t>
                  </w:r>
                </w:p>
              </w:tc>
              <w:tc>
                <w:tcPr>
                  <w:tcW w:w="911" w:type="dxa"/>
                  <w:vAlign w:val="center"/>
                </w:tcPr>
                <w:p w14:paraId="2D0F3843">
                  <w:pPr>
                    <w:widowControl/>
                    <w:jc w:val="center"/>
                    <w:textAlignment w:val="center"/>
                    <w:rPr>
                      <w:bCs/>
                      <w:color w:val="auto"/>
                      <w:kern w:val="0"/>
                      <w:szCs w:val="21"/>
                      <w:lang w:bidi="ar"/>
                    </w:rPr>
                  </w:pPr>
                  <w:r>
                    <w:rPr>
                      <w:color w:val="auto"/>
                      <w:kern w:val="0"/>
                      <w:szCs w:val="21"/>
                      <w:lang w:bidi="ar"/>
                    </w:rPr>
                    <w:t>0.1026</w:t>
                  </w:r>
                </w:p>
              </w:tc>
              <w:tc>
                <w:tcPr>
                  <w:tcW w:w="1069" w:type="dxa"/>
                  <w:vAlign w:val="center"/>
                </w:tcPr>
                <w:p w14:paraId="3BEE2C25">
                  <w:pPr>
                    <w:widowControl/>
                    <w:jc w:val="center"/>
                    <w:textAlignment w:val="center"/>
                    <w:rPr>
                      <w:bCs/>
                      <w:color w:val="auto"/>
                      <w:kern w:val="0"/>
                      <w:szCs w:val="21"/>
                      <w:lang w:bidi="ar"/>
                    </w:rPr>
                  </w:pPr>
                  <w:r>
                    <w:rPr>
                      <w:color w:val="auto"/>
                      <w:kern w:val="0"/>
                      <w:szCs w:val="21"/>
                      <w:lang w:bidi="ar"/>
                    </w:rPr>
                    <w:t>0.0359</w:t>
                  </w:r>
                </w:p>
              </w:tc>
              <w:tc>
                <w:tcPr>
                  <w:tcW w:w="520" w:type="pct"/>
                  <w:vAlign w:val="center"/>
                </w:tcPr>
                <w:p w14:paraId="3B205E0F">
                  <w:pPr>
                    <w:widowControl/>
                    <w:jc w:val="center"/>
                    <w:textAlignment w:val="center"/>
                    <w:rPr>
                      <w:bCs/>
                      <w:color w:val="auto"/>
                      <w:kern w:val="0"/>
                      <w:szCs w:val="21"/>
                      <w:lang w:bidi="ar"/>
                    </w:rPr>
                  </w:pPr>
                  <w:r>
                    <w:rPr>
                      <w:color w:val="auto"/>
                      <w:kern w:val="0"/>
                      <w:szCs w:val="21"/>
                      <w:lang w:bidi="ar"/>
                    </w:rPr>
                    <w:t>/</w:t>
                  </w:r>
                </w:p>
              </w:tc>
            </w:tr>
            <w:tr w14:paraId="2DEE1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20F74D1C">
                  <w:pPr>
                    <w:widowControl/>
                    <w:jc w:val="center"/>
                    <w:textAlignment w:val="center"/>
                    <w:rPr>
                      <w:bCs/>
                      <w:color w:val="auto"/>
                      <w:kern w:val="0"/>
                      <w:szCs w:val="21"/>
                      <w:lang w:bidi="ar"/>
                    </w:rPr>
                  </w:pPr>
                </w:p>
              </w:tc>
              <w:tc>
                <w:tcPr>
                  <w:tcW w:w="560" w:type="pct"/>
                  <w:vMerge w:val="continue"/>
                  <w:vAlign w:val="center"/>
                </w:tcPr>
                <w:p w14:paraId="4A55E94A">
                  <w:pPr>
                    <w:widowControl/>
                    <w:jc w:val="center"/>
                    <w:textAlignment w:val="center"/>
                    <w:rPr>
                      <w:bCs/>
                      <w:color w:val="auto"/>
                      <w:kern w:val="0"/>
                      <w:szCs w:val="21"/>
                      <w:lang w:bidi="ar"/>
                    </w:rPr>
                  </w:pPr>
                </w:p>
              </w:tc>
              <w:tc>
                <w:tcPr>
                  <w:tcW w:w="502" w:type="pct"/>
                  <w:vAlign w:val="center"/>
                </w:tcPr>
                <w:p w14:paraId="5CE3859C">
                  <w:pPr>
                    <w:widowControl/>
                    <w:jc w:val="center"/>
                    <w:textAlignment w:val="center"/>
                    <w:rPr>
                      <w:bCs/>
                      <w:color w:val="auto"/>
                      <w:kern w:val="0"/>
                      <w:szCs w:val="21"/>
                      <w:lang w:bidi="ar"/>
                    </w:rPr>
                  </w:pPr>
                  <w:r>
                    <w:rPr>
                      <w:rFonts w:hint="eastAsia"/>
                      <w:color w:val="auto"/>
                      <w:kern w:val="0"/>
                      <w:szCs w:val="21"/>
                      <w:lang w:bidi="ar"/>
                    </w:rPr>
                    <w:t>TVOC</w:t>
                  </w:r>
                </w:p>
              </w:tc>
              <w:tc>
                <w:tcPr>
                  <w:tcW w:w="377" w:type="pct"/>
                  <w:vMerge w:val="continue"/>
                  <w:vAlign w:val="center"/>
                </w:tcPr>
                <w:p w14:paraId="1F89A7B0">
                  <w:pPr>
                    <w:widowControl/>
                    <w:jc w:val="center"/>
                    <w:textAlignment w:val="center"/>
                    <w:rPr>
                      <w:color w:val="auto"/>
                      <w:kern w:val="0"/>
                      <w:szCs w:val="21"/>
                      <w:lang w:bidi="ar"/>
                    </w:rPr>
                  </w:pPr>
                </w:p>
              </w:tc>
              <w:tc>
                <w:tcPr>
                  <w:tcW w:w="463" w:type="pct"/>
                  <w:vAlign w:val="center"/>
                </w:tcPr>
                <w:p w14:paraId="7EF2C1A2">
                  <w:pPr>
                    <w:widowControl/>
                    <w:jc w:val="center"/>
                    <w:textAlignment w:val="center"/>
                    <w:rPr>
                      <w:color w:val="auto"/>
                      <w:kern w:val="0"/>
                      <w:szCs w:val="21"/>
                      <w:lang w:bidi="ar"/>
                    </w:rPr>
                  </w:pPr>
                  <w:r>
                    <w:rPr>
                      <w:color w:val="auto"/>
                      <w:kern w:val="0"/>
                      <w:szCs w:val="21"/>
                      <w:lang w:bidi="ar"/>
                    </w:rPr>
                    <w:t>0.606</w:t>
                  </w:r>
                  <w:r>
                    <w:rPr>
                      <w:rFonts w:hint="eastAsia"/>
                      <w:color w:val="auto"/>
                      <w:kern w:val="0"/>
                      <w:szCs w:val="21"/>
                      <w:lang w:bidi="ar"/>
                    </w:rPr>
                    <w:t>4</w:t>
                  </w:r>
                  <w:r>
                    <w:rPr>
                      <w:color w:val="auto"/>
                      <w:kern w:val="0"/>
                      <w:szCs w:val="21"/>
                      <w:lang w:bidi="ar"/>
                    </w:rPr>
                    <w:t xml:space="preserve"> </w:t>
                  </w:r>
                </w:p>
              </w:tc>
              <w:tc>
                <w:tcPr>
                  <w:tcW w:w="505" w:type="pct"/>
                  <w:vAlign w:val="center"/>
                </w:tcPr>
                <w:p w14:paraId="41FB549E">
                  <w:pPr>
                    <w:widowControl/>
                    <w:jc w:val="center"/>
                    <w:textAlignment w:val="center"/>
                    <w:rPr>
                      <w:color w:val="auto"/>
                      <w:kern w:val="0"/>
                      <w:szCs w:val="21"/>
                      <w:lang w:bidi="ar"/>
                    </w:rPr>
                  </w:pPr>
                  <w:r>
                    <w:rPr>
                      <w:color w:val="auto"/>
                      <w:kern w:val="0"/>
                      <w:szCs w:val="21"/>
                      <w:lang w:bidi="ar"/>
                    </w:rPr>
                    <w:t xml:space="preserve">0.2114 </w:t>
                  </w:r>
                </w:p>
              </w:tc>
              <w:tc>
                <w:tcPr>
                  <w:tcW w:w="520" w:type="pct"/>
                  <w:vAlign w:val="center"/>
                </w:tcPr>
                <w:p w14:paraId="61EA1979">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6CE01C42">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6CA8FFFE">
                  <w:pPr>
                    <w:widowControl/>
                    <w:jc w:val="center"/>
                    <w:textAlignment w:val="center"/>
                    <w:rPr>
                      <w:bCs/>
                      <w:color w:val="auto"/>
                      <w:kern w:val="0"/>
                      <w:szCs w:val="21"/>
                      <w:lang w:bidi="ar"/>
                    </w:rPr>
                  </w:pPr>
                  <w:r>
                    <w:rPr>
                      <w:color w:val="auto"/>
                      <w:kern w:val="0"/>
                      <w:szCs w:val="21"/>
                      <w:lang w:bidi="ar"/>
                    </w:rPr>
                    <w:t xml:space="preserve">0.1824 </w:t>
                  </w:r>
                </w:p>
              </w:tc>
              <w:tc>
                <w:tcPr>
                  <w:tcW w:w="500" w:type="pct"/>
                  <w:vAlign w:val="center"/>
                </w:tcPr>
                <w:p w14:paraId="2A71A265">
                  <w:pPr>
                    <w:widowControl/>
                    <w:jc w:val="center"/>
                    <w:textAlignment w:val="center"/>
                    <w:rPr>
                      <w:bCs/>
                      <w:color w:val="auto"/>
                      <w:kern w:val="0"/>
                      <w:szCs w:val="21"/>
                      <w:lang w:bidi="ar"/>
                    </w:rPr>
                  </w:pPr>
                  <w:r>
                    <w:rPr>
                      <w:color w:val="auto"/>
                      <w:kern w:val="0"/>
                      <w:szCs w:val="21"/>
                      <w:lang w:bidi="ar"/>
                    </w:rPr>
                    <w:t xml:space="preserve">0.0634 </w:t>
                  </w:r>
                </w:p>
              </w:tc>
              <w:tc>
                <w:tcPr>
                  <w:tcW w:w="520" w:type="pct"/>
                  <w:vAlign w:val="center"/>
                </w:tcPr>
                <w:p w14:paraId="646FBE8D">
                  <w:pPr>
                    <w:widowControl/>
                    <w:jc w:val="center"/>
                    <w:textAlignment w:val="center"/>
                    <w:rPr>
                      <w:bCs/>
                      <w:color w:val="auto"/>
                      <w:kern w:val="0"/>
                      <w:szCs w:val="21"/>
                      <w:lang w:bidi="ar"/>
                    </w:rPr>
                  </w:pPr>
                  <w:r>
                    <w:rPr>
                      <w:color w:val="auto"/>
                      <w:kern w:val="0"/>
                      <w:szCs w:val="21"/>
                      <w:lang w:bidi="ar"/>
                    </w:rPr>
                    <w:t>/</w:t>
                  </w:r>
                </w:p>
              </w:tc>
            </w:tr>
            <w:tr w14:paraId="51E1C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227A08A5">
                  <w:pPr>
                    <w:widowControl/>
                    <w:jc w:val="center"/>
                    <w:textAlignment w:val="center"/>
                    <w:rPr>
                      <w:bCs/>
                      <w:color w:val="auto"/>
                      <w:kern w:val="0"/>
                      <w:szCs w:val="21"/>
                      <w:lang w:bidi="ar"/>
                    </w:rPr>
                  </w:pPr>
                </w:p>
              </w:tc>
              <w:tc>
                <w:tcPr>
                  <w:tcW w:w="560" w:type="pct"/>
                  <w:vMerge w:val="continue"/>
                  <w:vAlign w:val="center"/>
                </w:tcPr>
                <w:p w14:paraId="3EAA6B5F">
                  <w:pPr>
                    <w:widowControl/>
                    <w:jc w:val="center"/>
                    <w:textAlignment w:val="center"/>
                    <w:rPr>
                      <w:bCs/>
                      <w:color w:val="auto"/>
                      <w:kern w:val="0"/>
                      <w:szCs w:val="21"/>
                      <w:lang w:bidi="ar"/>
                    </w:rPr>
                  </w:pPr>
                </w:p>
              </w:tc>
              <w:tc>
                <w:tcPr>
                  <w:tcW w:w="502" w:type="pct"/>
                  <w:vAlign w:val="center"/>
                </w:tcPr>
                <w:p w14:paraId="2AE5F5A7">
                  <w:pPr>
                    <w:widowControl/>
                    <w:jc w:val="center"/>
                    <w:textAlignment w:val="center"/>
                    <w:rPr>
                      <w:bCs/>
                      <w:color w:val="auto"/>
                      <w:kern w:val="0"/>
                      <w:szCs w:val="21"/>
                      <w:lang w:bidi="ar"/>
                    </w:rPr>
                  </w:pPr>
                  <w:r>
                    <w:rPr>
                      <w:rFonts w:hint="eastAsia"/>
                      <w:color w:val="auto"/>
                      <w:kern w:val="0"/>
                      <w:szCs w:val="21"/>
                      <w:lang w:bidi="ar"/>
                    </w:rPr>
                    <w:t>氮氧化物</w:t>
                  </w:r>
                </w:p>
              </w:tc>
              <w:tc>
                <w:tcPr>
                  <w:tcW w:w="377" w:type="pct"/>
                  <w:vMerge w:val="continue"/>
                  <w:vAlign w:val="center"/>
                </w:tcPr>
                <w:p w14:paraId="530DCED9">
                  <w:pPr>
                    <w:widowControl/>
                    <w:jc w:val="center"/>
                    <w:textAlignment w:val="center"/>
                    <w:rPr>
                      <w:color w:val="auto"/>
                      <w:kern w:val="0"/>
                      <w:szCs w:val="21"/>
                      <w:lang w:bidi="ar"/>
                    </w:rPr>
                  </w:pPr>
                </w:p>
              </w:tc>
              <w:tc>
                <w:tcPr>
                  <w:tcW w:w="463" w:type="pct"/>
                  <w:vAlign w:val="center"/>
                </w:tcPr>
                <w:p w14:paraId="53C54A1A">
                  <w:pPr>
                    <w:widowControl/>
                    <w:jc w:val="center"/>
                    <w:textAlignment w:val="center"/>
                    <w:rPr>
                      <w:color w:val="auto"/>
                      <w:kern w:val="0"/>
                      <w:szCs w:val="21"/>
                      <w:lang w:bidi="ar"/>
                    </w:rPr>
                  </w:pPr>
                  <w:r>
                    <w:rPr>
                      <w:color w:val="auto"/>
                      <w:kern w:val="0"/>
                      <w:szCs w:val="21"/>
                      <w:lang w:bidi="ar"/>
                    </w:rPr>
                    <w:t xml:space="preserve">0.2417 </w:t>
                  </w:r>
                </w:p>
              </w:tc>
              <w:tc>
                <w:tcPr>
                  <w:tcW w:w="505" w:type="pct"/>
                  <w:vAlign w:val="center"/>
                </w:tcPr>
                <w:p w14:paraId="52B8972B">
                  <w:pPr>
                    <w:widowControl/>
                    <w:jc w:val="center"/>
                    <w:textAlignment w:val="center"/>
                    <w:rPr>
                      <w:color w:val="auto"/>
                      <w:kern w:val="0"/>
                      <w:szCs w:val="21"/>
                      <w:lang w:bidi="ar"/>
                    </w:rPr>
                  </w:pPr>
                  <w:r>
                    <w:rPr>
                      <w:color w:val="auto"/>
                      <w:kern w:val="0"/>
                      <w:szCs w:val="21"/>
                      <w:lang w:bidi="ar"/>
                    </w:rPr>
                    <w:t xml:space="preserve">0.083 </w:t>
                  </w:r>
                </w:p>
              </w:tc>
              <w:tc>
                <w:tcPr>
                  <w:tcW w:w="520" w:type="pct"/>
                  <w:vAlign w:val="center"/>
                </w:tcPr>
                <w:p w14:paraId="0E8C30A7">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33333CF4">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4FB61EA7">
                  <w:pPr>
                    <w:widowControl/>
                    <w:jc w:val="center"/>
                    <w:textAlignment w:val="center"/>
                    <w:rPr>
                      <w:bCs/>
                      <w:color w:val="auto"/>
                      <w:kern w:val="0"/>
                      <w:szCs w:val="21"/>
                      <w:lang w:bidi="ar"/>
                    </w:rPr>
                  </w:pPr>
                  <w:r>
                    <w:rPr>
                      <w:color w:val="auto"/>
                      <w:kern w:val="0"/>
                      <w:szCs w:val="21"/>
                      <w:lang w:bidi="ar"/>
                    </w:rPr>
                    <w:t xml:space="preserve">0.2417 </w:t>
                  </w:r>
                </w:p>
              </w:tc>
              <w:tc>
                <w:tcPr>
                  <w:tcW w:w="500" w:type="pct"/>
                  <w:vAlign w:val="center"/>
                </w:tcPr>
                <w:p w14:paraId="18C2C77C">
                  <w:pPr>
                    <w:widowControl/>
                    <w:jc w:val="center"/>
                    <w:textAlignment w:val="center"/>
                    <w:rPr>
                      <w:bCs/>
                      <w:color w:val="auto"/>
                      <w:kern w:val="0"/>
                      <w:szCs w:val="21"/>
                      <w:lang w:bidi="ar"/>
                    </w:rPr>
                  </w:pPr>
                  <w:r>
                    <w:rPr>
                      <w:color w:val="auto"/>
                      <w:kern w:val="0"/>
                      <w:szCs w:val="21"/>
                      <w:lang w:bidi="ar"/>
                    </w:rPr>
                    <w:t xml:space="preserve">0.0829 </w:t>
                  </w:r>
                </w:p>
              </w:tc>
              <w:tc>
                <w:tcPr>
                  <w:tcW w:w="520" w:type="pct"/>
                  <w:vAlign w:val="center"/>
                </w:tcPr>
                <w:p w14:paraId="036B9939">
                  <w:pPr>
                    <w:widowControl/>
                    <w:jc w:val="center"/>
                    <w:textAlignment w:val="center"/>
                    <w:rPr>
                      <w:bCs/>
                      <w:color w:val="auto"/>
                      <w:kern w:val="0"/>
                      <w:szCs w:val="21"/>
                      <w:lang w:bidi="ar"/>
                    </w:rPr>
                  </w:pPr>
                  <w:r>
                    <w:rPr>
                      <w:color w:val="auto"/>
                      <w:kern w:val="0"/>
                      <w:szCs w:val="21"/>
                      <w:lang w:bidi="ar"/>
                    </w:rPr>
                    <w:t>/</w:t>
                  </w:r>
                </w:p>
              </w:tc>
            </w:tr>
            <w:tr w14:paraId="7CCFF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5D16BEC6">
                  <w:pPr>
                    <w:widowControl/>
                    <w:jc w:val="center"/>
                    <w:textAlignment w:val="center"/>
                    <w:rPr>
                      <w:bCs/>
                      <w:color w:val="auto"/>
                      <w:kern w:val="0"/>
                      <w:szCs w:val="21"/>
                      <w:lang w:bidi="ar"/>
                    </w:rPr>
                  </w:pPr>
                </w:p>
              </w:tc>
              <w:tc>
                <w:tcPr>
                  <w:tcW w:w="560" w:type="pct"/>
                  <w:vMerge w:val="continue"/>
                  <w:vAlign w:val="center"/>
                </w:tcPr>
                <w:p w14:paraId="4CA19CA1">
                  <w:pPr>
                    <w:widowControl/>
                    <w:jc w:val="center"/>
                    <w:textAlignment w:val="center"/>
                    <w:rPr>
                      <w:bCs/>
                      <w:color w:val="auto"/>
                      <w:kern w:val="0"/>
                      <w:szCs w:val="21"/>
                      <w:lang w:bidi="ar"/>
                    </w:rPr>
                  </w:pPr>
                </w:p>
              </w:tc>
              <w:tc>
                <w:tcPr>
                  <w:tcW w:w="502" w:type="pct"/>
                  <w:vAlign w:val="center"/>
                </w:tcPr>
                <w:p w14:paraId="6F029923">
                  <w:pPr>
                    <w:widowControl/>
                    <w:jc w:val="center"/>
                    <w:textAlignment w:val="center"/>
                    <w:rPr>
                      <w:bCs/>
                      <w:color w:val="auto"/>
                      <w:kern w:val="0"/>
                      <w:szCs w:val="21"/>
                      <w:lang w:bidi="ar"/>
                    </w:rPr>
                  </w:pPr>
                  <w:r>
                    <w:rPr>
                      <w:rFonts w:hint="eastAsia"/>
                      <w:color w:val="auto"/>
                      <w:kern w:val="0"/>
                      <w:szCs w:val="21"/>
                      <w:lang w:bidi="ar"/>
                    </w:rPr>
                    <w:t>二氧化硫</w:t>
                  </w:r>
                </w:p>
              </w:tc>
              <w:tc>
                <w:tcPr>
                  <w:tcW w:w="377" w:type="pct"/>
                  <w:vMerge w:val="continue"/>
                  <w:vAlign w:val="center"/>
                </w:tcPr>
                <w:p w14:paraId="51B9CCF3">
                  <w:pPr>
                    <w:widowControl/>
                    <w:jc w:val="center"/>
                    <w:textAlignment w:val="center"/>
                    <w:rPr>
                      <w:color w:val="auto"/>
                      <w:kern w:val="0"/>
                      <w:szCs w:val="21"/>
                      <w:lang w:bidi="ar"/>
                    </w:rPr>
                  </w:pPr>
                </w:p>
              </w:tc>
              <w:tc>
                <w:tcPr>
                  <w:tcW w:w="463" w:type="pct"/>
                  <w:vAlign w:val="center"/>
                </w:tcPr>
                <w:p w14:paraId="5FF85C38">
                  <w:pPr>
                    <w:widowControl/>
                    <w:jc w:val="center"/>
                    <w:textAlignment w:val="center"/>
                    <w:rPr>
                      <w:color w:val="auto"/>
                      <w:kern w:val="0"/>
                      <w:szCs w:val="21"/>
                      <w:lang w:bidi="ar"/>
                    </w:rPr>
                  </w:pPr>
                  <w:r>
                    <w:rPr>
                      <w:color w:val="auto"/>
                      <w:kern w:val="0"/>
                      <w:szCs w:val="21"/>
                      <w:lang w:bidi="ar"/>
                    </w:rPr>
                    <w:t xml:space="preserve">0.05169 </w:t>
                  </w:r>
                </w:p>
              </w:tc>
              <w:tc>
                <w:tcPr>
                  <w:tcW w:w="505" w:type="pct"/>
                  <w:vAlign w:val="center"/>
                </w:tcPr>
                <w:p w14:paraId="55F6B74B">
                  <w:pPr>
                    <w:widowControl/>
                    <w:jc w:val="center"/>
                    <w:textAlignment w:val="center"/>
                    <w:rPr>
                      <w:color w:val="auto"/>
                      <w:kern w:val="0"/>
                      <w:szCs w:val="21"/>
                      <w:lang w:bidi="ar"/>
                    </w:rPr>
                  </w:pPr>
                  <w:r>
                    <w:rPr>
                      <w:color w:val="auto"/>
                      <w:kern w:val="0"/>
                      <w:szCs w:val="21"/>
                      <w:lang w:bidi="ar"/>
                    </w:rPr>
                    <w:t xml:space="preserve">0.0175 </w:t>
                  </w:r>
                </w:p>
              </w:tc>
              <w:tc>
                <w:tcPr>
                  <w:tcW w:w="520" w:type="pct"/>
                  <w:vAlign w:val="center"/>
                </w:tcPr>
                <w:p w14:paraId="74E2A81C">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365841A5">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72DB1A00">
                  <w:pPr>
                    <w:widowControl/>
                    <w:jc w:val="center"/>
                    <w:textAlignment w:val="center"/>
                    <w:rPr>
                      <w:bCs/>
                      <w:color w:val="auto"/>
                      <w:kern w:val="0"/>
                      <w:szCs w:val="21"/>
                      <w:lang w:bidi="ar"/>
                    </w:rPr>
                  </w:pPr>
                  <w:r>
                    <w:rPr>
                      <w:color w:val="auto"/>
                      <w:kern w:val="0"/>
                      <w:szCs w:val="21"/>
                      <w:lang w:bidi="ar"/>
                    </w:rPr>
                    <w:t xml:space="preserve">0.05169 </w:t>
                  </w:r>
                </w:p>
              </w:tc>
              <w:tc>
                <w:tcPr>
                  <w:tcW w:w="500" w:type="pct"/>
                  <w:vAlign w:val="center"/>
                </w:tcPr>
                <w:p w14:paraId="5A8161A4">
                  <w:pPr>
                    <w:widowControl/>
                    <w:jc w:val="center"/>
                    <w:textAlignment w:val="center"/>
                    <w:rPr>
                      <w:bCs/>
                      <w:color w:val="auto"/>
                      <w:kern w:val="0"/>
                      <w:szCs w:val="21"/>
                      <w:lang w:bidi="ar"/>
                    </w:rPr>
                  </w:pPr>
                  <w:r>
                    <w:rPr>
                      <w:color w:val="auto"/>
                      <w:kern w:val="0"/>
                      <w:szCs w:val="21"/>
                      <w:lang w:bidi="ar"/>
                    </w:rPr>
                    <w:t xml:space="preserve">0.0175 </w:t>
                  </w:r>
                </w:p>
              </w:tc>
              <w:tc>
                <w:tcPr>
                  <w:tcW w:w="520" w:type="pct"/>
                  <w:vAlign w:val="center"/>
                </w:tcPr>
                <w:p w14:paraId="308BC34B">
                  <w:pPr>
                    <w:widowControl/>
                    <w:jc w:val="center"/>
                    <w:textAlignment w:val="center"/>
                    <w:rPr>
                      <w:bCs/>
                      <w:color w:val="auto"/>
                      <w:kern w:val="0"/>
                      <w:szCs w:val="21"/>
                      <w:lang w:bidi="ar"/>
                    </w:rPr>
                  </w:pPr>
                  <w:r>
                    <w:rPr>
                      <w:color w:val="auto"/>
                      <w:kern w:val="0"/>
                      <w:szCs w:val="21"/>
                      <w:lang w:bidi="ar"/>
                    </w:rPr>
                    <w:t>/</w:t>
                  </w:r>
                </w:p>
              </w:tc>
            </w:tr>
            <w:tr w14:paraId="0D852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5074AD96">
                  <w:pPr>
                    <w:widowControl/>
                    <w:jc w:val="center"/>
                    <w:textAlignment w:val="center"/>
                    <w:rPr>
                      <w:bCs/>
                      <w:color w:val="auto"/>
                      <w:kern w:val="0"/>
                      <w:szCs w:val="21"/>
                      <w:lang w:bidi="ar"/>
                    </w:rPr>
                  </w:pPr>
                </w:p>
              </w:tc>
              <w:tc>
                <w:tcPr>
                  <w:tcW w:w="560" w:type="pct"/>
                  <w:vMerge w:val="continue"/>
                  <w:vAlign w:val="center"/>
                </w:tcPr>
                <w:p w14:paraId="27342B16">
                  <w:pPr>
                    <w:widowControl/>
                    <w:jc w:val="center"/>
                    <w:textAlignment w:val="center"/>
                    <w:rPr>
                      <w:bCs/>
                      <w:color w:val="auto"/>
                      <w:kern w:val="0"/>
                      <w:szCs w:val="21"/>
                      <w:lang w:bidi="ar"/>
                    </w:rPr>
                  </w:pPr>
                </w:p>
              </w:tc>
              <w:tc>
                <w:tcPr>
                  <w:tcW w:w="502" w:type="pct"/>
                  <w:vAlign w:val="center"/>
                </w:tcPr>
                <w:p w14:paraId="1765AB6F">
                  <w:pPr>
                    <w:widowControl/>
                    <w:jc w:val="center"/>
                    <w:textAlignment w:val="center"/>
                    <w:rPr>
                      <w:color w:val="auto"/>
                      <w:kern w:val="0"/>
                      <w:szCs w:val="21"/>
                      <w:lang w:bidi="ar"/>
                    </w:rPr>
                  </w:pPr>
                  <w:r>
                    <w:rPr>
                      <w:rFonts w:hint="eastAsia"/>
                      <w:color w:val="auto"/>
                      <w:kern w:val="0"/>
                      <w:szCs w:val="21"/>
                      <w:lang w:bidi="ar"/>
                    </w:rPr>
                    <w:t>硫酸雾</w:t>
                  </w:r>
                </w:p>
              </w:tc>
              <w:tc>
                <w:tcPr>
                  <w:tcW w:w="377" w:type="pct"/>
                  <w:vMerge w:val="continue"/>
                  <w:vAlign w:val="center"/>
                </w:tcPr>
                <w:p w14:paraId="326E7CE5">
                  <w:pPr>
                    <w:widowControl/>
                    <w:jc w:val="center"/>
                    <w:textAlignment w:val="center"/>
                    <w:rPr>
                      <w:color w:val="auto"/>
                      <w:kern w:val="0"/>
                      <w:szCs w:val="21"/>
                      <w:lang w:bidi="ar"/>
                    </w:rPr>
                  </w:pPr>
                </w:p>
              </w:tc>
              <w:tc>
                <w:tcPr>
                  <w:tcW w:w="463" w:type="pct"/>
                  <w:vAlign w:val="center"/>
                </w:tcPr>
                <w:p w14:paraId="53BA202D">
                  <w:pPr>
                    <w:widowControl/>
                    <w:jc w:val="center"/>
                    <w:textAlignment w:val="center"/>
                    <w:rPr>
                      <w:color w:val="auto"/>
                      <w:kern w:val="0"/>
                      <w:szCs w:val="21"/>
                      <w:lang w:bidi="ar"/>
                    </w:rPr>
                  </w:pPr>
                  <w:r>
                    <w:rPr>
                      <w:color w:val="auto"/>
                      <w:kern w:val="0"/>
                      <w:szCs w:val="21"/>
                      <w:lang w:bidi="ar"/>
                    </w:rPr>
                    <w:t>0.142</w:t>
                  </w:r>
                </w:p>
              </w:tc>
              <w:tc>
                <w:tcPr>
                  <w:tcW w:w="505" w:type="pct"/>
                  <w:vAlign w:val="center"/>
                </w:tcPr>
                <w:p w14:paraId="26714706">
                  <w:pPr>
                    <w:widowControl/>
                    <w:jc w:val="center"/>
                    <w:textAlignment w:val="center"/>
                    <w:rPr>
                      <w:color w:val="auto"/>
                      <w:kern w:val="0"/>
                      <w:szCs w:val="21"/>
                      <w:lang w:bidi="ar"/>
                    </w:rPr>
                  </w:pPr>
                  <w:r>
                    <w:rPr>
                      <w:color w:val="auto"/>
                      <w:kern w:val="0"/>
                      <w:szCs w:val="21"/>
                      <w:lang w:bidi="ar"/>
                    </w:rPr>
                    <w:t>0.678</w:t>
                  </w:r>
                </w:p>
              </w:tc>
              <w:tc>
                <w:tcPr>
                  <w:tcW w:w="520" w:type="pct"/>
                  <w:vAlign w:val="center"/>
                </w:tcPr>
                <w:p w14:paraId="62BE8180">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417B00EA">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26DEDCB0">
                  <w:pPr>
                    <w:widowControl/>
                    <w:jc w:val="center"/>
                    <w:textAlignment w:val="center"/>
                    <w:rPr>
                      <w:bCs/>
                      <w:color w:val="auto"/>
                      <w:kern w:val="0"/>
                      <w:szCs w:val="21"/>
                      <w:lang w:bidi="ar"/>
                    </w:rPr>
                  </w:pPr>
                  <w:r>
                    <w:rPr>
                      <w:color w:val="auto"/>
                      <w:kern w:val="0"/>
                      <w:szCs w:val="21"/>
                      <w:lang w:bidi="ar"/>
                    </w:rPr>
                    <w:t xml:space="preserve">0.0142 </w:t>
                  </w:r>
                </w:p>
              </w:tc>
              <w:tc>
                <w:tcPr>
                  <w:tcW w:w="500" w:type="pct"/>
                  <w:vAlign w:val="center"/>
                </w:tcPr>
                <w:p w14:paraId="4EC510F2">
                  <w:pPr>
                    <w:widowControl/>
                    <w:jc w:val="center"/>
                    <w:textAlignment w:val="center"/>
                    <w:rPr>
                      <w:bCs/>
                      <w:color w:val="auto"/>
                      <w:kern w:val="0"/>
                      <w:szCs w:val="21"/>
                      <w:lang w:bidi="ar"/>
                    </w:rPr>
                  </w:pPr>
                  <w:r>
                    <w:rPr>
                      <w:color w:val="auto"/>
                      <w:kern w:val="0"/>
                      <w:szCs w:val="21"/>
                      <w:lang w:bidi="ar"/>
                    </w:rPr>
                    <w:t xml:space="preserve">0.0678 </w:t>
                  </w:r>
                </w:p>
              </w:tc>
              <w:tc>
                <w:tcPr>
                  <w:tcW w:w="520" w:type="pct"/>
                  <w:vAlign w:val="center"/>
                </w:tcPr>
                <w:p w14:paraId="7927F8EA">
                  <w:pPr>
                    <w:widowControl/>
                    <w:jc w:val="center"/>
                    <w:textAlignment w:val="center"/>
                    <w:rPr>
                      <w:bCs/>
                      <w:color w:val="auto"/>
                      <w:kern w:val="0"/>
                      <w:szCs w:val="21"/>
                      <w:lang w:bidi="ar"/>
                    </w:rPr>
                  </w:pPr>
                  <w:r>
                    <w:rPr>
                      <w:color w:val="auto"/>
                      <w:kern w:val="0"/>
                      <w:szCs w:val="21"/>
                      <w:lang w:bidi="ar"/>
                    </w:rPr>
                    <w:t>/</w:t>
                  </w:r>
                </w:p>
              </w:tc>
            </w:tr>
            <w:tr w14:paraId="2D091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302" w:type="pct"/>
                  <w:vMerge w:val="restart"/>
                  <w:vAlign w:val="center"/>
                </w:tcPr>
                <w:p w14:paraId="47B05831">
                  <w:pPr>
                    <w:widowControl/>
                    <w:jc w:val="center"/>
                    <w:textAlignment w:val="center"/>
                    <w:rPr>
                      <w:bCs/>
                      <w:color w:val="auto"/>
                      <w:kern w:val="0"/>
                      <w:szCs w:val="21"/>
                      <w:lang w:bidi="ar"/>
                    </w:rPr>
                  </w:pPr>
                  <w:r>
                    <w:rPr>
                      <w:rFonts w:hint="eastAsia"/>
                      <w:bCs/>
                      <w:color w:val="auto"/>
                      <w:kern w:val="0"/>
                      <w:szCs w:val="21"/>
                      <w:lang w:bidi="ar"/>
                    </w:rPr>
                    <w:t>无</w:t>
                  </w:r>
                </w:p>
                <w:p w14:paraId="53343674">
                  <w:pPr>
                    <w:widowControl/>
                    <w:jc w:val="center"/>
                    <w:textAlignment w:val="center"/>
                    <w:rPr>
                      <w:bCs/>
                      <w:color w:val="auto"/>
                      <w:kern w:val="0"/>
                      <w:szCs w:val="21"/>
                      <w:lang w:bidi="ar"/>
                    </w:rPr>
                  </w:pPr>
                  <w:r>
                    <w:rPr>
                      <w:rFonts w:hint="eastAsia"/>
                      <w:bCs/>
                      <w:color w:val="auto"/>
                      <w:kern w:val="0"/>
                      <w:szCs w:val="21"/>
                      <w:lang w:bidi="ar"/>
                    </w:rPr>
                    <w:t>组</w:t>
                  </w:r>
                </w:p>
                <w:p w14:paraId="1519D423">
                  <w:pPr>
                    <w:widowControl/>
                    <w:jc w:val="center"/>
                    <w:textAlignment w:val="center"/>
                    <w:rPr>
                      <w:bCs/>
                      <w:color w:val="auto"/>
                      <w:kern w:val="0"/>
                      <w:szCs w:val="21"/>
                      <w:lang w:bidi="ar"/>
                    </w:rPr>
                  </w:pPr>
                  <w:r>
                    <w:rPr>
                      <w:rFonts w:hint="eastAsia"/>
                      <w:bCs/>
                      <w:color w:val="auto"/>
                      <w:kern w:val="0"/>
                      <w:szCs w:val="21"/>
                      <w:lang w:bidi="ar"/>
                    </w:rPr>
                    <w:t>织</w:t>
                  </w:r>
                </w:p>
              </w:tc>
              <w:tc>
                <w:tcPr>
                  <w:tcW w:w="560" w:type="pct"/>
                  <w:vMerge w:val="restart"/>
                  <w:vAlign w:val="center"/>
                </w:tcPr>
                <w:p w14:paraId="1AEC0DF2">
                  <w:pPr>
                    <w:widowControl/>
                    <w:jc w:val="center"/>
                    <w:textAlignment w:val="center"/>
                    <w:rPr>
                      <w:bCs/>
                      <w:color w:val="auto"/>
                      <w:kern w:val="0"/>
                      <w:szCs w:val="21"/>
                      <w:lang w:bidi="ar"/>
                    </w:rPr>
                  </w:pPr>
                  <w:r>
                    <w:rPr>
                      <w:rFonts w:hint="eastAsia"/>
                      <w:bCs/>
                      <w:color w:val="auto"/>
                      <w:kern w:val="0"/>
                      <w:szCs w:val="21"/>
                      <w:lang w:bidi="ar"/>
                    </w:rPr>
                    <w:t>四楼</w:t>
                  </w:r>
                </w:p>
              </w:tc>
              <w:tc>
                <w:tcPr>
                  <w:tcW w:w="502" w:type="pct"/>
                  <w:vAlign w:val="center"/>
                </w:tcPr>
                <w:p w14:paraId="6CDFBE79">
                  <w:pPr>
                    <w:widowControl/>
                    <w:jc w:val="center"/>
                    <w:textAlignment w:val="center"/>
                    <w:rPr>
                      <w:color w:val="auto"/>
                      <w:kern w:val="0"/>
                      <w:szCs w:val="21"/>
                      <w:lang w:bidi="ar"/>
                    </w:rPr>
                  </w:pPr>
                  <w:r>
                    <w:rPr>
                      <w:rFonts w:hint="eastAsia"/>
                      <w:color w:val="auto"/>
                      <w:kern w:val="0"/>
                      <w:szCs w:val="21"/>
                      <w:lang w:bidi="ar"/>
                    </w:rPr>
                    <w:t>颗粒物</w:t>
                  </w:r>
                </w:p>
              </w:tc>
              <w:tc>
                <w:tcPr>
                  <w:tcW w:w="377" w:type="pct"/>
                  <w:vAlign w:val="center"/>
                </w:tcPr>
                <w:p w14:paraId="5E9B25AF">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0101A2FD">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36D6736A">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5C16897E">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67A57FDC">
                  <w:pPr>
                    <w:widowControl/>
                    <w:jc w:val="center"/>
                    <w:textAlignment w:val="center"/>
                    <w:rPr>
                      <w:color w:val="auto"/>
                      <w:kern w:val="0"/>
                      <w:szCs w:val="21"/>
                      <w:lang w:bidi="ar"/>
                    </w:rPr>
                  </w:pPr>
                  <w:r>
                    <w:rPr>
                      <w:color w:val="auto"/>
                      <w:kern w:val="0"/>
                      <w:szCs w:val="21"/>
                      <w:lang w:bidi="ar"/>
                    </w:rPr>
                    <w:t>/</w:t>
                  </w:r>
                </w:p>
              </w:tc>
              <w:tc>
                <w:tcPr>
                  <w:tcW w:w="911" w:type="dxa"/>
                  <w:vAlign w:val="center"/>
                </w:tcPr>
                <w:p w14:paraId="53271A00">
                  <w:pPr>
                    <w:widowControl/>
                    <w:jc w:val="center"/>
                    <w:textAlignment w:val="center"/>
                    <w:rPr>
                      <w:bCs/>
                      <w:color w:val="auto"/>
                      <w:kern w:val="0"/>
                      <w:szCs w:val="21"/>
                      <w:lang w:bidi="ar"/>
                    </w:rPr>
                  </w:pPr>
                  <w:r>
                    <w:rPr>
                      <w:color w:val="auto"/>
                      <w:kern w:val="0"/>
                      <w:szCs w:val="21"/>
                      <w:lang w:bidi="ar"/>
                    </w:rPr>
                    <w:t>0.76512</w:t>
                  </w:r>
                </w:p>
              </w:tc>
              <w:tc>
                <w:tcPr>
                  <w:tcW w:w="1069" w:type="dxa"/>
                  <w:vAlign w:val="center"/>
                </w:tcPr>
                <w:p w14:paraId="1E1D4E3D">
                  <w:pPr>
                    <w:widowControl/>
                    <w:jc w:val="center"/>
                    <w:textAlignment w:val="center"/>
                    <w:rPr>
                      <w:bCs/>
                      <w:color w:val="auto"/>
                      <w:kern w:val="0"/>
                      <w:szCs w:val="21"/>
                      <w:lang w:bidi="ar"/>
                    </w:rPr>
                  </w:pPr>
                  <w:r>
                    <w:rPr>
                      <w:color w:val="auto"/>
                      <w:kern w:val="0"/>
                      <w:szCs w:val="21"/>
                      <w:lang w:bidi="ar"/>
                    </w:rPr>
                    <w:t>0.26454</w:t>
                  </w:r>
                </w:p>
              </w:tc>
              <w:tc>
                <w:tcPr>
                  <w:tcW w:w="520" w:type="pct"/>
                  <w:vAlign w:val="center"/>
                </w:tcPr>
                <w:p w14:paraId="654F44A3">
                  <w:pPr>
                    <w:widowControl/>
                    <w:jc w:val="center"/>
                    <w:textAlignment w:val="center"/>
                    <w:rPr>
                      <w:color w:val="auto"/>
                      <w:kern w:val="0"/>
                      <w:szCs w:val="21"/>
                      <w:lang w:bidi="ar"/>
                    </w:rPr>
                  </w:pPr>
                  <w:r>
                    <w:rPr>
                      <w:color w:val="auto"/>
                      <w:kern w:val="0"/>
                      <w:szCs w:val="21"/>
                      <w:lang w:bidi="ar"/>
                    </w:rPr>
                    <w:t>/</w:t>
                  </w:r>
                </w:p>
              </w:tc>
            </w:tr>
            <w:tr w14:paraId="64413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302" w:type="pct"/>
                  <w:vMerge w:val="continue"/>
                  <w:vAlign w:val="center"/>
                </w:tcPr>
                <w:p w14:paraId="4FBEB54A">
                  <w:pPr>
                    <w:widowControl/>
                    <w:jc w:val="center"/>
                    <w:textAlignment w:val="center"/>
                    <w:rPr>
                      <w:color w:val="auto"/>
                    </w:rPr>
                  </w:pPr>
                </w:p>
              </w:tc>
              <w:tc>
                <w:tcPr>
                  <w:tcW w:w="560" w:type="pct"/>
                  <w:vMerge w:val="continue"/>
                  <w:vAlign w:val="center"/>
                </w:tcPr>
                <w:p w14:paraId="623DA608">
                  <w:pPr>
                    <w:widowControl/>
                    <w:jc w:val="center"/>
                    <w:textAlignment w:val="center"/>
                    <w:rPr>
                      <w:color w:val="auto"/>
                    </w:rPr>
                  </w:pPr>
                </w:p>
              </w:tc>
              <w:tc>
                <w:tcPr>
                  <w:tcW w:w="502" w:type="pct"/>
                  <w:vAlign w:val="center"/>
                </w:tcPr>
                <w:p w14:paraId="72176C0D">
                  <w:pPr>
                    <w:widowControl/>
                    <w:jc w:val="center"/>
                    <w:textAlignment w:val="center"/>
                    <w:rPr>
                      <w:color w:val="auto"/>
                      <w:kern w:val="0"/>
                      <w:szCs w:val="21"/>
                      <w:lang w:bidi="ar"/>
                    </w:rPr>
                  </w:pPr>
                  <w:r>
                    <w:rPr>
                      <w:rFonts w:hint="eastAsia"/>
                      <w:color w:val="auto"/>
                      <w:kern w:val="0"/>
                      <w:szCs w:val="21"/>
                      <w:lang w:bidi="ar"/>
                    </w:rPr>
                    <w:t>TVOC</w:t>
                  </w:r>
                </w:p>
              </w:tc>
              <w:tc>
                <w:tcPr>
                  <w:tcW w:w="377" w:type="pct"/>
                  <w:vAlign w:val="center"/>
                </w:tcPr>
                <w:p w14:paraId="07992530">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19345CA9">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08D3780B">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33B0FDC3">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2803EB6C">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396B4FF2">
                  <w:pPr>
                    <w:widowControl/>
                    <w:jc w:val="center"/>
                    <w:textAlignment w:val="center"/>
                    <w:rPr>
                      <w:color w:val="auto"/>
                      <w:kern w:val="0"/>
                      <w:szCs w:val="21"/>
                      <w:lang w:bidi="ar"/>
                    </w:rPr>
                  </w:pPr>
                  <w:r>
                    <w:rPr>
                      <w:color w:val="auto"/>
                      <w:kern w:val="0"/>
                      <w:szCs w:val="21"/>
                      <w:lang w:bidi="ar"/>
                    </w:rPr>
                    <w:t>0.0535</w:t>
                  </w:r>
                </w:p>
              </w:tc>
              <w:tc>
                <w:tcPr>
                  <w:tcW w:w="500" w:type="pct"/>
                  <w:vAlign w:val="center"/>
                </w:tcPr>
                <w:p w14:paraId="64E6DC37">
                  <w:pPr>
                    <w:widowControl/>
                    <w:jc w:val="center"/>
                    <w:textAlignment w:val="center"/>
                    <w:rPr>
                      <w:color w:val="auto"/>
                      <w:kern w:val="0"/>
                      <w:szCs w:val="21"/>
                      <w:lang w:bidi="ar"/>
                    </w:rPr>
                  </w:pPr>
                  <w:r>
                    <w:rPr>
                      <w:color w:val="auto"/>
                      <w:kern w:val="0"/>
                      <w:szCs w:val="21"/>
                      <w:lang w:bidi="ar"/>
                    </w:rPr>
                    <w:t>0.0189</w:t>
                  </w:r>
                </w:p>
              </w:tc>
              <w:tc>
                <w:tcPr>
                  <w:tcW w:w="520" w:type="pct"/>
                  <w:vAlign w:val="center"/>
                </w:tcPr>
                <w:p w14:paraId="079B1A01">
                  <w:pPr>
                    <w:widowControl/>
                    <w:jc w:val="center"/>
                    <w:textAlignment w:val="center"/>
                    <w:rPr>
                      <w:color w:val="auto"/>
                      <w:kern w:val="0"/>
                      <w:szCs w:val="21"/>
                      <w:lang w:bidi="ar"/>
                    </w:rPr>
                  </w:pPr>
                  <w:r>
                    <w:rPr>
                      <w:color w:val="auto"/>
                      <w:kern w:val="0"/>
                      <w:szCs w:val="21"/>
                      <w:lang w:bidi="ar"/>
                    </w:rPr>
                    <w:t>/</w:t>
                  </w:r>
                </w:p>
              </w:tc>
            </w:tr>
            <w:tr w14:paraId="7826C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302" w:type="pct"/>
                  <w:vMerge w:val="continue"/>
                  <w:vAlign w:val="center"/>
                </w:tcPr>
                <w:p w14:paraId="35750665">
                  <w:pPr>
                    <w:widowControl/>
                    <w:jc w:val="center"/>
                    <w:textAlignment w:val="center"/>
                    <w:rPr>
                      <w:color w:val="auto"/>
                    </w:rPr>
                  </w:pPr>
                </w:p>
              </w:tc>
              <w:tc>
                <w:tcPr>
                  <w:tcW w:w="560" w:type="pct"/>
                  <w:vMerge w:val="continue"/>
                  <w:vAlign w:val="center"/>
                </w:tcPr>
                <w:p w14:paraId="65831AB8">
                  <w:pPr>
                    <w:widowControl/>
                    <w:jc w:val="center"/>
                    <w:textAlignment w:val="center"/>
                    <w:rPr>
                      <w:color w:val="auto"/>
                    </w:rPr>
                  </w:pPr>
                </w:p>
              </w:tc>
              <w:tc>
                <w:tcPr>
                  <w:tcW w:w="502" w:type="pct"/>
                  <w:vAlign w:val="center"/>
                </w:tcPr>
                <w:p w14:paraId="71A4F05D">
                  <w:pPr>
                    <w:widowControl/>
                    <w:jc w:val="center"/>
                    <w:textAlignment w:val="center"/>
                    <w:rPr>
                      <w:color w:val="auto"/>
                      <w:kern w:val="0"/>
                      <w:szCs w:val="21"/>
                      <w:lang w:bidi="ar"/>
                    </w:rPr>
                  </w:pPr>
                  <w:r>
                    <w:rPr>
                      <w:rFonts w:hint="eastAsia"/>
                      <w:color w:val="auto"/>
                      <w:kern w:val="0"/>
                      <w:szCs w:val="21"/>
                      <w:lang w:bidi="ar"/>
                    </w:rPr>
                    <w:t>氮氧化物</w:t>
                  </w:r>
                </w:p>
              </w:tc>
              <w:tc>
                <w:tcPr>
                  <w:tcW w:w="377" w:type="pct"/>
                  <w:vAlign w:val="center"/>
                </w:tcPr>
                <w:p w14:paraId="5FA612B9">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012935A0">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24FAFC9D">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4BB9E36F">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3556FAD8">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64E206A2">
                  <w:pPr>
                    <w:widowControl/>
                    <w:jc w:val="center"/>
                    <w:textAlignment w:val="center"/>
                    <w:rPr>
                      <w:color w:val="auto"/>
                      <w:kern w:val="0"/>
                      <w:szCs w:val="21"/>
                      <w:lang w:bidi="ar"/>
                    </w:rPr>
                  </w:pPr>
                  <w:r>
                    <w:rPr>
                      <w:color w:val="auto"/>
                      <w:kern w:val="0"/>
                      <w:szCs w:val="21"/>
                      <w:lang w:bidi="ar"/>
                    </w:rPr>
                    <w:t>0.0001</w:t>
                  </w:r>
                </w:p>
              </w:tc>
              <w:tc>
                <w:tcPr>
                  <w:tcW w:w="500" w:type="pct"/>
                  <w:vAlign w:val="center"/>
                </w:tcPr>
                <w:p w14:paraId="4E2570B5">
                  <w:pPr>
                    <w:widowControl/>
                    <w:jc w:val="center"/>
                    <w:textAlignment w:val="center"/>
                    <w:rPr>
                      <w:color w:val="auto"/>
                      <w:kern w:val="0"/>
                      <w:szCs w:val="21"/>
                      <w:lang w:bidi="ar"/>
                    </w:rPr>
                  </w:pPr>
                  <w:r>
                    <w:rPr>
                      <w:color w:val="auto"/>
                      <w:kern w:val="0"/>
                      <w:szCs w:val="21"/>
                      <w:lang w:bidi="ar"/>
                    </w:rPr>
                    <w:t>0.0001</w:t>
                  </w:r>
                </w:p>
              </w:tc>
              <w:tc>
                <w:tcPr>
                  <w:tcW w:w="520" w:type="pct"/>
                  <w:vAlign w:val="center"/>
                </w:tcPr>
                <w:p w14:paraId="0D61B343">
                  <w:pPr>
                    <w:widowControl/>
                    <w:jc w:val="center"/>
                    <w:textAlignment w:val="center"/>
                    <w:rPr>
                      <w:color w:val="auto"/>
                      <w:kern w:val="0"/>
                      <w:szCs w:val="21"/>
                      <w:lang w:bidi="ar"/>
                    </w:rPr>
                  </w:pPr>
                  <w:r>
                    <w:rPr>
                      <w:color w:val="auto"/>
                      <w:kern w:val="0"/>
                      <w:szCs w:val="21"/>
                      <w:lang w:bidi="ar"/>
                    </w:rPr>
                    <w:t>/</w:t>
                  </w:r>
                </w:p>
              </w:tc>
            </w:tr>
            <w:tr w14:paraId="5E35F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302" w:type="pct"/>
                  <w:vMerge w:val="continue"/>
                  <w:vAlign w:val="center"/>
                </w:tcPr>
                <w:p w14:paraId="039B491E">
                  <w:pPr>
                    <w:widowControl/>
                    <w:jc w:val="center"/>
                    <w:textAlignment w:val="center"/>
                    <w:rPr>
                      <w:color w:val="auto"/>
                      <w:kern w:val="0"/>
                      <w:szCs w:val="21"/>
                      <w:lang w:bidi="ar"/>
                    </w:rPr>
                  </w:pPr>
                </w:p>
              </w:tc>
              <w:tc>
                <w:tcPr>
                  <w:tcW w:w="560" w:type="pct"/>
                  <w:vMerge w:val="continue"/>
                  <w:vAlign w:val="center"/>
                </w:tcPr>
                <w:p w14:paraId="7750B5DF">
                  <w:pPr>
                    <w:widowControl/>
                    <w:jc w:val="center"/>
                    <w:textAlignment w:val="center"/>
                    <w:rPr>
                      <w:color w:val="auto"/>
                      <w:kern w:val="0"/>
                      <w:szCs w:val="21"/>
                      <w:lang w:bidi="ar"/>
                    </w:rPr>
                  </w:pPr>
                </w:p>
              </w:tc>
              <w:tc>
                <w:tcPr>
                  <w:tcW w:w="502" w:type="pct"/>
                  <w:vAlign w:val="center"/>
                </w:tcPr>
                <w:p w14:paraId="6E5E3222">
                  <w:pPr>
                    <w:widowControl/>
                    <w:jc w:val="center"/>
                    <w:textAlignment w:val="center"/>
                    <w:rPr>
                      <w:color w:val="auto"/>
                      <w:kern w:val="0"/>
                      <w:szCs w:val="21"/>
                      <w:lang w:bidi="ar"/>
                    </w:rPr>
                  </w:pPr>
                  <w:r>
                    <w:rPr>
                      <w:rFonts w:hint="eastAsia"/>
                      <w:color w:val="auto"/>
                      <w:kern w:val="0"/>
                      <w:szCs w:val="21"/>
                      <w:lang w:bidi="ar"/>
                    </w:rPr>
                    <w:t>二氧化硫</w:t>
                  </w:r>
                </w:p>
              </w:tc>
              <w:tc>
                <w:tcPr>
                  <w:tcW w:w="377" w:type="pct"/>
                  <w:vAlign w:val="center"/>
                </w:tcPr>
                <w:p w14:paraId="2EB62196">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1C334C3D">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77008458">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69E2090B">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1F81EC8D">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565C92DF">
                  <w:pPr>
                    <w:widowControl/>
                    <w:jc w:val="center"/>
                    <w:textAlignment w:val="center"/>
                    <w:rPr>
                      <w:color w:val="auto"/>
                      <w:kern w:val="0"/>
                      <w:szCs w:val="21"/>
                      <w:lang w:bidi="ar"/>
                    </w:rPr>
                  </w:pPr>
                  <w:r>
                    <w:rPr>
                      <w:color w:val="auto"/>
                      <w:kern w:val="0"/>
                      <w:szCs w:val="21"/>
                      <w:lang w:bidi="ar"/>
                    </w:rPr>
                    <w:t>0.00001</w:t>
                  </w:r>
                </w:p>
              </w:tc>
              <w:tc>
                <w:tcPr>
                  <w:tcW w:w="500" w:type="pct"/>
                  <w:vAlign w:val="center"/>
                </w:tcPr>
                <w:p w14:paraId="387B50F3">
                  <w:pPr>
                    <w:widowControl/>
                    <w:jc w:val="center"/>
                    <w:textAlignment w:val="center"/>
                    <w:rPr>
                      <w:color w:val="auto"/>
                      <w:kern w:val="0"/>
                      <w:szCs w:val="21"/>
                      <w:lang w:bidi="ar"/>
                    </w:rPr>
                  </w:pPr>
                  <w:r>
                    <w:rPr>
                      <w:color w:val="auto"/>
                      <w:kern w:val="0"/>
                      <w:szCs w:val="21"/>
                      <w:lang w:bidi="ar"/>
                    </w:rPr>
                    <w:t>0.00002</w:t>
                  </w:r>
                </w:p>
              </w:tc>
              <w:tc>
                <w:tcPr>
                  <w:tcW w:w="520" w:type="pct"/>
                  <w:vAlign w:val="center"/>
                </w:tcPr>
                <w:p w14:paraId="6DDD4F3E">
                  <w:pPr>
                    <w:widowControl/>
                    <w:jc w:val="center"/>
                    <w:textAlignment w:val="center"/>
                    <w:rPr>
                      <w:color w:val="auto"/>
                      <w:kern w:val="0"/>
                      <w:szCs w:val="21"/>
                      <w:lang w:bidi="ar"/>
                    </w:rPr>
                  </w:pPr>
                  <w:r>
                    <w:rPr>
                      <w:color w:val="auto"/>
                      <w:kern w:val="0"/>
                      <w:szCs w:val="21"/>
                      <w:lang w:bidi="ar"/>
                    </w:rPr>
                    <w:t>/</w:t>
                  </w:r>
                </w:p>
              </w:tc>
            </w:tr>
            <w:tr w14:paraId="51EAC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302" w:type="pct"/>
                  <w:vMerge w:val="continue"/>
                  <w:vAlign w:val="center"/>
                </w:tcPr>
                <w:p w14:paraId="5836DB9C">
                  <w:pPr>
                    <w:widowControl/>
                    <w:jc w:val="center"/>
                    <w:textAlignment w:val="center"/>
                    <w:rPr>
                      <w:bCs/>
                      <w:color w:val="auto"/>
                      <w:kern w:val="0"/>
                      <w:szCs w:val="21"/>
                      <w:lang w:bidi="ar"/>
                    </w:rPr>
                  </w:pPr>
                </w:p>
              </w:tc>
              <w:tc>
                <w:tcPr>
                  <w:tcW w:w="560" w:type="pct"/>
                  <w:vMerge w:val="restart"/>
                  <w:vAlign w:val="center"/>
                </w:tcPr>
                <w:p w14:paraId="4B93D2E0">
                  <w:pPr>
                    <w:widowControl/>
                    <w:jc w:val="center"/>
                    <w:textAlignment w:val="center"/>
                    <w:rPr>
                      <w:bCs/>
                      <w:color w:val="auto"/>
                      <w:kern w:val="0"/>
                      <w:szCs w:val="21"/>
                      <w:lang w:bidi="ar"/>
                    </w:rPr>
                  </w:pPr>
                  <w:r>
                    <w:rPr>
                      <w:rFonts w:hint="eastAsia"/>
                      <w:bCs/>
                      <w:color w:val="auto"/>
                      <w:kern w:val="0"/>
                      <w:szCs w:val="21"/>
                      <w:lang w:bidi="ar"/>
                    </w:rPr>
                    <w:t>五楼</w:t>
                  </w:r>
                </w:p>
              </w:tc>
              <w:tc>
                <w:tcPr>
                  <w:tcW w:w="502" w:type="pct"/>
                  <w:vAlign w:val="center"/>
                </w:tcPr>
                <w:p w14:paraId="010DC81A">
                  <w:pPr>
                    <w:widowControl/>
                    <w:jc w:val="center"/>
                    <w:textAlignment w:val="center"/>
                    <w:rPr>
                      <w:color w:val="auto"/>
                      <w:kern w:val="0"/>
                      <w:szCs w:val="21"/>
                      <w:lang w:bidi="ar"/>
                    </w:rPr>
                  </w:pPr>
                  <w:r>
                    <w:rPr>
                      <w:rFonts w:hint="eastAsia"/>
                      <w:color w:val="auto"/>
                      <w:kern w:val="0"/>
                      <w:szCs w:val="21"/>
                      <w:lang w:bidi="ar"/>
                    </w:rPr>
                    <w:t>TVOC</w:t>
                  </w:r>
                </w:p>
              </w:tc>
              <w:tc>
                <w:tcPr>
                  <w:tcW w:w="377" w:type="pct"/>
                  <w:vAlign w:val="center"/>
                </w:tcPr>
                <w:p w14:paraId="08C23011">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1CBAAC82">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4078BC46">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72DB9EBC">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6E657799">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45AA189A">
                  <w:pPr>
                    <w:widowControl/>
                    <w:jc w:val="center"/>
                    <w:textAlignment w:val="center"/>
                    <w:rPr>
                      <w:bCs/>
                      <w:color w:val="auto"/>
                      <w:kern w:val="0"/>
                      <w:szCs w:val="21"/>
                      <w:lang w:bidi="ar"/>
                    </w:rPr>
                  </w:pPr>
                  <w:r>
                    <w:rPr>
                      <w:color w:val="auto"/>
                      <w:kern w:val="0"/>
                      <w:szCs w:val="21"/>
                      <w:lang w:bidi="ar"/>
                    </w:rPr>
                    <w:t>0.00673</w:t>
                  </w:r>
                </w:p>
              </w:tc>
              <w:tc>
                <w:tcPr>
                  <w:tcW w:w="500" w:type="pct"/>
                  <w:vAlign w:val="center"/>
                </w:tcPr>
                <w:p w14:paraId="297E94B4">
                  <w:pPr>
                    <w:widowControl/>
                    <w:jc w:val="center"/>
                    <w:textAlignment w:val="center"/>
                    <w:rPr>
                      <w:bCs/>
                      <w:color w:val="auto"/>
                      <w:kern w:val="0"/>
                      <w:szCs w:val="21"/>
                      <w:lang w:bidi="ar"/>
                    </w:rPr>
                  </w:pPr>
                  <w:r>
                    <w:rPr>
                      <w:color w:val="auto"/>
                      <w:kern w:val="0"/>
                      <w:szCs w:val="21"/>
                      <w:lang w:bidi="ar"/>
                    </w:rPr>
                    <w:t>0.00224</w:t>
                  </w:r>
                </w:p>
              </w:tc>
              <w:tc>
                <w:tcPr>
                  <w:tcW w:w="520" w:type="pct"/>
                  <w:vAlign w:val="center"/>
                </w:tcPr>
                <w:p w14:paraId="781B7F2D">
                  <w:pPr>
                    <w:widowControl/>
                    <w:jc w:val="center"/>
                    <w:textAlignment w:val="center"/>
                    <w:rPr>
                      <w:color w:val="auto"/>
                      <w:kern w:val="0"/>
                      <w:szCs w:val="21"/>
                      <w:lang w:bidi="ar"/>
                    </w:rPr>
                  </w:pPr>
                  <w:r>
                    <w:rPr>
                      <w:color w:val="auto"/>
                      <w:kern w:val="0"/>
                      <w:szCs w:val="21"/>
                      <w:lang w:bidi="ar"/>
                    </w:rPr>
                    <w:t>/</w:t>
                  </w:r>
                </w:p>
              </w:tc>
            </w:tr>
            <w:tr w14:paraId="0E54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302" w:type="pct"/>
                  <w:vMerge w:val="continue"/>
                  <w:vAlign w:val="center"/>
                </w:tcPr>
                <w:p w14:paraId="37DF125F">
                  <w:pPr>
                    <w:widowControl/>
                    <w:jc w:val="center"/>
                    <w:textAlignment w:val="center"/>
                    <w:rPr>
                      <w:bCs/>
                      <w:color w:val="auto"/>
                      <w:kern w:val="0"/>
                      <w:szCs w:val="21"/>
                      <w:lang w:bidi="ar"/>
                    </w:rPr>
                  </w:pPr>
                </w:p>
              </w:tc>
              <w:tc>
                <w:tcPr>
                  <w:tcW w:w="560" w:type="pct"/>
                  <w:vMerge w:val="continue"/>
                  <w:vAlign w:val="center"/>
                </w:tcPr>
                <w:p w14:paraId="03D0968A">
                  <w:pPr>
                    <w:widowControl/>
                    <w:jc w:val="center"/>
                    <w:textAlignment w:val="center"/>
                    <w:rPr>
                      <w:bCs/>
                      <w:color w:val="auto"/>
                      <w:kern w:val="0"/>
                      <w:szCs w:val="21"/>
                      <w:lang w:bidi="ar"/>
                    </w:rPr>
                  </w:pPr>
                </w:p>
              </w:tc>
              <w:tc>
                <w:tcPr>
                  <w:tcW w:w="502" w:type="pct"/>
                  <w:vAlign w:val="center"/>
                </w:tcPr>
                <w:p w14:paraId="742BDF4E">
                  <w:pPr>
                    <w:widowControl/>
                    <w:jc w:val="center"/>
                    <w:textAlignment w:val="center"/>
                    <w:rPr>
                      <w:color w:val="auto"/>
                      <w:kern w:val="0"/>
                      <w:szCs w:val="21"/>
                      <w:lang w:bidi="ar"/>
                    </w:rPr>
                  </w:pPr>
                  <w:r>
                    <w:rPr>
                      <w:rFonts w:hint="eastAsia"/>
                      <w:color w:val="auto"/>
                      <w:kern w:val="0"/>
                      <w:szCs w:val="21"/>
                      <w:lang w:bidi="ar"/>
                    </w:rPr>
                    <w:t>颗粒物</w:t>
                  </w:r>
                </w:p>
              </w:tc>
              <w:tc>
                <w:tcPr>
                  <w:tcW w:w="377" w:type="pct"/>
                  <w:vAlign w:val="center"/>
                </w:tcPr>
                <w:p w14:paraId="5222B5DC">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18A7A2F3">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7222F893">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42A7175D">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1F381D49">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46C82C78">
                  <w:pPr>
                    <w:widowControl/>
                    <w:jc w:val="center"/>
                    <w:textAlignment w:val="center"/>
                    <w:rPr>
                      <w:bCs/>
                      <w:color w:val="auto"/>
                      <w:kern w:val="0"/>
                      <w:szCs w:val="21"/>
                      <w:lang w:bidi="ar"/>
                    </w:rPr>
                  </w:pPr>
                  <w:r>
                    <w:rPr>
                      <w:color w:val="auto"/>
                      <w:kern w:val="0"/>
                      <w:szCs w:val="21"/>
                      <w:lang w:bidi="ar"/>
                    </w:rPr>
                    <w:t>0.0036</w:t>
                  </w:r>
                </w:p>
              </w:tc>
              <w:tc>
                <w:tcPr>
                  <w:tcW w:w="500" w:type="pct"/>
                  <w:vAlign w:val="center"/>
                </w:tcPr>
                <w:p w14:paraId="085EE538">
                  <w:pPr>
                    <w:widowControl/>
                    <w:jc w:val="center"/>
                    <w:textAlignment w:val="center"/>
                    <w:rPr>
                      <w:bCs/>
                      <w:color w:val="auto"/>
                      <w:kern w:val="0"/>
                      <w:szCs w:val="21"/>
                      <w:lang w:bidi="ar"/>
                    </w:rPr>
                  </w:pPr>
                  <w:r>
                    <w:rPr>
                      <w:color w:val="auto"/>
                      <w:kern w:val="0"/>
                      <w:szCs w:val="21"/>
                      <w:lang w:bidi="ar"/>
                    </w:rPr>
                    <w:t>0.0012</w:t>
                  </w:r>
                </w:p>
              </w:tc>
              <w:tc>
                <w:tcPr>
                  <w:tcW w:w="520" w:type="pct"/>
                  <w:vAlign w:val="center"/>
                </w:tcPr>
                <w:p w14:paraId="3B8C3EDB">
                  <w:pPr>
                    <w:widowControl/>
                    <w:jc w:val="center"/>
                    <w:textAlignment w:val="center"/>
                    <w:rPr>
                      <w:color w:val="auto"/>
                      <w:kern w:val="0"/>
                      <w:szCs w:val="21"/>
                      <w:lang w:bidi="ar"/>
                    </w:rPr>
                  </w:pPr>
                  <w:r>
                    <w:rPr>
                      <w:color w:val="auto"/>
                      <w:kern w:val="0"/>
                      <w:szCs w:val="21"/>
                      <w:lang w:bidi="ar"/>
                    </w:rPr>
                    <w:t>/</w:t>
                  </w:r>
                </w:p>
              </w:tc>
            </w:tr>
            <w:tr w14:paraId="3F994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302" w:type="pct"/>
                  <w:vMerge w:val="continue"/>
                  <w:vAlign w:val="center"/>
                </w:tcPr>
                <w:p w14:paraId="4CD5C04C">
                  <w:pPr>
                    <w:widowControl/>
                    <w:jc w:val="center"/>
                    <w:textAlignment w:val="center"/>
                    <w:rPr>
                      <w:color w:val="auto"/>
                    </w:rPr>
                  </w:pPr>
                </w:p>
              </w:tc>
              <w:tc>
                <w:tcPr>
                  <w:tcW w:w="560" w:type="pct"/>
                  <w:vMerge w:val="continue"/>
                  <w:vAlign w:val="center"/>
                </w:tcPr>
                <w:p w14:paraId="3F3F0CBC">
                  <w:pPr>
                    <w:widowControl/>
                    <w:jc w:val="center"/>
                    <w:textAlignment w:val="center"/>
                    <w:rPr>
                      <w:color w:val="auto"/>
                    </w:rPr>
                  </w:pPr>
                </w:p>
              </w:tc>
              <w:tc>
                <w:tcPr>
                  <w:tcW w:w="502" w:type="pct"/>
                  <w:vAlign w:val="center"/>
                </w:tcPr>
                <w:p w14:paraId="70D85C10">
                  <w:pPr>
                    <w:widowControl/>
                    <w:jc w:val="center"/>
                    <w:textAlignment w:val="center"/>
                    <w:rPr>
                      <w:color w:val="auto"/>
                      <w:kern w:val="0"/>
                      <w:szCs w:val="21"/>
                      <w:lang w:bidi="ar"/>
                    </w:rPr>
                  </w:pPr>
                  <w:r>
                    <w:rPr>
                      <w:rFonts w:hint="eastAsia"/>
                      <w:color w:val="auto"/>
                      <w:kern w:val="0"/>
                      <w:szCs w:val="21"/>
                      <w:lang w:bidi="ar"/>
                    </w:rPr>
                    <w:t>氮氧化物</w:t>
                  </w:r>
                </w:p>
              </w:tc>
              <w:tc>
                <w:tcPr>
                  <w:tcW w:w="377" w:type="pct"/>
                  <w:vAlign w:val="center"/>
                </w:tcPr>
                <w:p w14:paraId="3750D4DD">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3302F049">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12C8FDBC">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43BAC746">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6F7BA82F">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75F01885">
                  <w:pPr>
                    <w:widowControl/>
                    <w:jc w:val="center"/>
                    <w:textAlignment w:val="center"/>
                    <w:rPr>
                      <w:color w:val="auto"/>
                      <w:kern w:val="0"/>
                      <w:szCs w:val="21"/>
                      <w:lang w:bidi="ar"/>
                    </w:rPr>
                  </w:pPr>
                  <w:r>
                    <w:rPr>
                      <w:color w:val="auto"/>
                      <w:kern w:val="0"/>
                      <w:szCs w:val="21"/>
                      <w:lang w:bidi="ar"/>
                    </w:rPr>
                    <w:t>0.0124</w:t>
                  </w:r>
                </w:p>
              </w:tc>
              <w:tc>
                <w:tcPr>
                  <w:tcW w:w="500" w:type="pct"/>
                  <w:vAlign w:val="center"/>
                </w:tcPr>
                <w:p w14:paraId="16E9937D">
                  <w:pPr>
                    <w:widowControl/>
                    <w:jc w:val="center"/>
                    <w:textAlignment w:val="center"/>
                    <w:rPr>
                      <w:color w:val="auto"/>
                      <w:kern w:val="0"/>
                      <w:szCs w:val="21"/>
                      <w:lang w:bidi="ar"/>
                    </w:rPr>
                  </w:pPr>
                  <w:r>
                    <w:rPr>
                      <w:color w:val="auto"/>
                      <w:kern w:val="0"/>
                      <w:szCs w:val="21"/>
                      <w:lang w:bidi="ar"/>
                    </w:rPr>
                    <w:t>0.0039</w:t>
                  </w:r>
                </w:p>
              </w:tc>
              <w:tc>
                <w:tcPr>
                  <w:tcW w:w="520" w:type="pct"/>
                  <w:vAlign w:val="center"/>
                </w:tcPr>
                <w:p w14:paraId="19CBEEEA">
                  <w:pPr>
                    <w:widowControl/>
                    <w:jc w:val="center"/>
                    <w:textAlignment w:val="center"/>
                    <w:rPr>
                      <w:color w:val="auto"/>
                      <w:kern w:val="0"/>
                      <w:szCs w:val="21"/>
                      <w:lang w:bidi="ar"/>
                    </w:rPr>
                  </w:pPr>
                  <w:r>
                    <w:rPr>
                      <w:color w:val="auto"/>
                      <w:kern w:val="0"/>
                      <w:szCs w:val="21"/>
                      <w:lang w:bidi="ar"/>
                    </w:rPr>
                    <w:t>/</w:t>
                  </w:r>
                </w:p>
              </w:tc>
            </w:tr>
            <w:tr w14:paraId="7E4C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302" w:type="pct"/>
                  <w:vMerge w:val="continue"/>
                  <w:vAlign w:val="center"/>
                </w:tcPr>
                <w:p w14:paraId="77033A95">
                  <w:pPr>
                    <w:widowControl/>
                    <w:jc w:val="center"/>
                    <w:textAlignment w:val="center"/>
                    <w:rPr>
                      <w:bCs/>
                      <w:color w:val="auto"/>
                      <w:kern w:val="0"/>
                      <w:szCs w:val="21"/>
                      <w:lang w:bidi="ar"/>
                    </w:rPr>
                  </w:pPr>
                </w:p>
              </w:tc>
              <w:tc>
                <w:tcPr>
                  <w:tcW w:w="560" w:type="pct"/>
                  <w:vMerge w:val="continue"/>
                  <w:vAlign w:val="center"/>
                </w:tcPr>
                <w:p w14:paraId="51EB64C2">
                  <w:pPr>
                    <w:widowControl/>
                    <w:jc w:val="center"/>
                    <w:textAlignment w:val="center"/>
                    <w:rPr>
                      <w:bCs/>
                      <w:color w:val="auto"/>
                      <w:kern w:val="0"/>
                      <w:szCs w:val="21"/>
                      <w:lang w:bidi="ar"/>
                    </w:rPr>
                  </w:pPr>
                </w:p>
              </w:tc>
              <w:tc>
                <w:tcPr>
                  <w:tcW w:w="502" w:type="pct"/>
                  <w:vAlign w:val="center"/>
                </w:tcPr>
                <w:p w14:paraId="4E853F6A">
                  <w:pPr>
                    <w:widowControl/>
                    <w:jc w:val="center"/>
                    <w:textAlignment w:val="center"/>
                    <w:rPr>
                      <w:color w:val="auto"/>
                      <w:kern w:val="0"/>
                      <w:szCs w:val="21"/>
                      <w:lang w:bidi="ar"/>
                    </w:rPr>
                  </w:pPr>
                  <w:r>
                    <w:rPr>
                      <w:rFonts w:hint="eastAsia"/>
                      <w:color w:val="auto"/>
                      <w:kern w:val="0"/>
                      <w:szCs w:val="21"/>
                      <w:lang w:bidi="ar"/>
                    </w:rPr>
                    <w:t>二氧化硫</w:t>
                  </w:r>
                </w:p>
              </w:tc>
              <w:tc>
                <w:tcPr>
                  <w:tcW w:w="377" w:type="pct"/>
                  <w:vAlign w:val="center"/>
                </w:tcPr>
                <w:p w14:paraId="68DEB6A6">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4311E2C9">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203602C0">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53144F66">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4D36D91D">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4C341E4D">
                  <w:pPr>
                    <w:widowControl/>
                    <w:jc w:val="center"/>
                    <w:textAlignment w:val="center"/>
                    <w:rPr>
                      <w:bCs/>
                      <w:color w:val="auto"/>
                      <w:kern w:val="0"/>
                      <w:szCs w:val="21"/>
                      <w:lang w:bidi="ar"/>
                    </w:rPr>
                  </w:pPr>
                  <w:r>
                    <w:rPr>
                      <w:color w:val="auto"/>
                      <w:kern w:val="0"/>
                      <w:szCs w:val="21"/>
                      <w:lang w:bidi="ar"/>
                    </w:rPr>
                    <w:t>0.0025</w:t>
                  </w:r>
                </w:p>
              </w:tc>
              <w:tc>
                <w:tcPr>
                  <w:tcW w:w="500" w:type="pct"/>
                  <w:vAlign w:val="center"/>
                </w:tcPr>
                <w:p w14:paraId="067B57FA">
                  <w:pPr>
                    <w:widowControl/>
                    <w:jc w:val="center"/>
                    <w:textAlignment w:val="center"/>
                    <w:rPr>
                      <w:bCs/>
                      <w:color w:val="auto"/>
                      <w:kern w:val="0"/>
                      <w:szCs w:val="21"/>
                      <w:lang w:bidi="ar"/>
                    </w:rPr>
                  </w:pPr>
                  <w:r>
                    <w:rPr>
                      <w:color w:val="auto"/>
                      <w:kern w:val="0"/>
                      <w:szCs w:val="21"/>
                      <w:lang w:bidi="ar"/>
                    </w:rPr>
                    <w:t>0.0009</w:t>
                  </w:r>
                </w:p>
              </w:tc>
              <w:tc>
                <w:tcPr>
                  <w:tcW w:w="520" w:type="pct"/>
                  <w:vAlign w:val="center"/>
                </w:tcPr>
                <w:p w14:paraId="44EAC9CB">
                  <w:pPr>
                    <w:widowControl/>
                    <w:jc w:val="center"/>
                    <w:textAlignment w:val="center"/>
                    <w:rPr>
                      <w:color w:val="auto"/>
                      <w:kern w:val="0"/>
                      <w:szCs w:val="21"/>
                      <w:lang w:bidi="ar"/>
                    </w:rPr>
                  </w:pPr>
                  <w:r>
                    <w:rPr>
                      <w:color w:val="auto"/>
                      <w:kern w:val="0"/>
                      <w:szCs w:val="21"/>
                      <w:lang w:bidi="ar"/>
                    </w:rPr>
                    <w:t>/</w:t>
                  </w:r>
                </w:p>
              </w:tc>
            </w:tr>
            <w:tr w14:paraId="00A27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4E0762FC">
                  <w:pPr>
                    <w:widowControl/>
                    <w:jc w:val="center"/>
                    <w:textAlignment w:val="center"/>
                    <w:rPr>
                      <w:bCs/>
                      <w:color w:val="auto"/>
                      <w:kern w:val="0"/>
                      <w:szCs w:val="21"/>
                      <w:lang w:bidi="ar"/>
                    </w:rPr>
                  </w:pPr>
                </w:p>
              </w:tc>
              <w:tc>
                <w:tcPr>
                  <w:tcW w:w="560" w:type="pct"/>
                  <w:vMerge w:val="restart"/>
                  <w:vAlign w:val="center"/>
                </w:tcPr>
                <w:p w14:paraId="0C6D4254">
                  <w:pPr>
                    <w:widowControl/>
                    <w:jc w:val="center"/>
                    <w:textAlignment w:val="center"/>
                    <w:rPr>
                      <w:bCs/>
                      <w:color w:val="auto"/>
                      <w:kern w:val="0"/>
                      <w:szCs w:val="21"/>
                      <w:lang w:bidi="ar"/>
                    </w:rPr>
                  </w:pPr>
                  <w:r>
                    <w:rPr>
                      <w:rFonts w:hint="eastAsia"/>
                      <w:bCs/>
                      <w:color w:val="auto"/>
                      <w:kern w:val="0"/>
                      <w:szCs w:val="21"/>
                      <w:lang w:bidi="ar"/>
                    </w:rPr>
                    <w:t>六楼</w:t>
                  </w:r>
                </w:p>
              </w:tc>
              <w:tc>
                <w:tcPr>
                  <w:tcW w:w="502" w:type="pct"/>
                  <w:vAlign w:val="center"/>
                </w:tcPr>
                <w:p w14:paraId="56964FC1">
                  <w:pPr>
                    <w:widowControl/>
                    <w:jc w:val="center"/>
                    <w:textAlignment w:val="center"/>
                    <w:rPr>
                      <w:color w:val="auto"/>
                      <w:kern w:val="0"/>
                      <w:szCs w:val="21"/>
                      <w:lang w:bidi="ar"/>
                    </w:rPr>
                  </w:pPr>
                  <w:r>
                    <w:rPr>
                      <w:rFonts w:hint="eastAsia"/>
                      <w:color w:val="auto"/>
                      <w:kern w:val="0"/>
                      <w:szCs w:val="21"/>
                      <w:lang w:bidi="ar"/>
                    </w:rPr>
                    <w:t>硫酸雾</w:t>
                  </w:r>
                </w:p>
              </w:tc>
              <w:tc>
                <w:tcPr>
                  <w:tcW w:w="377" w:type="pct"/>
                  <w:vAlign w:val="center"/>
                </w:tcPr>
                <w:p w14:paraId="5F7E84A4">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13B36624">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64622F65">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25C11800">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7BC27776">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6E6DE44C">
                  <w:pPr>
                    <w:widowControl/>
                    <w:jc w:val="center"/>
                    <w:textAlignment w:val="center"/>
                    <w:rPr>
                      <w:bCs/>
                      <w:color w:val="auto"/>
                      <w:kern w:val="0"/>
                      <w:szCs w:val="21"/>
                      <w:lang w:bidi="ar"/>
                    </w:rPr>
                  </w:pPr>
                  <w:r>
                    <w:rPr>
                      <w:color w:val="auto"/>
                      <w:kern w:val="0"/>
                      <w:szCs w:val="21"/>
                      <w:lang w:bidi="ar"/>
                    </w:rPr>
                    <w:t>0.036</w:t>
                  </w:r>
                </w:p>
              </w:tc>
              <w:tc>
                <w:tcPr>
                  <w:tcW w:w="500" w:type="pct"/>
                  <w:vAlign w:val="center"/>
                </w:tcPr>
                <w:p w14:paraId="08DC3053">
                  <w:pPr>
                    <w:widowControl/>
                    <w:jc w:val="center"/>
                    <w:textAlignment w:val="center"/>
                    <w:rPr>
                      <w:bCs/>
                      <w:color w:val="auto"/>
                      <w:kern w:val="0"/>
                      <w:szCs w:val="21"/>
                      <w:lang w:bidi="ar"/>
                    </w:rPr>
                  </w:pPr>
                  <w:r>
                    <w:rPr>
                      <w:color w:val="auto"/>
                      <w:kern w:val="0"/>
                      <w:szCs w:val="21"/>
                      <w:lang w:bidi="ar"/>
                    </w:rPr>
                    <w:t>0.17</w:t>
                  </w:r>
                </w:p>
              </w:tc>
              <w:tc>
                <w:tcPr>
                  <w:tcW w:w="520" w:type="pct"/>
                  <w:vAlign w:val="center"/>
                </w:tcPr>
                <w:p w14:paraId="0236853F">
                  <w:pPr>
                    <w:widowControl/>
                    <w:jc w:val="center"/>
                    <w:textAlignment w:val="center"/>
                    <w:rPr>
                      <w:color w:val="auto"/>
                      <w:kern w:val="0"/>
                      <w:szCs w:val="21"/>
                      <w:lang w:bidi="ar"/>
                    </w:rPr>
                  </w:pPr>
                  <w:r>
                    <w:rPr>
                      <w:color w:val="auto"/>
                      <w:kern w:val="0"/>
                      <w:szCs w:val="21"/>
                      <w:lang w:bidi="ar"/>
                    </w:rPr>
                    <w:t>/</w:t>
                  </w:r>
                </w:p>
              </w:tc>
            </w:tr>
            <w:tr w14:paraId="31A09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72FBE847">
                  <w:pPr>
                    <w:widowControl/>
                    <w:jc w:val="center"/>
                    <w:textAlignment w:val="center"/>
                    <w:rPr>
                      <w:bCs/>
                      <w:color w:val="auto"/>
                      <w:kern w:val="0"/>
                      <w:szCs w:val="21"/>
                      <w:lang w:bidi="ar"/>
                    </w:rPr>
                  </w:pPr>
                </w:p>
              </w:tc>
              <w:tc>
                <w:tcPr>
                  <w:tcW w:w="560" w:type="pct"/>
                  <w:vMerge w:val="continue"/>
                  <w:vAlign w:val="center"/>
                </w:tcPr>
                <w:p w14:paraId="450AD5D0">
                  <w:pPr>
                    <w:widowControl/>
                    <w:jc w:val="center"/>
                    <w:textAlignment w:val="center"/>
                    <w:rPr>
                      <w:bCs/>
                      <w:color w:val="auto"/>
                      <w:kern w:val="0"/>
                      <w:szCs w:val="21"/>
                      <w:lang w:bidi="ar"/>
                    </w:rPr>
                  </w:pPr>
                </w:p>
              </w:tc>
              <w:tc>
                <w:tcPr>
                  <w:tcW w:w="502" w:type="pct"/>
                  <w:vAlign w:val="center"/>
                </w:tcPr>
                <w:p w14:paraId="4BB9541E">
                  <w:pPr>
                    <w:widowControl/>
                    <w:jc w:val="center"/>
                    <w:textAlignment w:val="center"/>
                    <w:rPr>
                      <w:color w:val="auto"/>
                      <w:kern w:val="0"/>
                      <w:szCs w:val="21"/>
                      <w:lang w:bidi="ar"/>
                    </w:rPr>
                  </w:pPr>
                  <w:r>
                    <w:rPr>
                      <w:rFonts w:hint="eastAsia"/>
                      <w:color w:val="auto"/>
                      <w:kern w:val="0"/>
                      <w:szCs w:val="21"/>
                      <w:lang w:bidi="ar"/>
                    </w:rPr>
                    <w:t>颗粒物</w:t>
                  </w:r>
                </w:p>
              </w:tc>
              <w:tc>
                <w:tcPr>
                  <w:tcW w:w="377" w:type="pct"/>
                  <w:vAlign w:val="center"/>
                </w:tcPr>
                <w:p w14:paraId="1FDCEEA6">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79BC116B">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3EF54223">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61F713C0">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5EBDA130">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2BDD929E">
                  <w:pPr>
                    <w:widowControl/>
                    <w:jc w:val="center"/>
                    <w:textAlignment w:val="center"/>
                    <w:rPr>
                      <w:bCs/>
                      <w:color w:val="auto"/>
                      <w:kern w:val="0"/>
                      <w:szCs w:val="21"/>
                      <w:lang w:bidi="ar"/>
                    </w:rPr>
                  </w:pPr>
                  <w:r>
                    <w:rPr>
                      <w:color w:val="auto"/>
                      <w:kern w:val="0"/>
                      <w:szCs w:val="21"/>
                      <w:lang w:bidi="ar"/>
                    </w:rPr>
                    <w:t>0.0002</w:t>
                  </w:r>
                </w:p>
              </w:tc>
              <w:tc>
                <w:tcPr>
                  <w:tcW w:w="500" w:type="pct"/>
                  <w:vAlign w:val="center"/>
                </w:tcPr>
                <w:p w14:paraId="6E4E8B9E">
                  <w:pPr>
                    <w:widowControl/>
                    <w:jc w:val="center"/>
                    <w:textAlignment w:val="center"/>
                    <w:rPr>
                      <w:bCs/>
                      <w:color w:val="auto"/>
                      <w:kern w:val="0"/>
                      <w:szCs w:val="21"/>
                      <w:lang w:bidi="ar"/>
                    </w:rPr>
                  </w:pPr>
                  <w:r>
                    <w:rPr>
                      <w:color w:val="auto"/>
                      <w:kern w:val="0"/>
                      <w:szCs w:val="21"/>
                      <w:lang w:bidi="ar"/>
                    </w:rPr>
                    <w:t>0.0001</w:t>
                  </w:r>
                </w:p>
              </w:tc>
              <w:tc>
                <w:tcPr>
                  <w:tcW w:w="520" w:type="pct"/>
                  <w:vAlign w:val="center"/>
                </w:tcPr>
                <w:p w14:paraId="564F0C88">
                  <w:pPr>
                    <w:widowControl/>
                    <w:jc w:val="center"/>
                    <w:textAlignment w:val="center"/>
                    <w:rPr>
                      <w:color w:val="auto"/>
                      <w:kern w:val="0"/>
                      <w:szCs w:val="21"/>
                      <w:lang w:bidi="ar"/>
                    </w:rPr>
                  </w:pPr>
                  <w:r>
                    <w:rPr>
                      <w:color w:val="auto"/>
                      <w:kern w:val="0"/>
                      <w:szCs w:val="21"/>
                      <w:lang w:bidi="ar"/>
                    </w:rPr>
                    <w:t>/</w:t>
                  </w:r>
                </w:p>
              </w:tc>
            </w:tr>
            <w:tr w14:paraId="6E59B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791C1A74">
                  <w:pPr>
                    <w:widowControl/>
                    <w:jc w:val="center"/>
                    <w:textAlignment w:val="center"/>
                    <w:rPr>
                      <w:bCs/>
                      <w:color w:val="auto"/>
                      <w:kern w:val="0"/>
                      <w:szCs w:val="21"/>
                      <w:lang w:bidi="ar"/>
                    </w:rPr>
                  </w:pPr>
                </w:p>
              </w:tc>
              <w:tc>
                <w:tcPr>
                  <w:tcW w:w="560" w:type="pct"/>
                  <w:vMerge w:val="continue"/>
                  <w:vAlign w:val="center"/>
                </w:tcPr>
                <w:p w14:paraId="462FBDB7">
                  <w:pPr>
                    <w:widowControl/>
                    <w:jc w:val="center"/>
                    <w:textAlignment w:val="center"/>
                    <w:rPr>
                      <w:bCs/>
                      <w:color w:val="auto"/>
                      <w:kern w:val="0"/>
                      <w:szCs w:val="21"/>
                      <w:lang w:bidi="ar"/>
                    </w:rPr>
                  </w:pPr>
                </w:p>
              </w:tc>
              <w:tc>
                <w:tcPr>
                  <w:tcW w:w="502" w:type="pct"/>
                  <w:vAlign w:val="center"/>
                </w:tcPr>
                <w:p w14:paraId="308DECC6">
                  <w:pPr>
                    <w:widowControl/>
                    <w:jc w:val="center"/>
                    <w:textAlignment w:val="center"/>
                    <w:rPr>
                      <w:color w:val="auto"/>
                      <w:kern w:val="0"/>
                      <w:szCs w:val="21"/>
                      <w:lang w:bidi="ar"/>
                    </w:rPr>
                  </w:pPr>
                  <w:r>
                    <w:rPr>
                      <w:rFonts w:hint="eastAsia"/>
                      <w:color w:val="auto"/>
                      <w:kern w:val="0"/>
                      <w:szCs w:val="21"/>
                      <w:lang w:bidi="ar"/>
                    </w:rPr>
                    <w:t>氮氧化物</w:t>
                  </w:r>
                </w:p>
              </w:tc>
              <w:tc>
                <w:tcPr>
                  <w:tcW w:w="377" w:type="pct"/>
                  <w:vAlign w:val="center"/>
                </w:tcPr>
                <w:p w14:paraId="4FC132DB">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41C8EDF9">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545E514F">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41621419">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6AA9D919">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10FA8201">
                  <w:pPr>
                    <w:widowControl/>
                    <w:jc w:val="center"/>
                    <w:textAlignment w:val="center"/>
                    <w:rPr>
                      <w:bCs/>
                      <w:color w:val="auto"/>
                      <w:kern w:val="0"/>
                      <w:szCs w:val="21"/>
                      <w:lang w:bidi="ar"/>
                    </w:rPr>
                  </w:pPr>
                  <w:r>
                    <w:rPr>
                      <w:color w:val="auto"/>
                      <w:kern w:val="0"/>
                      <w:szCs w:val="21"/>
                      <w:lang w:bidi="ar"/>
                    </w:rPr>
                    <w:t>0.0008</w:t>
                  </w:r>
                </w:p>
              </w:tc>
              <w:tc>
                <w:tcPr>
                  <w:tcW w:w="500" w:type="pct"/>
                  <w:vAlign w:val="center"/>
                </w:tcPr>
                <w:p w14:paraId="755A25BE">
                  <w:pPr>
                    <w:widowControl/>
                    <w:jc w:val="center"/>
                    <w:textAlignment w:val="center"/>
                    <w:rPr>
                      <w:bCs/>
                      <w:color w:val="auto"/>
                      <w:kern w:val="0"/>
                      <w:szCs w:val="21"/>
                      <w:lang w:bidi="ar"/>
                    </w:rPr>
                  </w:pPr>
                  <w:r>
                    <w:rPr>
                      <w:color w:val="auto"/>
                      <w:kern w:val="0"/>
                      <w:szCs w:val="21"/>
                      <w:lang w:bidi="ar"/>
                    </w:rPr>
                    <w:t>0.0003</w:t>
                  </w:r>
                </w:p>
              </w:tc>
              <w:tc>
                <w:tcPr>
                  <w:tcW w:w="520" w:type="pct"/>
                  <w:vAlign w:val="center"/>
                </w:tcPr>
                <w:p w14:paraId="1E66F1DF">
                  <w:pPr>
                    <w:widowControl/>
                    <w:jc w:val="center"/>
                    <w:textAlignment w:val="center"/>
                    <w:rPr>
                      <w:color w:val="auto"/>
                      <w:kern w:val="0"/>
                      <w:szCs w:val="21"/>
                      <w:lang w:bidi="ar"/>
                    </w:rPr>
                  </w:pPr>
                  <w:r>
                    <w:rPr>
                      <w:color w:val="auto"/>
                      <w:kern w:val="0"/>
                      <w:szCs w:val="21"/>
                      <w:lang w:bidi="ar"/>
                    </w:rPr>
                    <w:t>/</w:t>
                  </w:r>
                </w:p>
              </w:tc>
            </w:tr>
            <w:tr w14:paraId="68F89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02E65723">
                  <w:pPr>
                    <w:widowControl/>
                    <w:jc w:val="center"/>
                    <w:textAlignment w:val="center"/>
                    <w:rPr>
                      <w:bCs/>
                      <w:color w:val="auto"/>
                      <w:kern w:val="0"/>
                      <w:szCs w:val="21"/>
                      <w:lang w:bidi="ar"/>
                    </w:rPr>
                  </w:pPr>
                </w:p>
              </w:tc>
              <w:tc>
                <w:tcPr>
                  <w:tcW w:w="560" w:type="pct"/>
                  <w:vMerge w:val="continue"/>
                  <w:vAlign w:val="center"/>
                </w:tcPr>
                <w:p w14:paraId="59A97D4E">
                  <w:pPr>
                    <w:widowControl/>
                    <w:jc w:val="center"/>
                    <w:textAlignment w:val="center"/>
                    <w:rPr>
                      <w:bCs/>
                      <w:color w:val="auto"/>
                      <w:kern w:val="0"/>
                      <w:szCs w:val="21"/>
                      <w:lang w:bidi="ar"/>
                    </w:rPr>
                  </w:pPr>
                </w:p>
              </w:tc>
              <w:tc>
                <w:tcPr>
                  <w:tcW w:w="502" w:type="pct"/>
                  <w:vAlign w:val="center"/>
                </w:tcPr>
                <w:p w14:paraId="5638FDE4">
                  <w:pPr>
                    <w:widowControl/>
                    <w:jc w:val="center"/>
                    <w:textAlignment w:val="center"/>
                    <w:rPr>
                      <w:color w:val="auto"/>
                      <w:kern w:val="0"/>
                      <w:szCs w:val="21"/>
                      <w:lang w:bidi="ar"/>
                    </w:rPr>
                  </w:pPr>
                  <w:r>
                    <w:rPr>
                      <w:rFonts w:hint="eastAsia"/>
                      <w:color w:val="auto"/>
                      <w:kern w:val="0"/>
                      <w:szCs w:val="21"/>
                      <w:lang w:bidi="ar"/>
                    </w:rPr>
                    <w:t>二氧化硫</w:t>
                  </w:r>
                </w:p>
              </w:tc>
              <w:tc>
                <w:tcPr>
                  <w:tcW w:w="377" w:type="pct"/>
                  <w:vAlign w:val="center"/>
                </w:tcPr>
                <w:p w14:paraId="6370FB87">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006E52DF">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236DECE9">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4B266D74">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1C41D312">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244B261E">
                  <w:pPr>
                    <w:widowControl/>
                    <w:jc w:val="center"/>
                    <w:textAlignment w:val="center"/>
                    <w:rPr>
                      <w:bCs/>
                      <w:color w:val="auto"/>
                      <w:kern w:val="0"/>
                      <w:szCs w:val="21"/>
                      <w:lang w:bidi="ar"/>
                    </w:rPr>
                  </w:pPr>
                  <w:r>
                    <w:rPr>
                      <w:color w:val="auto"/>
                      <w:kern w:val="0"/>
                      <w:szCs w:val="21"/>
                      <w:lang w:bidi="ar"/>
                    </w:rPr>
                    <w:t>0.0002</w:t>
                  </w:r>
                </w:p>
              </w:tc>
              <w:tc>
                <w:tcPr>
                  <w:tcW w:w="500" w:type="pct"/>
                  <w:vAlign w:val="center"/>
                </w:tcPr>
                <w:p w14:paraId="720218CC">
                  <w:pPr>
                    <w:widowControl/>
                    <w:jc w:val="center"/>
                    <w:textAlignment w:val="center"/>
                    <w:rPr>
                      <w:bCs/>
                      <w:color w:val="auto"/>
                      <w:kern w:val="0"/>
                      <w:szCs w:val="21"/>
                      <w:lang w:bidi="ar"/>
                    </w:rPr>
                  </w:pPr>
                  <w:r>
                    <w:rPr>
                      <w:color w:val="auto"/>
                      <w:kern w:val="0"/>
                      <w:szCs w:val="21"/>
                      <w:lang w:bidi="ar"/>
                    </w:rPr>
                    <w:t>0.0001</w:t>
                  </w:r>
                </w:p>
              </w:tc>
              <w:tc>
                <w:tcPr>
                  <w:tcW w:w="520" w:type="pct"/>
                  <w:vAlign w:val="center"/>
                </w:tcPr>
                <w:p w14:paraId="557E4A63">
                  <w:pPr>
                    <w:widowControl/>
                    <w:jc w:val="center"/>
                    <w:textAlignment w:val="center"/>
                    <w:rPr>
                      <w:color w:val="auto"/>
                      <w:kern w:val="0"/>
                      <w:szCs w:val="21"/>
                      <w:lang w:bidi="ar"/>
                    </w:rPr>
                  </w:pPr>
                  <w:r>
                    <w:rPr>
                      <w:color w:val="auto"/>
                      <w:kern w:val="0"/>
                      <w:szCs w:val="21"/>
                      <w:lang w:bidi="ar"/>
                    </w:rPr>
                    <w:t>/</w:t>
                  </w:r>
                </w:p>
              </w:tc>
            </w:tr>
            <w:tr w14:paraId="66CC6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22D05F94">
                  <w:pPr>
                    <w:widowControl/>
                    <w:jc w:val="center"/>
                    <w:textAlignment w:val="center"/>
                    <w:rPr>
                      <w:bCs/>
                      <w:color w:val="auto"/>
                      <w:kern w:val="0"/>
                      <w:szCs w:val="21"/>
                      <w:lang w:bidi="ar"/>
                    </w:rPr>
                  </w:pPr>
                </w:p>
              </w:tc>
              <w:tc>
                <w:tcPr>
                  <w:tcW w:w="560" w:type="pct"/>
                  <w:vMerge w:val="restart"/>
                  <w:vAlign w:val="center"/>
                </w:tcPr>
                <w:p w14:paraId="2EEF7F5E">
                  <w:pPr>
                    <w:widowControl/>
                    <w:jc w:val="center"/>
                    <w:textAlignment w:val="center"/>
                    <w:rPr>
                      <w:bCs/>
                      <w:color w:val="auto"/>
                      <w:kern w:val="0"/>
                      <w:szCs w:val="21"/>
                      <w:lang w:bidi="ar"/>
                    </w:rPr>
                  </w:pPr>
                  <w:r>
                    <w:rPr>
                      <w:rFonts w:hint="eastAsia"/>
                      <w:bCs/>
                      <w:color w:val="auto"/>
                      <w:kern w:val="0"/>
                      <w:szCs w:val="21"/>
                      <w:lang w:bidi="ar"/>
                    </w:rPr>
                    <w:t>合计</w:t>
                  </w:r>
                </w:p>
              </w:tc>
              <w:tc>
                <w:tcPr>
                  <w:tcW w:w="502" w:type="pct"/>
                  <w:vAlign w:val="center"/>
                </w:tcPr>
                <w:p w14:paraId="34F60161">
                  <w:pPr>
                    <w:widowControl/>
                    <w:jc w:val="center"/>
                    <w:textAlignment w:val="center"/>
                    <w:rPr>
                      <w:color w:val="auto"/>
                      <w:kern w:val="0"/>
                      <w:szCs w:val="21"/>
                      <w:lang w:bidi="ar"/>
                    </w:rPr>
                  </w:pPr>
                  <w:r>
                    <w:rPr>
                      <w:rFonts w:hint="eastAsia"/>
                      <w:color w:val="auto"/>
                      <w:kern w:val="0"/>
                      <w:szCs w:val="21"/>
                      <w:lang w:bidi="ar"/>
                    </w:rPr>
                    <w:t>颗粒物</w:t>
                  </w:r>
                </w:p>
              </w:tc>
              <w:tc>
                <w:tcPr>
                  <w:tcW w:w="377" w:type="pct"/>
                  <w:vAlign w:val="center"/>
                </w:tcPr>
                <w:p w14:paraId="5C9FC3F9">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782E0A36">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194AA2E5">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5F57E69C">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4A36CA16">
                  <w:pPr>
                    <w:widowControl/>
                    <w:jc w:val="center"/>
                    <w:textAlignment w:val="center"/>
                    <w:rPr>
                      <w:color w:val="auto"/>
                      <w:kern w:val="0"/>
                      <w:szCs w:val="21"/>
                      <w:lang w:bidi="ar"/>
                    </w:rPr>
                  </w:pPr>
                  <w:r>
                    <w:rPr>
                      <w:color w:val="auto"/>
                      <w:kern w:val="0"/>
                      <w:szCs w:val="21"/>
                      <w:lang w:bidi="ar"/>
                    </w:rPr>
                    <w:t>/</w:t>
                  </w:r>
                </w:p>
              </w:tc>
              <w:tc>
                <w:tcPr>
                  <w:tcW w:w="911" w:type="dxa"/>
                  <w:vAlign w:val="center"/>
                </w:tcPr>
                <w:p w14:paraId="32F3788C">
                  <w:pPr>
                    <w:widowControl/>
                    <w:jc w:val="center"/>
                    <w:textAlignment w:val="center"/>
                    <w:rPr>
                      <w:bCs/>
                      <w:color w:val="auto"/>
                      <w:kern w:val="0"/>
                      <w:szCs w:val="21"/>
                      <w:lang w:bidi="ar"/>
                    </w:rPr>
                  </w:pPr>
                  <w:r>
                    <w:rPr>
                      <w:color w:val="auto"/>
                      <w:kern w:val="0"/>
                      <w:szCs w:val="21"/>
                      <w:lang w:bidi="ar"/>
                    </w:rPr>
                    <w:t>0.76892</w:t>
                  </w:r>
                </w:p>
              </w:tc>
              <w:tc>
                <w:tcPr>
                  <w:tcW w:w="1069" w:type="dxa"/>
                  <w:vAlign w:val="center"/>
                </w:tcPr>
                <w:p w14:paraId="4164626F">
                  <w:pPr>
                    <w:widowControl/>
                    <w:jc w:val="center"/>
                    <w:textAlignment w:val="center"/>
                    <w:rPr>
                      <w:bCs/>
                      <w:color w:val="auto"/>
                      <w:kern w:val="0"/>
                      <w:szCs w:val="21"/>
                      <w:lang w:bidi="ar"/>
                    </w:rPr>
                  </w:pPr>
                  <w:r>
                    <w:rPr>
                      <w:color w:val="auto"/>
                      <w:kern w:val="0"/>
                      <w:szCs w:val="21"/>
                      <w:lang w:bidi="ar"/>
                    </w:rPr>
                    <w:t>0.26584</w:t>
                  </w:r>
                </w:p>
              </w:tc>
              <w:tc>
                <w:tcPr>
                  <w:tcW w:w="520" w:type="pct"/>
                  <w:vAlign w:val="center"/>
                </w:tcPr>
                <w:p w14:paraId="4321126B">
                  <w:pPr>
                    <w:widowControl/>
                    <w:jc w:val="center"/>
                    <w:textAlignment w:val="center"/>
                    <w:rPr>
                      <w:color w:val="auto"/>
                      <w:kern w:val="0"/>
                      <w:szCs w:val="21"/>
                      <w:lang w:bidi="ar"/>
                    </w:rPr>
                  </w:pPr>
                  <w:r>
                    <w:rPr>
                      <w:color w:val="auto"/>
                      <w:kern w:val="0"/>
                      <w:szCs w:val="21"/>
                      <w:lang w:bidi="ar"/>
                    </w:rPr>
                    <w:t>/</w:t>
                  </w:r>
                </w:p>
              </w:tc>
            </w:tr>
            <w:tr w14:paraId="5BE52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49C14751">
                  <w:pPr>
                    <w:widowControl/>
                    <w:jc w:val="center"/>
                    <w:textAlignment w:val="center"/>
                    <w:rPr>
                      <w:bCs/>
                      <w:color w:val="auto"/>
                      <w:kern w:val="0"/>
                      <w:szCs w:val="21"/>
                      <w:lang w:bidi="ar"/>
                    </w:rPr>
                  </w:pPr>
                </w:p>
              </w:tc>
              <w:tc>
                <w:tcPr>
                  <w:tcW w:w="560" w:type="pct"/>
                  <w:vMerge w:val="continue"/>
                  <w:vAlign w:val="center"/>
                </w:tcPr>
                <w:p w14:paraId="16D9D049">
                  <w:pPr>
                    <w:widowControl/>
                    <w:jc w:val="center"/>
                    <w:textAlignment w:val="center"/>
                    <w:rPr>
                      <w:bCs/>
                      <w:color w:val="auto"/>
                      <w:kern w:val="0"/>
                      <w:szCs w:val="21"/>
                      <w:lang w:bidi="ar"/>
                    </w:rPr>
                  </w:pPr>
                </w:p>
              </w:tc>
              <w:tc>
                <w:tcPr>
                  <w:tcW w:w="502" w:type="pct"/>
                  <w:vAlign w:val="center"/>
                </w:tcPr>
                <w:p w14:paraId="3D183C8A">
                  <w:pPr>
                    <w:widowControl/>
                    <w:jc w:val="center"/>
                    <w:textAlignment w:val="center"/>
                    <w:rPr>
                      <w:color w:val="auto"/>
                      <w:kern w:val="0"/>
                      <w:szCs w:val="21"/>
                      <w:lang w:bidi="ar"/>
                    </w:rPr>
                  </w:pPr>
                  <w:r>
                    <w:rPr>
                      <w:rFonts w:hint="eastAsia"/>
                      <w:color w:val="auto"/>
                      <w:kern w:val="0"/>
                      <w:szCs w:val="21"/>
                      <w:lang w:bidi="ar"/>
                    </w:rPr>
                    <w:t>TVOC</w:t>
                  </w:r>
                </w:p>
              </w:tc>
              <w:tc>
                <w:tcPr>
                  <w:tcW w:w="377" w:type="pct"/>
                  <w:vAlign w:val="center"/>
                </w:tcPr>
                <w:p w14:paraId="65D74090">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0DD4CAA1">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376E2EB2">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190242F3">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06CF276B">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5427DDC1">
                  <w:pPr>
                    <w:widowControl/>
                    <w:jc w:val="center"/>
                    <w:textAlignment w:val="center"/>
                    <w:rPr>
                      <w:bCs/>
                      <w:color w:val="auto"/>
                      <w:kern w:val="0"/>
                      <w:szCs w:val="21"/>
                      <w:lang w:bidi="ar"/>
                    </w:rPr>
                  </w:pPr>
                  <w:r>
                    <w:rPr>
                      <w:color w:val="auto"/>
                      <w:kern w:val="0"/>
                      <w:szCs w:val="21"/>
                      <w:lang w:bidi="ar"/>
                    </w:rPr>
                    <w:t>0.06023</w:t>
                  </w:r>
                </w:p>
              </w:tc>
              <w:tc>
                <w:tcPr>
                  <w:tcW w:w="500" w:type="pct"/>
                  <w:vAlign w:val="center"/>
                </w:tcPr>
                <w:p w14:paraId="1873238F">
                  <w:pPr>
                    <w:widowControl/>
                    <w:jc w:val="center"/>
                    <w:textAlignment w:val="center"/>
                    <w:rPr>
                      <w:bCs/>
                      <w:color w:val="auto"/>
                      <w:kern w:val="0"/>
                      <w:szCs w:val="21"/>
                      <w:lang w:bidi="ar"/>
                    </w:rPr>
                  </w:pPr>
                  <w:r>
                    <w:rPr>
                      <w:color w:val="auto"/>
                      <w:kern w:val="0"/>
                      <w:szCs w:val="21"/>
                      <w:lang w:bidi="ar"/>
                    </w:rPr>
                    <w:t>0.02114</w:t>
                  </w:r>
                </w:p>
              </w:tc>
              <w:tc>
                <w:tcPr>
                  <w:tcW w:w="520" w:type="pct"/>
                  <w:vAlign w:val="center"/>
                </w:tcPr>
                <w:p w14:paraId="1427F4C0">
                  <w:pPr>
                    <w:widowControl/>
                    <w:jc w:val="center"/>
                    <w:textAlignment w:val="center"/>
                    <w:rPr>
                      <w:color w:val="auto"/>
                      <w:kern w:val="0"/>
                      <w:szCs w:val="21"/>
                      <w:lang w:bidi="ar"/>
                    </w:rPr>
                  </w:pPr>
                  <w:r>
                    <w:rPr>
                      <w:color w:val="auto"/>
                      <w:kern w:val="0"/>
                      <w:szCs w:val="21"/>
                      <w:lang w:bidi="ar"/>
                    </w:rPr>
                    <w:t>/</w:t>
                  </w:r>
                </w:p>
              </w:tc>
            </w:tr>
            <w:tr w14:paraId="4E1DA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02314E21">
                  <w:pPr>
                    <w:widowControl/>
                    <w:jc w:val="center"/>
                    <w:textAlignment w:val="center"/>
                    <w:rPr>
                      <w:bCs/>
                      <w:color w:val="auto"/>
                      <w:kern w:val="0"/>
                      <w:szCs w:val="21"/>
                      <w:lang w:bidi="ar"/>
                    </w:rPr>
                  </w:pPr>
                </w:p>
              </w:tc>
              <w:tc>
                <w:tcPr>
                  <w:tcW w:w="560" w:type="pct"/>
                  <w:vMerge w:val="continue"/>
                  <w:vAlign w:val="center"/>
                </w:tcPr>
                <w:p w14:paraId="388F0A60">
                  <w:pPr>
                    <w:widowControl/>
                    <w:jc w:val="center"/>
                    <w:textAlignment w:val="center"/>
                    <w:rPr>
                      <w:bCs/>
                      <w:color w:val="auto"/>
                      <w:kern w:val="0"/>
                      <w:szCs w:val="21"/>
                      <w:lang w:bidi="ar"/>
                    </w:rPr>
                  </w:pPr>
                </w:p>
              </w:tc>
              <w:tc>
                <w:tcPr>
                  <w:tcW w:w="502" w:type="pct"/>
                  <w:vAlign w:val="center"/>
                </w:tcPr>
                <w:p w14:paraId="628DDC2B">
                  <w:pPr>
                    <w:widowControl/>
                    <w:jc w:val="center"/>
                    <w:textAlignment w:val="center"/>
                    <w:rPr>
                      <w:color w:val="auto"/>
                      <w:kern w:val="0"/>
                      <w:szCs w:val="21"/>
                      <w:lang w:bidi="ar"/>
                    </w:rPr>
                  </w:pPr>
                  <w:r>
                    <w:rPr>
                      <w:rFonts w:hint="eastAsia"/>
                      <w:color w:val="auto"/>
                      <w:kern w:val="0"/>
                      <w:szCs w:val="21"/>
                      <w:lang w:bidi="ar"/>
                    </w:rPr>
                    <w:t>氮氧化物</w:t>
                  </w:r>
                </w:p>
              </w:tc>
              <w:tc>
                <w:tcPr>
                  <w:tcW w:w="377" w:type="pct"/>
                  <w:vAlign w:val="center"/>
                </w:tcPr>
                <w:p w14:paraId="77443F8D">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1046ED93">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0C14E2DE">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1850168C">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537DBFAA">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1A2ECF8D">
                  <w:pPr>
                    <w:widowControl/>
                    <w:jc w:val="center"/>
                    <w:textAlignment w:val="center"/>
                    <w:rPr>
                      <w:bCs/>
                      <w:color w:val="auto"/>
                      <w:kern w:val="0"/>
                      <w:szCs w:val="21"/>
                      <w:lang w:bidi="ar"/>
                    </w:rPr>
                  </w:pPr>
                  <w:r>
                    <w:rPr>
                      <w:color w:val="auto"/>
                      <w:kern w:val="0"/>
                      <w:szCs w:val="21"/>
                      <w:lang w:bidi="ar"/>
                    </w:rPr>
                    <w:t>0.0133</w:t>
                  </w:r>
                </w:p>
              </w:tc>
              <w:tc>
                <w:tcPr>
                  <w:tcW w:w="500" w:type="pct"/>
                  <w:vAlign w:val="center"/>
                </w:tcPr>
                <w:p w14:paraId="10DD1231">
                  <w:pPr>
                    <w:widowControl/>
                    <w:jc w:val="center"/>
                    <w:textAlignment w:val="center"/>
                    <w:rPr>
                      <w:bCs/>
                      <w:color w:val="auto"/>
                      <w:kern w:val="0"/>
                      <w:szCs w:val="21"/>
                      <w:lang w:bidi="ar"/>
                    </w:rPr>
                  </w:pPr>
                  <w:r>
                    <w:rPr>
                      <w:color w:val="auto"/>
                      <w:kern w:val="0"/>
                      <w:szCs w:val="21"/>
                      <w:lang w:bidi="ar"/>
                    </w:rPr>
                    <w:t>0.0043</w:t>
                  </w:r>
                </w:p>
              </w:tc>
              <w:tc>
                <w:tcPr>
                  <w:tcW w:w="520" w:type="pct"/>
                  <w:vAlign w:val="center"/>
                </w:tcPr>
                <w:p w14:paraId="0C0F9D99">
                  <w:pPr>
                    <w:widowControl/>
                    <w:jc w:val="center"/>
                    <w:textAlignment w:val="center"/>
                    <w:rPr>
                      <w:color w:val="auto"/>
                      <w:kern w:val="0"/>
                      <w:szCs w:val="21"/>
                      <w:lang w:bidi="ar"/>
                    </w:rPr>
                  </w:pPr>
                  <w:r>
                    <w:rPr>
                      <w:color w:val="auto"/>
                      <w:kern w:val="0"/>
                      <w:szCs w:val="21"/>
                      <w:lang w:bidi="ar"/>
                    </w:rPr>
                    <w:t>/</w:t>
                  </w:r>
                </w:p>
              </w:tc>
            </w:tr>
            <w:tr w14:paraId="230A8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62C7167B">
                  <w:pPr>
                    <w:widowControl/>
                    <w:jc w:val="center"/>
                    <w:textAlignment w:val="center"/>
                    <w:rPr>
                      <w:bCs/>
                      <w:color w:val="auto"/>
                      <w:kern w:val="0"/>
                      <w:szCs w:val="21"/>
                      <w:lang w:bidi="ar"/>
                    </w:rPr>
                  </w:pPr>
                </w:p>
              </w:tc>
              <w:tc>
                <w:tcPr>
                  <w:tcW w:w="560" w:type="pct"/>
                  <w:vMerge w:val="continue"/>
                  <w:vAlign w:val="center"/>
                </w:tcPr>
                <w:p w14:paraId="0AB6647F">
                  <w:pPr>
                    <w:widowControl/>
                    <w:jc w:val="center"/>
                    <w:textAlignment w:val="center"/>
                    <w:rPr>
                      <w:bCs/>
                      <w:color w:val="auto"/>
                      <w:kern w:val="0"/>
                      <w:szCs w:val="21"/>
                      <w:lang w:bidi="ar"/>
                    </w:rPr>
                  </w:pPr>
                </w:p>
              </w:tc>
              <w:tc>
                <w:tcPr>
                  <w:tcW w:w="502" w:type="pct"/>
                  <w:vAlign w:val="center"/>
                </w:tcPr>
                <w:p w14:paraId="123A20A0">
                  <w:pPr>
                    <w:widowControl/>
                    <w:jc w:val="center"/>
                    <w:textAlignment w:val="center"/>
                    <w:rPr>
                      <w:color w:val="auto"/>
                      <w:kern w:val="0"/>
                      <w:szCs w:val="21"/>
                      <w:lang w:bidi="ar"/>
                    </w:rPr>
                  </w:pPr>
                  <w:r>
                    <w:rPr>
                      <w:rFonts w:hint="eastAsia"/>
                      <w:color w:val="auto"/>
                      <w:kern w:val="0"/>
                      <w:szCs w:val="21"/>
                      <w:lang w:bidi="ar"/>
                    </w:rPr>
                    <w:t>二氧化硫</w:t>
                  </w:r>
                </w:p>
              </w:tc>
              <w:tc>
                <w:tcPr>
                  <w:tcW w:w="377" w:type="pct"/>
                  <w:vAlign w:val="center"/>
                </w:tcPr>
                <w:p w14:paraId="5B024E59">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02849D54">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34944FB2">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38C231A4">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0CF7201F">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7F97F9EF">
                  <w:pPr>
                    <w:widowControl/>
                    <w:jc w:val="center"/>
                    <w:textAlignment w:val="center"/>
                    <w:rPr>
                      <w:bCs/>
                      <w:color w:val="auto"/>
                      <w:kern w:val="0"/>
                      <w:szCs w:val="21"/>
                      <w:lang w:bidi="ar"/>
                    </w:rPr>
                  </w:pPr>
                  <w:r>
                    <w:rPr>
                      <w:color w:val="auto"/>
                      <w:kern w:val="0"/>
                      <w:szCs w:val="21"/>
                      <w:lang w:bidi="ar"/>
                    </w:rPr>
                    <w:t>0.00271</w:t>
                  </w:r>
                </w:p>
              </w:tc>
              <w:tc>
                <w:tcPr>
                  <w:tcW w:w="500" w:type="pct"/>
                  <w:vAlign w:val="center"/>
                </w:tcPr>
                <w:p w14:paraId="045C3A44">
                  <w:pPr>
                    <w:widowControl/>
                    <w:jc w:val="center"/>
                    <w:textAlignment w:val="center"/>
                    <w:rPr>
                      <w:bCs/>
                      <w:color w:val="auto"/>
                      <w:kern w:val="0"/>
                      <w:szCs w:val="21"/>
                      <w:lang w:bidi="ar"/>
                    </w:rPr>
                  </w:pPr>
                  <w:r>
                    <w:rPr>
                      <w:color w:val="auto"/>
                      <w:kern w:val="0"/>
                      <w:szCs w:val="21"/>
                      <w:lang w:bidi="ar"/>
                    </w:rPr>
                    <w:t>0.00102</w:t>
                  </w:r>
                </w:p>
              </w:tc>
              <w:tc>
                <w:tcPr>
                  <w:tcW w:w="520" w:type="pct"/>
                  <w:vAlign w:val="center"/>
                </w:tcPr>
                <w:p w14:paraId="613400AB">
                  <w:pPr>
                    <w:widowControl/>
                    <w:jc w:val="center"/>
                    <w:textAlignment w:val="center"/>
                    <w:rPr>
                      <w:color w:val="auto"/>
                      <w:kern w:val="0"/>
                      <w:szCs w:val="21"/>
                      <w:lang w:bidi="ar"/>
                    </w:rPr>
                  </w:pPr>
                  <w:r>
                    <w:rPr>
                      <w:color w:val="auto"/>
                      <w:kern w:val="0"/>
                      <w:szCs w:val="21"/>
                      <w:lang w:bidi="ar"/>
                    </w:rPr>
                    <w:t>/</w:t>
                  </w:r>
                </w:p>
              </w:tc>
            </w:tr>
            <w:tr w14:paraId="0A638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02" w:type="pct"/>
                  <w:vMerge w:val="continue"/>
                  <w:vAlign w:val="center"/>
                </w:tcPr>
                <w:p w14:paraId="6534B5AF">
                  <w:pPr>
                    <w:widowControl/>
                    <w:jc w:val="center"/>
                    <w:textAlignment w:val="center"/>
                    <w:rPr>
                      <w:bCs/>
                      <w:color w:val="auto"/>
                      <w:kern w:val="0"/>
                      <w:szCs w:val="21"/>
                      <w:lang w:bidi="ar"/>
                    </w:rPr>
                  </w:pPr>
                </w:p>
              </w:tc>
              <w:tc>
                <w:tcPr>
                  <w:tcW w:w="560" w:type="pct"/>
                  <w:vMerge w:val="continue"/>
                  <w:vAlign w:val="center"/>
                </w:tcPr>
                <w:p w14:paraId="322AD6E3">
                  <w:pPr>
                    <w:widowControl/>
                    <w:jc w:val="center"/>
                    <w:textAlignment w:val="center"/>
                    <w:rPr>
                      <w:bCs/>
                      <w:color w:val="auto"/>
                      <w:kern w:val="0"/>
                      <w:szCs w:val="21"/>
                      <w:lang w:bidi="ar"/>
                    </w:rPr>
                  </w:pPr>
                </w:p>
              </w:tc>
              <w:tc>
                <w:tcPr>
                  <w:tcW w:w="502" w:type="pct"/>
                  <w:vAlign w:val="center"/>
                </w:tcPr>
                <w:p w14:paraId="308293EA">
                  <w:pPr>
                    <w:widowControl/>
                    <w:jc w:val="center"/>
                    <w:textAlignment w:val="center"/>
                    <w:rPr>
                      <w:color w:val="auto"/>
                      <w:kern w:val="0"/>
                      <w:szCs w:val="21"/>
                      <w:lang w:bidi="ar"/>
                    </w:rPr>
                  </w:pPr>
                  <w:r>
                    <w:rPr>
                      <w:rFonts w:hint="eastAsia"/>
                      <w:color w:val="auto"/>
                      <w:kern w:val="0"/>
                      <w:szCs w:val="21"/>
                      <w:lang w:bidi="ar"/>
                    </w:rPr>
                    <w:t>硫酸雾</w:t>
                  </w:r>
                </w:p>
              </w:tc>
              <w:tc>
                <w:tcPr>
                  <w:tcW w:w="377" w:type="pct"/>
                  <w:vAlign w:val="center"/>
                </w:tcPr>
                <w:p w14:paraId="1C713C7F">
                  <w:pPr>
                    <w:widowControl/>
                    <w:jc w:val="center"/>
                    <w:textAlignment w:val="center"/>
                    <w:rPr>
                      <w:color w:val="auto"/>
                      <w:kern w:val="0"/>
                      <w:szCs w:val="21"/>
                      <w:lang w:bidi="ar"/>
                    </w:rPr>
                  </w:pPr>
                  <w:r>
                    <w:rPr>
                      <w:rFonts w:hint="eastAsia"/>
                      <w:color w:val="auto"/>
                      <w:kern w:val="0"/>
                      <w:szCs w:val="21"/>
                      <w:lang w:bidi="ar"/>
                    </w:rPr>
                    <w:t>/</w:t>
                  </w:r>
                </w:p>
              </w:tc>
              <w:tc>
                <w:tcPr>
                  <w:tcW w:w="463" w:type="pct"/>
                  <w:vAlign w:val="center"/>
                </w:tcPr>
                <w:p w14:paraId="3F2A885D">
                  <w:pPr>
                    <w:widowControl/>
                    <w:jc w:val="center"/>
                    <w:textAlignment w:val="center"/>
                    <w:rPr>
                      <w:color w:val="auto"/>
                      <w:kern w:val="0"/>
                      <w:szCs w:val="21"/>
                      <w:lang w:bidi="ar"/>
                    </w:rPr>
                  </w:pPr>
                  <w:r>
                    <w:rPr>
                      <w:color w:val="auto"/>
                      <w:kern w:val="0"/>
                      <w:szCs w:val="21"/>
                      <w:lang w:bidi="ar"/>
                    </w:rPr>
                    <w:t>/</w:t>
                  </w:r>
                </w:p>
              </w:tc>
              <w:tc>
                <w:tcPr>
                  <w:tcW w:w="505" w:type="pct"/>
                  <w:vAlign w:val="center"/>
                </w:tcPr>
                <w:p w14:paraId="5DBE226A">
                  <w:pPr>
                    <w:widowControl/>
                    <w:jc w:val="center"/>
                    <w:textAlignment w:val="center"/>
                    <w:rPr>
                      <w:color w:val="auto"/>
                      <w:kern w:val="0"/>
                      <w:szCs w:val="21"/>
                      <w:lang w:bidi="ar"/>
                    </w:rPr>
                  </w:pPr>
                  <w:r>
                    <w:rPr>
                      <w:color w:val="auto"/>
                      <w:kern w:val="0"/>
                      <w:szCs w:val="21"/>
                      <w:lang w:bidi="ar"/>
                    </w:rPr>
                    <w:t>/</w:t>
                  </w:r>
                </w:p>
              </w:tc>
              <w:tc>
                <w:tcPr>
                  <w:tcW w:w="520" w:type="pct"/>
                  <w:vAlign w:val="center"/>
                </w:tcPr>
                <w:p w14:paraId="623B130C">
                  <w:pPr>
                    <w:widowControl/>
                    <w:jc w:val="center"/>
                    <w:textAlignment w:val="center"/>
                    <w:rPr>
                      <w:color w:val="auto"/>
                      <w:kern w:val="0"/>
                      <w:szCs w:val="21"/>
                      <w:lang w:bidi="ar"/>
                    </w:rPr>
                  </w:pPr>
                  <w:r>
                    <w:rPr>
                      <w:color w:val="auto"/>
                      <w:kern w:val="0"/>
                      <w:szCs w:val="21"/>
                      <w:lang w:bidi="ar"/>
                    </w:rPr>
                    <w:t>/</w:t>
                  </w:r>
                </w:p>
              </w:tc>
              <w:tc>
                <w:tcPr>
                  <w:tcW w:w="323" w:type="pct"/>
                  <w:vAlign w:val="center"/>
                </w:tcPr>
                <w:p w14:paraId="0F56ABB3">
                  <w:pPr>
                    <w:widowControl/>
                    <w:jc w:val="center"/>
                    <w:textAlignment w:val="center"/>
                    <w:rPr>
                      <w:color w:val="auto"/>
                      <w:kern w:val="0"/>
                      <w:szCs w:val="21"/>
                      <w:lang w:bidi="ar"/>
                    </w:rPr>
                  </w:pPr>
                  <w:r>
                    <w:rPr>
                      <w:color w:val="auto"/>
                      <w:kern w:val="0"/>
                      <w:szCs w:val="21"/>
                      <w:lang w:bidi="ar"/>
                    </w:rPr>
                    <w:t>/</w:t>
                  </w:r>
                </w:p>
              </w:tc>
              <w:tc>
                <w:tcPr>
                  <w:tcW w:w="426" w:type="pct"/>
                  <w:vAlign w:val="center"/>
                </w:tcPr>
                <w:p w14:paraId="0B059A91">
                  <w:pPr>
                    <w:widowControl/>
                    <w:jc w:val="center"/>
                    <w:textAlignment w:val="center"/>
                    <w:rPr>
                      <w:bCs/>
                      <w:color w:val="auto"/>
                      <w:kern w:val="0"/>
                      <w:szCs w:val="21"/>
                      <w:lang w:bidi="ar"/>
                    </w:rPr>
                  </w:pPr>
                  <w:r>
                    <w:rPr>
                      <w:color w:val="auto"/>
                      <w:kern w:val="0"/>
                      <w:szCs w:val="21"/>
                      <w:lang w:bidi="ar"/>
                    </w:rPr>
                    <w:t>0.036</w:t>
                  </w:r>
                </w:p>
              </w:tc>
              <w:tc>
                <w:tcPr>
                  <w:tcW w:w="500" w:type="pct"/>
                  <w:vAlign w:val="center"/>
                </w:tcPr>
                <w:p w14:paraId="71076A6A">
                  <w:pPr>
                    <w:widowControl/>
                    <w:jc w:val="center"/>
                    <w:textAlignment w:val="center"/>
                    <w:rPr>
                      <w:bCs/>
                      <w:color w:val="auto"/>
                      <w:kern w:val="0"/>
                      <w:szCs w:val="21"/>
                      <w:lang w:bidi="ar"/>
                    </w:rPr>
                  </w:pPr>
                  <w:r>
                    <w:rPr>
                      <w:color w:val="auto"/>
                      <w:kern w:val="0"/>
                      <w:szCs w:val="21"/>
                      <w:lang w:bidi="ar"/>
                    </w:rPr>
                    <w:t>0.17</w:t>
                  </w:r>
                </w:p>
              </w:tc>
              <w:tc>
                <w:tcPr>
                  <w:tcW w:w="520" w:type="pct"/>
                  <w:vAlign w:val="center"/>
                </w:tcPr>
                <w:p w14:paraId="448A581F">
                  <w:pPr>
                    <w:widowControl/>
                    <w:jc w:val="center"/>
                    <w:textAlignment w:val="center"/>
                    <w:rPr>
                      <w:color w:val="auto"/>
                      <w:kern w:val="0"/>
                      <w:szCs w:val="21"/>
                      <w:lang w:bidi="ar"/>
                    </w:rPr>
                  </w:pPr>
                  <w:r>
                    <w:rPr>
                      <w:color w:val="auto"/>
                      <w:kern w:val="0"/>
                      <w:szCs w:val="21"/>
                      <w:lang w:bidi="ar"/>
                    </w:rPr>
                    <w:t>/</w:t>
                  </w:r>
                </w:p>
              </w:tc>
            </w:tr>
          </w:tbl>
          <w:p w14:paraId="266F6003">
            <w:pPr>
              <w:adjustRightInd w:val="0"/>
              <w:snapToGrid w:val="0"/>
              <w:spacing w:line="360" w:lineRule="auto"/>
              <w:ind w:firstLine="482" w:firstLineChars="200"/>
              <w:jc w:val="left"/>
              <w:rPr>
                <w:b/>
                <w:bCs/>
                <w:color w:val="auto"/>
                <w:sz w:val="24"/>
              </w:rPr>
            </w:pPr>
            <w:r>
              <w:rPr>
                <w:rFonts w:hint="eastAsia"/>
                <w:b/>
                <w:bCs/>
                <w:color w:val="auto"/>
                <w:sz w:val="24"/>
              </w:rPr>
              <w:t>6、作业废气达标分析</w:t>
            </w:r>
          </w:p>
          <w:p w14:paraId="19C32AFC">
            <w:pPr>
              <w:adjustRightInd w:val="0"/>
              <w:snapToGrid w:val="0"/>
              <w:spacing w:line="360" w:lineRule="auto"/>
              <w:ind w:firstLine="482" w:firstLineChars="200"/>
              <w:jc w:val="left"/>
              <w:rPr>
                <w:b/>
                <w:bCs/>
                <w:color w:val="auto"/>
                <w:sz w:val="24"/>
              </w:rPr>
            </w:pPr>
            <w:r>
              <w:rPr>
                <w:rFonts w:hint="eastAsia"/>
                <w:b/>
                <w:bCs/>
                <w:color w:val="auto"/>
                <w:sz w:val="24"/>
              </w:rPr>
              <w:t>（1）正常工况下有组织废气达标分析</w:t>
            </w:r>
          </w:p>
          <w:p w14:paraId="6F54BB7E">
            <w:pPr>
              <w:adjustRightInd w:val="0"/>
              <w:snapToGrid w:val="0"/>
              <w:spacing w:line="360" w:lineRule="auto"/>
              <w:ind w:firstLine="480" w:firstLineChars="200"/>
              <w:jc w:val="left"/>
              <w:rPr>
                <w:color w:val="auto"/>
                <w:sz w:val="24"/>
              </w:rPr>
            </w:pPr>
            <w:r>
              <w:rPr>
                <w:rFonts w:hint="eastAsia"/>
                <w:color w:val="auto"/>
                <w:sz w:val="24"/>
              </w:rPr>
              <w:t>项目建设完成后，各排气筒污染物排放情况见下表。</w:t>
            </w:r>
          </w:p>
          <w:p w14:paraId="20A9C896">
            <w:pPr>
              <w:pStyle w:val="77"/>
              <w:numPr>
                <w:ilvl w:val="0"/>
                <w:numId w:val="18"/>
              </w:numPr>
              <w:adjustRightInd w:val="0"/>
              <w:snapToGrid w:val="0"/>
              <w:jc w:val="center"/>
              <w:rPr>
                <w:b/>
                <w:bCs/>
                <w:iCs/>
                <w:color w:val="auto"/>
                <w:szCs w:val="21"/>
              </w:rPr>
            </w:pPr>
            <w:r>
              <w:rPr>
                <w:rFonts w:hint="eastAsia"/>
                <w:b/>
                <w:bCs/>
                <w:color w:val="auto"/>
                <w:szCs w:val="21"/>
              </w:rPr>
              <w:t xml:space="preserve"> 项目有组织排放污染物排放达标情况一览表</w:t>
            </w:r>
          </w:p>
          <w:tbl>
            <w:tblPr>
              <w:tblStyle w:val="35"/>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184"/>
              <w:gridCol w:w="1329"/>
              <w:gridCol w:w="1468"/>
              <w:gridCol w:w="2465"/>
              <w:gridCol w:w="1152"/>
              <w:gridCol w:w="1128"/>
              <w:gridCol w:w="835"/>
            </w:tblGrid>
            <w:tr w14:paraId="3B7C2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Align w:val="center"/>
                </w:tcPr>
                <w:p w14:paraId="2C80E70E">
                  <w:pPr>
                    <w:pStyle w:val="89"/>
                    <w:rPr>
                      <w:b/>
                      <w:bCs/>
                      <w:color w:val="auto"/>
                    </w:rPr>
                  </w:pPr>
                  <w:r>
                    <w:rPr>
                      <w:rFonts w:hint="eastAsia"/>
                      <w:b/>
                      <w:bCs/>
                      <w:color w:val="auto"/>
                    </w:rPr>
                    <w:t>污染源</w:t>
                  </w:r>
                </w:p>
              </w:tc>
              <w:tc>
                <w:tcPr>
                  <w:tcW w:w="554" w:type="pct"/>
                  <w:vAlign w:val="center"/>
                </w:tcPr>
                <w:p w14:paraId="682CBF47">
                  <w:pPr>
                    <w:pStyle w:val="89"/>
                    <w:rPr>
                      <w:b/>
                      <w:bCs/>
                      <w:color w:val="auto"/>
                    </w:rPr>
                  </w:pPr>
                  <w:r>
                    <w:rPr>
                      <w:rFonts w:hint="eastAsia"/>
                      <w:b/>
                      <w:bCs/>
                      <w:color w:val="auto"/>
                    </w:rPr>
                    <w:t>污染物</w:t>
                  </w:r>
                </w:p>
              </w:tc>
              <w:tc>
                <w:tcPr>
                  <w:tcW w:w="622" w:type="pct"/>
                  <w:vAlign w:val="center"/>
                </w:tcPr>
                <w:p w14:paraId="17B2F3AB">
                  <w:pPr>
                    <w:pStyle w:val="89"/>
                    <w:rPr>
                      <w:b/>
                      <w:bCs/>
                      <w:color w:val="auto"/>
                    </w:rPr>
                  </w:pPr>
                  <w:r>
                    <w:rPr>
                      <w:rFonts w:hint="eastAsia"/>
                      <w:b/>
                      <w:bCs/>
                      <w:color w:val="auto"/>
                    </w:rPr>
                    <w:t>排放浓度</w:t>
                  </w:r>
                  <w:r>
                    <w:rPr>
                      <w:b/>
                      <w:bCs/>
                      <w:color w:val="auto"/>
                    </w:rPr>
                    <w:t>mg/m³</w:t>
                  </w:r>
                </w:p>
              </w:tc>
              <w:tc>
                <w:tcPr>
                  <w:tcW w:w="687" w:type="pct"/>
                  <w:vAlign w:val="center"/>
                </w:tcPr>
                <w:p w14:paraId="473A97AD">
                  <w:pPr>
                    <w:pStyle w:val="89"/>
                    <w:rPr>
                      <w:b/>
                      <w:bCs/>
                      <w:color w:val="auto"/>
                    </w:rPr>
                  </w:pPr>
                  <w:r>
                    <w:rPr>
                      <w:rFonts w:hint="eastAsia"/>
                      <w:b/>
                      <w:bCs/>
                      <w:color w:val="auto"/>
                    </w:rPr>
                    <w:t>排放速率</w:t>
                  </w:r>
                  <w:r>
                    <w:rPr>
                      <w:b/>
                      <w:bCs/>
                      <w:color w:val="auto"/>
                    </w:rPr>
                    <w:t>kg/h</w:t>
                  </w:r>
                </w:p>
              </w:tc>
              <w:tc>
                <w:tcPr>
                  <w:tcW w:w="1154" w:type="pct"/>
                  <w:vAlign w:val="center"/>
                </w:tcPr>
                <w:p w14:paraId="2DD9964D">
                  <w:pPr>
                    <w:pStyle w:val="89"/>
                    <w:rPr>
                      <w:b/>
                      <w:bCs/>
                      <w:color w:val="auto"/>
                    </w:rPr>
                  </w:pPr>
                  <w:r>
                    <w:rPr>
                      <w:rFonts w:hint="eastAsia"/>
                      <w:b/>
                      <w:bCs/>
                      <w:color w:val="auto"/>
                    </w:rPr>
                    <w:t>执行标准</w:t>
                  </w:r>
                </w:p>
              </w:tc>
              <w:tc>
                <w:tcPr>
                  <w:tcW w:w="539" w:type="pct"/>
                  <w:vAlign w:val="center"/>
                </w:tcPr>
                <w:p w14:paraId="0F67C245">
                  <w:pPr>
                    <w:pStyle w:val="89"/>
                    <w:rPr>
                      <w:b/>
                      <w:bCs/>
                      <w:color w:val="auto"/>
                    </w:rPr>
                  </w:pPr>
                  <w:r>
                    <w:rPr>
                      <w:rFonts w:hint="eastAsia"/>
                      <w:b/>
                      <w:bCs/>
                      <w:color w:val="auto"/>
                    </w:rPr>
                    <w:t>浓度限值m</w:t>
                  </w:r>
                  <w:r>
                    <w:rPr>
                      <w:b/>
                      <w:bCs/>
                      <w:color w:val="auto"/>
                    </w:rPr>
                    <w:t>g/m³</w:t>
                  </w:r>
                </w:p>
              </w:tc>
              <w:tc>
                <w:tcPr>
                  <w:tcW w:w="528" w:type="pct"/>
                  <w:vAlign w:val="center"/>
                </w:tcPr>
                <w:p w14:paraId="1A9490AF">
                  <w:pPr>
                    <w:pStyle w:val="89"/>
                    <w:rPr>
                      <w:b/>
                      <w:bCs/>
                      <w:color w:val="auto"/>
                    </w:rPr>
                  </w:pPr>
                  <w:r>
                    <w:rPr>
                      <w:rFonts w:hint="eastAsia"/>
                      <w:b/>
                      <w:bCs/>
                      <w:color w:val="auto"/>
                    </w:rPr>
                    <w:t>速率限值</w:t>
                  </w:r>
                  <w:r>
                    <w:rPr>
                      <w:b/>
                      <w:bCs/>
                      <w:color w:val="auto"/>
                    </w:rPr>
                    <w:t>kg/h</w:t>
                  </w:r>
                </w:p>
              </w:tc>
              <w:tc>
                <w:tcPr>
                  <w:tcW w:w="391" w:type="pct"/>
                  <w:vAlign w:val="center"/>
                </w:tcPr>
                <w:p w14:paraId="507F4537">
                  <w:pPr>
                    <w:pStyle w:val="89"/>
                    <w:rPr>
                      <w:b/>
                      <w:bCs/>
                      <w:color w:val="auto"/>
                    </w:rPr>
                  </w:pPr>
                  <w:r>
                    <w:rPr>
                      <w:rFonts w:hint="eastAsia"/>
                      <w:b/>
                      <w:bCs/>
                      <w:color w:val="auto"/>
                    </w:rPr>
                    <w:t>达标</w:t>
                  </w:r>
                </w:p>
                <w:p w14:paraId="3D8F3F4C">
                  <w:pPr>
                    <w:pStyle w:val="89"/>
                    <w:rPr>
                      <w:b/>
                      <w:bCs/>
                      <w:color w:val="auto"/>
                    </w:rPr>
                  </w:pPr>
                  <w:r>
                    <w:rPr>
                      <w:rFonts w:hint="eastAsia"/>
                      <w:b/>
                      <w:bCs/>
                      <w:color w:val="auto"/>
                    </w:rPr>
                    <w:t>情况</w:t>
                  </w:r>
                </w:p>
              </w:tc>
            </w:tr>
            <w:tr w14:paraId="58385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Align w:val="center"/>
                </w:tcPr>
                <w:p w14:paraId="2590BAF5">
                  <w:pPr>
                    <w:widowControl/>
                    <w:jc w:val="center"/>
                    <w:textAlignment w:val="center"/>
                    <w:rPr>
                      <w:color w:val="auto"/>
                      <w:kern w:val="0"/>
                      <w:szCs w:val="21"/>
                      <w:lang w:bidi="ar"/>
                    </w:rPr>
                  </w:pPr>
                  <w:r>
                    <w:rPr>
                      <w:rFonts w:hint="eastAsia"/>
                      <w:color w:val="auto"/>
                      <w:kern w:val="0"/>
                      <w:szCs w:val="21"/>
                      <w:lang w:bidi="ar"/>
                    </w:rPr>
                    <w:t>DA001</w:t>
                  </w:r>
                </w:p>
              </w:tc>
              <w:tc>
                <w:tcPr>
                  <w:tcW w:w="554" w:type="pct"/>
                  <w:vAlign w:val="center"/>
                </w:tcPr>
                <w:p w14:paraId="3C611488">
                  <w:pPr>
                    <w:widowControl/>
                    <w:jc w:val="center"/>
                    <w:textAlignment w:val="center"/>
                    <w:rPr>
                      <w:color w:val="auto"/>
                      <w:kern w:val="0"/>
                      <w:szCs w:val="21"/>
                      <w:lang w:bidi="ar"/>
                    </w:rPr>
                  </w:pPr>
                  <w:r>
                    <w:rPr>
                      <w:rFonts w:hint="eastAsia"/>
                      <w:color w:val="auto"/>
                      <w:kern w:val="0"/>
                      <w:szCs w:val="21"/>
                      <w:lang w:bidi="ar"/>
                    </w:rPr>
                    <w:t>颗粒物</w:t>
                  </w:r>
                </w:p>
              </w:tc>
              <w:tc>
                <w:tcPr>
                  <w:tcW w:w="1329" w:type="dxa"/>
                  <w:vAlign w:val="center"/>
                </w:tcPr>
                <w:p w14:paraId="735D82D7">
                  <w:pPr>
                    <w:widowControl/>
                    <w:jc w:val="center"/>
                    <w:textAlignment w:val="center"/>
                    <w:rPr>
                      <w:color w:val="auto"/>
                      <w:szCs w:val="21"/>
                    </w:rPr>
                  </w:pPr>
                  <w:r>
                    <w:rPr>
                      <w:color w:val="auto"/>
                      <w:kern w:val="0"/>
                      <w:szCs w:val="21"/>
                      <w:lang w:bidi="ar"/>
                    </w:rPr>
                    <w:t xml:space="preserve">0.485 </w:t>
                  </w:r>
                </w:p>
              </w:tc>
              <w:tc>
                <w:tcPr>
                  <w:tcW w:w="687" w:type="pct"/>
                  <w:vAlign w:val="center"/>
                </w:tcPr>
                <w:p w14:paraId="65715F59">
                  <w:pPr>
                    <w:widowControl/>
                    <w:jc w:val="center"/>
                    <w:textAlignment w:val="center"/>
                    <w:rPr>
                      <w:color w:val="auto"/>
                      <w:szCs w:val="21"/>
                      <w:highlight w:val="yellow"/>
                    </w:rPr>
                  </w:pPr>
                  <w:r>
                    <w:rPr>
                      <w:color w:val="auto"/>
                      <w:kern w:val="0"/>
                      <w:szCs w:val="21"/>
                      <w:lang w:bidi="ar"/>
                    </w:rPr>
                    <w:t>0.0</w:t>
                  </w:r>
                  <w:r>
                    <w:rPr>
                      <w:rFonts w:hint="eastAsia"/>
                      <w:color w:val="auto"/>
                      <w:kern w:val="0"/>
                      <w:szCs w:val="21"/>
                      <w:lang w:bidi="ar"/>
                    </w:rPr>
                    <w:t>063</w:t>
                  </w:r>
                </w:p>
              </w:tc>
              <w:tc>
                <w:tcPr>
                  <w:tcW w:w="1154" w:type="pct"/>
                  <w:vAlign w:val="center"/>
                </w:tcPr>
                <w:p w14:paraId="4963D33D">
                  <w:pPr>
                    <w:pStyle w:val="127"/>
                    <w:rPr>
                      <w:color w:val="auto"/>
                      <w:kern w:val="2"/>
                      <w:szCs w:val="21"/>
                    </w:rPr>
                  </w:pPr>
                  <w:r>
                    <w:rPr>
                      <w:color w:val="auto"/>
                      <w:szCs w:val="21"/>
                    </w:rPr>
                    <w:t>DB44/27-2001</w:t>
                  </w:r>
                </w:p>
              </w:tc>
              <w:tc>
                <w:tcPr>
                  <w:tcW w:w="539" w:type="pct"/>
                  <w:vAlign w:val="center"/>
                </w:tcPr>
                <w:p w14:paraId="15ABB94F">
                  <w:pPr>
                    <w:pStyle w:val="127"/>
                    <w:rPr>
                      <w:color w:val="auto"/>
                      <w:kern w:val="11"/>
                      <w:szCs w:val="21"/>
                    </w:rPr>
                  </w:pPr>
                  <w:r>
                    <w:rPr>
                      <w:rFonts w:hint="eastAsia"/>
                      <w:color w:val="auto"/>
                      <w:kern w:val="2"/>
                      <w:szCs w:val="21"/>
                    </w:rPr>
                    <w:t>120</w:t>
                  </w:r>
                </w:p>
              </w:tc>
              <w:tc>
                <w:tcPr>
                  <w:tcW w:w="528" w:type="pct"/>
                  <w:vAlign w:val="center"/>
                </w:tcPr>
                <w:p w14:paraId="77F0BF9F">
                  <w:pPr>
                    <w:pStyle w:val="127"/>
                    <w:rPr>
                      <w:color w:val="auto"/>
                      <w:szCs w:val="21"/>
                    </w:rPr>
                  </w:pPr>
                  <w:r>
                    <w:rPr>
                      <w:rFonts w:hint="eastAsia"/>
                      <w:color w:val="auto"/>
                      <w:kern w:val="2"/>
                      <w:szCs w:val="21"/>
                    </w:rPr>
                    <w:t>19.25</w:t>
                  </w:r>
                </w:p>
              </w:tc>
              <w:tc>
                <w:tcPr>
                  <w:tcW w:w="391" w:type="pct"/>
                  <w:vAlign w:val="center"/>
                </w:tcPr>
                <w:p w14:paraId="69F4323E">
                  <w:pPr>
                    <w:pStyle w:val="89"/>
                    <w:rPr>
                      <w:color w:val="auto"/>
                    </w:rPr>
                  </w:pPr>
                  <w:r>
                    <w:rPr>
                      <w:rFonts w:hint="eastAsia"/>
                      <w:color w:val="auto"/>
                    </w:rPr>
                    <w:t>达标</w:t>
                  </w:r>
                </w:p>
              </w:tc>
            </w:tr>
            <w:tr w14:paraId="2FFF6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Align w:val="center"/>
                </w:tcPr>
                <w:p w14:paraId="051D00B3">
                  <w:pPr>
                    <w:widowControl/>
                    <w:jc w:val="center"/>
                    <w:textAlignment w:val="center"/>
                    <w:rPr>
                      <w:color w:val="auto"/>
                      <w:kern w:val="0"/>
                      <w:szCs w:val="21"/>
                      <w:lang w:bidi="ar"/>
                    </w:rPr>
                  </w:pPr>
                  <w:r>
                    <w:rPr>
                      <w:rFonts w:hint="eastAsia"/>
                      <w:color w:val="auto"/>
                      <w:kern w:val="0"/>
                      <w:szCs w:val="21"/>
                      <w:lang w:bidi="ar"/>
                    </w:rPr>
                    <w:t>DA002</w:t>
                  </w:r>
                </w:p>
              </w:tc>
              <w:tc>
                <w:tcPr>
                  <w:tcW w:w="554" w:type="pct"/>
                  <w:vAlign w:val="center"/>
                </w:tcPr>
                <w:p w14:paraId="44B089A6">
                  <w:pPr>
                    <w:widowControl/>
                    <w:jc w:val="center"/>
                    <w:textAlignment w:val="center"/>
                    <w:rPr>
                      <w:color w:val="auto"/>
                      <w:kern w:val="0"/>
                      <w:szCs w:val="21"/>
                      <w:lang w:bidi="ar"/>
                    </w:rPr>
                  </w:pPr>
                  <w:r>
                    <w:rPr>
                      <w:rFonts w:hint="eastAsia"/>
                      <w:color w:val="auto"/>
                      <w:kern w:val="0"/>
                      <w:szCs w:val="21"/>
                      <w:lang w:bidi="ar"/>
                    </w:rPr>
                    <w:t>颗粒物</w:t>
                  </w:r>
                </w:p>
              </w:tc>
              <w:tc>
                <w:tcPr>
                  <w:tcW w:w="1329" w:type="dxa"/>
                  <w:vAlign w:val="center"/>
                </w:tcPr>
                <w:p w14:paraId="439D8F1B">
                  <w:pPr>
                    <w:widowControl/>
                    <w:jc w:val="center"/>
                    <w:textAlignment w:val="center"/>
                    <w:rPr>
                      <w:color w:val="auto"/>
                      <w:szCs w:val="21"/>
                    </w:rPr>
                  </w:pPr>
                  <w:r>
                    <w:rPr>
                      <w:color w:val="auto"/>
                      <w:kern w:val="0"/>
                      <w:szCs w:val="21"/>
                      <w:lang w:bidi="ar"/>
                    </w:rPr>
                    <w:t xml:space="preserve">0.485 </w:t>
                  </w:r>
                </w:p>
              </w:tc>
              <w:tc>
                <w:tcPr>
                  <w:tcW w:w="687" w:type="pct"/>
                  <w:vAlign w:val="center"/>
                </w:tcPr>
                <w:p w14:paraId="0E87C492">
                  <w:pPr>
                    <w:widowControl/>
                    <w:jc w:val="center"/>
                    <w:textAlignment w:val="center"/>
                    <w:rPr>
                      <w:color w:val="auto"/>
                      <w:szCs w:val="21"/>
                      <w:highlight w:val="yellow"/>
                    </w:rPr>
                  </w:pPr>
                  <w:r>
                    <w:rPr>
                      <w:color w:val="auto"/>
                      <w:kern w:val="0"/>
                      <w:szCs w:val="21"/>
                      <w:lang w:bidi="ar"/>
                    </w:rPr>
                    <w:t>0.0</w:t>
                  </w:r>
                  <w:r>
                    <w:rPr>
                      <w:rFonts w:hint="eastAsia"/>
                      <w:color w:val="auto"/>
                      <w:kern w:val="0"/>
                      <w:szCs w:val="21"/>
                      <w:lang w:bidi="ar"/>
                    </w:rPr>
                    <w:t>063</w:t>
                  </w:r>
                </w:p>
              </w:tc>
              <w:tc>
                <w:tcPr>
                  <w:tcW w:w="1154" w:type="pct"/>
                  <w:vAlign w:val="center"/>
                </w:tcPr>
                <w:p w14:paraId="098CCCA4">
                  <w:pPr>
                    <w:pStyle w:val="127"/>
                    <w:rPr>
                      <w:color w:val="auto"/>
                      <w:kern w:val="2"/>
                      <w:szCs w:val="21"/>
                    </w:rPr>
                  </w:pPr>
                  <w:r>
                    <w:rPr>
                      <w:color w:val="auto"/>
                      <w:szCs w:val="21"/>
                    </w:rPr>
                    <w:t>DB44/27-2001</w:t>
                  </w:r>
                </w:p>
              </w:tc>
              <w:tc>
                <w:tcPr>
                  <w:tcW w:w="539" w:type="pct"/>
                  <w:vAlign w:val="center"/>
                </w:tcPr>
                <w:p w14:paraId="79935A82">
                  <w:pPr>
                    <w:pStyle w:val="127"/>
                    <w:rPr>
                      <w:color w:val="auto"/>
                      <w:kern w:val="11"/>
                      <w:szCs w:val="21"/>
                    </w:rPr>
                  </w:pPr>
                  <w:r>
                    <w:rPr>
                      <w:rFonts w:hint="eastAsia"/>
                      <w:color w:val="auto"/>
                      <w:kern w:val="2"/>
                      <w:szCs w:val="21"/>
                    </w:rPr>
                    <w:t>120</w:t>
                  </w:r>
                </w:p>
              </w:tc>
              <w:tc>
                <w:tcPr>
                  <w:tcW w:w="528" w:type="pct"/>
                  <w:vAlign w:val="center"/>
                </w:tcPr>
                <w:p w14:paraId="25043081">
                  <w:pPr>
                    <w:pStyle w:val="127"/>
                    <w:rPr>
                      <w:color w:val="auto"/>
                      <w:szCs w:val="21"/>
                    </w:rPr>
                  </w:pPr>
                  <w:r>
                    <w:rPr>
                      <w:rFonts w:hint="eastAsia"/>
                      <w:color w:val="auto"/>
                      <w:kern w:val="2"/>
                      <w:szCs w:val="21"/>
                    </w:rPr>
                    <w:t>19.25</w:t>
                  </w:r>
                </w:p>
              </w:tc>
              <w:tc>
                <w:tcPr>
                  <w:tcW w:w="391" w:type="pct"/>
                  <w:vAlign w:val="center"/>
                </w:tcPr>
                <w:p w14:paraId="2CC58155">
                  <w:pPr>
                    <w:pStyle w:val="89"/>
                    <w:rPr>
                      <w:color w:val="auto"/>
                    </w:rPr>
                  </w:pPr>
                  <w:r>
                    <w:rPr>
                      <w:rFonts w:hint="eastAsia"/>
                      <w:color w:val="auto"/>
                    </w:rPr>
                    <w:t>达标</w:t>
                  </w:r>
                </w:p>
              </w:tc>
            </w:tr>
            <w:tr w14:paraId="2F95F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restart"/>
                  <w:vAlign w:val="center"/>
                </w:tcPr>
                <w:p w14:paraId="73A2E70F">
                  <w:pPr>
                    <w:widowControl/>
                    <w:jc w:val="center"/>
                    <w:textAlignment w:val="center"/>
                    <w:rPr>
                      <w:bCs/>
                      <w:color w:val="auto"/>
                      <w:kern w:val="0"/>
                      <w:szCs w:val="21"/>
                      <w:lang w:bidi="ar"/>
                    </w:rPr>
                  </w:pPr>
                  <w:r>
                    <w:rPr>
                      <w:rFonts w:hint="eastAsia"/>
                      <w:color w:val="auto"/>
                      <w:kern w:val="0"/>
                      <w:szCs w:val="21"/>
                      <w:lang w:bidi="ar"/>
                    </w:rPr>
                    <w:t>DA003</w:t>
                  </w:r>
                </w:p>
              </w:tc>
              <w:tc>
                <w:tcPr>
                  <w:tcW w:w="554" w:type="pct"/>
                  <w:vAlign w:val="center"/>
                </w:tcPr>
                <w:p w14:paraId="4B8725A2">
                  <w:pPr>
                    <w:widowControl/>
                    <w:jc w:val="center"/>
                    <w:textAlignment w:val="center"/>
                    <w:rPr>
                      <w:color w:val="auto"/>
                      <w:kern w:val="0"/>
                      <w:szCs w:val="21"/>
                      <w:lang w:bidi="ar"/>
                    </w:rPr>
                  </w:pPr>
                  <w:r>
                    <w:rPr>
                      <w:rFonts w:hint="eastAsia"/>
                      <w:color w:val="auto"/>
                      <w:kern w:val="0"/>
                      <w:szCs w:val="21"/>
                      <w:lang w:bidi="ar"/>
                    </w:rPr>
                    <w:t>颗粒物</w:t>
                  </w:r>
                </w:p>
              </w:tc>
              <w:tc>
                <w:tcPr>
                  <w:tcW w:w="622" w:type="pct"/>
                  <w:vAlign w:val="center"/>
                </w:tcPr>
                <w:p w14:paraId="1ABB8302">
                  <w:pPr>
                    <w:widowControl/>
                    <w:jc w:val="center"/>
                    <w:textAlignment w:val="center"/>
                    <w:rPr>
                      <w:color w:val="auto"/>
                      <w:kern w:val="0"/>
                      <w:szCs w:val="21"/>
                      <w:lang w:bidi="ar"/>
                    </w:rPr>
                  </w:pPr>
                  <w:r>
                    <w:rPr>
                      <w:color w:val="auto"/>
                      <w:kern w:val="0"/>
                      <w:szCs w:val="21"/>
                      <w:lang w:bidi="ar"/>
                    </w:rPr>
                    <w:t>0.656</w:t>
                  </w:r>
                </w:p>
              </w:tc>
              <w:tc>
                <w:tcPr>
                  <w:tcW w:w="687" w:type="pct"/>
                  <w:vAlign w:val="center"/>
                </w:tcPr>
                <w:p w14:paraId="269D9E53">
                  <w:pPr>
                    <w:widowControl/>
                    <w:jc w:val="center"/>
                    <w:textAlignment w:val="center"/>
                    <w:rPr>
                      <w:color w:val="auto"/>
                      <w:kern w:val="0"/>
                      <w:szCs w:val="21"/>
                      <w:lang w:bidi="ar"/>
                    </w:rPr>
                  </w:pPr>
                  <w:r>
                    <w:rPr>
                      <w:color w:val="auto"/>
                      <w:kern w:val="0"/>
                      <w:szCs w:val="21"/>
                      <w:lang w:bidi="ar"/>
                    </w:rPr>
                    <w:t>0.0131</w:t>
                  </w:r>
                </w:p>
              </w:tc>
              <w:tc>
                <w:tcPr>
                  <w:tcW w:w="1154" w:type="pct"/>
                  <w:vAlign w:val="center"/>
                </w:tcPr>
                <w:p w14:paraId="07CF8B48">
                  <w:pPr>
                    <w:pStyle w:val="89"/>
                    <w:rPr>
                      <w:color w:val="auto"/>
                    </w:rPr>
                  </w:pPr>
                  <w:r>
                    <w:rPr>
                      <w:color w:val="auto"/>
                    </w:rPr>
                    <w:t>DB44/27-2001</w:t>
                  </w:r>
                  <w:r>
                    <w:rPr>
                      <w:rFonts w:hint="eastAsia"/>
                      <w:color w:val="auto"/>
                    </w:rPr>
                    <w:t>与粤环函〔2019〕1112 号较严值</w:t>
                  </w:r>
                </w:p>
              </w:tc>
              <w:tc>
                <w:tcPr>
                  <w:tcW w:w="539" w:type="pct"/>
                  <w:vAlign w:val="center"/>
                </w:tcPr>
                <w:p w14:paraId="401EF451">
                  <w:pPr>
                    <w:pStyle w:val="127"/>
                    <w:rPr>
                      <w:color w:val="auto"/>
                      <w:kern w:val="11"/>
                      <w:szCs w:val="21"/>
                    </w:rPr>
                  </w:pPr>
                  <w:r>
                    <w:rPr>
                      <w:rFonts w:hint="eastAsia"/>
                      <w:color w:val="auto"/>
                      <w:kern w:val="2"/>
                      <w:szCs w:val="21"/>
                    </w:rPr>
                    <w:t>30</w:t>
                  </w:r>
                </w:p>
              </w:tc>
              <w:tc>
                <w:tcPr>
                  <w:tcW w:w="528" w:type="pct"/>
                  <w:vAlign w:val="center"/>
                </w:tcPr>
                <w:p w14:paraId="7E8F92E0">
                  <w:pPr>
                    <w:pStyle w:val="127"/>
                    <w:rPr>
                      <w:color w:val="auto"/>
                      <w:szCs w:val="21"/>
                    </w:rPr>
                  </w:pPr>
                  <w:r>
                    <w:rPr>
                      <w:rFonts w:hint="eastAsia"/>
                      <w:color w:val="auto"/>
                      <w:kern w:val="2"/>
                      <w:szCs w:val="21"/>
                    </w:rPr>
                    <w:t>/</w:t>
                  </w:r>
                </w:p>
              </w:tc>
              <w:tc>
                <w:tcPr>
                  <w:tcW w:w="391" w:type="pct"/>
                  <w:vAlign w:val="center"/>
                </w:tcPr>
                <w:p w14:paraId="65029834">
                  <w:pPr>
                    <w:pStyle w:val="89"/>
                    <w:rPr>
                      <w:b/>
                      <w:bCs/>
                      <w:color w:val="auto"/>
                    </w:rPr>
                  </w:pPr>
                  <w:r>
                    <w:rPr>
                      <w:rFonts w:hint="eastAsia"/>
                      <w:color w:val="auto"/>
                    </w:rPr>
                    <w:t>达标</w:t>
                  </w:r>
                </w:p>
              </w:tc>
            </w:tr>
            <w:tr w14:paraId="5A8C2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vAlign w:val="center"/>
                </w:tcPr>
                <w:p w14:paraId="26CE1ABE">
                  <w:pPr>
                    <w:widowControl/>
                    <w:jc w:val="center"/>
                    <w:textAlignment w:val="center"/>
                    <w:rPr>
                      <w:color w:val="auto"/>
                      <w:szCs w:val="21"/>
                    </w:rPr>
                  </w:pPr>
                </w:p>
              </w:tc>
              <w:tc>
                <w:tcPr>
                  <w:tcW w:w="554" w:type="pct"/>
                  <w:vAlign w:val="center"/>
                </w:tcPr>
                <w:p w14:paraId="4BE4A026">
                  <w:pPr>
                    <w:widowControl/>
                    <w:jc w:val="center"/>
                    <w:textAlignment w:val="center"/>
                    <w:rPr>
                      <w:color w:val="auto"/>
                      <w:kern w:val="0"/>
                      <w:szCs w:val="21"/>
                      <w:lang w:bidi="ar"/>
                    </w:rPr>
                  </w:pPr>
                  <w:r>
                    <w:rPr>
                      <w:rFonts w:hint="eastAsia"/>
                      <w:color w:val="auto"/>
                      <w:kern w:val="0"/>
                      <w:szCs w:val="21"/>
                      <w:lang w:bidi="ar"/>
                    </w:rPr>
                    <w:t>TVOC</w:t>
                  </w:r>
                </w:p>
              </w:tc>
              <w:tc>
                <w:tcPr>
                  <w:tcW w:w="622" w:type="pct"/>
                  <w:vAlign w:val="center"/>
                </w:tcPr>
                <w:p w14:paraId="1CE0A354">
                  <w:pPr>
                    <w:widowControl/>
                    <w:jc w:val="center"/>
                    <w:textAlignment w:val="center"/>
                    <w:rPr>
                      <w:color w:val="auto"/>
                      <w:kern w:val="0"/>
                      <w:szCs w:val="21"/>
                      <w:lang w:bidi="ar"/>
                    </w:rPr>
                  </w:pPr>
                  <w:r>
                    <w:rPr>
                      <w:color w:val="auto"/>
                      <w:kern w:val="0"/>
                      <w:szCs w:val="21"/>
                      <w:lang w:bidi="ar"/>
                    </w:rPr>
                    <w:t>2.23</w:t>
                  </w:r>
                </w:p>
              </w:tc>
              <w:tc>
                <w:tcPr>
                  <w:tcW w:w="687" w:type="pct"/>
                  <w:vAlign w:val="center"/>
                </w:tcPr>
                <w:p w14:paraId="70E698F7">
                  <w:pPr>
                    <w:widowControl/>
                    <w:jc w:val="center"/>
                    <w:textAlignment w:val="center"/>
                    <w:rPr>
                      <w:color w:val="auto"/>
                      <w:kern w:val="0"/>
                      <w:szCs w:val="21"/>
                      <w:lang w:bidi="ar"/>
                    </w:rPr>
                  </w:pPr>
                  <w:r>
                    <w:rPr>
                      <w:color w:val="auto"/>
                      <w:kern w:val="0"/>
                      <w:szCs w:val="21"/>
                      <w:lang w:bidi="ar"/>
                    </w:rPr>
                    <w:t>0.0447</w:t>
                  </w:r>
                </w:p>
              </w:tc>
              <w:tc>
                <w:tcPr>
                  <w:tcW w:w="1154" w:type="pct"/>
                  <w:vAlign w:val="center"/>
                </w:tcPr>
                <w:p w14:paraId="5987388F">
                  <w:pPr>
                    <w:pStyle w:val="89"/>
                    <w:rPr>
                      <w:color w:val="auto"/>
                    </w:rPr>
                  </w:pPr>
                  <w:r>
                    <w:rPr>
                      <w:color w:val="auto"/>
                    </w:rPr>
                    <w:t>DB44/2367-2022</w:t>
                  </w:r>
                </w:p>
              </w:tc>
              <w:tc>
                <w:tcPr>
                  <w:tcW w:w="539" w:type="pct"/>
                  <w:vAlign w:val="center"/>
                </w:tcPr>
                <w:p w14:paraId="3391B777">
                  <w:pPr>
                    <w:pStyle w:val="127"/>
                    <w:rPr>
                      <w:color w:val="auto"/>
                      <w:kern w:val="11"/>
                      <w:szCs w:val="21"/>
                    </w:rPr>
                  </w:pPr>
                  <w:r>
                    <w:rPr>
                      <w:rFonts w:hint="eastAsia"/>
                      <w:color w:val="auto"/>
                      <w:kern w:val="2"/>
                      <w:szCs w:val="21"/>
                    </w:rPr>
                    <w:t>100</w:t>
                  </w:r>
                </w:p>
              </w:tc>
              <w:tc>
                <w:tcPr>
                  <w:tcW w:w="528" w:type="pct"/>
                  <w:vAlign w:val="center"/>
                </w:tcPr>
                <w:p w14:paraId="7838312F">
                  <w:pPr>
                    <w:pStyle w:val="127"/>
                    <w:rPr>
                      <w:color w:val="auto"/>
                      <w:szCs w:val="21"/>
                    </w:rPr>
                  </w:pPr>
                  <w:r>
                    <w:rPr>
                      <w:rFonts w:hint="eastAsia"/>
                      <w:color w:val="auto"/>
                      <w:kern w:val="2"/>
                      <w:szCs w:val="21"/>
                    </w:rPr>
                    <w:t>/</w:t>
                  </w:r>
                </w:p>
              </w:tc>
              <w:tc>
                <w:tcPr>
                  <w:tcW w:w="391" w:type="pct"/>
                  <w:vAlign w:val="center"/>
                </w:tcPr>
                <w:p w14:paraId="1EC3D9ED">
                  <w:pPr>
                    <w:pStyle w:val="89"/>
                    <w:rPr>
                      <w:color w:val="auto"/>
                    </w:rPr>
                  </w:pPr>
                  <w:r>
                    <w:rPr>
                      <w:rFonts w:hint="eastAsia"/>
                      <w:color w:val="auto"/>
                    </w:rPr>
                    <w:t>达标</w:t>
                  </w:r>
                </w:p>
              </w:tc>
            </w:tr>
            <w:tr w14:paraId="189CF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vAlign w:val="center"/>
                </w:tcPr>
                <w:p w14:paraId="4E4EC116">
                  <w:pPr>
                    <w:pStyle w:val="89"/>
                    <w:rPr>
                      <w:color w:val="auto"/>
                    </w:rPr>
                  </w:pPr>
                </w:p>
              </w:tc>
              <w:tc>
                <w:tcPr>
                  <w:tcW w:w="554" w:type="pct"/>
                  <w:vAlign w:val="center"/>
                </w:tcPr>
                <w:p w14:paraId="3E523B57">
                  <w:pPr>
                    <w:widowControl/>
                    <w:jc w:val="center"/>
                    <w:textAlignment w:val="center"/>
                    <w:rPr>
                      <w:color w:val="auto"/>
                      <w:kern w:val="0"/>
                      <w:szCs w:val="21"/>
                      <w:lang w:bidi="ar"/>
                    </w:rPr>
                  </w:pPr>
                  <w:r>
                    <w:rPr>
                      <w:rFonts w:hint="eastAsia"/>
                      <w:color w:val="auto"/>
                      <w:kern w:val="0"/>
                      <w:szCs w:val="21"/>
                      <w:lang w:bidi="ar"/>
                    </w:rPr>
                    <w:t>氮氧化物</w:t>
                  </w:r>
                </w:p>
              </w:tc>
              <w:tc>
                <w:tcPr>
                  <w:tcW w:w="622" w:type="pct"/>
                  <w:vAlign w:val="center"/>
                </w:tcPr>
                <w:p w14:paraId="73BB43FB">
                  <w:pPr>
                    <w:widowControl/>
                    <w:jc w:val="center"/>
                    <w:textAlignment w:val="center"/>
                    <w:rPr>
                      <w:color w:val="auto"/>
                      <w:kern w:val="0"/>
                      <w:szCs w:val="21"/>
                      <w:lang w:bidi="ar"/>
                    </w:rPr>
                  </w:pPr>
                  <w:r>
                    <w:rPr>
                      <w:color w:val="auto"/>
                      <w:kern w:val="0"/>
                      <w:szCs w:val="21"/>
                      <w:lang w:bidi="ar"/>
                    </w:rPr>
                    <w:t>2.51</w:t>
                  </w:r>
                </w:p>
              </w:tc>
              <w:tc>
                <w:tcPr>
                  <w:tcW w:w="687" w:type="pct"/>
                  <w:vAlign w:val="center"/>
                </w:tcPr>
                <w:p w14:paraId="722BEA0B">
                  <w:pPr>
                    <w:widowControl/>
                    <w:jc w:val="center"/>
                    <w:textAlignment w:val="center"/>
                    <w:rPr>
                      <w:color w:val="auto"/>
                      <w:kern w:val="0"/>
                      <w:szCs w:val="21"/>
                      <w:lang w:bidi="ar"/>
                    </w:rPr>
                  </w:pPr>
                  <w:r>
                    <w:rPr>
                      <w:color w:val="auto"/>
                      <w:kern w:val="0"/>
                      <w:szCs w:val="21"/>
                      <w:lang w:bidi="ar"/>
                    </w:rPr>
                    <w:t>0.0502</w:t>
                  </w:r>
                </w:p>
              </w:tc>
              <w:tc>
                <w:tcPr>
                  <w:tcW w:w="1154" w:type="pct"/>
                  <w:vAlign w:val="center"/>
                </w:tcPr>
                <w:p w14:paraId="19BE9D90">
                  <w:pPr>
                    <w:pStyle w:val="127"/>
                    <w:rPr>
                      <w:color w:val="auto"/>
                    </w:rPr>
                  </w:pPr>
                  <w:r>
                    <w:rPr>
                      <w:rFonts w:hint="eastAsia"/>
                      <w:color w:val="auto"/>
                    </w:rPr>
                    <w:t>粤环函〔2019〕1112 号</w:t>
                  </w:r>
                </w:p>
              </w:tc>
              <w:tc>
                <w:tcPr>
                  <w:tcW w:w="539" w:type="pct"/>
                  <w:vAlign w:val="center"/>
                </w:tcPr>
                <w:p w14:paraId="40AF50A3">
                  <w:pPr>
                    <w:pStyle w:val="127"/>
                    <w:rPr>
                      <w:color w:val="auto"/>
                      <w:kern w:val="11"/>
                      <w:szCs w:val="21"/>
                    </w:rPr>
                  </w:pPr>
                  <w:r>
                    <w:rPr>
                      <w:rFonts w:hint="eastAsia"/>
                      <w:color w:val="auto"/>
                      <w:kern w:val="2"/>
                      <w:szCs w:val="21"/>
                    </w:rPr>
                    <w:t>300</w:t>
                  </w:r>
                </w:p>
              </w:tc>
              <w:tc>
                <w:tcPr>
                  <w:tcW w:w="528" w:type="pct"/>
                  <w:vAlign w:val="center"/>
                </w:tcPr>
                <w:p w14:paraId="20B56751">
                  <w:pPr>
                    <w:pStyle w:val="127"/>
                    <w:rPr>
                      <w:color w:val="auto"/>
                      <w:szCs w:val="21"/>
                    </w:rPr>
                  </w:pPr>
                  <w:r>
                    <w:rPr>
                      <w:rFonts w:hint="eastAsia"/>
                      <w:color w:val="auto"/>
                      <w:kern w:val="2"/>
                      <w:szCs w:val="21"/>
                    </w:rPr>
                    <w:t>/</w:t>
                  </w:r>
                </w:p>
              </w:tc>
              <w:tc>
                <w:tcPr>
                  <w:tcW w:w="391" w:type="pct"/>
                  <w:vAlign w:val="center"/>
                </w:tcPr>
                <w:p w14:paraId="6A4949B1">
                  <w:pPr>
                    <w:pStyle w:val="89"/>
                    <w:rPr>
                      <w:color w:val="auto"/>
                    </w:rPr>
                  </w:pPr>
                  <w:r>
                    <w:rPr>
                      <w:rFonts w:hint="eastAsia"/>
                      <w:color w:val="auto"/>
                    </w:rPr>
                    <w:t>达标</w:t>
                  </w:r>
                </w:p>
              </w:tc>
            </w:tr>
            <w:tr w14:paraId="308E1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vAlign w:val="center"/>
                </w:tcPr>
                <w:p w14:paraId="59F4DADF">
                  <w:pPr>
                    <w:pStyle w:val="89"/>
                    <w:rPr>
                      <w:color w:val="auto"/>
                    </w:rPr>
                  </w:pPr>
                </w:p>
              </w:tc>
              <w:tc>
                <w:tcPr>
                  <w:tcW w:w="554" w:type="pct"/>
                  <w:vAlign w:val="center"/>
                </w:tcPr>
                <w:p w14:paraId="217D9234">
                  <w:pPr>
                    <w:widowControl/>
                    <w:jc w:val="center"/>
                    <w:textAlignment w:val="center"/>
                    <w:rPr>
                      <w:color w:val="auto"/>
                      <w:kern w:val="0"/>
                      <w:szCs w:val="21"/>
                      <w:lang w:bidi="ar"/>
                    </w:rPr>
                  </w:pPr>
                  <w:r>
                    <w:rPr>
                      <w:rFonts w:hint="eastAsia"/>
                      <w:color w:val="auto"/>
                      <w:kern w:val="0"/>
                      <w:szCs w:val="21"/>
                      <w:lang w:bidi="ar"/>
                    </w:rPr>
                    <w:t>二氧化硫</w:t>
                  </w:r>
                </w:p>
              </w:tc>
              <w:tc>
                <w:tcPr>
                  <w:tcW w:w="622" w:type="pct"/>
                  <w:vAlign w:val="center"/>
                </w:tcPr>
                <w:p w14:paraId="695E8BA9">
                  <w:pPr>
                    <w:widowControl/>
                    <w:jc w:val="center"/>
                    <w:textAlignment w:val="center"/>
                    <w:rPr>
                      <w:color w:val="auto"/>
                      <w:kern w:val="0"/>
                      <w:szCs w:val="21"/>
                      <w:lang w:bidi="ar"/>
                    </w:rPr>
                  </w:pPr>
                  <w:r>
                    <w:rPr>
                      <w:color w:val="auto"/>
                      <w:kern w:val="0"/>
                      <w:szCs w:val="21"/>
                      <w:lang w:bidi="ar"/>
                    </w:rPr>
                    <w:t>0.535</w:t>
                  </w:r>
                </w:p>
              </w:tc>
              <w:tc>
                <w:tcPr>
                  <w:tcW w:w="687" w:type="pct"/>
                  <w:vAlign w:val="center"/>
                </w:tcPr>
                <w:p w14:paraId="6B20CA21">
                  <w:pPr>
                    <w:widowControl/>
                    <w:jc w:val="center"/>
                    <w:textAlignment w:val="center"/>
                    <w:rPr>
                      <w:color w:val="auto"/>
                      <w:kern w:val="0"/>
                      <w:szCs w:val="21"/>
                      <w:lang w:bidi="ar"/>
                    </w:rPr>
                  </w:pPr>
                  <w:r>
                    <w:rPr>
                      <w:color w:val="auto"/>
                      <w:kern w:val="0"/>
                      <w:szCs w:val="21"/>
                      <w:lang w:bidi="ar"/>
                    </w:rPr>
                    <w:t>0.0107</w:t>
                  </w:r>
                </w:p>
              </w:tc>
              <w:tc>
                <w:tcPr>
                  <w:tcW w:w="1154" w:type="pct"/>
                  <w:vAlign w:val="center"/>
                </w:tcPr>
                <w:p w14:paraId="63F737DE">
                  <w:pPr>
                    <w:pStyle w:val="127"/>
                    <w:rPr>
                      <w:color w:val="auto"/>
                    </w:rPr>
                  </w:pPr>
                  <w:r>
                    <w:rPr>
                      <w:rFonts w:hint="eastAsia"/>
                      <w:color w:val="auto"/>
                    </w:rPr>
                    <w:t>粤环函〔2019〕1112 号</w:t>
                  </w:r>
                </w:p>
              </w:tc>
              <w:tc>
                <w:tcPr>
                  <w:tcW w:w="539" w:type="pct"/>
                  <w:vAlign w:val="center"/>
                </w:tcPr>
                <w:p w14:paraId="1E271E6F">
                  <w:pPr>
                    <w:pStyle w:val="127"/>
                    <w:rPr>
                      <w:color w:val="auto"/>
                      <w:kern w:val="11"/>
                      <w:szCs w:val="21"/>
                    </w:rPr>
                  </w:pPr>
                  <w:r>
                    <w:rPr>
                      <w:rFonts w:hint="eastAsia"/>
                      <w:color w:val="auto"/>
                      <w:kern w:val="2"/>
                      <w:szCs w:val="21"/>
                    </w:rPr>
                    <w:t>200</w:t>
                  </w:r>
                </w:p>
              </w:tc>
              <w:tc>
                <w:tcPr>
                  <w:tcW w:w="528" w:type="pct"/>
                  <w:vAlign w:val="center"/>
                </w:tcPr>
                <w:p w14:paraId="5DC7598C">
                  <w:pPr>
                    <w:pStyle w:val="127"/>
                    <w:rPr>
                      <w:color w:val="auto"/>
                      <w:szCs w:val="21"/>
                    </w:rPr>
                  </w:pPr>
                  <w:r>
                    <w:rPr>
                      <w:rFonts w:hint="eastAsia"/>
                      <w:color w:val="auto"/>
                      <w:kern w:val="2"/>
                      <w:szCs w:val="21"/>
                    </w:rPr>
                    <w:t>/</w:t>
                  </w:r>
                </w:p>
              </w:tc>
              <w:tc>
                <w:tcPr>
                  <w:tcW w:w="391" w:type="pct"/>
                  <w:vAlign w:val="center"/>
                </w:tcPr>
                <w:p w14:paraId="43C325CD">
                  <w:pPr>
                    <w:pStyle w:val="89"/>
                    <w:rPr>
                      <w:b/>
                      <w:bCs/>
                      <w:color w:val="auto"/>
                    </w:rPr>
                  </w:pPr>
                  <w:r>
                    <w:rPr>
                      <w:rFonts w:hint="eastAsia"/>
                      <w:color w:val="auto"/>
                    </w:rPr>
                    <w:t>达标</w:t>
                  </w:r>
                </w:p>
              </w:tc>
            </w:tr>
            <w:tr w14:paraId="5599D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restart"/>
                  <w:vAlign w:val="center"/>
                </w:tcPr>
                <w:p w14:paraId="5518EF1A">
                  <w:pPr>
                    <w:widowControl/>
                    <w:jc w:val="center"/>
                    <w:textAlignment w:val="center"/>
                    <w:rPr>
                      <w:color w:val="auto"/>
                    </w:rPr>
                  </w:pPr>
                  <w:r>
                    <w:rPr>
                      <w:rFonts w:hint="eastAsia"/>
                      <w:color w:val="auto"/>
                      <w:kern w:val="0"/>
                      <w:szCs w:val="21"/>
                      <w:lang w:bidi="ar"/>
                    </w:rPr>
                    <w:t>DA004</w:t>
                  </w:r>
                </w:p>
              </w:tc>
              <w:tc>
                <w:tcPr>
                  <w:tcW w:w="0" w:type="auto"/>
                  <w:vAlign w:val="center"/>
                </w:tcPr>
                <w:p w14:paraId="3899998E">
                  <w:pPr>
                    <w:widowControl/>
                    <w:jc w:val="center"/>
                    <w:textAlignment w:val="center"/>
                    <w:rPr>
                      <w:color w:val="auto"/>
                      <w:kern w:val="0"/>
                      <w:szCs w:val="21"/>
                      <w:lang w:bidi="ar"/>
                    </w:rPr>
                  </w:pPr>
                  <w:r>
                    <w:rPr>
                      <w:rFonts w:hint="eastAsia"/>
                      <w:color w:val="auto"/>
                      <w:kern w:val="0"/>
                      <w:szCs w:val="21"/>
                      <w:lang w:bidi="ar"/>
                    </w:rPr>
                    <w:t>颗粒物</w:t>
                  </w:r>
                </w:p>
              </w:tc>
              <w:tc>
                <w:tcPr>
                  <w:tcW w:w="622" w:type="pct"/>
                  <w:vAlign w:val="center"/>
                </w:tcPr>
                <w:p w14:paraId="77A49FA5">
                  <w:pPr>
                    <w:widowControl/>
                    <w:jc w:val="center"/>
                    <w:textAlignment w:val="center"/>
                    <w:rPr>
                      <w:color w:val="auto"/>
                      <w:kern w:val="0"/>
                      <w:szCs w:val="21"/>
                      <w:lang w:bidi="ar"/>
                    </w:rPr>
                  </w:pPr>
                  <w:r>
                    <w:rPr>
                      <w:color w:val="auto"/>
                      <w:kern w:val="0"/>
                      <w:szCs w:val="21"/>
                      <w:lang w:bidi="ar"/>
                    </w:rPr>
                    <w:t>0.552</w:t>
                  </w:r>
                </w:p>
              </w:tc>
              <w:tc>
                <w:tcPr>
                  <w:tcW w:w="687" w:type="pct"/>
                  <w:vAlign w:val="center"/>
                </w:tcPr>
                <w:p w14:paraId="018D6C97">
                  <w:pPr>
                    <w:widowControl/>
                    <w:jc w:val="center"/>
                    <w:textAlignment w:val="center"/>
                    <w:rPr>
                      <w:color w:val="auto"/>
                      <w:kern w:val="0"/>
                      <w:szCs w:val="21"/>
                      <w:lang w:bidi="ar"/>
                    </w:rPr>
                  </w:pPr>
                  <w:r>
                    <w:rPr>
                      <w:color w:val="auto"/>
                      <w:kern w:val="0"/>
                      <w:szCs w:val="21"/>
                      <w:lang w:bidi="ar"/>
                    </w:rPr>
                    <w:t>0.0083</w:t>
                  </w:r>
                </w:p>
              </w:tc>
              <w:tc>
                <w:tcPr>
                  <w:tcW w:w="1154" w:type="pct"/>
                  <w:vAlign w:val="center"/>
                </w:tcPr>
                <w:p w14:paraId="298B82D9">
                  <w:pPr>
                    <w:pStyle w:val="89"/>
                    <w:rPr>
                      <w:color w:val="auto"/>
                    </w:rPr>
                  </w:pPr>
                  <w:r>
                    <w:rPr>
                      <w:color w:val="auto"/>
                    </w:rPr>
                    <w:t>DB44/27-2001</w:t>
                  </w:r>
                  <w:r>
                    <w:rPr>
                      <w:rFonts w:hint="eastAsia"/>
                      <w:color w:val="auto"/>
                    </w:rPr>
                    <w:t>与粤环函〔2019〕1112 号较严值</w:t>
                  </w:r>
                </w:p>
              </w:tc>
              <w:tc>
                <w:tcPr>
                  <w:tcW w:w="539" w:type="pct"/>
                  <w:vAlign w:val="center"/>
                </w:tcPr>
                <w:p w14:paraId="682775D4">
                  <w:pPr>
                    <w:pStyle w:val="127"/>
                    <w:rPr>
                      <w:color w:val="auto"/>
                      <w:kern w:val="11"/>
                      <w:szCs w:val="21"/>
                    </w:rPr>
                  </w:pPr>
                  <w:r>
                    <w:rPr>
                      <w:rFonts w:hint="eastAsia"/>
                      <w:color w:val="auto"/>
                      <w:kern w:val="2"/>
                      <w:szCs w:val="21"/>
                    </w:rPr>
                    <w:t>30</w:t>
                  </w:r>
                </w:p>
              </w:tc>
              <w:tc>
                <w:tcPr>
                  <w:tcW w:w="528" w:type="pct"/>
                  <w:vAlign w:val="center"/>
                </w:tcPr>
                <w:p w14:paraId="4CE037CB">
                  <w:pPr>
                    <w:pStyle w:val="127"/>
                    <w:rPr>
                      <w:color w:val="auto"/>
                      <w:szCs w:val="21"/>
                    </w:rPr>
                  </w:pPr>
                  <w:r>
                    <w:rPr>
                      <w:rFonts w:hint="eastAsia"/>
                      <w:color w:val="auto"/>
                      <w:kern w:val="2"/>
                      <w:szCs w:val="21"/>
                    </w:rPr>
                    <w:t>/</w:t>
                  </w:r>
                </w:p>
              </w:tc>
              <w:tc>
                <w:tcPr>
                  <w:tcW w:w="391" w:type="pct"/>
                  <w:vAlign w:val="center"/>
                </w:tcPr>
                <w:p w14:paraId="50C94CF3">
                  <w:pPr>
                    <w:pStyle w:val="89"/>
                    <w:rPr>
                      <w:b/>
                      <w:bCs/>
                      <w:color w:val="auto"/>
                    </w:rPr>
                  </w:pPr>
                  <w:r>
                    <w:rPr>
                      <w:rFonts w:hint="eastAsia"/>
                      <w:color w:val="auto"/>
                    </w:rPr>
                    <w:t>达标</w:t>
                  </w:r>
                </w:p>
              </w:tc>
            </w:tr>
            <w:tr w14:paraId="4CEBF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09D3409C">
                  <w:pPr>
                    <w:pStyle w:val="89"/>
                    <w:rPr>
                      <w:color w:val="auto"/>
                    </w:rPr>
                  </w:pPr>
                </w:p>
              </w:tc>
              <w:tc>
                <w:tcPr>
                  <w:tcW w:w="0" w:type="auto"/>
                  <w:vAlign w:val="center"/>
                </w:tcPr>
                <w:p w14:paraId="08625FFD">
                  <w:pPr>
                    <w:widowControl/>
                    <w:jc w:val="center"/>
                    <w:textAlignment w:val="center"/>
                    <w:rPr>
                      <w:color w:val="auto"/>
                      <w:kern w:val="0"/>
                      <w:szCs w:val="21"/>
                      <w:lang w:bidi="ar"/>
                    </w:rPr>
                  </w:pPr>
                  <w:r>
                    <w:rPr>
                      <w:rFonts w:hint="eastAsia"/>
                      <w:color w:val="auto"/>
                      <w:kern w:val="0"/>
                      <w:szCs w:val="21"/>
                      <w:lang w:bidi="ar"/>
                    </w:rPr>
                    <w:t>TVOC</w:t>
                  </w:r>
                </w:p>
              </w:tc>
              <w:tc>
                <w:tcPr>
                  <w:tcW w:w="622" w:type="pct"/>
                  <w:vAlign w:val="center"/>
                </w:tcPr>
                <w:p w14:paraId="4109330B">
                  <w:pPr>
                    <w:widowControl/>
                    <w:jc w:val="center"/>
                    <w:textAlignment w:val="center"/>
                    <w:rPr>
                      <w:color w:val="auto"/>
                      <w:kern w:val="0"/>
                      <w:szCs w:val="21"/>
                      <w:lang w:bidi="ar"/>
                    </w:rPr>
                  </w:pPr>
                  <w:r>
                    <w:rPr>
                      <w:color w:val="auto"/>
                      <w:kern w:val="0"/>
                      <w:szCs w:val="21"/>
                      <w:lang w:bidi="ar"/>
                    </w:rPr>
                    <w:t>1.06</w:t>
                  </w:r>
                </w:p>
              </w:tc>
              <w:tc>
                <w:tcPr>
                  <w:tcW w:w="687" w:type="pct"/>
                  <w:vAlign w:val="center"/>
                </w:tcPr>
                <w:p w14:paraId="18F80770">
                  <w:pPr>
                    <w:widowControl/>
                    <w:jc w:val="center"/>
                    <w:textAlignment w:val="center"/>
                    <w:rPr>
                      <w:color w:val="auto"/>
                      <w:kern w:val="0"/>
                      <w:szCs w:val="21"/>
                      <w:lang w:bidi="ar"/>
                    </w:rPr>
                  </w:pPr>
                  <w:r>
                    <w:rPr>
                      <w:color w:val="auto"/>
                      <w:kern w:val="0"/>
                      <w:szCs w:val="21"/>
                      <w:lang w:bidi="ar"/>
                    </w:rPr>
                    <w:t>0.0159</w:t>
                  </w:r>
                </w:p>
              </w:tc>
              <w:tc>
                <w:tcPr>
                  <w:tcW w:w="1154" w:type="pct"/>
                  <w:vAlign w:val="center"/>
                </w:tcPr>
                <w:p w14:paraId="7E421060">
                  <w:pPr>
                    <w:pStyle w:val="89"/>
                    <w:rPr>
                      <w:color w:val="auto"/>
                    </w:rPr>
                  </w:pPr>
                  <w:r>
                    <w:rPr>
                      <w:color w:val="auto"/>
                    </w:rPr>
                    <w:t>DB44/2367-2022</w:t>
                  </w:r>
                </w:p>
              </w:tc>
              <w:tc>
                <w:tcPr>
                  <w:tcW w:w="539" w:type="pct"/>
                  <w:vAlign w:val="center"/>
                </w:tcPr>
                <w:p w14:paraId="477B3806">
                  <w:pPr>
                    <w:pStyle w:val="127"/>
                    <w:rPr>
                      <w:color w:val="auto"/>
                      <w:kern w:val="11"/>
                      <w:szCs w:val="21"/>
                    </w:rPr>
                  </w:pPr>
                  <w:r>
                    <w:rPr>
                      <w:rFonts w:hint="eastAsia"/>
                      <w:color w:val="auto"/>
                      <w:kern w:val="2"/>
                      <w:szCs w:val="21"/>
                    </w:rPr>
                    <w:t>100</w:t>
                  </w:r>
                </w:p>
              </w:tc>
              <w:tc>
                <w:tcPr>
                  <w:tcW w:w="528" w:type="pct"/>
                  <w:vAlign w:val="center"/>
                </w:tcPr>
                <w:p w14:paraId="5D210F7A">
                  <w:pPr>
                    <w:pStyle w:val="127"/>
                    <w:rPr>
                      <w:color w:val="auto"/>
                      <w:szCs w:val="21"/>
                    </w:rPr>
                  </w:pPr>
                  <w:r>
                    <w:rPr>
                      <w:rFonts w:hint="eastAsia"/>
                      <w:color w:val="auto"/>
                      <w:kern w:val="2"/>
                      <w:szCs w:val="21"/>
                    </w:rPr>
                    <w:t>/</w:t>
                  </w:r>
                </w:p>
              </w:tc>
              <w:tc>
                <w:tcPr>
                  <w:tcW w:w="391" w:type="pct"/>
                  <w:vAlign w:val="center"/>
                </w:tcPr>
                <w:p w14:paraId="585B983B">
                  <w:pPr>
                    <w:pStyle w:val="89"/>
                    <w:rPr>
                      <w:b/>
                      <w:bCs/>
                      <w:color w:val="auto"/>
                    </w:rPr>
                  </w:pPr>
                  <w:r>
                    <w:rPr>
                      <w:rFonts w:hint="eastAsia"/>
                      <w:color w:val="auto"/>
                    </w:rPr>
                    <w:t>达标</w:t>
                  </w:r>
                </w:p>
              </w:tc>
            </w:tr>
            <w:tr w14:paraId="257B5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12B9E496">
                  <w:pPr>
                    <w:pStyle w:val="89"/>
                    <w:rPr>
                      <w:color w:val="auto"/>
                    </w:rPr>
                  </w:pPr>
                </w:p>
              </w:tc>
              <w:tc>
                <w:tcPr>
                  <w:tcW w:w="0" w:type="auto"/>
                  <w:vAlign w:val="center"/>
                </w:tcPr>
                <w:p w14:paraId="008305B8">
                  <w:pPr>
                    <w:widowControl/>
                    <w:jc w:val="center"/>
                    <w:textAlignment w:val="center"/>
                    <w:rPr>
                      <w:color w:val="auto"/>
                      <w:kern w:val="0"/>
                      <w:szCs w:val="21"/>
                      <w:lang w:bidi="ar"/>
                    </w:rPr>
                  </w:pPr>
                  <w:r>
                    <w:rPr>
                      <w:rFonts w:hint="eastAsia"/>
                      <w:color w:val="auto"/>
                      <w:kern w:val="0"/>
                      <w:szCs w:val="21"/>
                      <w:lang w:bidi="ar"/>
                    </w:rPr>
                    <w:t>氮氧化物</w:t>
                  </w:r>
                </w:p>
              </w:tc>
              <w:tc>
                <w:tcPr>
                  <w:tcW w:w="622" w:type="pct"/>
                  <w:vAlign w:val="center"/>
                </w:tcPr>
                <w:p w14:paraId="3D7F124D">
                  <w:pPr>
                    <w:widowControl/>
                    <w:jc w:val="center"/>
                    <w:textAlignment w:val="center"/>
                    <w:rPr>
                      <w:color w:val="auto"/>
                      <w:kern w:val="0"/>
                      <w:szCs w:val="21"/>
                      <w:lang w:bidi="ar"/>
                    </w:rPr>
                  </w:pPr>
                  <w:r>
                    <w:rPr>
                      <w:color w:val="auto"/>
                      <w:kern w:val="0"/>
                      <w:szCs w:val="21"/>
                      <w:lang w:bidi="ar"/>
                    </w:rPr>
                    <w:t>1.67</w:t>
                  </w:r>
                </w:p>
              </w:tc>
              <w:tc>
                <w:tcPr>
                  <w:tcW w:w="687" w:type="pct"/>
                  <w:vAlign w:val="center"/>
                </w:tcPr>
                <w:p w14:paraId="4EEDDF20">
                  <w:pPr>
                    <w:widowControl/>
                    <w:jc w:val="center"/>
                    <w:textAlignment w:val="center"/>
                    <w:rPr>
                      <w:color w:val="auto"/>
                      <w:kern w:val="0"/>
                      <w:szCs w:val="21"/>
                      <w:lang w:bidi="ar"/>
                    </w:rPr>
                  </w:pPr>
                  <w:r>
                    <w:rPr>
                      <w:color w:val="auto"/>
                      <w:kern w:val="0"/>
                      <w:szCs w:val="21"/>
                      <w:lang w:bidi="ar"/>
                    </w:rPr>
                    <w:t>0.0251</w:t>
                  </w:r>
                </w:p>
              </w:tc>
              <w:tc>
                <w:tcPr>
                  <w:tcW w:w="1154" w:type="pct"/>
                  <w:vAlign w:val="center"/>
                </w:tcPr>
                <w:p w14:paraId="1695BB0D">
                  <w:pPr>
                    <w:pStyle w:val="127"/>
                    <w:rPr>
                      <w:color w:val="auto"/>
                    </w:rPr>
                  </w:pPr>
                  <w:r>
                    <w:rPr>
                      <w:rFonts w:hint="eastAsia"/>
                      <w:color w:val="auto"/>
                    </w:rPr>
                    <w:t>粤环函〔2019〕1112 号</w:t>
                  </w:r>
                </w:p>
              </w:tc>
              <w:tc>
                <w:tcPr>
                  <w:tcW w:w="539" w:type="pct"/>
                  <w:vAlign w:val="center"/>
                </w:tcPr>
                <w:p w14:paraId="09358ED5">
                  <w:pPr>
                    <w:pStyle w:val="127"/>
                    <w:rPr>
                      <w:color w:val="auto"/>
                      <w:kern w:val="11"/>
                      <w:szCs w:val="21"/>
                    </w:rPr>
                  </w:pPr>
                  <w:r>
                    <w:rPr>
                      <w:rFonts w:hint="eastAsia"/>
                      <w:color w:val="auto"/>
                      <w:kern w:val="2"/>
                      <w:szCs w:val="21"/>
                    </w:rPr>
                    <w:t>300</w:t>
                  </w:r>
                </w:p>
              </w:tc>
              <w:tc>
                <w:tcPr>
                  <w:tcW w:w="528" w:type="pct"/>
                  <w:vAlign w:val="center"/>
                </w:tcPr>
                <w:p w14:paraId="66B54231">
                  <w:pPr>
                    <w:pStyle w:val="127"/>
                    <w:rPr>
                      <w:color w:val="auto"/>
                      <w:szCs w:val="21"/>
                    </w:rPr>
                  </w:pPr>
                  <w:r>
                    <w:rPr>
                      <w:rFonts w:hint="eastAsia"/>
                      <w:color w:val="auto"/>
                      <w:kern w:val="2"/>
                      <w:szCs w:val="21"/>
                    </w:rPr>
                    <w:t>/</w:t>
                  </w:r>
                </w:p>
              </w:tc>
              <w:tc>
                <w:tcPr>
                  <w:tcW w:w="391" w:type="pct"/>
                  <w:vAlign w:val="center"/>
                </w:tcPr>
                <w:p w14:paraId="52B93036">
                  <w:pPr>
                    <w:pStyle w:val="89"/>
                    <w:rPr>
                      <w:b/>
                      <w:bCs/>
                      <w:color w:val="auto"/>
                    </w:rPr>
                  </w:pPr>
                  <w:r>
                    <w:rPr>
                      <w:rFonts w:hint="eastAsia"/>
                      <w:color w:val="auto"/>
                    </w:rPr>
                    <w:t>达标</w:t>
                  </w:r>
                </w:p>
              </w:tc>
            </w:tr>
            <w:tr w14:paraId="1237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08931FF9">
                  <w:pPr>
                    <w:pStyle w:val="89"/>
                    <w:rPr>
                      <w:color w:val="auto"/>
                    </w:rPr>
                  </w:pPr>
                </w:p>
              </w:tc>
              <w:tc>
                <w:tcPr>
                  <w:tcW w:w="0" w:type="auto"/>
                  <w:vAlign w:val="center"/>
                </w:tcPr>
                <w:p w14:paraId="0F3E522D">
                  <w:pPr>
                    <w:widowControl/>
                    <w:jc w:val="center"/>
                    <w:textAlignment w:val="center"/>
                    <w:rPr>
                      <w:color w:val="auto"/>
                      <w:kern w:val="0"/>
                      <w:szCs w:val="21"/>
                      <w:lang w:bidi="ar"/>
                    </w:rPr>
                  </w:pPr>
                  <w:r>
                    <w:rPr>
                      <w:rFonts w:hint="eastAsia"/>
                      <w:color w:val="auto"/>
                      <w:kern w:val="0"/>
                      <w:szCs w:val="21"/>
                      <w:lang w:bidi="ar"/>
                    </w:rPr>
                    <w:t>二氧化硫</w:t>
                  </w:r>
                </w:p>
              </w:tc>
              <w:tc>
                <w:tcPr>
                  <w:tcW w:w="622" w:type="pct"/>
                  <w:vAlign w:val="center"/>
                </w:tcPr>
                <w:p w14:paraId="64E33D18">
                  <w:pPr>
                    <w:widowControl/>
                    <w:jc w:val="center"/>
                    <w:textAlignment w:val="center"/>
                    <w:rPr>
                      <w:color w:val="auto"/>
                      <w:kern w:val="0"/>
                      <w:szCs w:val="21"/>
                      <w:lang w:bidi="ar"/>
                    </w:rPr>
                  </w:pPr>
                  <w:r>
                    <w:rPr>
                      <w:color w:val="auto"/>
                      <w:kern w:val="0"/>
                      <w:szCs w:val="21"/>
                      <w:lang w:bidi="ar"/>
                    </w:rPr>
                    <w:t>0.353</w:t>
                  </w:r>
                </w:p>
              </w:tc>
              <w:tc>
                <w:tcPr>
                  <w:tcW w:w="687" w:type="pct"/>
                  <w:vAlign w:val="center"/>
                </w:tcPr>
                <w:p w14:paraId="7CABBD1F">
                  <w:pPr>
                    <w:widowControl/>
                    <w:jc w:val="center"/>
                    <w:textAlignment w:val="center"/>
                    <w:rPr>
                      <w:color w:val="auto"/>
                      <w:kern w:val="0"/>
                      <w:szCs w:val="21"/>
                      <w:lang w:bidi="ar"/>
                    </w:rPr>
                  </w:pPr>
                  <w:r>
                    <w:rPr>
                      <w:color w:val="auto"/>
                      <w:kern w:val="0"/>
                      <w:szCs w:val="21"/>
                      <w:lang w:bidi="ar"/>
                    </w:rPr>
                    <w:t>0.0053</w:t>
                  </w:r>
                </w:p>
              </w:tc>
              <w:tc>
                <w:tcPr>
                  <w:tcW w:w="1154" w:type="pct"/>
                  <w:vAlign w:val="center"/>
                </w:tcPr>
                <w:p w14:paraId="638354AE">
                  <w:pPr>
                    <w:pStyle w:val="127"/>
                    <w:rPr>
                      <w:color w:val="auto"/>
                    </w:rPr>
                  </w:pPr>
                  <w:r>
                    <w:rPr>
                      <w:rFonts w:hint="eastAsia"/>
                      <w:color w:val="auto"/>
                    </w:rPr>
                    <w:t>粤环函〔2019〕1112 号</w:t>
                  </w:r>
                </w:p>
              </w:tc>
              <w:tc>
                <w:tcPr>
                  <w:tcW w:w="539" w:type="pct"/>
                  <w:vAlign w:val="center"/>
                </w:tcPr>
                <w:p w14:paraId="40549252">
                  <w:pPr>
                    <w:pStyle w:val="127"/>
                    <w:rPr>
                      <w:color w:val="auto"/>
                      <w:kern w:val="11"/>
                      <w:szCs w:val="21"/>
                    </w:rPr>
                  </w:pPr>
                  <w:r>
                    <w:rPr>
                      <w:rFonts w:hint="eastAsia"/>
                      <w:color w:val="auto"/>
                      <w:kern w:val="2"/>
                      <w:szCs w:val="21"/>
                    </w:rPr>
                    <w:t>200</w:t>
                  </w:r>
                </w:p>
              </w:tc>
              <w:tc>
                <w:tcPr>
                  <w:tcW w:w="528" w:type="pct"/>
                  <w:vAlign w:val="center"/>
                </w:tcPr>
                <w:p w14:paraId="077E17FA">
                  <w:pPr>
                    <w:pStyle w:val="127"/>
                    <w:rPr>
                      <w:color w:val="auto"/>
                      <w:szCs w:val="21"/>
                    </w:rPr>
                  </w:pPr>
                  <w:r>
                    <w:rPr>
                      <w:rFonts w:hint="eastAsia"/>
                      <w:color w:val="auto"/>
                      <w:kern w:val="2"/>
                      <w:szCs w:val="21"/>
                    </w:rPr>
                    <w:t>/</w:t>
                  </w:r>
                </w:p>
              </w:tc>
              <w:tc>
                <w:tcPr>
                  <w:tcW w:w="391" w:type="pct"/>
                  <w:vAlign w:val="center"/>
                </w:tcPr>
                <w:p w14:paraId="0B6A908A">
                  <w:pPr>
                    <w:pStyle w:val="89"/>
                    <w:rPr>
                      <w:b/>
                      <w:bCs/>
                      <w:color w:val="auto"/>
                    </w:rPr>
                  </w:pPr>
                  <w:r>
                    <w:rPr>
                      <w:rFonts w:hint="eastAsia"/>
                      <w:color w:val="auto"/>
                    </w:rPr>
                    <w:t>达标</w:t>
                  </w:r>
                </w:p>
              </w:tc>
            </w:tr>
            <w:tr w14:paraId="12871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restart"/>
                  <w:vAlign w:val="center"/>
                </w:tcPr>
                <w:p w14:paraId="7DD65D24">
                  <w:pPr>
                    <w:widowControl/>
                    <w:jc w:val="center"/>
                    <w:textAlignment w:val="center"/>
                    <w:rPr>
                      <w:bCs/>
                      <w:color w:val="auto"/>
                      <w:kern w:val="0"/>
                      <w:szCs w:val="21"/>
                      <w:lang w:bidi="ar"/>
                    </w:rPr>
                  </w:pPr>
                  <w:r>
                    <w:rPr>
                      <w:rFonts w:hint="eastAsia"/>
                      <w:color w:val="auto"/>
                      <w:kern w:val="0"/>
                      <w:szCs w:val="21"/>
                      <w:lang w:bidi="ar"/>
                    </w:rPr>
                    <w:t>DA005</w:t>
                  </w:r>
                </w:p>
              </w:tc>
              <w:tc>
                <w:tcPr>
                  <w:tcW w:w="0" w:type="auto"/>
                  <w:vAlign w:val="center"/>
                </w:tcPr>
                <w:p w14:paraId="23C03480">
                  <w:pPr>
                    <w:widowControl/>
                    <w:jc w:val="center"/>
                    <w:textAlignment w:val="center"/>
                    <w:rPr>
                      <w:color w:val="auto"/>
                      <w:kern w:val="0"/>
                      <w:szCs w:val="21"/>
                      <w:lang w:bidi="ar"/>
                    </w:rPr>
                  </w:pPr>
                  <w:r>
                    <w:rPr>
                      <w:rFonts w:hint="eastAsia"/>
                      <w:color w:val="auto"/>
                      <w:kern w:val="0"/>
                      <w:szCs w:val="21"/>
                      <w:lang w:bidi="ar"/>
                    </w:rPr>
                    <w:t>颗粒物</w:t>
                  </w:r>
                </w:p>
              </w:tc>
              <w:tc>
                <w:tcPr>
                  <w:tcW w:w="622" w:type="pct"/>
                  <w:vAlign w:val="center"/>
                </w:tcPr>
                <w:p w14:paraId="1FAAE73F">
                  <w:pPr>
                    <w:widowControl/>
                    <w:jc w:val="center"/>
                    <w:textAlignment w:val="center"/>
                    <w:rPr>
                      <w:color w:val="auto"/>
                      <w:kern w:val="0"/>
                      <w:szCs w:val="21"/>
                      <w:lang w:bidi="ar"/>
                    </w:rPr>
                  </w:pPr>
                  <w:r>
                    <w:rPr>
                      <w:color w:val="auto"/>
                      <w:kern w:val="0"/>
                      <w:szCs w:val="21"/>
                      <w:lang w:bidi="ar"/>
                    </w:rPr>
                    <w:t>0.156</w:t>
                  </w:r>
                </w:p>
              </w:tc>
              <w:tc>
                <w:tcPr>
                  <w:tcW w:w="687" w:type="pct"/>
                  <w:vAlign w:val="center"/>
                </w:tcPr>
                <w:p w14:paraId="7A762011">
                  <w:pPr>
                    <w:widowControl/>
                    <w:jc w:val="center"/>
                    <w:textAlignment w:val="center"/>
                    <w:rPr>
                      <w:color w:val="auto"/>
                      <w:kern w:val="0"/>
                      <w:szCs w:val="21"/>
                      <w:lang w:bidi="ar"/>
                    </w:rPr>
                  </w:pPr>
                  <w:r>
                    <w:rPr>
                      <w:color w:val="auto"/>
                      <w:kern w:val="0"/>
                      <w:szCs w:val="21"/>
                      <w:lang w:bidi="ar"/>
                    </w:rPr>
                    <w:t>0.0016</w:t>
                  </w:r>
                </w:p>
              </w:tc>
              <w:tc>
                <w:tcPr>
                  <w:tcW w:w="1154" w:type="pct"/>
                  <w:vAlign w:val="center"/>
                </w:tcPr>
                <w:p w14:paraId="20B9379F">
                  <w:pPr>
                    <w:pStyle w:val="89"/>
                    <w:rPr>
                      <w:color w:val="auto"/>
                    </w:rPr>
                  </w:pPr>
                  <w:r>
                    <w:rPr>
                      <w:color w:val="auto"/>
                    </w:rPr>
                    <w:t>DB44/27-2001</w:t>
                  </w:r>
                  <w:r>
                    <w:rPr>
                      <w:rFonts w:hint="eastAsia"/>
                      <w:color w:val="auto"/>
                    </w:rPr>
                    <w:t>与粤环函〔2019〕1112 号较严值</w:t>
                  </w:r>
                </w:p>
              </w:tc>
              <w:tc>
                <w:tcPr>
                  <w:tcW w:w="539" w:type="pct"/>
                  <w:vAlign w:val="center"/>
                </w:tcPr>
                <w:p w14:paraId="7C978395">
                  <w:pPr>
                    <w:pStyle w:val="127"/>
                    <w:rPr>
                      <w:color w:val="auto"/>
                      <w:kern w:val="11"/>
                      <w:szCs w:val="21"/>
                    </w:rPr>
                  </w:pPr>
                  <w:r>
                    <w:rPr>
                      <w:rFonts w:hint="eastAsia"/>
                      <w:color w:val="auto"/>
                      <w:kern w:val="2"/>
                      <w:szCs w:val="21"/>
                    </w:rPr>
                    <w:t>30</w:t>
                  </w:r>
                </w:p>
              </w:tc>
              <w:tc>
                <w:tcPr>
                  <w:tcW w:w="528" w:type="pct"/>
                  <w:vAlign w:val="center"/>
                </w:tcPr>
                <w:p w14:paraId="5B9FED81">
                  <w:pPr>
                    <w:pStyle w:val="127"/>
                    <w:rPr>
                      <w:color w:val="auto"/>
                      <w:szCs w:val="21"/>
                    </w:rPr>
                  </w:pPr>
                  <w:r>
                    <w:rPr>
                      <w:rFonts w:hint="eastAsia"/>
                      <w:color w:val="auto"/>
                      <w:kern w:val="2"/>
                      <w:szCs w:val="21"/>
                    </w:rPr>
                    <w:t>/</w:t>
                  </w:r>
                </w:p>
              </w:tc>
              <w:tc>
                <w:tcPr>
                  <w:tcW w:w="391" w:type="pct"/>
                  <w:vAlign w:val="center"/>
                </w:tcPr>
                <w:p w14:paraId="216749CD">
                  <w:pPr>
                    <w:pStyle w:val="89"/>
                    <w:rPr>
                      <w:b/>
                      <w:bCs/>
                      <w:color w:val="auto"/>
                    </w:rPr>
                  </w:pPr>
                  <w:r>
                    <w:rPr>
                      <w:rFonts w:hint="eastAsia"/>
                      <w:color w:val="auto"/>
                    </w:rPr>
                    <w:t>达标</w:t>
                  </w:r>
                </w:p>
              </w:tc>
            </w:tr>
            <w:tr w14:paraId="13200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62DB5224">
                  <w:pPr>
                    <w:pStyle w:val="89"/>
                    <w:rPr>
                      <w:color w:val="auto"/>
                    </w:rPr>
                  </w:pPr>
                </w:p>
              </w:tc>
              <w:tc>
                <w:tcPr>
                  <w:tcW w:w="0" w:type="auto"/>
                  <w:vAlign w:val="center"/>
                </w:tcPr>
                <w:p w14:paraId="12EB07CC">
                  <w:pPr>
                    <w:widowControl/>
                    <w:jc w:val="center"/>
                    <w:textAlignment w:val="center"/>
                    <w:rPr>
                      <w:bCs/>
                      <w:color w:val="auto"/>
                      <w:kern w:val="0"/>
                      <w:szCs w:val="21"/>
                      <w:lang w:bidi="ar"/>
                    </w:rPr>
                  </w:pPr>
                  <w:r>
                    <w:rPr>
                      <w:rFonts w:hint="eastAsia"/>
                      <w:color w:val="auto"/>
                      <w:kern w:val="0"/>
                      <w:szCs w:val="21"/>
                      <w:lang w:bidi="ar"/>
                    </w:rPr>
                    <w:t>TVOC</w:t>
                  </w:r>
                </w:p>
              </w:tc>
              <w:tc>
                <w:tcPr>
                  <w:tcW w:w="622" w:type="pct"/>
                  <w:vAlign w:val="center"/>
                </w:tcPr>
                <w:p w14:paraId="5D96D2FB">
                  <w:pPr>
                    <w:widowControl/>
                    <w:jc w:val="center"/>
                    <w:textAlignment w:val="center"/>
                    <w:rPr>
                      <w:bCs/>
                      <w:color w:val="auto"/>
                      <w:kern w:val="0"/>
                      <w:szCs w:val="21"/>
                      <w:lang w:bidi="ar"/>
                    </w:rPr>
                  </w:pPr>
                  <w:r>
                    <w:rPr>
                      <w:color w:val="auto"/>
                      <w:kern w:val="0"/>
                      <w:szCs w:val="21"/>
                      <w:lang w:bidi="ar"/>
                    </w:rPr>
                    <w:t>0.282</w:t>
                  </w:r>
                </w:p>
              </w:tc>
              <w:tc>
                <w:tcPr>
                  <w:tcW w:w="687" w:type="pct"/>
                  <w:vAlign w:val="center"/>
                </w:tcPr>
                <w:p w14:paraId="7E28D806">
                  <w:pPr>
                    <w:widowControl/>
                    <w:jc w:val="center"/>
                    <w:textAlignment w:val="center"/>
                    <w:rPr>
                      <w:bCs/>
                      <w:color w:val="auto"/>
                      <w:kern w:val="0"/>
                      <w:szCs w:val="21"/>
                      <w:lang w:bidi="ar"/>
                    </w:rPr>
                  </w:pPr>
                  <w:r>
                    <w:rPr>
                      <w:color w:val="auto"/>
                      <w:kern w:val="0"/>
                      <w:szCs w:val="21"/>
                      <w:lang w:bidi="ar"/>
                    </w:rPr>
                    <w:t>0.0028</w:t>
                  </w:r>
                </w:p>
              </w:tc>
              <w:tc>
                <w:tcPr>
                  <w:tcW w:w="1154" w:type="pct"/>
                  <w:vAlign w:val="center"/>
                </w:tcPr>
                <w:p w14:paraId="7FF44D25">
                  <w:pPr>
                    <w:pStyle w:val="89"/>
                    <w:rPr>
                      <w:color w:val="auto"/>
                    </w:rPr>
                  </w:pPr>
                  <w:r>
                    <w:rPr>
                      <w:color w:val="auto"/>
                    </w:rPr>
                    <w:t>DB44/2367-2022</w:t>
                  </w:r>
                </w:p>
              </w:tc>
              <w:tc>
                <w:tcPr>
                  <w:tcW w:w="539" w:type="pct"/>
                  <w:vAlign w:val="center"/>
                </w:tcPr>
                <w:p w14:paraId="5A408518">
                  <w:pPr>
                    <w:pStyle w:val="127"/>
                    <w:rPr>
                      <w:color w:val="auto"/>
                      <w:kern w:val="11"/>
                      <w:szCs w:val="21"/>
                    </w:rPr>
                  </w:pPr>
                  <w:r>
                    <w:rPr>
                      <w:rFonts w:hint="eastAsia"/>
                      <w:color w:val="auto"/>
                      <w:kern w:val="2"/>
                      <w:szCs w:val="21"/>
                    </w:rPr>
                    <w:t>100</w:t>
                  </w:r>
                </w:p>
              </w:tc>
              <w:tc>
                <w:tcPr>
                  <w:tcW w:w="528" w:type="pct"/>
                  <w:vAlign w:val="center"/>
                </w:tcPr>
                <w:p w14:paraId="783EBEE9">
                  <w:pPr>
                    <w:pStyle w:val="127"/>
                    <w:rPr>
                      <w:color w:val="auto"/>
                      <w:szCs w:val="21"/>
                    </w:rPr>
                  </w:pPr>
                  <w:r>
                    <w:rPr>
                      <w:rFonts w:hint="eastAsia"/>
                      <w:color w:val="auto"/>
                      <w:kern w:val="2"/>
                      <w:szCs w:val="21"/>
                    </w:rPr>
                    <w:t>/</w:t>
                  </w:r>
                </w:p>
              </w:tc>
              <w:tc>
                <w:tcPr>
                  <w:tcW w:w="391" w:type="pct"/>
                  <w:vAlign w:val="center"/>
                </w:tcPr>
                <w:p w14:paraId="1A2EDEA4">
                  <w:pPr>
                    <w:pStyle w:val="89"/>
                    <w:rPr>
                      <w:b/>
                      <w:bCs/>
                      <w:color w:val="auto"/>
                    </w:rPr>
                  </w:pPr>
                  <w:r>
                    <w:rPr>
                      <w:rFonts w:hint="eastAsia"/>
                      <w:color w:val="auto"/>
                    </w:rPr>
                    <w:t>达标</w:t>
                  </w:r>
                </w:p>
              </w:tc>
            </w:tr>
            <w:tr w14:paraId="193D6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4E9058D2">
                  <w:pPr>
                    <w:pStyle w:val="89"/>
                    <w:rPr>
                      <w:color w:val="auto"/>
                    </w:rPr>
                  </w:pPr>
                </w:p>
              </w:tc>
              <w:tc>
                <w:tcPr>
                  <w:tcW w:w="0" w:type="auto"/>
                  <w:vAlign w:val="center"/>
                </w:tcPr>
                <w:p w14:paraId="12AC5692">
                  <w:pPr>
                    <w:widowControl/>
                    <w:jc w:val="center"/>
                    <w:textAlignment w:val="center"/>
                    <w:rPr>
                      <w:bCs/>
                      <w:color w:val="auto"/>
                      <w:kern w:val="0"/>
                      <w:szCs w:val="21"/>
                      <w:lang w:bidi="ar"/>
                    </w:rPr>
                  </w:pPr>
                  <w:r>
                    <w:rPr>
                      <w:rFonts w:hint="eastAsia"/>
                      <w:color w:val="auto"/>
                      <w:kern w:val="0"/>
                      <w:szCs w:val="21"/>
                      <w:lang w:bidi="ar"/>
                    </w:rPr>
                    <w:t>氮氧化物</w:t>
                  </w:r>
                </w:p>
              </w:tc>
              <w:tc>
                <w:tcPr>
                  <w:tcW w:w="622" w:type="pct"/>
                  <w:vAlign w:val="center"/>
                </w:tcPr>
                <w:p w14:paraId="7881D030">
                  <w:pPr>
                    <w:widowControl/>
                    <w:jc w:val="center"/>
                    <w:textAlignment w:val="center"/>
                    <w:rPr>
                      <w:bCs/>
                      <w:color w:val="auto"/>
                      <w:kern w:val="0"/>
                      <w:szCs w:val="21"/>
                      <w:lang w:bidi="ar"/>
                    </w:rPr>
                  </w:pPr>
                  <w:r>
                    <w:rPr>
                      <w:color w:val="auto"/>
                      <w:kern w:val="0"/>
                      <w:szCs w:val="21"/>
                      <w:lang w:bidi="ar"/>
                    </w:rPr>
                    <w:t>0.3</w:t>
                  </w:r>
                </w:p>
              </w:tc>
              <w:tc>
                <w:tcPr>
                  <w:tcW w:w="687" w:type="pct"/>
                  <w:vAlign w:val="center"/>
                </w:tcPr>
                <w:p w14:paraId="271CC7A3">
                  <w:pPr>
                    <w:widowControl/>
                    <w:jc w:val="center"/>
                    <w:textAlignment w:val="center"/>
                    <w:rPr>
                      <w:bCs/>
                      <w:color w:val="auto"/>
                      <w:kern w:val="0"/>
                      <w:szCs w:val="21"/>
                      <w:lang w:bidi="ar"/>
                    </w:rPr>
                  </w:pPr>
                  <w:r>
                    <w:rPr>
                      <w:color w:val="auto"/>
                      <w:kern w:val="0"/>
                      <w:szCs w:val="21"/>
                      <w:lang w:bidi="ar"/>
                    </w:rPr>
                    <w:t>0.0026</w:t>
                  </w:r>
                </w:p>
              </w:tc>
              <w:tc>
                <w:tcPr>
                  <w:tcW w:w="1154" w:type="pct"/>
                  <w:vAlign w:val="center"/>
                </w:tcPr>
                <w:p w14:paraId="162377FB">
                  <w:pPr>
                    <w:pStyle w:val="127"/>
                    <w:rPr>
                      <w:color w:val="auto"/>
                    </w:rPr>
                  </w:pPr>
                  <w:r>
                    <w:rPr>
                      <w:rFonts w:hint="eastAsia"/>
                      <w:color w:val="auto"/>
                    </w:rPr>
                    <w:t>粤环函〔2019〕1112 号</w:t>
                  </w:r>
                </w:p>
              </w:tc>
              <w:tc>
                <w:tcPr>
                  <w:tcW w:w="539" w:type="pct"/>
                  <w:vAlign w:val="center"/>
                </w:tcPr>
                <w:p w14:paraId="69BEA1C3">
                  <w:pPr>
                    <w:pStyle w:val="127"/>
                    <w:rPr>
                      <w:color w:val="auto"/>
                      <w:kern w:val="11"/>
                      <w:szCs w:val="21"/>
                    </w:rPr>
                  </w:pPr>
                  <w:r>
                    <w:rPr>
                      <w:rFonts w:hint="eastAsia"/>
                      <w:color w:val="auto"/>
                      <w:kern w:val="2"/>
                      <w:szCs w:val="21"/>
                    </w:rPr>
                    <w:t>300</w:t>
                  </w:r>
                </w:p>
              </w:tc>
              <w:tc>
                <w:tcPr>
                  <w:tcW w:w="528" w:type="pct"/>
                  <w:vAlign w:val="center"/>
                </w:tcPr>
                <w:p w14:paraId="51509DEA">
                  <w:pPr>
                    <w:pStyle w:val="127"/>
                    <w:rPr>
                      <w:color w:val="auto"/>
                      <w:szCs w:val="21"/>
                    </w:rPr>
                  </w:pPr>
                  <w:r>
                    <w:rPr>
                      <w:rFonts w:hint="eastAsia"/>
                      <w:color w:val="auto"/>
                      <w:kern w:val="2"/>
                      <w:szCs w:val="21"/>
                    </w:rPr>
                    <w:t>/</w:t>
                  </w:r>
                </w:p>
              </w:tc>
              <w:tc>
                <w:tcPr>
                  <w:tcW w:w="391" w:type="pct"/>
                  <w:vAlign w:val="center"/>
                </w:tcPr>
                <w:p w14:paraId="1CC6FF50">
                  <w:pPr>
                    <w:pStyle w:val="89"/>
                    <w:rPr>
                      <w:b/>
                      <w:bCs/>
                      <w:color w:val="auto"/>
                    </w:rPr>
                  </w:pPr>
                  <w:r>
                    <w:rPr>
                      <w:rFonts w:hint="eastAsia"/>
                      <w:color w:val="auto"/>
                    </w:rPr>
                    <w:t>达标</w:t>
                  </w:r>
                </w:p>
              </w:tc>
            </w:tr>
            <w:tr w14:paraId="593C7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640D8086">
                  <w:pPr>
                    <w:pStyle w:val="89"/>
                    <w:rPr>
                      <w:color w:val="auto"/>
                    </w:rPr>
                  </w:pPr>
                </w:p>
              </w:tc>
              <w:tc>
                <w:tcPr>
                  <w:tcW w:w="0" w:type="auto"/>
                  <w:vAlign w:val="center"/>
                </w:tcPr>
                <w:p w14:paraId="750875DC">
                  <w:pPr>
                    <w:widowControl/>
                    <w:jc w:val="center"/>
                    <w:textAlignment w:val="center"/>
                    <w:rPr>
                      <w:bCs/>
                      <w:color w:val="auto"/>
                      <w:kern w:val="0"/>
                      <w:szCs w:val="21"/>
                      <w:lang w:bidi="ar"/>
                    </w:rPr>
                  </w:pPr>
                  <w:r>
                    <w:rPr>
                      <w:rFonts w:hint="eastAsia"/>
                      <w:color w:val="auto"/>
                      <w:kern w:val="0"/>
                      <w:szCs w:val="21"/>
                      <w:lang w:bidi="ar"/>
                    </w:rPr>
                    <w:t>二氧化硫</w:t>
                  </w:r>
                </w:p>
              </w:tc>
              <w:tc>
                <w:tcPr>
                  <w:tcW w:w="622" w:type="pct"/>
                  <w:vAlign w:val="center"/>
                </w:tcPr>
                <w:p w14:paraId="609E6950">
                  <w:pPr>
                    <w:widowControl/>
                    <w:jc w:val="center"/>
                    <w:textAlignment w:val="center"/>
                    <w:rPr>
                      <w:bCs/>
                      <w:color w:val="auto"/>
                      <w:kern w:val="0"/>
                      <w:szCs w:val="21"/>
                      <w:lang w:bidi="ar"/>
                    </w:rPr>
                  </w:pPr>
                  <w:r>
                    <w:rPr>
                      <w:color w:val="auto"/>
                      <w:kern w:val="0"/>
                      <w:szCs w:val="21"/>
                      <w:lang w:bidi="ar"/>
                    </w:rPr>
                    <w:t>0.048</w:t>
                  </w:r>
                </w:p>
              </w:tc>
              <w:tc>
                <w:tcPr>
                  <w:tcW w:w="687" w:type="pct"/>
                  <w:vAlign w:val="center"/>
                </w:tcPr>
                <w:p w14:paraId="383B0D96">
                  <w:pPr>
                    <w:widowControl/>
                    <w:jc w:val="center"/>
                    <w:textAlignment w:val="center"/>
                    <w:rPr>
                      <w:bCs/>
                      <w:color w:val="auto"/>
                      <w:kern w:val="0"/>
                      <w:szCs w:val="21"/>
                      <w:lang w:bidi="ar"/>
                    </w:rPr>
                  </w:pPr>
                  <w:r>
                    <w:rPr>
                      <w:color w:val="auto"/>
                      <w:kern w:val="0"/>
                      <w:szCs w:val="21"/>
                      <w:lang w:bidi="ar"/>
                    </w:rPr>
                    <w:t>0.0005</w:t>
                  </w:r>
                </w:p>
              </w:tc>
              <w:tc>
                <w:tcPr>
                  <w:tcW w:w="1154" w:type="pct"/>
                  <w:vAlign w:val="center"/>
                </w:tcPr>
                <w:p w14:paraId="4C850012">
                  <w:pPr>
                    <w:pStyle w:val="127"/>
                    <w:rPr>
                      <w:color w:val="auto"/>
                    </w:rPr>
                  </w:pPr>
                  <w:r>
                    <w:rPr>
                      <w:rFonts w:hint="eastAsia"/>
                      <w:color w:val="auto"/>
                    </w:rPr>
                    <w:t>粤环函〔2019〕1112 号</w:t>
                  </w:r>
                </w:p>
              </w:tc>
              <w:tc>
                <w:tcPr>
                  <w:tcW w:w="539" w:type="pct"/>
                  <w:vAlign w:val="center"/>
                </w:tcPr>
                <w:p w14:paraId="25607E72">
                  <w:pPr>
                    <w:pStyle w:val="127"/>
                    <w:rPr>
                      <w:color w:val="auto"/>
                      <w:kern w:val="11"/>
                      <w:szCs w:val="21"/>
                    </w:rPr>
                  </w:pPr>
                  <w:r>
                    <w:rPr>
                      <w:rFonts w:hint="eastAsia"/>
                      <w:color w:val="auto"/>
                      <w:kern w:val="2"/>
                      <w:szCs w:val="21"/>
                    </w:rPr>
                    <w:t>200</w:t>
                  </w:r>
                </w:p>
              </w:tc>
              <w:tc>
                <w:tcPr>
                  <w:tcW w:w="528" w:type="pct"/>
                  <w:vAlign w:val="center"/>
                </w:tcPr>
                <w:p w14:paraId="01DF8EF8">
                  <w:pPr>
                    <w:pStyle w:val="127"/>
                    <w:rPr>
                      <w:color w:val="auto"/>
                      <w:szCs w:val="21"/>
                    </w:rPr>
                  </w:pPr>
                  <w:r>
                    <w:rPr>
                      <w:rFonts w:hint="eastAsia"/>
                      <w:color w:val="auto"/>
                      <w:kern w:val="2"/>
                      <w:szCs w:val="21"/>
                    </w:rPr>
                    <w:t>/</w:t>
                  </w:r>
                </w:p>
              </w:tc>
              <w:tc>
                <w:tcPr>
                  <w:tcW w:w="391" w:type="pct"/>
                  <w:vAlign w:val="center"/>
                </w:tcPr>
                <w:p w14:paraId="787C725E">
                  <w:pPr>
                    <w:pStyle w:val="89"/>
                    <w:rPr>
                      <w:b/>
                      <w:bCs/>
                      <w:color w:val="auto"/>
                    </w:rPr>
                  </w:pPr>
                  <w:r>
                    <w:rPr>
                      <w:rFonts w:hint="eastAsia"/>
                      <w:color w:val="auto"/>
                    </w:rPr>
                    <w:t>达标</w:t>
                  </w:r>
                </w:p>
              </w:tc>
            </w:tr>
            <w:tr w14:paraId="0F563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restart"/>
                  <w:vAlign w:val="center"/>
                </w:tcPr>
                <w:p w14:paraId="00658D57">
                  <w:pPr>
                    <w:widowControl/>
                    <w:jc w:val="center"/>
                    <w:textAlignment w:val="center"/>
                    <w:rPr>
                      <w:bCs/>
                      <w:color w:val="auto"/>
                      <w:kern w:val="0"/>
                      <w:szCs w:val="21"/>
                      <w:lang w:bidi="ar"/>
                    </w:rPr>
                  </w:pPr>
                  <w:r>
                    <w:rPr>
                      <w:rFonts w:hint="eastAsia"/>
                      <w:color w:val="auto"/>
                      <w:kern w:val="0"/>
                      <w:szCs w:val="21"/>
                      <w:lang w:bidi="ar"/>
                    </w:rPr>
                    <w:t>DA006</w:t>
                  </w:r>
                </w:p>
              </w:tc>
              <w:tc>
                <w:tcPr>
                  <w:tcW w:w="0" w:type="auto"/>
                  <w:vAlign w:val="center"/>
                </w:tcPr>
                <w:p w14:paraId="52EBE260">
                  <w:pPr>
                    <w:widowControl/>
                    <w:jc w:val="center"/>
                    <w:textAlignment w:val="center"/>
                    <w:rPr>
                      <w:color w:val="auto"/>
                      <w:kern w:val="0"/>
                      <w:szCs w:val="21"/>
                      <w:lang w:bidi="ar"/>
                    </w:rPr>
                  </w:pPr>
                  <w:r>
                    <w:rPr>
                      <w:rFonts w:hint="eastAsia"/>
                      <w:color w:val="auto"/>
                      <w:kern w:val="0"/>
                      <w:szCs w:val="21"/>
                      <w:lang w:bidi="ar"/>
                    </w:rPr>
                    <w:t>硫酸雾</w:t>
                  </w:r>
                </w:p>
              </w:tc>
              <w:tc>
                <w:tcPr>
                  <w:tcW w:w="1329" w:type="dxa"/>
                  <w:vAlign w:val="center"/>
                </w:tcPr>
                <w:p w14:paraId="3E585751">
                  <w:pPr>
                    <w:widowControl/>
                    <w:jc w:val="center"/>
                    <w:textAlignment w:val="center"/>
                    <w:rPr>
                      <w:color w:val="auto"/>
                      <w:kern w:val="0"/>
                      <w:szCs w:val="21"/>
                      <w:lang w:bidi="ar"/>
                    </w:rPr>
                  </w:pPr>
                  <w:r>
                    <w:rPr>
                      <w:color w:val="auto"/>
                      <w:kern w:val="0"/>
                      <w:szCs w:val="21"/>
                      <w:lang w:bidi="ar"/>
                    </w:rPr>
                    <w:t>9.7</w:t>
                  </w:r>
                </w:p>
              </w:tc>
              <w:tc>
                <w:tcPr>
                  <w:tcW w:w="1468" w:type="dxa"/>
                  <w:vAlign w:val="center"/>
                </w:tcPr>
                <w:p w14:paraId="5E1A8981">
                  <w:pPr>
                    <w:widowControl/>
                    <w:jc w:val="center"/>
                    <w:textAlignment w:val="center"/>
                    <w:rPr>
                      <w:color w:val="auto"/>
                      <w:szCs w:val="21"/>
                      <w:highlight w:val="yellow"/>
                    </w:rPr>
                  </w:pPr>
                  <w:r>
                    <w:rPr>
                      <w:color w:val="auto"/>
                      <w:kern w:val="0"/>
                      <w:szCs w:val="21"/>
                      <w:lang w:bidi="ar"/>
                    </w:rPr>
                    <w:t>0.0678</w:t>
                  </w:r>
                </w:p>
              </w:tc>
              <w:tc>
                <w:tcPr>
                  <w:tcW w:w="1154" w:type="pct"/>
                  <w:vAlign w:val="center"/>
                </w:tcPr>
                <w:p w14:paraId="3B19F3DA">
                  <w:pPr>
                    <w:pStyle w:val="127"/>
                    <w:rPr>
                      <w:color w:val="auto"/>
                    </w:rPr>
                  </w:pPr>
                  <w:r>
                    <w:rPr>
                      <w:color w:val="auto"/>
                      <w:szCs w:val="21"/>
                    </w:rPr>
                    <w:t>DB44/27-2001</w:t>
                  </w:r>
                </w:p>
              </w:tc>
              <w:tc>
                <w:tcPr>
                  <w:tcW w:w="539" w:type="pct"/>
                  <w:vAlign w:val="center"/>
                </w:tcPr>
                <w:p w14:paraId="6DACD1CD">
                  <w:pPr>
                    <w:pStyle w:val="127"/>
                    <w:rPr>
                      <w:color w:val="auto"/>
                      <w:kern w:val="11"/>
                      <w:szCs w:val="21"/>
                    </w:rPr>
                  </w:pPr>
                  <w:r>
                    <w:rPr>
                      <w:rFonts w:hint="eastAsia"/>
                      <w:color w:val="auto"/>
                      <w:kern w:val="2"/>
                      <w:szCs w:val="21"/>
                    </w:rPr>
                    <w:t>35</w:t>
                  </w:r>
                </w:p>
              </w:tc>
              <w:tc>
                <w:tcPr>
                  <w:tcW w:w="528" w:type="pct"/>
                  <w:vAlign w:val="center"/>
                </w:tcPr>
                <w:p w14:paraId="19F99CFC">
                  <w:pPr>
                    <w:pStyle w:val="127"/>
                    <w:rPr>
                      <w:color w:val="auto"/>
                      <w:szCs w:val="21"/>
                    </w:rPr>
                  </w:pPr>
                  <w:r>
                    <w:rPr>
                      <w:rFonts w:hint="eastAsia"/>
                      <w:color w:val="auto"/>
                      <w:kern w:val="2"/>
                      <w:szCs w:val="21"/>
                    </w:rPr>
                    <w:t>9.5</w:t>
                  </w:r>
                </w:p>
              </w:tc>
              <w:tc>
                <w:tcPr>
                  <w:tcW w:w="391" w:type="pct"/>
                  <w:vAlign w:val="center"/>
                </w:tcPr>
                <w:p w14:paraId="18083E99">
                  <w:pPr>
                    <w:pStyle w:val="89"/>
                    <w:rPr>
                      <w:b/>
                      <w:bCs/>
                      <w:color w:val="auto"/>
                    </w:rPr>
                  </w:pPr>
                  <w:r>
                    <w:rPr>
                      <w:rFonts w:hint="eastAsia"/>
                      <w:color w:val="auto"/>
                    </w:rPr>
                    <w:t>达标</w:t>
                  </w:r>
                </w:p>
              </w:tc>
            </w:tr>
            <w:tr w14:paraId="42BE4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7AC5B258">
                  <w:pPr>
                    <w:pStyle w:val="89"/>
                    <w:rPr>
                      <w:color w:val="auto"/>
                    </w:rPr>
                  </w:pPr>
                </w:p>
              </w:tc>
              <w:tc>
                <w:tcPr>
                  <w:tcW w:w="0" w:type="auto"/>
                  <w:vAlign w:val="center"/>
                </w:tcPr>
                <w:p w14:paraId="0D57E557">
                  <w:pPr>
                    <w:widowControl/>
                    <w:jc w:val="center"/>
                    <w:textAlignment w:val="center"/>
                    <w:rPr>
                      <w:color w:val="auto"/>
                      <w:kern w:val="0"/>
                      <w:szCs w:val="21"/>
                      <w:lang w:bidi="ar"/>
                    </w:rPr>
                  </w:pPr>
                  <w:r>
                    <w:rPr>
                      <w:rFonts w:hint="eastAsia"/>
                      <w:color w:val="auto"/>
                      <w:kern w:val="0"/>
                      <w:szCs w:val="21"/>
                      <w:lang w:bidi="ar"/>
                    </w:rPr>
                    <w:t>颗粒物</w:t>
                  </w:r>
                </w:p>
              </w:tc>
              <w:tc>
                <w:tcPr>
                  <w:tcW w:w="1329" w:type="dxa"/>
                  <w:vAlign w:val="center"/>
                </w:tcPr>
                <w:p w14:paraId="0005E864">
                  <w:pPr>
                    <w:widowControl/>
                    <w:jc w:val="center"/>
                    <w:textAlignment w:val="center"/>
                    <w:rPr>
                      <w:color w:val="auto"/>
                      <w:kern w:val="0"/>
                      <w:szCs w:val="21"/>
                      <w:lang w:bidi="ar"/>
                    </w:rPr>
                  </w:pPr>
                  <w:r>
                    <w:rPr>
                      <w:color w:val="auto"/>
                      <w:kern w:val="0"/>
                      <w:szCs w:val="21"/>
                      <w:lang w:bidi="ar"/>
                    </w:rPr>
                    <w:t>0.0429</w:t>
                  </w:r>
                </w:p>
              </w:tc>
              <w:tc>
                <w:tcPr>
                  <w:tcW w:w="1468" w:type="dxa"/>
                  <w:vAlign w:val="center"/>
                </w:tcPr>
                <w:p w14:paraId="7DB0F720">
                  <w:pPr>
                    <w:widowControl/>
                    <w:jc w:val="center"/>
                    <w:textAlignment w:val="center"/>
                    <w:rPr>
                      <w:color w:val="auto"/>
                      <w:szCs w:val="21"/>
                      <w:highlight w:val="yellow"/>
                    </w:rPr>
                  </w:pPr>
                  <w:r>
                    <w:rPr>
                      <w:color w:val="auto"/>
                      <w:kern w:val="0"/>
                      <w:szCs w:val="21"/>
                      <w:lang w:bidi="ar"/>
                    </w:rPr>
                    <w:t>0.0003</w:t>
                  </w:r>
                </w:p>
              </w:tc>
              <w:tc>
                <w:tcPr>
                  <w:tcW w:w="1154" w:type="pct"/>
                  <w:vAlign w:val="center"/>
                </w:tcPr>
                <w:p w14:paraId="09058CAD">
                  <w:pPr>
                    <w:pStyle w:val="127"/>
                    <w:rPr>
                      <w:color w:val="auto"/>
                    </w:rPr>
                  </w:pPr>
                  <w:r>
                    <w:rPr>
                      <w:rFonts w:hint="eastAsia"/>
                      <w:color w:val="auto"/>
                    </w:rPr>
                    <w:t>粤环函〔2019〕1112 号</w:t>
                  </w:r>
                </w:p>
              </w:tc>
              <w:tc>
                <w:tcPr>
                  <w:tcW w:w="539" w:type="pct"/>
                  <w:vAlign w:val="center"/>
                </w:tcPr>
                <w:p w14:paraId="34F28876">
                  <w:pPr>
                    <w:pStyle w:val="127"/>
                    <w:rPr>
                      <w:color w:val="auto"/>
                      <w:kern w:val="11"/>
                      <w:szCs w:val="21"/>
                    </w:rPr>
                  </w:pPr>
                  <w:r>
                    <w:rPr>
                      <w:rFonts w:hint="eastAsia"/>
                      <w:color w:val="auto"/>
                      <w:kern w:val="2"/>
                      <w:szCs w:val="21"/>
                    </w:rPr>
                    <w:t>30</w:t>
                  </w:r>
                </w:p>
              </w:tc>
              <w:tc>
                <w:tcPr>
                  <w:tcW w:w="528" w:type="pct"/>
                  <w:vAlign w:val="center"/>
                </w:tcPr>
                <w:p w14:paraId="5769F8DF">
                  <w:pPr>
                    <w:pStyle w:val="127"/>
                    <w:rPr>
                      <w:color w:val="auto"/>
                      <w:szCs w:val="21"/>
                    </w:rPr>
                  </w:pPr>
                  <w:r>
                    <w:rPr>
                      <w:rFonts w:hint="eastAsia"/>
                      <w:color w:val="auto"/>
                      <w:kern w:val="2"/>
                      <w:szCs w:val="21"/>
                    </w:rPr>
                    <w:t>/</w:t>
                  </w:r>
                </w:p>
              </w:tc>
              <w:tc>
                <w:tcPr>
                  <w:tcW w:w="391" w:type="pct"/>
                  <w:vAlign w:val="center"/>
                </w:tcPr>
                <w:p w14:paraId="177D7355">
                  <w:pPr>
                    <w:pStyle w:val="89"/>
                    <w:rPr>
                      <w:b/>
                      <w:bCs/>
                      <w:color w:val="auto"/>
                    </w:rPr>
                  </w:pPr>
                  <w:r>
                    <w:rPr>
                      <w:rFonts w:hint="eastAsia"/>
                      <w:color w:val="auto"/>
                    </w:rPr>
                    <w:t>达标</w:t>
                  </w:r>
                </w:p>
              </w:tc>
            </w:tr>
            <w:tr w14:paraId="765B9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17F97D3D">
                  <w:pPr>
                    <w:pStyle w:val="89"/>
                    <w:rPr>
                      <w:color w:val="auto"/>
                    </w:rPr>
                  </w:pPr>
                </w:p>
              </w:tc>
              <w:tc>
                <w:tcPr>
                  <w:tcW w:w="0" w:type="auto"/>
                  <w:vAlign w:val="center"/>
                </w:tcPr>
                <w:p w14:paraId="594658B0">
                  <w:pPr>
                    <w:widowControl/>
                    <w:jc w:val="center"/>
                    <w:textAlignment w:val="center"/>
                    <w:rPr>
                      <w:color w:val="auto"/>
                      <w:kern w:val="0"/>
                      <w:szCs w:val="21"/>
                      <w:lang w:bidi="ar"/>
                    </w:rPr>
                  </w:pPr>
                  <w:r>
                    <w:rPr>
                      <w:rFonts w:hint="eastAsia"/>
                      <w:color w:val="auto"/>
                      <w:kern w:val="0"/>
                      <w:szCs w:val="21"/>
                      <w:lang w:bidi="ar"/>
                    </w:rPr>
                    <w:t>氮氧化物</w:t>
                  </w:r>
                </w:p>
              </w:tc>
              <w:tc>
                <w:tcPr>
                  <w:tcW w:w="1329" w:type="dxa"/>
                  <w:vAlign w:val="center"/>
                </w:tcPr>
                <w:p w14:paraId="7AC5355F">
                  <w:pPr>
                    <w:widowControl/>
                    <w:jc w:val="center"/>
                    <w:textAlignment w:val="center"/>
                    <w:rPr>
                      <w:color w:val="auto"/>
                      <w:kern w:val="0"/>
                      <w:szCs w:val="21"/>
                      <w:lang w:bidi="ar"/>
                    </w:rPr>
                  </w:pPr>
                  <w:r>
                    <w:rPr>
                      <w:color w:val="auto"/>
                      <w:kern w:val="0"/>
                      <w:szCs w:val="21"/>
                      <w:lang w:bidi="ar"/>
                    </w:rPr>
                    <w:t>0.714</w:t>
                  </w:r>
                </w:p>
              </w:tc>
              <w:tc>
                <w:tcPr>
                  <w:tcW w:w="1468" w:type="dxa"/>
                  <w:vAlign w:val="center"/>
                </w:tcPr>
                <w:p w14:paraId="7A9D6AC1">
                  <w:pPr>
                    <w:widowControl/>
                    <w:jc w:val="center"/>
                    <w:textAlignment w:val="center"/>
                    <w:rPr>
                      <w:color w:val="auto"/>
                      <w:szCs w:val="21"/>
                      <w:highlight w:val="yellow"/>
                    </w:rPr>
                  </w:pPr>
                  <w:r>
                    <w:rPr>
                      <w:color w:val="auto"/>
                      <w:kern w:val="0"/>
                      <w:szCs w:val="21"/>
                      <w:lang w:bidi="ar"/>
                    </w:rPr>
                    <w:t>0.005</w:t>
                  </w:r>
                </w:p>
              </w:tc>
              <w:tc>
                <w:tcPr>
                  <w:tcW w:w="1154" w:type="pct"/>
                  <w:vAlign w:val="center"/>
                </w:tcPr>
                <w:p w14:paraId="04156807">
                  <w:pPr>
                    <w:pStyle w:val="127"/>
                    <w:rPr>
                      <w:color w:val="auto"/>
                    </w:rPr>
                  </w:pPr>
                  <w:r>
                    <w:rPr>
                      <w:rFonts w:hint="eastAsia"/>
                      <w:color w:val="auto"/>
                    </w:rPr>
                    <w:t>粤环函〔2019〕1112 号</w:t>
                  </w:r>
                </w:p>
              </w:tc>
              <w:tc>
                <w:tcPr>
                  <w:tcW w:w="539" w:type="pct"/>
                  <w:vAlign w:val="center"/>
                </w:tcPr>
                <w:p w14:paraId="44447609">
                  <w:pPr>
                    <w:pStyle w:val="127"/>
                    <w:rPr>
                      <w:color w:val="auto"/>
                      <w:kern w:val="11"/>
                      <w:szCs w:val="21"/>
                    </w:rPr>
                  </w:pPr>
                  <w:r>
                    <w:rPr>
                      <w:rFonts w:hint="eastAsia"/>
                      <w:color w:val="auto"/>
                      <w:kern w:val="2"/>
                      <w:szCs w:val="21"/>
                    </w:rPr>
                    <w:t>300</w:t>
                  </w:r>
                </w:p>
              </w:tc>
              <w:tc>
                <w:tcPr>
                  <w:tcW w:w="528" w:type="pct"/>
                  <w:vAlign w:val="center"/>
                </w:tcPr>
                <w:p w14:paraId="11711888">
                  <w:pPr>
                    <w:pStyle w:val="127"/>
                    <w:rPr>
                      <w:color w:val="auto"/>
                      <w:szCs w:val="21"/>
                    </w:rPr>
                  </w:pPr>
                  <w:r>
                    <w:rPr>
                      <w:rFonts w:hint="eastAsia"/>
                      <w:color w:val="auto"/>
                      <w:kern w:val="2"/>
                      <w:szCs w:val="21"/>
                    </w:rPr>
                    <w:t>/</w:t>
                  </w:r>
                </w:p>
              </w:tc>
              <w:tc>
                <w:tcPr>
                  <w:tcW w:w="391" w:type="pct"/>
                  <w:vAlign w:val="center"/>
                </w:tcPr>
                <w:p w14:paraId="3AC6C40B">
                  <w:pPr>
                    <w:pStyle w:val="89"/>
                    <w:rPr>
                      <w:b/>
                      <w:bCs/>
                      <w:color w:val="auto"/>
                    </w:rPr>
                  </w:pPr>
                  <w:r>
                    <w:rPr>
                      <w:rFonts w:hint="eastAsia"/>
                      <w:color w:val="auto"/>
                    </w:rPr>
                    <w:t>达标</w:t>
                  </w:r>
                </w:p>
              </w:tc>
            </w:tr>
            <w:tr w14:paraId="1A3C7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 w:type="pct"/>
                  <w:vMerge w:val="continue"/>
                </w:tcPr>
                <w:p w14:paraId="33577539">
                  <w:pPr>
                    <w:pStyle w:val="89"/>
                    <w:rPr>
                      <w:color w:val="auto"/>
                    </w:rPr>
                  </w:pPr>
                </w:p>
              </w:tc>
              <w:tc>
                <w:tcPr>
                  <w:tcW w:w="0" w:type="auto"/>
                  <w:vAlign w:val="center"/>
                </w:tcPr>
                <w:p w14:paraId="3D38D42A">
                  <w:pPr>
                    <w:widowControl/>
                    <w:jc w:val="center"/>
                    <w:textAlignment w:val="center"/>
                    <w:rPr>
                      <w:color w:val="auto"/>
                      <w:kern w:val="0"/>
                      <w:szCs w:val="21"/>
                      <w:lang w:bidi="ar"/>
                    </w:rPr>
                  </w:pPr>
                  <w:r>
                    <w:rPr>
                      <w:rFonts w:hint="eastAsia"/>
                      <w:color w:val="auto"/>
                      <w:kern w:val="0"/>
                      <w:szCs w:val="21"/>
                      <w:lang w:bidi="ar"/>
                    </w:rPr>
                    <w:t>二氧化硫</w:t>
                  </w:r>
                </w:p>
              </w:tc>
              <w:tc>
                <w:tcPr>
                  <w:tcW w:w="1329" w:type="dxa"/>
                  <w:vAlign w:val="center"/>
                </w:tcPr>
                <w:p w14:paraId="48301B89">
                  <w:pPr>
                    <w:widowControl/>
                    <w:jc w:val="center"/>
                    <w:textAlignment w:val="center"/>
                    <w:rPr>
                      <w:color w:val="auto"/>
                      <w:kern w:val="0"/>
                      <w:szCs w:val="21"/>
                      <w:lang w:bidi="ar"/>
                    </w:rPr>
                  </w:pPr>
                  <w:r>
                    <w:rPr>
                      <w:color w:val="auto"/>
                      <w:kern w:val="0"/>
                      <w:szCs w:val="21"/>
                      <w:lang w:bidi="ar"/>
                    </w:rPr>
                    <w:t>0.143</w:t>
                  </w:r>
                </w:p>
              </w:tc>
              <w:tc>
                <w:tcPr>
                  <w:tcW w:w="1468" w:type="dxa"/>
                  <w:vAlign w:val="center"/>
                </w:tcPr>
                <w:p w14:paraId="789D2D29">
                  <w:pPr>
                    <w:widowControl/>
                    <w:jc w:val="center"/>
                    <w:textAlignment w:val="center"/>
                    <w:rPr>
                      <w:color w:val="auto"/>
                      <w:szCs w:val="21"/>
                      <w:highlight w:val="yellow"/>
                    </w:rPr>
                  </w:pPr>
                  <w:r>
                    <w:rPr>
                      <w:color w:val="auto"/>
                      <w:kern w:val="0"/>
                      <w:szCs w:val="21"/>
                      <w:lang w:bidi="ar"/>
                    </w:rPr>
                    <w:t>0.001</w:t>
                  </w:r>
                </w:p>
              </w:tc>
              <w:tc>
                <w:tcPr>
                  <w:tcW w:w="1154" w:type="pct"/>
                  <w:vAlign w:val="center"/>
                </w:tcPr>
                <w:p w14:paraId="40DA684B">
                  <w:pPr>
                    <w:pStyle w:val="127"/>
                    <w:rPr>
                      <w:color w:val="auto"/>
                    </w:rPr>
                  </w:pPr>
                  <w:r>
                    <w:rPr>
                      <w:rFonts w:hint="eastAsia"/>
                      <w:color w:val="auto"/>
                    </w:rPr>
                    <w:t>粤环函〔2019〕1112 号</w:t>
                  </w:r>
                </w:p>
              </w:tc>
              <w:tc>
                <w:tcPr>
                  <w:tcW w:w="539" w:type="pct"/>
                  <w:vAlign w:val="center"/>
                </w:tcPr>
                <w:p w14:paraId="15DFDC64">
                  <w:pPr>
                    <w:pStyle w:val="127"/>
                    <w:rPr>
                      <w:color w:val="auto"/>
                      <w:kern w:val="11"/>
                      <w:szCs w:val="21"/>
                    </w:rPr>
                  </w:pPr>
                  <w:r>
                    <w:rPr>
                      <w:rFonts w:hint="eastAsia"/>
                      <w:color w:val="auto"/>
                      <w:kern w:val="2"/>
                      <w:szCs w:val="21"/>
                    </w:rPr>
                    <w:t>200</w:t>
                  </w:r>
                </w:p>
              </w:tc>
              <w:tc>
                <w:tcPr>
                  <w:tcW w:w="528" w:type="pct"/>
                  <w:vAlign w:val="center"/>
                </w:tcPr>
                <w:p w14:paraId="4816A552">
                  <w:pPr>
                    <w:pStyle w:val="127"/>
                    <w:rPr>
                      <w:color w:val="auto"/>
                      <w:szCs w:val="21"/>
                    </w:rPr>
                  </w:pPr>
                  <w:r>
                    <w:rPr>
                      <w:rFonts w:hint="eastAsia"/>
                      <w:color w:val="auto"/>
                      <w:kern w:val="2"/>
                      <w:szCs w:val="21"/>
                    </w:rPr>
                    <w:t>/</w:t>
                  </w:r>
                </w:p>
              </w:tc>
              <w:tc>
                <w:tcPr>
                  <w:tcW w:w="391" w:type="pct"/>
                  <w:vAlign w:val="center"/>
                </w:tcPr>
                <w:p w14:paraId="27D10F16">
                  <w:pPr>
                    <w:pStyle w:val="89"/>
                    <w:rPr>
                      <w:b/>
                      <w:bCs/>
                      <w:color w:val="auto"/>
                    </w:rPr>
                  </w:pPr>
                  <w:r>
                    <w:rPr>
                      <w:rFonts w:hint="eastAsia"/>
                      <w:color w:val="auto"/>
                    </w:rPr>
                    <w:t>达标</w:t>
                  </w:r>
                </w:p>
              </w:tc>
            </w:tr>
          </w:tbl>
          <w:p w14:paraId="1DFD0061">
            <w:pPr>
              <w:adjustRightInd w:val="0"/>
              <w:snapToGrid w:val="0"/>
              <w:spacing w:line="360" w:lineRule="auto"/>
              <w:ind w:firstLine="480" w:firstLineChars="200"/>
              <w:jc w:val="left"/>
              <w:rPr>
                <w:color w:val="auto"/>
                <w:sz w:val="24"/>
              </w:rPr>
            </w:pPr>
            <w:r>
              <w:rPr>
                <w:rFonts w:hint="eastAsia"/>
                <w:color w:val="auto"/>
                <w:sz w:val="24"/>
              </w:rPr>
              <w:t>由上表可知，项目建成后，排气筒DA001和DA002排放的颗粒物可满足广东省《大气污染物排放限值》（DB44/27-2001）第二时段二级标准要求；排气筒DA003、DA004和DA005排放的TVOC可满足广东省《固定污染源挥发性有机物综合排放标准》（DB44/2367-2022）中表1挥发性有机物排放限值的要求，颗粒物可满足广东《大气污染物排放限值》（DB44/27-2001）第二时段二级标准与《广东省生态环境厅 广东省发展和改革委员会 广东省工业和信息化厅广东省财政厅关于贯彻落实&lt;工业炉窑大气污染综合治理方案&gt;的实施意见》（粤环函〔2019〕1112 号）要求珠江三角洲地区原则上按照环大气[2019]56 号文国家重点区域工业炉窑治理要求较严值的要求，氮氧化物和二氧化硫可满足《广东省生态环境厅 广东省发展和改革委员会 广东省工业和信息化厅 广东省财政厅关于贯彻落实&lt;工业炉窑大气污染综合治理方案&gt;的实施意见》（粤环函[2019]1112号）要求：珠江三角洲地区原则上按照《工业炉窑大气污染综合治理方案》（大气[2019]56号）重点区域排放限值的要求；DA006排放的硫酸雾可满足广东省《大气污染物排放限值》（DB44/27-2001）第二时段二级标准要求，颗粒物、氮氧化物和二氧化硫可满足《广东省生态环境厅 广东省发展和改革委员会 广东省工业和信息化厅 广东省财政厅关于贯彻落实&lt;工业炉窑大气污染综合治理方案&gt;的实施意见》（粤环函[2019]1112号）要求：珠江三角洲地区原则上按照《工业炉窑大气污染综合治理方案》（大气[2019]56号）重点区域排放限值的要求。</w:t>
            </w:r>
          </w:p>
          <w:p w14:paraId="0E043BBE">
            <w:pPr>
              <w:adjustRightInd w:val="0"/>
              <w:snapToGrid w:val="0"/>
              <w:spacing w:line="360" w:lineRule="auto"/>
              <w:ind w:firstLine="482" w:firstLineChars="200"/>
              <w:jc w:val="left"/>
              <w:rPr>
                <w:b/>
                <w:bCs/>
                <w:color w:val="auto"/>
                <w:sz w:val="24"/>
              </w:rPr>
            </w:pPr>
            <w:r>
              <w:rPr>
                <w:rFonts w:hint="eastAsia"/>
                <w:b/>
                <w:bCs/>
                <w:color w:val="auto"/>
                <w:sz w:val="24"/>
              </w:rPr>
              <w:t>（2）无组织作业废气达标分析</w:t>
            </w:r>
          </w:p>
          <w:p w14:paraId="5374ABD5">
            <w:pPr>
              <w:adjustRightInd w:val="0"/>
              <w:snapToGrid w:val="0"/>
              <w:spacing w:line="360" w:lineRule="auto"/>
              <w:ind w:firstLine="480" w:firstLineChars="200"/>
              <w:jc w:val="left"/>
              <w:rPr>
                <w:color w:val="auto"/>
                <w:sz w:val="24"/>
              </w:rPr>
            </w:pPr>
            <w:r>
              <w:rPr>
                <w:rFonts w:hint="eastAsia"/>
                <w:color w:val="auto"/>
                <w:sz w:val="24"/>
              </w:rPr>
              <w:t>项目建成后，车间内未被收集的废气呈无组织排放扩散在车间外环境，其中颗粒物排放量为0.76892t/a、TVOC0.06023t/a、氮氧化物排放量为0.0133t/a、二氧化硫排放量为0.00271t/a、硫酸雾排放量为0.036t/a，厂界颗粒物排放执行《工业炉窑大气污染物排放标准》（GB9078-1996）表3其他炉窑无组织排放烟（粉）尘最高允许浓度和广东省《大气污染物排放限值》（DB44/27-2001）第二时段无组织排放监控浓度限值的较严者要求，硫酸雾、氮氧化物、二氧化硫排放可满足广东省《大气污染物排放限值》（DB44/27-2001）无组织排放监控浓度限值的要求；厂区内VOCs无组织排放执行广东省地方标准《固定污染源挥发性有机物综合排放标准》（DB44/2367-2022）表3厂区内VOCs无组织排放限值的要求，对周边环境影响较小。</w:t>
            </w:r>
          </w:p>
          <w:p w14:paraId="3DF0F2FB">
            <w:pPr>
              <w:adjustRightInd w:val="0"/>
              <w:snapToGrid w:val="0"/>
              <w:spacing w:line="360" w:lineRule="auto"/>
              <w:ind w:firstLine="482" w:firstLineChars="200"/>
              <w:jc w:val="left"/>
              <w:rPr>
                <w:b/>
                <w:bCs/>
                <w:color w:val="auto"/>
                <w:sz w:val="24"/>
              </w:rPr>
            </w:pPr>
            <w:r>
              <w:rPr>
                <w:rFonts w:hint="eastAsia"/>
                <w:b/>
                <w:bCs/>
                <w:color w:val="auto"/>
                <w:sz w:val="24"/>
              </w:rPr>
              <w:t>（3）非正常工况下排气筒废气达标分析</w:t>
            </w:r>
          </w:p>
          <w:p w14:paraId="5FA65089">
            <w:pPr>
              <w:adjustRightInd w:val="0"/>
              <w:snapToGrid w:val="0"/>
              <w:spacing w:line="360" w:lineRule="auto"/>
              <w:ind w:firstLine="480" w:firstLineChars="200"/>
              <w:jc w:val="left"/>
              <w:rPr>
                <w:color w:val="auto"/>
                <w:sz w:val="24"/>
              </w:rPr>
            </w:pPr>
            <w:r>
              <w:rPr>
                <w:rFonts w:hint="eastAsia"/>
                <w:color w:val="auto"/>
                <w:sz w:val="24"/>
              </w:rPr>
              <w:t xml:space="preserve">根据工程经验分析，设备检修、污染物排放控制措施达不到应有效率、工艺设备运转异常等情况下的污染排放归为非正常排放。结合建设单位的生产经验，项目可能发生的非正常工况主要为废气治理措施发生故障，导致废气非正常排放。 </w:t>
            </w:r>
          </w:p>
          <w:p w14:paraId="0A6C914F">
            <w:pPr>
              <w:adjustRightInd w:val="0"/>
              <w:snapToGrid w:val="0"/>
              <w:spacing w:line="360" w:lineRule="auto"/>
              <w:ind w:firstLine="480" w:firstLineChars="200"/>
              <w:jc w:val="left"/>
              <w:rPr>
                <w:color w:val="auto"/>
                <w:sz w:val="24"/>
              </w:rPr>
            </w:pPr>
            <w:r>
              <w:rPr>
                <w:rFonts w:hint="eastAsia"/>
                <w:color w:val="auto"/>
                <w:sz w:val="24"/>
              </w:rPr>
              <w:t>在非正常排放情况下，废气收集系统正常运行，但废气处理设施出现故障，处理效率下降至10%，项目各污染源大气污染物非排放情况见表4-34示。</w:t>
            </w:r>
          </w:p>
          <w:p w14:paraId="020F28A5">
            <w:pPr>
              <w:pStyle w:val="77"/>
              <w:numPr>
                <w:ilvl w:val="0"/>
                <w:numId w:val="18"/>
              </w:numPr>
              <w:adjustRightInd w:val="0"/>
              <w:snapToGrid w:val="0"/>
              <w:jc w:val="center"/>
              <w:rPr>
                <w:b/>
                <w:bCs/>
                <w:color w:val="auto"/>
                <w:szCs w:val="21"/>
              </w:rPr>
            </w:pPr>
            <w:r>
              <w:rPr>
                <w:rFonts w:hint="eastAsia"/>
                <w:b/>
                <w:bCs/>
                <w:color w:val="auto"/>
                <w:szCs w:val="21"/>
              </w:rPr>
              <w:t>各污染源非正常排放情况表</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1142"/>
              <w:gridCol w:w="1112"/>
              <w:gridCol w:w="697"/>
              <w:gridCol w:w="899"/>
              <w:gridCol w:w="1082"/>
              <w:gridCol w:w="945"/>
              <w:gridCol w:w="1084"/>
              <w:gridCol w:w="1044"/>
              <w:gridCol w:w="871"/>
              <w:gridCol w:w="874"/>
            </w:tblGrid>
            <w:tr w14:paraId="13B7D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439" w:type="pct"/>
                  <w:vMerge w:val="restart"/>
                  <w:vAlign w:val="center"/>
                </w:tcPr>
                <w:p w14:paraId="1A96E41C">
                  <w:pPr>
                    <w:pStyle w:val="127"/>
                    <w:rPr>
                      <w:b/>
                      <w:bCs/>
                      <w:color w:val="auto"/>
                      <w:szCs w:val="21"/>
                    </w:rPr>
                  </w:pPr>
                  <w:r>
                    <w:rPr>
                      <w:b/>
                      <w:bCs/>
                      <w:color w:val="auto"/>
                      <w:szCs w:val="21"/>
                    </w:rPr>
                    <w:t>污染源</w:t>
                  </w:r>
                </w:p>
              </w:tc>
              <w:tc>
                <w:tcPr>
                  <w:tcW w:w="534" w:type="pct"/>
                  <w:vMerge w:val="restart"/>
                  <w:vAlign w:val="center"/>
                </w:tcPr>
                <w:p w14:paraId="29B9D96C">
                  <w:pPr>
                    <w:pStyle w:val="127"/>
                    <w:rPr>
                      <w:b/>
                      <w:bCs/>
                      <w:color w:val="auto"/>
                      <w:szCs w:val="21"/>
                    </w:rPr>
                  </w:pPr>
                  <w:r>
                    <w:rPr>
                      <w:b/>
                      <w:bCs/>
                      <w:color w:val="auto"/>
                      <w:szCs w:val="21"/>
                    </w:rPr>
                    <w:t>非正常排放原因</w:t>
                  </w:r>
                </w:p>
              </w:tc>
              <w:tc>
                <w:tcPr>
                  <w:tcW w:w="2721" w:type="pct"/>
                  <w:gridSpan w:val="6"/>
                  <w:vAlign w:val="center"/>
                </w:tcPr>
                <w:p w14:paraId="59D6C725">
                  <w:pPr>
                    <w:pStyle w:val="127"/>
                    <w:rPr>
                      <w:b/>
                      <w:bCs/>
                      <w:color w:val="auto"/>
                      <w:szCs w:val="21"/>
                    </w:rPr>
                  </w:pPr>
                  <w:r>
                    <w:rPr>
                      <w:b/>
                      <w:bCs/>
                      <w:color w:val="auto"/>
                      <w:szCs w:val="21"/>
                    </w:rPr>
                    <w:t>非正常排放状况</w:t>
                  </w:r>
                </w:p>
              </w:tc>
              <w:tc>
                <w:tcPr>
                  <w:tcW w:w="895" w:type="pct"/>
                  <w:gridSpan w:val="2"/>
                  <w:vAlign w:val="center"/>
                </w:tcPr>
                <w:p w14:paraId="1FA2B826">
                  <w:pPr>
                    <w:pStyle w:val="127"/>
                    <w:rPr>
                      <w:b/>
                      <w:bCs/>
                      <w:color w:val="auto"/>
                      <w:szCs w:val="21"/>
                    </w:rPr>
                  </w:pPr>
                  <w:r>
                    <w:rPr>
                      <w:b/>
                      <w:bCs/>
                      <w:color w:val="auto"/>
                      <w:szCs w:val="21"/>
                    </w:rPr>
                    <w:t>执行标准</w:t>
                  </w:r>
                </w:p>
              </w:tc>
              <w:tc>
                <w:tcPr>
                  <w:tcW w:w="408" w:type="pct"/>
                  <w:vMerge w:val="restart"/>
                  <w:vAlign w:val="center"/>
                </w:tcPr>
                <w:p w14:paraId="407F5E40">
                  <w:pPr>
                    <w:pStyle w:val="89"/>
                    <w:rPr>
                      <w:b/>
                      <w:bCs/>
                      <w:color w:val="auto"/>
                    </w:rPr>
                  </w:pPr>
                  <w:r>
                    <w:rPr>
                      <w:rFonts w:hint="eastAsia"/>
                      <w:b/>
                      <w:bCs/>
                      <w:color w:val="auto"/>
                    </w:rPr>
                    <w:t>达标</w:t>
                  </w:r>
                </w:p>
                <w:p w14:paraId="714F8BEC">
                  <w:pPr>
                    <w:pStyle w:val="89"/>
                    <w:rPr>
                      <w:b/>
                      <w:bCs/>
                      <w:color w:val="auto"/>
                    </w:rPr>
                  </w:pPr>
                  <w:r>
                    <w:rPr>
                      <w:rFonts w:hint="eastAsia"/>
                      <w:b/>
                      <w:bCs/>
                      <w:color w:val="auto"/>
                    </w:rPr>
                    <w:t>分析</w:t>
                  </w:r>
                </w:p>
              </w:tc>
            </w:tr>
            <w:tr w14:paraId="0B9FD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vAlign w:val="center"/>
                </w:tcPr>
                <w:p w14:paraId="0E0B874D">
                  <w:pPr>
                    <w:pStyle w:val="127"/>
                    <w:rPr>
                      <w:b/>
                      <w:bCs/>
                      <w:color w:val="auto"/>
                      <w:szCs w:val="21"/>
                    </w:rPr>
                  </w:pPr>
                </w:p>
              </w:tc>
              <w:tc>
                <w:tcPr>
                  <w:tcW w:w="534" w:type="pct"/>
                  <w:vMerge w:val="continue"/>
                  <w:vAlign w:val="center"/>
                </w:tcPr>
                <w:p w14:paraId="6B5258B5">
                  <w:pPr>
                    <w:pStyle w:val="127"/>
                    <w:rPr>
                      <w:b/>
                      <w:bCs/>
                      <w:color w:val="auto"/>
                      <w:szCs w:val="21"/>
                    </w:rPr>
                  </w:pPr>
                </w:p>
              </w:tc>
              <w:tc>
                <w:tcPr>
                  <w:tcW w:w="520" w:type="pct"/>
                  <w:vAlign w:val="center"/>
                </w:tcPr>
                <w:p w14:paraId="5121F962">
                  <w:pPr>
                    <w:pStyle w:val="127"/>
                    <w:rPr>
                      <w:b/>
                      <w:bCs/>
                      <w:color w:val="auto"/>
                      <w:szCs w:val="21"/>
                    </w:rPr>
                  </w:pPr>
                  <w:r>
                    <w:rPr>
                      <w:b/>
                      <w:bCs/>
                      <w:color w:val="auto"/>
                      <w:szCs w:val="21"/>
                    </w:rPr>
                    <w:t>污染物</w:t>
                  </w:r>
                </w:p>
              </w:tc>
              <w:tc>
                <w:tcPr>
                  <w:tcW w:w="326" w:type="pct"/>
                  <w:vAlign w:val="center"/>
                </w:tcPr>
                <w:p w14:paraId="1F691885">
                  <w:pPr>
                    <w:pStyle w:val="127"/>
                    <w:rPr>
                      <w:b/>
                      <w:bCs/>
                      <w:color w:val="auto"/>
                      <w:szCs w:val="21"/>
                    </w:rPr>
                  </w:pPr>
                  <w:r>
                    <w:rPr>
                      <w:rFonts w:hint="eastAsia"/>
                      <w:b/>
                      <w:bCs/>
                      <w:color w:val="auto"/>
                      <w:szCs w:val="21"/>
                    </w:rPr>
                    <w:t>处理效率</w:t>
                  </w:r>
                </w:p>
              </w:tc>
              <w:tc>
                <w:tcPr>
                  <w:tcW w:w="420" w:type="pct"/>
                  <w:vAlign w:val="center"/>
                </w:tcPr>
                <w:p w14:paraId="1DDE59B8">
                  <w:pPr>
                    <w:pStyle w:val="127"/>
                    <w:rPr>
                      <w:b/>
                      <w:bCs/>
                      <w:color w:val="auto"/>
                      <w:szCs w:val="21"/>
                    </w:rPr>
                  </w:pPr>
                  <w:r>
                    <w:rPr>
                      <w:rFonts w:hint="eastAsia"/>
                      <w:b/>
                      <w:bCs/>
                      <w:color w:val="auto"/>
                      <w:szCs w:val="21"/>
                    </w:rPr>
                    <w:t>排放量t/a</w:t>
                  </w:r>
                </w:p>
              </w:tc>
              <w:tc>
                <w:tcPr>
                  <w:tcW w:w="506" w:type="pct"/>
                  <w:vAlign w:val="center"/>
                </w:tcPr>
                <w:p w14:paraId="7624B28B">
                  <w:pPr>
                    <w:pStyle w:val="127"/>
                    <w:rPr>
                      <w:b/>
                      <w:bCs/>
                      <w:color w:val="auto"/>
                      <w:kern w:val="2"/>
                      <w:szCs w:val="21"/>
                    </w:rPr>
                  </w:pPr>
                  <w:r>
                    <w:rPr>
                      <w:b/>
                      <w:bCs/>
                      <w:color w:val="auto"/>
                      <w:szCs w:val="21"/>
                    </w:rPr>
                    <w:t>排放浓度mg/m</w:t>
                  </w:r>
                  <w:r>
                    <w:rPr>
                      <w:b/>
                      <w:bCs/>
                      <w:color w:val="auto"/>
                      <w:szCs w:val="21"/>
                      <w:vertAlign w:val="superscript"/>
                    </w:rPr>
                    <w:t>3</w:t>
                  </w:r>
                </w:p>
              </w:tc>
              <w:tc>
                <w:tcPr>
                  <w:tcW w:w="442" w:type="pct"/>
                  <w:vAlign w:val="center"/>
                </w:tcPr>
                <w:p w14:paraId="78E2825E">
                  <w:pPr>
                    <w:pStyle w:val="127"/>
                    <w:rPr>
                      <w:b/>
                      <w:bCs/>
                      <w:color w:val="auto"/>
                      <w:kern w:val="2"/>
                      <w:szCs w:val="21"/>
                    </w:rPr>
                  </w:pPr>
                  <w:r>
                    <w:rPr>
                      <w:b/>
                      <w:bCs/>
                      <w:color w:val="auto"/>
                      <w:szCs w:val="21"/>
                    </w:rPr>
                    <w:t>排放速率kg/h</w:t>
                  </w:r>
                </w:p>
              </w:tc>
              <w:tc>
                <w:tcPr>
                  <w:tcW w:w="507" w:type="pct"/>
                  <w:vAlign w:val="center"/>
                </w:tcPr>
                <w:p w14:paraId="24B0445D">
                  <w:pPr>
                    <w:pStyle w:val="127"/>
                    <w:rPr>
                      <w:b/>
                      <w:bCs/>
                      <w:color w:val="auto"/>
                      <w:szCs w:val="21"/>
                    </w:rPr>
                  </w:pPr>
                  <w:r>
                    <w:rPr>
                      <w:b/>
                      <w:bCs/>
                      <w:color w:val="auto"/>
                      <w:szCs w:val="21"/>
                    </w:rPr>
                    <w:t>频次及持续时间</w:t>
                  </w:r>
                </w:p>
              </w:tc>
              <w:tc>
                <w:tcPr>
                  <w:tcW w:w="488" w:type="pct"/>
                  <w:vAlign w:val="center"/>
                </w:tcPr>
                <w:p w14:paraId="193B7323">
                  <w:pPr>
                    <w:pStyle w:val="89"/>
                    <w:rPr>
                      <w:b/>
                      <w:bCs/>
                      <w:color w:val="auto"/>
                    </w:rPr>
                  </w:pPr>
                  <w:r>
                    <w:rPr>
                      <w:rFonts w:hint="eastAsia"/>
                      <w:b/>
                      <w:bCs/>
                      <w:color w:val="auto"/>
                    </w:rPr>
                    <w:t>浓度限值m</w:t>
                  </w:r>
                  <w:r>
                    <w:rPr>
                      <w:b/>
                      <w:bCs/>
                      <w:color w:val="auto"/>
                    </w:rPr>
                    <w:t>g/m³</w:t>
                  </w:r>
                </w:p>
              </w:tc>
              <w:tc>
                <w:tcPr>
                  <w:tcW w:w="407" w:type="pct"/>
                  <w:vAlign w:val="center"/>
                </w:tcPr>
                <w:p w14:paraId="18BCC6E8">
                  <w:pPr>
                    <w:pStyle w:val="89"/>
                    <w:rPr>
                      <w:b/>
                      <w:bCs/>
                      <w:color w:val="auto"/>
                    </w:rPr>
                  </w:pPr>
                  <w:r>
                    <w:rPr>
                      <w:rFonts w:hint="eastAsia"/>
                      <w:b/>
                      <w:bCs/>
                      <w:color w:val="auto"/>
                    </w:rPr>
                    <w:t>速率限值</w:t>
                  </w:r>
                  <w:r>
                    <w:rPr>
                      <w:b/>
                      <w:bCs/>
                      <w:color w:val="auto"/>
                    </w:rPr>
                    <w:t>kg/h</w:t>
                  </w:r>
                </w:p>
              </w:tc>
              <w:tc>
                <w:tcPr>
                  <w:tcW w:w="408" w:type="pct"/>
                  <w:vMerge w:val="continue"/>
                  <w:vAlign w:val="center"/>
                </w:tcPr>
                <w:p w14:paraId="1D2766CF">
                  <w:pPr>
                    <w:pStyle w:val="89"/>
                    <w:rPr>
                      <w:b/>
                      <w:bCs/>
                      <w:color w:val="auto"/>
                    </w:rPr>
                  </w:pPr>
                </w:p>
              </w:tc>
            </w:tr>
            <w:tr w14:paraId="16A83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Align w:val="center"/>
                </w:tcPr>
                <w:p w14:paraId="0D7B76AB">
                  <w:pPr>
                    <w:widowControl/>
                    <w:jc w:val="center"/>
                    <w:textAlignment w:val="center"/>
                    <w:rPr>
                      <w:color w:val="auto"/>
                      <w:kern w:val="0"/>
                      <w:szCs w:val="21"/>
                      <w:lang w:bidi="ar"/>
                    </w:rPr>
                  </w:pPr>
                  <w:r>
                    <w:rPr>
                      <w:rFonts w:hint="eastAsia"/>
                      <w:color w:val="auto"/>
                      <w:kern w:val="0"/>
                      <w:szCs w:val="21"/>
                      <w:lang w:bidi="ar"/>
                    </w:rPr>
                    <w:t>DA001</w:t>
                  </w:r>
                </w:p>
              </w:tc>
              <w:tc>
                <w:tcPr>
                  <w:tcW w:w="534" w:type="pct"/>
                  <w:vMerge w:val="restart"/>
                  <w:vAlign w:val="center"/>
                </w:tcPr>
                <w:p w14:paraId="54842B3A">
                  <w:pPr>
                    <w:pStyle w:val="127"/>
                    <w:rPr>
                      <w:color w:val="auto"/>
                      <w:szCs w:val="21"/>
                    </w:rPr>
                  </w:pPr>
                  <w:r>
                    <w:rPr>
                      <w:rFonts w:hint="eastAsia"/>
                      <w:color w:val="auto"/>
                      <w:szCs w:val="21"/>
                    </w:rPr>
                    <w:t>废气处理设施</w:t>
                  </w:r>
                  <w:r>
                    <w:rPr>
                      <w:color w:val="auto"/>
                      <w:szCs w:val="21"/>
                    </w:rPr>
                    <w:t>出现故障</w:t>
                  </w:r>
                </w:p>
              </w:tc>
              <w:tc>
                <w:tcPr>
                  <w:tcW w:w="520" w:type="pct"/>
                  <w:vAlign w:val="center"/>
                </w:tcPr>
                <w:p w14:paraId="6D7B373E">
                  <w:pPr>
                    <w:widowControl/>
                    <w:jc w:val="center"/>
                    <w:textAlignment w:val="center"/>
                    <w:rPr>
                      <w:color w:val="auto"/>
                      <w:kern w:val="0"/>
                      <w:szCs w:val="21"/>
                      <w:lang w:bidi="ar"/>
                    </w:rPr>
                  </w:pPr>
                  <w:r>
                    <w:rPr>
                      <w:rFonts w:hint="eastAsia"/>
                      <w:color w:val="auto"/>
                      <w:kern w:val="0"/>
                      <w:szCs w:val="21"/>
                      <w:lang w:bidi="ar"/>
                    </w:rPr>
                    <w:t>颗粒物</w:t>
                  </w:r>
                </w:p>
              </w:tc>
              <w:tc>
                <w:tcPr>
                  <w:tcW w:w="326" w:type="pct"/>
                  <w:vAlign w:val="center"/>
                </w:tcPr>
                <w:p w14:paraId="2B034A4C">
                  <w:pPr>
                    <w:widowControl/>
                    <w:jc w:val="center"/>
                    <w:textAlignment w:val="center"/>
                    <w:rPr>
                      <w:color w:val="auto"/>
                    </w:rPr>
                  </w:pPr>
                  <w:r>
                    <w:rPr>
                      <w:rFonts w:hint="eastAsia"/>
                      <w:color w:val="auto"/>
                    </w:rPr>
                    <w:t>10%</w:t>
                  </w:r>
                </w:p>
              </w:tc>
              <w:tc>
                <w:tcPr>
                  <w:tcW w:w="899" w:type="dxa"/>
                  <w:vAlign w:val="center"/>
                </w:tcPr>
                <w:p w14:paraId="38461A5B">
                  <w:pPr>
                    <w:widowControl/>
                    <w:jc w:val="center"/>
                    <w:textAlignment w:val="center"/>
                    <w:rPr>
                      <w:color w:val="auto"/>
                      <w:szCs w:val="21"/>
                    </w:rPr>
                  </w:pPr>
                  <w:r>
                    <w:rPr>
                      <w:color w:val="auto"/>
                      <w:kern w:val="0"/>
                      <w:szCs w:val="21"/>
                      <w:lang w:bidi="ar"/>
                    </w:rPr>
                    <w:t xml:space="preserve">1.70 </w:t>
                  </w:r>
                </w:p>
              </w:tc>
              <w:tc>
                <w:tcPr>
                  <w:tcW w:w="1082" w:type="dxa"/>
                  <w:vAlign w:val="center"/>
                </w:tcPr>
                <w:p w14:paraId="746DD93E">
                  <w:pPr>
                    <w:widowControl/>
                    <w:jc w:val="center"/>
                    <w:textAlignment w:val="center"/>
                    <w:rPr>
                      <w:color w:val="auto"/>
                      <w:szCs w:val="21"/>
                    </w:rPr>
                  </w:pPr>
                  <w:r>
                    <w:rPr>
                      <w:color w:val="auto"/>
                      <w:kern w:val="0"/>
                      <w:szCs w:val="21"/>
                      <w:lang w:bidi="ar"/>
                    </w:rPr>
                    <w:t xml:space="preserve">43.6 </w:t>
                  </w:r>
                </w:p>
              </w:tc>
              <w:tc>
                <w:tcPr>
                  <w:tcW w:w="945" w:type="dxa"/>
                  <w:vAlign w:val="center"/>
                </w:tcPr>
                <w:p w14:paraId="3534049A">
                  <w:pPr>
                    <w:widowControl/>
                    <w:jc w:val="center"/>
                    <w:textAlignment w:val="center"/>
                    <w:rPr>
                      <w:color w:val="auto"/>
                      <w:szCs w:val="21"/>
                    </w:rPr>
                  </w:pPr>
                  <w:r>
                    <w:rPr>
                      <w:color w:val="auto"/>
                      <w:kern w:val="0"/>
                      <w:szCs w:val="21"/>
                      <w:lang w:bidi="ar"/>
                    </w:rPr>
                    <w:t xml:space="preserve">0.567 </w:t>
                  </w:r>
                </w:p>
              </w:tc>
              <w:tc>
                <w:tcPr>
                  <w:tcW w:w="507" w:type="pct"/>
                  <w:vMerge w:val="restart"/>
                  <w:vAlign w:val="center"/>
                </w:tcPr>
                <w:p w14:paraId="27A16323">
                  <w:pPr>
                    <w:pStyle w:val="127"/>
                    <w:rPr>
                      <w:color w:val="auto"/>
                      <w:szCs w:val="21"/>
                    </w:rPr>
                  </w:pPr>
                  <w:r>
                    <w:rPr>
                      <w:color w:val="auto"/>
                      <w:szCs w:val="21"/>
                    </w:rPr>
                    <w:t>1次/年，</w:t>
                  </w:r>
                </w:p>
                <w:p w14:paraId="7564EB5C">
                  <w:pPr>
                    <w:pStyle w:val="127"/>
                    <w:rPr>
                      <w:color w:val="auto"/>
                      <w:szCs w:val="21"/>
                    </w:rPr>
                  </w:pPr>
                  <w:r>
                    <w:rPr>
                      <w:color w:val="auto"/>
                      <w:szCs w:val="21"/>
                    </w:rPr>
                    <w:t>1h/次</w:t>
                  </w:r>
                </w:p>
              </w:tc>
              <w:tc>
                <w:tcPr>
                  <w:tcW w:w="488" w:type="pct"/>
                  <w:vAlign w:val="center"/>
                </w:tcPr>
                <w:p w14:paraId="3BA62AB9">
                  <w:pPr>
                    <w:pStyle w:val="127"/>
                    <w:rPr>
                      <w:color w:val="auto"/>
                    </w:rPr>
                  </w:pPr>
                  <w:r>
                    <w:rPr>
                      <w:rFonts w:hint="eastAsia"/>
                      <w:color w:val="auto"/>
                      <w:kern w:val="2"/>
                      <w:szCs w:val="21"/>
                    </w:rPr>
                    <w:t>120</w:t>
                  </w:r>
                </w:p>
              </w:tc>
              <w:tc>
                <w:tcPr>
                  <w:tcW w:w="407" w:type="pct"/>
                  <w:vAlign w:val="center"/>
                </w:tcPr>
                <w:p w14:paraId="70C1D03F">
                  <w:pPr>
                    <w:pStyle w:val="127"/>
                    <w:rPr>
                      <w:color w:val="auto"/>
                    </w:rPr>
                  </w:pPr>
                  <w:r>
                    <w:rPr>
                      <w:rFonts w:hint="eastAsia"/>
                      <w:color w:val="auto"/>
                      <w:kern w:val="2"/>
                      <w:szCs w:val="21"/>
                    </w:rPr>
                    <w:t>19.25</w:t>
                  </w:r>
                </w:p>
              </w:tc>
              <w:tc>
                <w:tcPr>
                  <w:tcW w:w="408" w:type="pct"/>
                  <w:vAlign w:val="center"/>
                </w:tcPr>
                <w:p w14:paraId="565F074F">
                  <w:pPr>
                    <w:pStyle w:val="89"/>
                    <w:rPr>
                      <w:color w:val="auto"/>
                    </w:rPr>
                  </w:pPr>
                  <w:r>
                    <w:rPr>
                      <w:rFonts w:hint="eastAsia"/>
                      <w:color w:val="auto"/>
                    </w:rPr>
                    <w:t>达标</w:t>
                  </w:r>
                </w:p>
              </w:tc>
            </w:tr>
            <w:tr w14:paraId="4E18F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Align w:val="center"/>
                </w:tcPr>
                <w:p w14:paraId="4E3D7799">
                  <w:pPr>
                    <w:widowControl/>
                    <w:jc w:val="center"/>
                    <w:textAlignment w:val="center"/>
                    <w:rPr>
                      <w:color w:val="auto"/>
                      <w:kern w:val="0"/>
                      <w:szCs w:val="21"/>
                      <w:lang w:bidi="ar"/>
                    </w:rPr>
                  </w:pPr>
                  <w:r>
                    <w:rPr>
                      <w:rFonts w:hint="eastAsia"/>
                      <w:color w:val="auto"/>
                      <w:kern w:val="0"/>
                      <w:szCs w:val="21"/>
                      <w:lang w:bidi="ar"/>
                    </w:rPr>
                    <w:t>DA002</w:t>
                  </w:r>
                </w:p>
              </w:tc>
              <w:tc>
                <w:tcPr>
                  <w:tcW w:w="534" w:type="pct"/>
                  <w:vMerge w:val="continue"/>
                  <w:vAlign w:val="center"/>
                </w:tcPr>
                <w:p w14:paraId="27220DAA">
                  <w:pPr>
                    <w:pStyle w:val="127"/>
                    <w:rPr>
                      <w:color w:val="auto"/>
                      <w:szCs w:val="21"/>
                    </w:rPr>
                  </w:pPr>
                </w:p>
              </w:tc>
              <w:tc>
                <w:tcPr>
                  <w:tcW w:w="520" w:type="pct"/>
                  <w:vAlign w:val="center"/>
                </w:tcPr>
                <w:p w14:paraId="6072E781">
                  <w:pPr>
                    <w:widowControl/>
                    <w:jc w:val="center"/>
                    <w:textAlignment w:val="center"/>
                    <w:rPr>
                      <w:color w:val="auto"/>
                      <w:kern w:val="0"/>
                      <w:szCs w:val="21"/>
                      <w:lang w:bidi="ar"/>
                    </w:rPr>
                  </w:pPr>
                  <w:r>
                    <w:rPr>
                      <w:rFonts w:hint="eastAsia"/>
                      <w:color w:val="auto"/>
                      <w:kern w:val="0"/>
                      <w:szCs w:val="21"/>
                      <w:lang w:bidi="ar"/>
                    </w:rPr>
                    <w:t>颗粒物</w:t>
                  </w:r>
                </w:p>
              </w:tc>
              <w:tc>
                <w:tcPr>
                  <w:tcW w:w="326" w:type="pct"/>
                  <w:vAlign w:val="center"/>
                </w:tcPr>
                <w:p w14:paraId="33283B45">
                  <w:pPr>
                    <w:widowControl/>
                    <w:jc w:val="center"/>
                    <w:textAlignment w:val="center"/>
                    <w:rPr>
                      <w:color w:val="auto"/>
                    </w:rPr>
                  </w:pPr>
                  <w:r>
                    <w:rPr>
                      <w:rFonts w:hint="eastAsia"/>
                      <w:color w:val="auto"/>
                    </w:rPr>
                    <w:t>10%</w:t>
                  </w:r>
                </w:p>
              </w:tc>
              <w:tc>
                <w:tcPr>
                  <w:tcW w:w="899" w:type="dxa"/>
                  <w:vAlign w:val="center"/>
                </w:tcPr>
                <w:p w14:paraId="2976A620">
                  <w:pPr>
                    <w:widowControl/>
                    <w:jc w:val="center"/>
                    <w:textAlignment w:val="center"/>
                    <w:rPr>
                      <w:color w:val="auto"/>
                      <w:szCs w:val="21"/>
                    </w:rPr>
                  </w:pPr>
                  <w:r>
                    <w:rPr>
                      <w:color w:val="auto"/>
                      <w:kern w:val="0"/>
                      <w:szCs w:val="21"/>
                      <w:lang w:bidi="ar"/>
                    </w:rPr>
                    <w:t xml:space="preserve">1.70 </w:t>
                  </w:r>
                </w:p>
              </w:tc>
              <w:tc>
                <w:tcPr>
                  <w:tcW w:w="1082" w:type="dxa"/>
                  <w:vAlign w:val="center"/>
                </w:tcPr>
                <w:p w14:paraId="47CFEE38">
                  <w:pPr>
                    <w:widowControl/>
                    <w:jc w:val="center"/>
                    <w:textAlignment w:val="center"/>
                    <w:rPr>
                      <w:color w:val="auto"/>
                      <w:szCs w:val="21"/>
                    </w:rPr>
                  </w:pPr>
                  <w:r>
                    <w:rPr>
                      <w:color w:val="auto"/>
                      <w:kern w:val="0"/>
                      <w:szCs w:val="21"/>
                      <w:lang w:bidi="ar"/>
                    </w:rPr>
                    <w:t xml:space="preserve">43.6 </w:t>
                  </w:r>
                </w:p>
              </w:tc>
              <w:tc>
                <w:tcPr>
                  <w:tcW w:w="945" w:type="dxa"/>
                  <w:vAlign w:val="center"/>
                </w:tcPr>
                <w:p w14:paraId="0EF2B6F5">
                  <w:pPr>
                    <w:widowControl/>
                    <w:jc w:val="center"/>
                    <w:textAlignment w:val="center"/>
                    <w:rPr>
                      <w:color w:val="auto"/>
                      <w:szCs w:val="21"/>
                    </w:rPr>
                  </w:pPr>
                  <w:r>
                    <w:rPr>
                      <w:color w:val="auto"/>
                      <w:kern w:val="0"/>
                      <w:szCs w:val="21"/>
                      <w:lang w:bidi="ar"/>
                    </w:rPr>
                    <w:t xml:space="preserve">0.567 </w:t>
                  </w:r>
                </w:p>
              </w:tc>
              <w:tc>
                <w:tcPr>
                  <w:tcW w:w="507" w:type="pct"/>
                  <w:vMerge w:val="continue"/>
                  <w:vAlign w:val="center"/>
                </w:tcPr>
                <w:p w14:paraId="10619BF7">
                  <w:pPr>
                    <w:pStyle w:val="127"/>
                    <w:rPr>
                      <w:color w:val="auto"/>
                      <w:szCs w:val="21"/>
                    </w:rPr>
                  </w:pPr>
                </w:p>
              </w:tc>
              <w:tc>
                <w:tcPr>
                  <w:tcW w:w="488" w:type="pct"/>
                  <w:vAlign w:val="center"/>
                </w:tcPr>
                <w:p w14:paraId="0BA906BC">
                  <w:pPr>
                    <w:pStyle w:val="127"/>
                    <w:rPr>
                      <w:color w:val="auto"/>
                    </w:rPr>
                  </w:pPr>
                  <w:r>
                    <w:rPr>
                      <w:rFonts w:hint="eastAsia"/>
                      <w:color w:val="auto"/>
                      <w:kern w:val="2"/>
                      <w:szCs w:val="21"/>
                    </w:rPr>
                    <w:t>120</w:t>
                  </w:r>
                </w:p>
              </w:tc>
              <w:tc>
                <w:tcPr>
                  <w:tcW w:w="407" w:type="pct"/>
                  <w:vAlign w:val="center"/>
                </w:tcPr>
                <w:p w14:paraId="6E741005">
                  <w:pPr>
                    <w:pStyle w:val="127"/>
                    <w:rPr>
                      <w:color w:val="auto"/>
                    </w:rPr>
                  </w:pPr>
                  <w:r>
                    <w:rPr>
                      <w:rFonts w:hint="eastAsia"/>
                      <w:color w:val="auto"/>
                      <w:kern w:val="2"/>
                      <w:szCs w:val="21"/>
                    </w:rPr>
                    <w:t>19.25</w:t>
                  </w:r>
                </w:p>
              </w:tc>
              <w:tc>
                <w:tcPr>
                  <w:tcW w:w="408" w:type="pct"/>
                  <w:vAlign w:val="center"/>
                </w:tcPr>
                <w:p w14:paraId="759772B8">
                  <w:pPr>
                    <w:pStyle w:val="89"/>
                    <w:rPr>
                      <w:color w:val="auto"/>
                    </w:rPr>
                  </w:pPr>
                  <w:r>
                    <w:rPr>
                      <w:rFonts w:hint="eastAsia"/>
                      <w:color w:val="auto"/>
                    </w:rPr>
                    <w:t>达标</w:t>
                  </w:r>
                </w:p>
              </w:tc>
            </w:tr>
            <w:tr w14:paraId="3C990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restart"/>
                  <w:vAlign w:val="center"/>
                </w:tcPr>
                <w:p w14:paraId="2E5796A0">
                  <w:pPr>
                    <w:widowControl/>
                    <w:jc w:val="center"/>
                    <w:textAlignment w:val="center"/>
                    <w:rPr>
                      <w:bCs/>
                      <w:color w:val="auto"/>
                      <w:kern w:val="0"/>
                      <w:szCs w:val="21"/>
                      <w:lang w:bidi="ar"/>
                    </w:rPr>
                  </w:pPr>
                  <w:r>
                    <w:rPr>
                      <w:rFonts w:hint="eastAsia"/>
                      <w:color w:val="auto"/>
                      <w:kern w:val="0"/>
                      <w:szCs w:val="21"/>
                      <w:lang w:bidi="ar"/>
                    </w:rPr>
                    <w:t>DA003</w:t>
                  </w:r>
                </w:p>
              </w:tc>
              <w:tc>
                <w:tcPr>
                  <w:tcW w:w="534" w:type="pct"/>
                  <w:vMerge w:val="continue"/>
                  <w:vAlign w:val="center"/>
                </w:tcPr>
                <w:p w14:paraId="713A5449">
                  <w:pPr>
                    <w:pStyle w:val="127"/>
                    <w:rPr>
                      <w:color w:val="auto"/>
                      <w:szCs w:val="21"/>
                    </w:rPr>
                  </w:pPr>
                </w:p>
              </w:tc>
              <w:tc>
                <w:tcPr>
                  <w:tcW w:w="520" w:type="pct"/>
                  <w:vAlign w:val="center"/>
                </w:tcPr>
                <w:p w14:paraId="65C05E64">
                  <w:pPr>
                    <w:widowControl/>
                    <w:jc w:val="center"/>
                    <w:textAlignment w:val="center"/>
                    <w:rPr>
                      <w:color w:val="auto"/>
                      <w:kern w:val="0"/>
                      <w:szCs w:val="21"/>
                      <w:lang w:bidi="ar"/>
                    </w:rPr>
                  </w:pPr>
                  <w:r>
                    <w:rPr>
                      <w:rFonts w:hint="eastAsia"/>
                      <w:color w:val="auto"/>
                      <w:kern w:val="0"/>
                      <w:szCs w:val="21"/>
                      <w:lang w:bidi="ar"/>
                    </w:rPr>
                    <w:t>颗粒物</w:t>
                  </w:r>
                </w:p>
              </w:tc>
              <w:tc>
                <w:tcPr>
                  <w:tcW w:w="326" w:type="pct"/>
                  <w:vAlign w:val="center"/>
                </w:tcPr>
                <w:p w14:paraId="1FF2157F">
                  <w:pPr>
                    <w:widowControl/>
                    <w:jc w:val="center"/>
                    <w:textAlignment w:val="center"/>
                    <w:rPr>
                      <w:color w:val="auto"/>
                    </w:rPr>
                  </w:pPr>
                  <w:r>
                    <w:rPr>
                      <w:rFonts w:hint="eastAsia"/>
                      <w:color w:val="auto"/>
                    </w:rPr>
                    <w:t>10%</w:t>
                  </w:r>
                </w:p>
              </w:tc>
              <w:tc>
                <w:tcPr>
                  <w:tcW w:w="899" w:type="dxa"/>
                  <w:vAlign w:val="center"/>
                </w:tcPr>
                <w:p w14:paraId="252F6395">
                  <w:pPr>
                    <w:widowControl/>
                    <w:jc w:val="center"/>
                    <w:textAlignment w:val="center"/>
                    <w:rPr>
                      <w:color w:val="auto"/>
                    </w:rPr>
                  </w:pPr>
                  <w:r>
                    <w:rPr>
                      <w:color w:val="auto"/>
                      <w:kern w:val="0"/>
                      <w:szCs w:val="21"/>
                      <w:lang w:bidi="ar"/>
                    </w:rPr>
                    <w:t xml:space="preserve">1.72 </w:t>
                  </w:r>
                </w:p>
              </w:tc>
              <w:tc>
                <w:tcPr>
                  <w:tcW w:w="1082" w:type="dxa"/>
                  <w:vAlign w:val="center"/>
                </w:tcPr>
                <w:p w14:paraId="260C18AE">
                  <w:pPr>
                    <w:widowControl/>
                    <w:jc w:val="center"/>
                    <w:textAlignment w:val="center"/>
                    <w:rPr>
                      <w:color w:val="auto"/>
                    </w:rPr>
                  </w:pPr>
                  <w:r>
                    <w:rPr>
                      <w:color w:val="auto"/>
                      <w:kern w:val="0"/>
                      <w:szCs w:val="21"/>
                      <w:lang w:bidi="ar"/>
                    </w:rPr>
                    <w:t xml:space="preserve">29.5 </w:t>
                  </w:r>
                </w:p>
              </w:tc>
              <w:tc>
                <w:tcPr>
                  <w:tcW w:w="945" w:type="dxa"/>
                  <w:vAlign w:val="center"/>
                </w:tcPr>
                <w:p w14:paraId="391BA4FA">
                  <w:pPr>
                    <w:widowControl/>
                    <w:jc w:val="center"/>
                    <w:textAlignment w:val="center"/>
                    <w:rPr>
                      <w:color w:val="auto"/>
                    </w:rPr>
                  </w:pPr>
                  <w:r>
                    <w:rPr>
                      <w:color w:val="auto"/>
                      <w:kern w:val="0"/>
                      <w:szCs w:val="21"/>
                      <w:lang w:bidi="ar"/>
                    </w:rPr>
                    <w:t xml:space="preserve">29.54 </w:t>
                  </w:r>
                </w:p>
              </w:tc>
              <w:tc>
                <w:tcPr>
                  <w:tcW w:w="507" w:type="pct"/>
                  <w:vMerge w:val="continue"/>
                  <w:vAlign w:val="center"/>
                </w:tcPr>
                <w:p w14:paraId="7494D585">
                  <w:pPr>
                    <w:pStyle w:val="127"/>
                    <w:rPr>
                      <w:color w:val="auto"/>
                      <w:szCs w:val="21"/>
                    </w:rPr>
                  </w:pPr>
                </w:p>
              </w:tc>
              <w:tc>
                <w:tcPr>
                  <w:tcW w:w="488" w:type="pct"/>
                  <w:vAlign w:val="center"/>
                </w:tcPr>
                <w:p w14:paraId="0CD05332">
                  <w:pPr>
                    <w:pStyle w:val="127"/>
                    <w:rPr>
                      <w:color w:val="auto"/>
                    </w:rPr>
                  </w:pPr>
                  <w:r>
                    <w:rPr>
                      <w:rFonts w:hint="eastAsia"/>
                      <w:color w:val="auto"/>
                      <w:kern w:val="2"/>
                      <w:szCs w:val="21"/>
                    </w:rPr>
                    <w:t>30</w:t>
                  </w:r>
                </w:p>
              </w:tc>
              <w:tc>
                <w:tcPr>
                  <w:tcW w:w="407" w:type="pct"/>
                  <w:vAlign w:val="center"/>
                </w:tcPr>
                <w:p w14:paraId="2F144CA7">
                  <w:pPr>
                    <w:pStyle w:val="127"/>
                    <w:rPr>
                      <w:color w:val="auto"/>
                    </w:rPr>
                  </w:pPr>
                  <w:r>
                    <w:rPr>
                      <w:rFonts w:hint="eastAsia"/>
                      <w:color w:val="auto"/>
                      <w:kern w:val="2"/>
                      <w:szCs w:val="21"/>
                    </w:rPr>
                    <w:t>/</w:t>
                  </w:r>
                </w:p>
              </w:tc>
              <w:tc>
                <w:tcPr>
                  <w:tcW w:w="408" w:type="pct"/>
                  <w:vAlign w:val="center"/>
                </w:tcPr>
                <w:p w14:paraId="38CD71F1">
                  <w:pPr>
                    <w:pStyle w:val="89"/>
                    <w:rPr>
                      <w:color w:val="auto"/>
                    </w:rPr>
                  </w:pPr>
                  <w:r>
                    <w:rPr>
                      <w:rFonts w:hint="eastAsia"/>
                      <w:color w:val="auto"/>
                    </w:rPr>
                    <w:t>达标</w:t>
                  </w:r>
                </w:p>
              </w:tc>
            </w:tr>
            <w:tr w14:paraId="213A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564CF65C">
                  <w:pPr>
                    <w:pStyle w:val="127"/>
                    <w:rPr>
                      <w:color w:val="auto"/>
                      <w:szCs w:val="21"/>
                    </w:rPr>
                  </w:pPr>
                </w:p>
              </w:tc>
              <w:tc>
                <w:tcPr>
                  <w:tcW w:w="534" w:type="pct"/>
                  <w:vMerge w:val="continue"/>
                </w:tcPr>
                <w:p w14:paraId="61940D8C">
                  <w:pPr>
                    <w:pStyle w:val="127"/>
                    <w:rPr>
                      <w:color w:val="auto"/>
                      <w:szCs w:val="21"/>
                    </w:rPr>
                  </w:pPr>
                </w:p>
              </w:tc>
              <w:tc>
                <w:tcPr>
                  <w:tcW w:w="520" w:type="pct"/>
                  <w:vAlign w:val="center"/>
                </w:tcPr>
                <w:p w14:paraId="07D8A3CE">
                  <w:pPr>
                    <w:widowControl/>
                    <w:jc w:val="center"/>
                    <w:textAlignment w:val="center"/>
                    <w:rPr>
                      <w:color w:val="auto"/>
                      <w:kern w:val="0"/>
                      <w:szCs w:val="21"/>
                      <w:lang w:bidi="ar"/>
                    </w:rPr>
                  </w:pPr>
                  <w:r>
                    <w:rPr>
                      <w:rFonts w:hint="eastAsia"/>
                      <w:color w:val="auto"/>
                      <w:kern w:val="0"/>
                      <w:szCs w:val="21"/>
                      <w:lang w:bidi="ar"/>
                    </w:rPr>
                    <w:t>TVOC</w:t>
                  </w:r>
                </w:p>
              </w:tc>
              <w:tc>
                <w:tcPr>
                  <w:tcW w:w="326" w:type="pct"/>
                  <w:vAlign w:val="center"/>
                </w:tcPr>
                <w:p w14:paraId="1D10D78D">
                  <w:pPr>
                    <w:widowControl/>
                    <w:jc w:val="center"/>
                    <w:textAlignment w:val="center"/>
                    <w:rPr>
                      <w:color w:val="auto"/>
                    </w:rPr>
                  </w:pPr>
                  <w:r>
                    <w:rPr>
                      <w:rFonts w:hint="eastAsia"/>
                      <w:color w:val="auto"/>
                    </w:rPr>
                    <w:t>10%</w:t>
                  </w:r>
                </w:p>
              </w:tc>
              <w:tc>
                <w:tcPr>
                  <w:tcW w:w="899" w:type="dxa"/>
                  <w:vAlign w:val="center"/>
                </w:tcPr>
                <w:p w14:paraId="2A29FB2A">
                  <w:pPr>
                    <w:widowControl/>
                    <w:jc w:val="center"/>
                    <w:textAlignment w:val="center"/>
                    <w:rPr>
                      <w:color w:val="auto"/>
                    </w:rPr>
                  </w:pPr>
                  <w:r>
                    <w:rPr>
                      <w:color w:val="auto"/>
                      <w:kern w:val="0"/>
                      <w:szCs w:val="21"/>
                      <w:lang w:bidi="ar"/>
                    </w:rPr>
                    <w:t xml:space="preserve">0.398 </w:t>
                  </w:r>
                </w:p>
              </w:tc>
              <w:tc>
                <w:tcPr>
                  <w:tcW w:w="1082" w:type="dxa"/>
                  <w:vAlign w:val="center"/>
                </w:tcPr>
                <w:p w14:paraId="279543EA">
                  <w:pPr>
                    <w:widowControl/>
                    <w:jc w:val="center"/>
                    <w:textAlignment w:val="center"/>
                    <w:rPr>
                      <w:color w:val="auto"/>
                    </w:rPr>
                  </w:pPr>
                  <w:r>
                    <w:rPr>
                      <w:color w:val="auto"/>
                      <w:kern w:val="0"/>
                      <w:szCs w:val="21"/>
                      <w:lang w:bidi="ar"/>
                    </w:rPr>
                    <w:t xml:space="preserve">6.71 </w:t>
                  </w:r>
                </w:p>
              </w:tc>
              <w:tc>
                <w:tcPr>
                  <w:tcW w:w="945" w:type="dxa"/>
                  <w:vAlign w:val="center"/>
                </w:tcPr>
                <w:p w14:paraId="245B30B1">
                  <w:pPr>
                    <w:widowControl/>
                    <w:jc w:val="center"/>
                    <w:textAlignment w:val="center"/>
                    <w:rPr>
                      <w:color w:val="auto"/>
                    </w:rPr>
                  </w:pPr>
                  <w:r>
                    <w:rPr>
                      <w:color w:val="auto"/>
                      <w:kern w:val="0"/>
                      <w:szCs w:val="21"/>
                      <w:lang w:bidi="ar"/>
                    </w:rPr>
                    <w:t xml:space="preserve">0.134 </w:t>
                  </w:r>
                </w:p>
              </w:tc>
              <w:tc>
                <w:tcPr>
                  <w:tcW w:w="507" w:type="pct"/>
                  <w:vMerge w:val="continue"/>
                </w:tcPr>
                <w:p w14:paraId="5967B11E">
                  <w:pPr>
                    <w:pStyle w:val="127"/>
                    <w:rPr>
                      <w:color w:val="auto"/>
                      <w:szCs w:val="21"/>
                    </w:rPr>
                  </w:pPr>
                </w:p>
              </w:tc>
              <w:tc>
                <w:tcPr>
                  <w:tcW w:w="488" w:type="pct"/>
                  <w:vAlign w:val="center"/>
                </w:tcPr>
                <w:p w14:paraId="7A02BC4A">
                  <w:pPr>
                    <w:pStyle w:val="127"/>
                    <w:rPr>
                      <w:color w:val="auto"/>
                    </w:rPr>
                  </w:pPr>
                  <w:r>
                    <w:rPr>
                      <w:rFonts w:hint="eastAsia"/>
                      <w:color w:val="auto"/>
                      <w:kern w:val="2"/>
                      <w:szCs w:val="21"/>
                    </w:rPr>
                    <w:t>100</w:t>
                  </w:r>
                </w:p>
              </w:tc>
              <w:tc>
                <w:tcPr>
                  <w:tcW w:w="407" w:type="pct"/>
                  <w:vAlign w:val="center"/>
                </w:tcPr>
                <w:p w14:paraId="55FE4E67">
                  <w:pPr>
                    <w:pStyle w:val="127"/>
                    <w:rPr>
                      <w:color w:val="auto"/>
                    </w:rPr>
                  </w:pPr>
                  <w:r>
                    <w:rPr>
                      <w:rFonts w:hint="eastAsia"/>
                      <w:color w:val="auto"/>
                      <w:kern w:val="2"/>
                      <w:szCs w:val="21"/>
                    </w:rPr>
                    <w:t>/</w:t>
                  </w:r>
                </w:p>
              </w:tc>
              <w:tc>
                <w:tcPr>
                  <w:tcW w:w="408" w:type="pct"/>
                  <w:vAlign w:val="center"/>
                </w:tcPr>
                <w:p w14:paraId="1812B870">
                  <w:pPr>
                    <w:pStyle w:val="89"/>
                    <w:rPr>
                      <w:color w:val="auto"/>
                    </w:rPr>
                  </w:pPr>
                  <w:r>
                    <w:rPr>
                      <w:rFonts w:hint="eastAsia"/>
                      <w:color w:val="auto"/>
                    </w:rPr>
                    <w:t>达标</w:t>
                  </w:r>
                </w:p>
              </w:tc>
            </w:tr>
            <w:tr w14:paraId="6FDEE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54B04CF5">
                  <w:pPr>
                    <w:pStyle w:val="127"/>
                    <w:rPr>
                      <w:color w:val="auto"/>
                      <w:szCs w:val="21"/>
                    </w:rPr>
                  </w:pPr>
                </w:p>
              </w:tc>
              <w:tc>
                <w:tcPr>
                  <w:tcW w:w="534" w:type="pct"/>
                  <w:vMerge w:val="continue"/>
                </w:tcPr>
                <w:p w14:paraId="0A852C06">
                  <w:pPr>
                    <w:pStyle w:val="127"/>
                    <w:rPr>
                      <w:color w:val="auto"/>
                      <w:szCs w:val="21"/>
                    </w:rPr>
                  </w:pPr>
                </w:p>
              </w:tc>
              <w:tc>
                <w:tcPr>
                  <w:tcW w:w="520" w:type="pct"/>
                  <w:vAlign w:val="center"/>
                </w:tcPr>
                <w:p w14:paraId="31F68D90">
                  <w:pPr>
                    <w:widowControl/>
                    <w:jc w:val="center"/>
                    <w:textAlignment w:val="center"/>
                    <w:rPr>
                      <w:color w:val="auto"/>
                      <w:kern w:val="0"/>
                      <w:szCs w:val="21"/>
                      <w:lang w:bidi="ar"/>
                    </w:rPr>
                  </w:pPr>
                  <w:r>
                    <w:rPr>
                      <w:rFonts w:hint="eastAsia"/>
                      <w:color w:val="auto"/>
                      <w:kern w:val="0"/>
                      <w:szCs w:val="21"/>
                      <w:lang w:bidi="ar"/>
                    </w:rPr>
                    <w:t>氮氧化物</w:t>
                  </w:r>
                </w:p>
              </w:tc>
              <w:tc>
                <w:tcPr>
                  <w:tcW w:w="326" w:type="pct"/>
                  <w:vAlign w:val="center"/>
                </w:tcPr>
                <w:p w14:paraId="5AA1ADAB">
                  <w:pPr>
                    <w:widowControl/>
                    <w:jc w:val="center"/>
                    <w:textAlignment w:val="center"/>
                    <w:rPr>
                      <w:color w:val="auto"/>
                    </w:rPr>
                  </w:pPr>
                  <w:r>
                    <w:rPr>
                      <w:rFonts w:hint="eastAsia"/>
                      <w:color w:val="auto"/>
                    </w:rPr>
                    <w:t>0</w:t>
                  </w:r>
                </w:p>
              </w:tc>
              <w:tc>
                <w:tcPr>
                  <w:tcW w:w="899" w:type="dxa"/>
                  <w:vAlign w:val="center"/>
                </w:tcPr>
                <w:p w14:paraId="07906998">
                  <w:pPr>
                    <w:widowControl/>
                    <w:jc w:val="center"/>
                    <w:textAlignment w:val="center"/>
                    <w:rPr>
                      <w:color w:val="auto"/>
                    </w:rPr>
                  </w:pPr>
                  <w:r>
                    <w:rPr>
                      <w:color w:val="auto"/>
                      <w:kern w:val="0"/>
                      <w:szCs w:val="21"/>
                      <w:lang w:bidi="ar"/>
                    </w:rPr>
                    <w:t xml:space="preserve">0.15 </w:t>
                  </w:r>
                </w:p>
              </w:tc>
              <w:tc>
                <w:tcPr>
                  <w:tcW w:w="1082" w:type="dxa"/>
                  <w:vAlign w:val="center"/>
                </w:tcPr>
                <w:p w14:paraId="4A2F91FB">
                  <w:pPr>
                    <w:widowControl/>
                    <w:jc w:val="center"/>
                    <w:textAlignment w:val="center"/>
                    <w:rPr>
                      <w:color w:val="auto"/>
                    </w:rPr>
                  </w:pPr>
                  <w:r>
                    <w:rPr>
                      <w:color w:val="auto"/>
                      <w:kern w:val="0"/>
                      <w:szCs w:val="21"/>
                      <w:lang w:bidi="ar"/>
                    </w:rPr>
                    <w:t xml:space="preserve">2.51 </w:t>
                  </w:r>
                </w:p>
              </w:tc>
              <w:tc>
                <w:tcPr>
                  <w:tcW w:w="945" w:type="dxa"/>
                  <w:vAlign w:val="center"/>
                </w:tcPr>
                <w:p w14:paraId="1E003901">
                  <w:pPr>
                    <w:widowControl/>
                    <w:jc w:val="center"/>
                    <w:textAlignment w:val="center"/>
                    <w:rPr>
                      <w:color w:val="auto"/>
                    </w:rPr>
                  </w:pPr>
                  <w:r>
                    <w:rPr>
                      <w:color w:val="auto"/>
                      <w:kern w:val="0"/>
                      <w:szCs w:val="21"/>
                      <w:lang w:bidi="ar"/>
                    </w:rPr>
                    <w:t xml:space="preserve">0.0502 </w:t>
                  </w:r>
                </w:p>
              </w:tc>
              <w:tc>
                <w:tcPr>
                  <w:tcW w:w="507" w:type="pct"/>
                  <w:vMerge w:val="continue"/>
                </w:tcPr>
                <w:p w14:paraId="0997A7A5">
                  <w:pPr>
                    <w:pStyle w:val="127"/>
                    <w:rPr>
                      <w:color w:val="auto"/>
                      <w:szCs w:val="21"/>
                    </w:rPr>
                  </w:pPr>
                </w:p>
              </w:tc>
              <w:tc>
                <w:tcPr>
                  <w:tcW w:w="488" w:type="pct"/>
                  <w:vAlign w:val="center"/>
                </w:tcPr>
                <w:p w14:paraId="1A0714F9">
                  <w:pPr>
                    <w:pStyle w:val="127"/>
                    <w:rPr>
                      <w:color w:val="auto"/>
                    </w:rPr>
                  </w:pPr>
                  <w:r>
                    <w:rPr>
                      <w:rFonts w:hint="eastAsia"/>
                      <w:color w:val="auto"/>
                      <w:kern w:val="2"/>
                      <w:szCs w:val="21"/>
                    </w:rPr>
                    <w:t>300</w:t>
                  </w:r>
                </w:p>
              </w:tc>
              <w:tc>
                <w:tcPr>
                  <w:tcW w:w="407" w:type="pct"/>
                  <w:vAlign w:val="center"/>
                </w:tcPr>
                <w:p w14:paraId="1CBC587F">
                  <w:pPr>
                    <w:pStyle w:val="127"/>
                    <w:rPr>
                      <w:color w:val="auto"/>
                    </w:rPr>
                  </w:pPr>
                  <w:r>
                    <w:rPr>
                      <w:rFonts w:hint="eastAsia"/>
                      <w:color w:val="auto"/>
                      <w:kern w:val="2"/>
                      <w:szCs w:val="21"/>
                    </w:rPr>
                    <w:t>/</w:t>
                  </w:r>
                </w:p>
              </w:tc>
              <w:tc>
                <w:tcPr>
                  <w:tcW w:w="408" w:type="pct"/>
                  <w:vAlign w:val="center"/>
                </w:tcPr>
                <w:p w14:paraId="009BB0EB">
                  <w:pPr>
                    <w:pStyle w:val="89"/>
                    <w:rPr>
                      <w:color w:val="auto"/>
                    </w:rPr>
                  </w:pPr>
                  <w:r>
                    <w:rPr>
                      <w:rFonts w:hint="eastAsia"/>
                      <w:color w:val="auto"/>
                    </w:rPr>
                    <w:t>达标</w:t>
                  </w:r>
                </w:p>
              </w:tc>
            </w:tr>
            <w:tr w14:paraId="76662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54EB9814">
                  <w:pPr>
                    <w:pStyle w:val="127"/>
                    <w:rPr>
                      <w:color w:val="auto"/>
                      <w:szCs w:val="21"/>
                    </w:rPr>
                  </w:pPr>
                </w:p>
              </w:tc>
              <w:tc>
                <w:tcPr>
                  <w:tcW w:w="534" w:type="pct"/>
                  <w:vMerge w:val="continue"/>
                </w:tcPr>
                <w:p w14:paraId="6D3629FA">
                  <w:pPr>
                    <w:pStyle w:val="127"/>
                    <w:rPr>
                      <w:color w:val="auto"/>
                      <w:szCs w:val="21"/>
                    </w:rPr>
                  </w:pPr>
                </w:p>
              </w:tc>
              <w:tc>
                <w:tcPr>
                  <w:tcW w:w="520" w:type="pct"/>
                  <w:vAlign w:val="center"/>
                </w:tcPr>
                <w:p w14:paraId="51F55F8B">
                  <w:pPr>
                    <w:widowControl/>
                    <w:jc w:val="center"/>
                    <w:textAlignment w:val="center"/>
                    <w:rPr>
                      <w:color w:val="auto"/>
                      <w:kern w:val="0"/>
                      <w:szCs w:val="21"/>
                      <w:lang w:bidi="ar"/>
                    </w:rPr>
                  </w:pPr>
                  <w:r>
                    <w:rPr>
                      <w:rFonts w:hint="eastAsia"/>
                      <w:color w:val="auto"/>
                      <w:kern w:val="0"/>
                      <w:szCs w:val="21"/>
                      <w:lang w:bidi="ar"/>
                    </w:rPr>
                    <w:t>二氧化硫</w:t>
                  </w:r>
                </w:p>
              </w:tc>
              <w:tc>
                <w:tcPr>
                  <w:tcW w:w="326" w:type="pct"/>
                  <w:vAlign w:val="center"/>
                </w:tcPr>
                <w:p w14:paraId="4D5F3DEC">
                  <w:pPr>
                    <w:widowControl/>
                    <w:jc w:val="center"/>
                    <w:textAlignment w:val="center"/>
                    <w:rPr>
                      <w:color w:val="auto"/>
                    </w:rPr>
                  </w:pPr>
                  <w:r>
                    <w:rPr>
                      <w:rFonts w:hint="eastAsia"/>
                      <w:color w:val="auto"/>
                    </w:rPr>
                    <w:t>0</w:t>
                  </w:r>
                </w:p>
              </w:tc>
              <w:tc>
                <w:tcPr>
                  <w:tcW w:w="899" w:type="dxa"/>
                  <w:vAlign w:val="center"/>
                </w:tcPr>
                <w:p w14:paraId="59D76C30">
                  <w:pPr>
                    <w:widowControl/>
                    <w:jc w:val="center"/>
                    <w:textAlignment w:val="center"/>
                    <w:rPr>
                      <w:color w:val="auto"/>
                    </w:rPr>
                  </w:pPr>
                  <w:r>
                    <w:rPr>
                      <w:color w:val="auto"/>
                      <w:kern w:val="0"/>
                      <w:szCs w:val="21"/>
                      <w:lang w:bidi="ar"/>
                    </w:rPr>
                    <w:t xml:space="preserve">0.0321 </w:t>
                  </w:r>
                </w:p>
              </w:tc>
              <w:tc>
                <w:tcPr>
                  <w:tcW w:w="1082" w:type="dxa"/>
                  <w:vAlign w:val="center"/>
                </w:tcPr>
                <w:p w14:paraId="385E4508">
                  <w:pPr>
                    <w:widowControl/>
                    <w:jc w:val="center"/>
                    <w:textAlignment w:val="center"/>
                    <w:rPr>
                      <w:color w:val="auto"/>
                    </w:rPr>
                  </w:pPr>
                  <w:r>
                    <w:rPr>
                      <w:color w:val="auto"/>
                      <w:kern w:val="0"/>
                      <w:szCs w:val="21"/>
                      <w:lang w:bidi="ar"/>
                    </w:rPr>
                    <w:t xml:space="preserve">0.535 </w:t>
                  </w:r>
                </w:p>
              </w:tc>
              <w:tc>
                <w:tcPr>
                  <w:tcW w:w="945" w:type="dxa"/>
                  <w:vAlign w:val="center"/>
                </w:tcPr>
                <w:p w14:paraId="138B0459">
                  <w:pPr>
                    <w:widowControl/>
                    <w:jc w:val="center"/>
                    <w:textAlignment w:val="center"/>
                    <w:rPr>
                      <w:color w:val="auto"/>
                    </w:rPr>
                  </w:pPr>
                  <w:r>
                    <w:rPr>
                      <w:color w:val="auto"/>
                      <w:kern w:val="0"/>
                      <w:szCs w:val="21"/>
                      <w:lang w:bidi="ar"/>
                    </w:rPr>
                    <w:t xml:space="preserve">0.0107 </w:t>
                  </w:r>
                </w:p>
              </w:tc>
              <w:tc>
                <w:tcPr>
                  <w:tcW w:w="507" w:type="pct"/>
                  <w:vMerge w:val="continue"/>
                </w:tcPr>
                <w:p w14:paraId="573285E6">
                  <w:pPr>
                    <w:pStyle w:val="127"/>
                    <w:rPr>
                      <w:color w:val="auto"/>
                      <w:szCs w:val="21"/>
                    </w:rPr>
                  </w:pPr>
                </w:p>
              </w:tc>
              <w:tc>
                <w:tcPr>
                  <w:tcW w:w="488" w:type="pct"/>
                  <w:vAlign w:val="center"/>
                </w:tcPr>
                <w:p w14:paraId="4847B1E7">
                  <w:pPr>
                    <w:pStyle w:val="127"/>
                    <w:rPr>
                      <w:color w:val="auto"/>
                    </w:rPr>
                  </w:pPr>
                  <w:r>
                    <w:rPr>
                      <w:rFonts w:hint="eastAsia"/>
                      <w:color w:val="auto"/>
                      <w:kern w:val="2"/>
                      <w:szCs w:val="21"/>
                    </w:rPr>
                    <w:t>200</w:t>
                  </w:r>
                </w:p>
              </w:tc>
              <w:tc>
                <w:tcPr>
                  <w:tcW w:w="407" w:type="pct"/>
                  <w:vAlign w:val="center"/>
                </w:tcPr>
                <w:p w14:paraId="0180D399">
                  <w:pPr>
                    <w:pStyle w:val="127"/>
                    <w:rPr>
                      <w:color w:val="auto"/>
                    </w:rPr>
                  </w:pPr>
                  <w:r>
                    <w:rPr>
                      <w:rFonts w:hint="eastAsia"/>
                      <w:color w:val="auto"/>
                      <w:kern w:val="2"/>
                      <w:szCs w:val="21"/>
                    </w:rPr>
                    <w:t>/</w:t>
                  </w:r>
                </w:p>
              </w:tc>
              <w:tc>
                <w:tcPr>
                  <w:tcW w:w="408" w:type="pct"/>
                  <w:vAlign w:val="center"/>
                </w:tcPr>
                <w:p w14:paraId="46423E8B">
                  <w:pPr>
                    <w:pStyle w:val="89"/>
                    <w:rPr>
                      <w:color w:val="auto"/>
                    </w:rPr>
                  </w:pPr>
                  <w:r>
                    <w:rPr>
                      <w:rFonts w:hint="eastAsia"/>
                      <w:color w:val="auto"/>
                    </w:rPr>
                    <w:t>达标</w:t>
                  </w:r>
                </w:p>
              </w:tc>
            </w:tr>
            <w:tr w14:paraId="07AE4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restart"/>
                  <w:vAlign w:val="center"/>
                </w:tcPr>
                <w:p w14:paraId="4854B700">
                  <w:pPr>
                    <w:widowControl/>
                    <w:jc w:val="center"/>
                    <w:textAlignment w:val="center"/>
                    <w:rPr>
                      <w:color w:val="auto"/>
                    </w:rPr>
                  </w:pPr>
                  <w:r>
                    <w:rPr>
                      <w:rFonts w:hint="eastAsia"/>
                      <w:color w:val="auto"/>
                      <w:kern w:val="0"/>
                      <w:szCs w:val="21"/>
                      <w:lang w:bidi="ar"/>
                    </w:rPr>
                    <w:t>DA004</w:t>
                  </w:r>
                </w:p>
              </w:tc>
              <w:tc>
                <w:tcPr>
                  <w:tcW w:w="534" w:type="pct"/>
                  <w:vMerge w:val="continue"/>
                </w:tcPr>
                <w:p w14:paraId="74FD5E6D">
                  <w:pPr>
                    <w:pStyle w:val="127"/>
                    <w:rPr>
                      <w:color w:val="auto"/>
                      <w:szCs w:val="21"/>
                    </w:rPr>
                  </w:pPr>
                </w:p>
              </w:tc>
              <w:tc>
                <w:tcPr>
                  <w:tcW w:w="520" w:type="pct"/>
                  <w:vAlign w:val="center"/>
                </w:tcPr>
                <w:p w14:paraId="371C7D39">
                  <w:pPr>
                    <w:widowControl/>
                    <w:jc w:val="center"/>
                    <w:textAlignment w:val="center"/>
                    <w:rPr>
                      <w:color w:val="auto"/>
                      <w:kern w:val="0"/>
                      <w:szCs w:val="21"/>
                      <w:lang w:bidi="ar"/>
                    </w:rPr>
                  </w:pPr>
                  <w:r>
                    <w:rPr>
                      <w:rFonts w:hint="eastAsia"/>
                      <w:color w:val="auto"/>
                      <w:kern w:val="0"/>
                      <w:szCs w:val="21"/>
                      <w:lang w:bidi="ar"/>
                    </w:rPr>
                    <w:t>颗粒物</w:t>
                  </w:r>
                </w:p>
              </w:tc>
              <w:tc>
                <w:tcPr>
                  <w:tcW w:w="326" w:type="pct"/>
                  <w:vAlign w:val="center"/>
                </w:tcPr>
                <w:p w14:paraId="5AFCD6D6">
                  <w:pPr>
                    <w:widowControl/>
                    <w:jc w:val="center"/>
                    <w:textAlignment w:val="center"/>
                    <w:rPr>
                      <w:color w:val="auto"/>
                    </w:rPr>
                  </w:pPr>
                  <w:r>
                    <w:rPr>
                      <w:rFonts w:hint="eastAsia"/>
                      <w:color w:val="auto"/>
                    </w:rPr>
                    <w:t>10%</w:t>
                  </w:r>
                </w:p>
              </w:tc>
              <w:tc>
                <w:tcPr>
                  <w:tcW w:w="899" w:type="dxa"/>
                  <w:vAlign w:val="center"/>
                </w:tcPr>
                <w:p w14:paraId="30CAB57F">
                  <w:pPr>
                    <w:widowControl/>
                    <w:jc w:val="center"/>
                    <w:textAlignment w:val="center"/>
                    <w:rPr>
                      <w:color w:val="auto"/>
                    </w:rPr>
                  </w:pPr>
                  <w:r>
                    <w:rPr>
                      <w:color w:val="auto"/>
                      <w:kern w:val="0"/>
                      <w:szCs w:val="21"/>
                      <w:lang w:bidi="ar"/>
                    </w:rPr>
                    <w:t xml:space="preserve">1.12 </w:t>
                  </w:r>
                </w:p>
              </w:tc>
              <w:tc>
                <w:tcPr>
                  <w:tcW w:w="1082" w:type="dxa"/>
                  <w:vAlign w:val="center"/>
                </w:tcPr>
                <w:p w14:paraId="6BA1963C">
                  <w:pPr>
                    <w:widowControl/>
                    <w:jc w:val="center"/>
                    <w:textAlignment w:val="center"/>
                    <w:rPr>
                      <w:color w:val="auto"/>
                    </w:rPr>
                  </w:pPr>
                  <w:r>
                    <w:rPr>
                      <w:color w:val="auto"/>
                      <w:kern w:val="0"/>
                      <w:szCs w:val="21"/>
                      <w:lang w:bidi="ar"/>
                    </w:rPr>
                    <w:t xml:space="preserve">24.8 </w:t>
                  </w:r>
                </w:p>
              </w:tc>
              <w:tc>
                <w:tcPr>
                  <w:tcW w:w="945" w:type="dxa"/>
                  <w:vAlign w:val="center"/>
                </w:tcPr>
                <w:p w14:paraId="310D787B">
                  <w:pPr>
                    <w:widowControl/>
                    <w:jc w:val="center"/>
                    <w:textAlignment w:val="center"/>
                    <w:rPr>
                      <w:color w:val="auto"/>
                    </w:rPr>
                  </w:pPr>
                  <w:r>
                    <w:rPr>
                      <w:color w:val="auto"/>
                      <w:kern w:val="0"/>
                      <w:szCs w:val="21"/>
                      <w:lang w:bidi="ar"/>
                    </w:rPr>
                    <w:t xml:space="preserve">0.372 </w:t>
                  </w:r>
                </w:p>
              </w:tc>
              <w:tc>
                <w:tcPr>
                  <w:tcW w:w="507" w:type="pct"/>
                  <w:vMerge w:val="continue"/>
                </w:tcPr>
                <w:p w14:paraId="6CD3C3BF">
                  <w:pPr>
                    <w:pStyle w:val="127"/>
                    <w:rPr>
                      <w:color w:val="auto"/>
                      <w:szCs w:val="21"/>
                    </w:rPr>
                  </w:pPr>
                </w:p>
              </w:tc>
              <w:tc>
                <w:tcPr>
                  <w:tcW w:w="488" w:type="pct"/>
                  <w:vAlign w:val="center"/>
                </w:tcPr>
                <w:p w14:paraId="13097804">
                  <w:pPr>
                    <w:pStyle w:val="127"/>
                    <w:rPr>
                      <w:color w:val="auto"/>
                    </w:rPr>
                  </w:pPr>
                  <w:r>
                    <w:rPr>
                      <w:rFonts w:hint="eastAsia"/>
                      <w:color w:val="auto"/>
                      <w:kern w:val="2"/>
                      <w:szCs w:val="21"/>
                    </w:rPr>
                    <w:t>30</w:t>
                  </w:r>
                </w:p>
              </w:tc>
              <w:tc>
                <w:tcPr>
                  <w:tcW w:w="407" w:type="pct"/>
                  <w:vAlign w:val="center"/>
                </w:tcPr>
                <w:p w14:paraId="6D4DEE38">
                  <w:pPr>
                    <w:pStyle w:val="127"/>
                    <w:rPr>
                      <w:color w:val="auto"/>
                    </w:rPr>
                  </w:pPr>
                  <w:r>
                    <w:rPr>
                      <w:rFonts w:hint="eastAsia"/>
                      <w:color w:val="auto"/>
                      <w:kern w:val="2"/>
                      <w:szCs w:val="21"/>
                    </w:rPr>
                    <w:t>/</w:t>
                  </w:r>
                </w:p>
              </w:tc>
              <w:tc>
                <w:tcPr>
                  <w:tcW w:w="408" w:type="pct"/>
                  <w:vAlign w:val="center"/>
                </w:tcPr>
                <w:p w14:paraId="61B8C018">
                  <w:pPr>
                    <w:pStyle w:val="89"/>
                    <w:rPr>
                      <w:color w:val="auto"/>
                    </w:rPr>
                  </w:pPr>
                  <w:r>
                    <w:rPr>
                      <w:rFonts w:hint="eastAsia"/>
                      <w:color w:val="auto"/>
                    </w:rPr>
                    <w:t>达标</w:t>
                  </w:r>
                </w:p>
              </w:tc>
            </w:tr>
            <w:tr w14:paraId="073A1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44B33D22">
                  <w:pPr>
                    <w:pStyle w:val="127"/>
                    <w:rPr>
                      <w:color w:val="auto"/>
                      <w:szCs w:val="21"/>
                    </w:rPr>
                  </w:pPr>
                </w:p>
              </w:tc>
              <w:tc>
                <w:tcPr>
                  <w:tcW w:w="534" w:type="pct"/>
                  <w:vMerge w:val="continue"/>
                </w:tcPr>
                <w:p w14:paraId="2B3D1C8A">
                  <w:pPr>
                    <w:pStyle w:val="127"/>
                    <w:rPr>
                      <w:color w:val="auto"/>
                      <w:szCs w:val="21"/>
                    </w:rPr>
                  </w:pPr>
                </w:p>
              </w:tc>
              <w:tc>
                <w:tcPr>
                  <w:tcW w:w="520" w:type="pct"/>
                  <w:vAlign w:val="center"/>
                </w:tcPr>
                <w:p w14:paraId="627CB625">
                  <w:pPr>
                    <w:widowControl/>
                    <w:jc w:val="center"/>
                    <w:textAlignment w:val="center"/>
                    <w:rPr>
                      <w:color w:val="auto"/>
                      <w:kern w:val="0"/>
                      <w:szCs w:val="21"/>
                      <w:lang w:bidi="ar"/>
                    </w:rPr>
                  </w:pPr>
                  <w:r>
                    <w:rPr>
                      <w:rFonts w:hint="eastAsia"/>
                      <w:color w:val="auto"/>
                      <w:kern w:val="0"/>
                      <w:szCs w:val="21"/>
                      <w:lang w:bidi="ar"/>
                    </w:rPr>
                    <w:t>TVOC</w:t>
                  </w:r>
                </w:p>
              </w:tc>
              <w:tc>
                <w:tcPr>
                  <w:tcW w:w="326" w:type="pct"/>
                  <w:vAlign w:val="center"/>
                </w:tcPr>
                <w:p w14:paraId="65648560">
                  <w:pPr>
                    <w:widowControl/>
                    <w:jc w:val="center"/>
                    <w:textAlignment w:val="center"/>
                    <w:rPr>
                      <w:color w:val="auto"/>
                    </w:rPr>
                  </w:pPr>
                  <w:r>
                    <w:rPr>
                      <w:rFonts w:hint="eastAsia"/>
                      <w:color w:val="auto"/>
                    </w:rPr>
                    <w:t>10%</w:t>
                  </w:r>
                </w:p>
              </w:tc>
              <w:tc>
                <w:tcPr>
                  <w:tcW w:w="899" w:type="dxa"/>
                  <w:vAlign w:val="center"/>
                </w:tcPr>
                <w:p w14:paraId="5C5DAF35">
                  <w:pPr>
                    <w:widowControl/>
                    <w:jc w:val="center"/>
                    <w:textAlignment w:val="center"/>
                    <w:rPr>
                      <w:color w:val="auto"/>
                    </w:rPr>
                  </w:pPr>
                  <w:r>
                    <w:rPr>
                      <w:color w:val="auto"/>
                      <w:kern w:val="0"/>
                      <w:szCs w:val="21"/>
                      <w:lang w:bidi="ar"/>
                    </w:rPr>
                    <w:t xml:space="preserve">0.143 </w:t>
                  </w:r>
                </w:p>
              </w:tc>
              <w:tc>
                <w:tcPr>
                  <w:tcW w:w="1082" w:type="dxa"/>
                  <w:vAlign w:val="center"/>
                </w:tcPr>
                <w:p w14:paraId="11175D59">
                  <w:pPr>
                    <w:widowControl/>
                    <w:jc w:val="center"/>
                    <w:textAlignment w:val="center"/>
                    <w:rPr>
                      <w:color w:val="auto"/>
                    </w:rPr>
                  </w:pPr>
                  <w:r>
                    <w:rPr>
                      <w:color w:val="auto"/>
                      <w:kern w:val="0"/>
                      <w:szCs w:val="21"/>
                      <w:lang w:bidi="ar"/>
                    </w:rPr>
                    <w:t xml:space="preserve">3.15 </w:t>
                  </w:r>
                </w:p>
              </w:tc>
              <w:tc>
                <w:tcPr>
                  <w:tcW w:w="945" w:type="dxa"/>
                  <w:vAlign w:val="center"/>
                </w:tcPr>
                <w:p w14:paraId="4864D1AF">
                  <w:pPr>
                    <w:widowControl/>
                    <w:jc w:val="center"/>
                    <w:textAlignment w:val="center"/>
                    <w:rPr>
                      <w:color w:val="auto"/>
                    </w:rPr>
                  </w:pPr>
                  <w:r>
                    <w:rPr>
                      <w:color w:val="auto"/>
                      <w:kern w:val="0"/>
                      <w:szCs w:val="21"/>
                      <w:lang w:bidi="ar"/>
                    </w:rPr>
                    <w:t xml:space="preserve">0.0478 </w:t>
                  </w:r>
                </w:p>
              </w:tc>
              <w:tc>
                <w:tcPr>
                  <w:tcW w:w="507" w:type="pct"/>
                  <w:vMerge w:val="continue"/>
                </w:tcPr>
                <w:p w14:paraId="5ECD02CF">
                  <w:pPr>
                    <w:pStyle w:val="127"/>
                    <w:rPr>
                      <w:color w:val="auto"/>
                      <w:szCs w:val="21"/>
                    </w:rPr>
                  </w:pPr>
                </w:p>
              </w:tc>
              <w:tc>
                <w:tcPr>
                  <w:tcW w:w="488" w:type="pct"/>
                  <w:vAlign w:val="center"/>
                </w:tcPr>
                <w:p w14:paraId="79F1B00A">
                  <w:pPr>
                    <w:pStyle w:val="127"/>
                    <w:rPr>
                      <w:color w:val="auto"/>
                    </w:rPr>
                  </w:pPr>
                  <w:r>
                    <w:rPr>
                      <w:rFonts w:hint="eastAsia"/>
                      <w:color w:val="auto"/>
                      <w:kern w:val="2"/>
                      <w:szCs w:val="21"/>
                    </w:rPr>
                    <w:t>100</w:t>
                  </w:r>
                </w:p>
              </w:tc>
              <w:tc>
                <w:tcPr>
                  <w:tcW w:w="407" w:type="pct"/>
                  <w:vAlign w:val="center"/>
                </w:tcPr>
                <w:p w14:paraId="47FB5E9A">
                  <w:pPr>
                    <w:pStyle w:val="127"/>
                    <w:rPr>
                      <w:color w:val="auto"/>
                    </w:rPr>
                  </w:pPr>
                  <w:r>
                    <w:rPr>
                      <w:rFonts w:hint="eastAsia"/>
                      <w:color w:val="auto"/>
                      <w:kern w:val="2"/>
                      <w:szCs w:val="21"/>
                    </w:rPr>
                    <w:t>/</w:t>
                  </w:r>
                </w:p>
              </w:tc>
              <w:tc>
                <w:tcPr>
                  <w:tcW w:w="408" w:type="pct"/>
                  <w:vAlign w:val="center"/>
                </w:tcPr>
                <w:p w14:paraId="1169143D">
                  <w:pPr>
                    <w:pStyle w:val="89"/>
                    <w:rPr>
                      <w:color w:val="auto"/>
                    </w:rPr>
                  </w:pPr>
                  <w:r>
                    <w:rPr>
                      <w:rFonts w:hint="eastAsia"/>
                      <w:color w:val="auto"/>
                    </w:rPr>
                    <w:t>达标</w:t>
                  </w:r>
                </w:p>
              </w:tc>
            </w:tr>
            <w:tr w14:paraId="74EDE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5A8DF608">
                  <w:pPr>
                    <w:pStyle w:val="127"/>
                    <w:rPr>
                      <w:color w:val="auto"/>
                      <w:szCs w:val="21"/>
                    </w:rPr>
                  </w:pPr>
                </w:p>
              </w:tc>
              <w:tc>
                <w:tcPr>
                  <w:tcW w:w="534" w:type="pct"/>
                  <w:vMerge w:val="continue"/>
                </w:tcPr>
                <w:p w14:paraId="132487BF">
                  <w:pPr>
                    <w:pStyle w:val="127"/>
                    <w:rPr>
                      <w:color w:val="auto"/>
                      <w:szCs w:val="21"/>
                    </w:rPr>
                  </w:pPr>
                </w:p>
              </w:tc>
              <w:tc>
                <w:tcPr>
                  <w:tcW w:w="520" w:type="pct"/>
                  <w:vAlign w:val="center"/>
                </w:tcPr>
                <w:p w14:paraId="7B786102">
                  <w:pPr>
                    <w:widowControl/>
                    <w:jc w:val="center"/>
                    <w:textAlignment w:val="center"/>
                    <w:rPr>
                      <w:color w:val="auto"/>
                      <w:kern w:val="0"/>
                      <w:szCs w:val="21"/>
                      <w:lang w:bidi="ar"/>
                    </w:rPr>
                  </w:pPr>
                  <w:r>
                    <w:rPr>
                      <w:rFonts w:hint="eastAsia"/>
                      <w:color w:val="auto"/>
                      <w:kern w:val="0"/>
                      <w:szCs w:val="21"/>
                      <w:lang w:bidi="ar"/>
                    </w:rPr>
                    <w:t>氮氧化物</w:t>
                  </w:r>
                </w:p>
              </w:tc>
              <w:tc>
                <w:tcPr>
                  <w:tcW w:w="326" w:type="pct"/>
                  <w:vAlign w:val="center"/>
                </w:tcPr>
                <w:p w14:paraId="542E7386">
                  <w:pPr>
                    <w:widowControl/>
                    <w:jc w:val="center"/>
                    <w:textAlignment w:val="center"/>
                    <w:rPr>
                      <w:color w:val="auto"/>
                    </w:rPr>
                  </w:pPr>
                  <w:r>
                    <w:rPr>
                      <w:rFonts w:hint="eastAsia"/>
                      <w:color w:val="auto"/>
                    </w:rPr>
                    <w:t>0</w:t>
                  </w:r>
                </w:p>
              </w:tc>
              <w:tc>
                <w:tcPr>
                  <w:tcW w:w="899" w:type="dxa"/>
                  <w:vAlign w:val="center"/>
                </w:tcPr>
                <w:p w14:paraId="1512C7CE">
                  <w:pPr>
                    <w:widowControl/>
                    <w:jc w:val="center"/>
                    <w:textAlignment w:val="center"/>
                    <w:rPr>
                      <w:color w:val="auto"/>
                    </w:rPr>
                  </w:pPr>
                  <w:r>
                    <w:rPr>
                      <w:color w:val="auto"/>
                      <w:kern w:val="0"/>
                      <w:szCs w:val="21"/>
                      <w:lang w:bidi="ar"/>
                    </w:rPr>
                    <w:t xml:space="preserve">0.0752 </w:t>
                  </w:r>
                </w:p>
              </w:tc>
              <w:tc>
                <w:tcPr>
                  <w:tcW w:w="1082" w:type="dxa"/>
                  <w:vAlign w:val="center"/>
                </w:tcPr>
                <w:p w14:paraId="0C87E170">
                  <w:pPr>
                    <w:widowControl/>
                    <w:jc w:val="center"/>
                    <w:textAlignment w:val="center"/>
                    <w:rPr>
                      <w:color w:val="auto"/>
                    </w:rPr>
                  </w:pPr>
                  <w:r>
                    <w:rPr>
                      <w:color w:val="auto"/>
                      <w:kern w:val="0"/>
                      <w:szCs w:val="21"/>
                      <w:lang w:bidi="ar"/>
                    </w:rPr>
                    <w:t xml:space="preserve">1.67 </w:t>
                  </w:r>
                </w:p>
              </w:tc>
              <w:tc>
                <w:tcPr>
                  <w:tcW w:w="945" w:type="dxa"/>
                  <w:vAlign w:val="center"/>
                </w:tcPr>
                <w:p w14:paraId="53E0309F">
                  <w:pPr>
                    <w:widowControl/>
                    <w:jc w:val="center"/>
                    <w:textAlignment w:val="center"/>
                    <w:rPr>
                      <w:color w:val="auto"/>
                    </w:rPr>
                  </w:pPr>
                  <w:r>
                    <w:rPr>
                      <w:color w:val="auto"/>
                      <w:kern w:val="0"/>
                      <w:szCs w:val="21"/>
                      <w:lang w:bidi="ar"/>
                    </w:rPr>
                    <w:t xml:space="preserve">0.0251 </w:t>
                  </w:r>
                </w:p>
              </w:tc>
              <w:tc>
                <w:tcPr>
                  <w:tcW w:w="507" w:type="pct"/>
                  <w:vMerge w:val="continue"/>
                </w:tcPr>
                <w:p w14:paraId="5AB620AC">
                  <w:pPr>
                    <w:pStyle w:val="127"/>
                    <w:rPr>
                      <w:color w:val="auto"/>
                      <w:szCs w:val="21"/>
                    </w:rPr>
                  </w:pPr>
                </w:p>
              </w:tc>
              <w:tc>
                <w:tcPr>
                  <w:tcW w:w="488" w:type="pct"/>
                  <w:vAlign w:val="center"/>
                </w:tcPr>
                <w:p w14:paraId="18104951">
                  <w:pPr>
                    <w:pStyle w:val="127"/>
                    <w:rPr>
                      <w:color w:val="auto"/>
                    </w:rPr>
                  </w:pPr>
                  <w:r>
                    <w:rPr>
                      <w:rFonts w:hint="eastAsia"/>
                      <w:color w:val="auto"/>
                      <w:kern w:val="2"/>
                      <w:szCs w:val="21"/>
                    </w:rPr>
                    <w:t>300</w:t>
                  </w:r>
                </w:p>
              </w:tc>
              <w:tc>
                <w:tcPr>
                  <w:tcW w:w="407" w:type="pct"/>
                  <w:vAlign w:val="center"/>
                </w:tcPr>
                <w:p w14:paraId="43D9724E">
                  <w:pPr>
                    <w:pStyle w:val="127"/>
                    <w:rPr>
                      <w:color w:val="auto"/>
                    </w:rPr>
                  </w:pPr>
                  <w:r>
                    <w:rPr>
                      <w:rFonts w:hint="eastAsia"/>
                      <w:color w:val="auto"/>
                      <w:kern w:val="2"/>
                      <w:szCs w:val="21"/>
                    </w:rPr>
                    <w:t>/</w:t>
                  </w:r>
                </w:p>
              </w:tc>
              <w:tc>
                <w:tcPr>
                  <w:tcW w:w="408" w:type="pct"/>
                  <w:vAlign w:val="center"/>
                </w:tcPr>
                <w:p w14:paraId="0802F7ED">
                  <w:pPr>
                    <w:pStyle w:val="89"/>
                    <w:rPr>
                      <w:color w:val="auto"/>
                    </w:rPr>
                  </w:pPr>
                  <w:r>
                    <w:rPr>
                      <w:rFonts w:hint="eastAsia"/>
                      <w:color w:val="auto"/>
                    </w:rPr>
                    <w:t>达标</w:t>
                  </w:r>
                </w:p>
              </w:tc>
            </w:tr>
            <w:tr w14:paraId="6B7DB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439" w:type="pct"/>
                  <w:vMerge w:val="continue"/>
                </w:tcPr>
                <w:p w14:paraId="66BF2BBD">
                  <w:pPr>
                    <w:pStyle w:val="127"/>
                    <w:rPr>
                      <w:color w:val="auto"/>
                      <w:szCs w:val="21"/>
                    </w:rPr>
                  </w:pPr>
                </w:p>
              </w:tc>
              <w:tc>
                <w:tcPr>
                  <w:tcW w:w="534" w:type="pct"/>
                  <w:vMerge w:val="continue"/>
                </w:tcPr>
                <w:p w14:paraId="4EFDD2B1">
                  <w:pPr>
                    <w:pStyle w:val="127"/>
                    <w:rPr>
                      <w:color w:val="auto"/>
                      <w:szCs w:val="21"/>
                    </w:rPr>
                  </w:pPr>
                </w:p>
              </w:tc>
              <w:tc>
                <w:tcPr>
                  <w:tcW w:w="520" w:type="pct"/>
                  <w:vAlign w:val="center"/>
                </w:tcPr>
                <w:p w14:paraId="7A88B2C1">
                  <w:pPr>
                    <w:widowControl/>
                    <w:jc w:val="center"/>
                    <w:textAlignment w:val="center"/>
                    <w:rPr>
                      <w:color w:val="auto"/>
                      <w:kern w:val="0"/>
                      <w:szCs w:val="21"/>
                      <w:lang w:bidi="ar"/>
                    </w:rPr>
                  </w:pPr>
                  <w:r>
                    <w:rPr>
                      <w:rFonts w:hint="eastAsia"/>
                      <w:color w:val="auto"/>
                      <w:kern w:val="0"/>
                      <w:szCs w:val="21"/>
                      <w:lang w:bidi="ar"/>
                    </w:rPr>
                    <w:t>二氧化硫</w:t>
                  </w:r>
                </w:p>
              </w:tc>
              <w:tc>
                <w:tcPr>
                  <w:tcW w:w="326" w:type="pct"/>
                  <w:vAlign w:val="center"/>
                </w:tcPr>
                <w:p w14:paraId="693E89E0">
                  <w:pPr>
                    <w:widowControl/>
                    <w:jc w:val="center"/>
                    <w:textAlignment w:val="center"/>
                    <w:rPr>
                      <w:color w:val="auto"/>
                    </w:rPr>
                  </w:pPr>
                  <w:r>
                    <w:rPr>
                      <w:rFonts w:hint="eastAsia"/>
                      <w:color w:val="auto"/>
                    </w:rPr>
                    <w:t>0</w:t>
                  </w:r>
                </w:p>
              </w:tc>
              <w:tc>
                <w:tcPr>
                  <w:tcW w:w="899" w:type="dxa"/>
                  <w:vAlign w:val="center"/>
                </w:tcPr>
                <w:p w14:paraId="1F3C48A5">
                  <w:pPr>
                    <w:widowControl/>
                    <w:jc w:val="center"/>
                    <w:textAlignment w:val="center"/>
                    <w:rPr>
                      <w:color w:val="auto"/>
                    </w:rPr>
                  </w:pPr>
                  <w:r>
                    <w:rPr>
                      <w:color w:val="auto"/>
                      <w:kern w:val="0"/>
                      <w:szCs w:val="21"/>
                      <w:lang w:bidi="ar"/>
                    </w:rPr>
                    <w:t xml:space="preserve">0.0161 </w:t>
                  </w:r>
                </w:p>
              </w:tc>
              <w:tc>
                <w:tcPr>
                  <w:tcW w:w="1082" w:type="dxa"/>
                  <w:vAlign w:val="center"/>
                </w:tcPr>
                <w:p w14:paraId="66BB957D">
                  <w:pPr>
                    <w:widowControl/>
                    <w:jc w:val="center"/>
                    <w:textAlignment w:val="center"/>
                    <w:rPr>
                      <w:color w:val="auto"/>
                    </w:rPr>
                  </w:pPr>
                  <w:r>
                    <w:rPr>
                      <w:color w:val="auto"/>
                      <w:kern w:val="0"/>
                      <w:szCs w:val="21"/>
                      <w:lang w:bidi="ar"/>
                    </w:rPr>
                    <w:t xml:space="preserve">0.353 </w:t>
                  </w:r>
                </w:p>
              </w:tc>
              <w:tc>
                <w:tcPr>
                  <w:tcW w:w="945" w:type="dxa"/>
                  <w:vAlign w:val="center"/>
                </w:tcPr>
                <w:p w14:paraId="4562DB6A">
                  <w:pPr>
                    <w:widowControl/>
                    <w:jc w:val="center"/>
                    <w:textAlignment w:val="center"/>
                    <w:rPr>
                      <w:color w:val="auto"/>
                    </w:rPr>
                  </w:pPr>
                  <w:r>
                    <w:rPr>
                      <w:color w:val="auto"/>
                      <w:kern w:val="0"/>
                      <w:szCs w:val="21"/>
                      <w:lang w:bidi="ar"/>
                    </w:rPr>
                    <w:t xml:space="preserve">0.0053 </w:t>
                  </w:r>
                </w:p>
              </w:tc>
              <w:tc>
                <w:tcPr>
                  <w:tcW w:w="507" w:type="pct"/>
                  <w:vMerge w:val="continue"/>
                </w:tcPr>
                <w:p w14:paraId="7C8846C6">
                  <w:pPr>
                    <w:pStyle w:val="127"/>
                    <w:rPr>
                      <w:color w:val="auto"/>
                      <w:szCs w:val="21"/>
                    </w:rPr>
                  </w:pPr>
                </w:p>
              </w:tc>
              <w:tc>
                <w:tcPr>
                  <w:tcW w:w="488" w:type="pct"/>
                  <w:vAlign w:val="center"/>
                </w:tcPr>
                <w:p w14:paraId="13100EE5">
                  <w:pPr>
                    <w:pStyle w:val="127"/>
                    <w:rPr>
                      <w:color w:val="auto"/>
                    </w:rPr>
                  </w:pPr>
                  <w:r>
                    <w:rPr>
                      <w:rFonts w:hint="eastAsia"/>
                      <w:color w:val="auto"/>
                      <w:kern w:val="2"/>
                      <w:szCs w:val="21"/>
                    </w:rPr>
                    <w:t>200</w:t>
                  </w:r>
                </w:p>
              </w:tc>
              <w:tc>
                <w:tcPr>
                  <w:tcW w:w="407" w:type="pct"/>
                  <w:vAlign w:val="center"/>
                </w:tcPr>
                <w:p w14:paraId="6A182F7F">
                  <w:pPr>
                    <w:pStyle w:val="127"/>
                    <w:rPr>
                      <w:color w:val="auto"/>
                    </w:rPr>
                  </w:pPr>
                  <w:r>
                    <w:rPr>
                      <w:rFonts w:hint="eastAsia"/>
                      <w:color w:val="auto"/>
                      <w:kern w:val="2"/>
                      <w:szCs w:val="21"/>
                    </w:rPr>
                    <w:t>/</w:t>
                  </w:r>
                </w:p>
              </w:tc>
              <w:tc>
                <w:tcPr>
                  <w:tcW w:w="408" w:type="pct"/>
                  <w:vAlign w:val="center"/>
                </w:tcPr>
                <w:p w14:paraId="3CE2FFD7">
                  <w:pPr>
                    <w:pStyle w:val="89"/>
                    <w:rPr>
                      <w:color w:val="auto"/>
                    </w:rPr>
                  </w:pPr>
                  <w:r>
                    <w:rPr>
                      <w:rFonts w:hint="eastAsia"/>
                      <w:color w:val="auto"/>
                    </w:rPr>
                    <w:t>达标</w:t>
                  </w:r>
                </w:p>
              </w:tc>
            </w:tr>
            <w:tr w14:paraId="1A86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restart"/>
                  <w:vAlign w:val="center"/>
                </w:tcPr>
                <w:p w14:paraId="514B714F">
                  <w:pPr>
                    <w:widowControl/>
                    <w:jc w:val="center"/>
                    <w:textAlignment w:val="center"/>
                    <w:rPr>
                      <w:bCs/>
                      <w:color w:val="auto"/>
                      <w:kern w:val="0"/>
                      <w:szCs w:val="21"/>
                      <w:lang w:bidi="ar"/>
                    </w:rPr>
                  </w:pPr>
                  <w:r>
                    <w:rPr>
                      <w:rFonts w:hint="eastAsia"/>
                      <w:color w:val="auto"/>
                      <w:kern w:val="0"/>
                      <w:szCs w:val="21"/>
                      <w:lang w:bidi="ar"/>
                    </w:rPr>
                    <w:t>DA005</w:t>
                  </w:r>
                </w:p>
              </w:tc>
              <w:tc>
                <w:tcPr>
                  <w:tcW w:w="534" w:type="pct"/>
                  <w:vMerge w:val="continue"/>
                </w:tcPr>
                <w:p w14:paraId="5646C208">
                  <w:pPr>
                    <w:pStyle w:val="127"/>
                    <w:rPr>
                      <w:color w:val="auto"/>
                      <w:szCs w:val="21"/>
                    </w:rPr>
                  </w:pPr>
                </w:p>
              </w:tc>
              <w:tc>
                <w:tcPr>
                  <w:tcW w:w="520" w:type="pct"/>
                  <w:vAlign w:val="center"/>
                </w:tcPr>
                <w:p w14:paraId="738EA10B">
                  <w:pPr>
                    <w:widowControl/>
                    <w:jc w:val="center"/>
                    <w:textAlignment w:val="center"/>
                    <w:rPr>
                      <w:color w:val="auto"/>
                      <w:kern w:val="0"/>
                      <w:szCs w:val="21"/>
                      <w:lang w:bidi="ar"/>
                    </w:rPr>
                  </w:pPr>
                  <w:r>
                    <w:rPr>
                      <w:rFonts w:hint="eastAsia"/>
                      <w:color w:val="auto"/>
                      <w:kern w:val="0"/>
                      <w:szCs w:val="21"/>
                      <w:lang w:bidi="ar"/>
                    </w:rPr>
                    <w:t>颗粒物</w:t>
                  </w:r>
                </w:p>
              </w:tc>
              <w:tc>
                <w:tcPr>
                  <w:tcW w:w="326" w:type="pct"/>
                  <w:vAlign w:val="center"/>
                </w:tcPr>
                <w:p w14:paraId="41C511AA">
                  <w:pPr>
                    <w:widowControl/>
                    <w:jc w:val="center"/>
                    <w:textAlignment w:val="center"/>
                    <w:rPr>
                      <w:color w:val="auto"/>
                    </w:rPr>
                  </w:pPr>
                  <w:r>
                    <w:rPr>
                      <w:rFonts w:hint="eastAsia"/>
                      <w:color w:val="auto"/>
                    </w:rPr>
                    <w:t>10%</w:t>
                  </w:r>
                </w:p>
              </w:tc>
              <w:tc>
                <w:tcPr>
                  <w:tcW w:w="899" w:type="dxa"/>
                  <w:vAlign w:val="center"/>
                </w:tcPr>
                <w:p w14:paraId="40438B89">
                  <w:pPr>
                    <w:widowControl/>
                    <w:jc w:val="center"/>
                    <w:textAlignment w:val="center"/>
                    <w:rPr>
                      <w:color w:val="auto"/>
                    </w:rPr>
                  </w:pPr>
                  <w:r>
                    <w:rPr>
                      <w:color w:val="auto"/>
                      <w:kern w:val="0"/>
                      <w:szCs w:val="21"/>
                      <w:lang w:bidi="ar"/>
                    </w:rPr>
                    <w:t xml:space="preserve">0.0420 </w:t>
                  </w:r>
                </w:p>
              </w:tc>
              <w:tc>
                <w:tcPr>
                  <w:tcW w:w="1082" w:type="dxa"/>
                  <w:vAlign w:val="center"/>
                </w:tcPr>
                <w:p w14:paraId="7A4CEC5E">
                  <w:pPr>
                    <w:widowControl/>
                    <w:jc w:val="center"/>
                    <w:textAlignment w:val="center"/>
                    <w:rPr>
                      <w:color w:val="auto"/>
                    </w:rPr>
                  </w:pPr>
                  <w:r>
                    <w:rPr>
                      <w:color w:val="auto"/>
                      <w:kern w:val="0"/>
                      <w:szCs w:val="21"/>
                      <w:lang w:bidi="ar"/>
                    </w:rPr>
                    <w:t xml:space="preserve">7.00 </w:t>
                  </w:r>
                </w:p>
              </w:tc>
              <w:tc>
                <w:tcPr>
                  <w:tcW w:w="945" w:type="dxa"/>
                  <w:vAlign w:val="center"/>
                </w:tcPr>
                <w:p w14:paraId="7414DE09">
                  <w:pPr>
                    <w:widowControl/>
                    <w:jc w:val="center"/>
                    <w:textAlignment w:val="center"/>
                    <w:rPr>
                      <w:color w:val="auto"/>
                    </w:rPr>
                  </w:pPr>
                  <w:r>
                    <w:rPr>
                      <w:color w:val="auto"/>
                      <w:kern w:val="0"/>
                      <w:szCs w:val="21"/>
                      <w:lang w:bidi="ar"/>
                    </w:rPr>
                    <w:t xml:space="preserve">0.0700 </w:t>
                  </w:r>
                </w:p>
              </w:tc>
              <w:tc>
                <w:tcPr>
                  <w:tcW w:w="507" w:type="pct"/>
                  <w:vMerge w:val="continue"/>
                </w:tcPr>
                <w:p w14:paraId="5F970444">
                  <w:pPr>
                    <w:pStyle w:val="127"/>
                    <w:rPr>
                      <w:color w:val="auto"/>
                      <w:szCs w:val="21"/>
                    </w:rPr>
                  </w:pPr>
                </w:p>
              </w:tc>
              <w:tc>
                <w:tcPr>
                  <w:tcW w:w="488" w:type="pct"/>
                  <w:vAlign w:val="center"/>
                </w:tcPr>
                <w:p w14:paraId="3F8B8E6D">
                  <w:pPr>
                    <w:pStyle w:val="127"/>
                    <w:rPr>
                      <w:color w:val="auto"/>
                    </w:rPr>
                  </w:pPr>
                  <w:r>
                    <w:rPr>
                      <w:rFonts w:hint="eastAsia"/>
                      <w:color w:val="auto"/>
                      <w:kern w:val="2"/>
                      <w:szCs w:val="21"/>
                    </w:rPr>
                    <w:t>30</w:t>
                  </w:r>
                </w:p>
              </w:tc>
              <w:tc>
                <w:tcPr>
                  <w:tcW w:w="407" w:type="pct"/>
                  <w:vAlign w:val="center"/>
                </w:tcPr>
                <w:p w14:paraId="67E3D0C0">
                  <w:pPr>
                    <w:pStyle w:val="127"/>
                    <w:rPr>
                      <w:color w:val="auto"/>
                    </w:rPr>
                  </w:pPr>
                  <w:r>
                    <w:rPr>
                      <w:rFonts w:hint="eastAsia"/>
                      <w:color w:val="auto"/>
                      <w:kern w:val="2"/>
                      <w:szCs w:val="21"/>
                    </w:rPr>
                    <w:t>/</w:t>
                  </w:r>
                </w:p>
              </w:tc>
              <w:tc>
                <w:tcPr>
                  <w:tcW w:w="408" w:type="pct"/>
                  <w:vAlign w:val="center"/>
                </w:tcPr>
                <w:p w14:paraId="29CC37D5">
                  <w:pPr>
                    <w:pStyle w:val="89"/>
                    <w:rPr>
                      <w:color w:val="auto"/>
                    </w:rPr>
                  </w:pPr>
                  <w:r>
                    <w:rPr>
                      <w:rFonts w:hint="eastAsia"/>
                      <w:color w:val="auto"/>
                    </w:rPr>
                    <w:t>达标</w:t>
                  </w:r>
                </w:p>
              </w:tc>
            </w:tr>
            <w:tr w14:paraId="293B6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3D32E568">
                  <w:pPr>
                    <w:pStyle w:val="127"/>
                    <w:rPr>
                      <w:color w:val="auto"/>
                      <w:szCs w:val="21"/>
                    </w:rPr>
                  </w:pPr>
                </w:p>
              </w:tc>
              <w:tc>
                <w:tcPr>
                  <w:tcW w:w="534" w:type="pct"/>
                  <w:vMerge w:val="continue"/>
                </w:tcPr>
                <w:p w14:paraId="649797DA">
                  <w:pPr>
                    <w:pStyle w:val="127"/>
                    <w:rPr>
                      <w:color w:val="auto"/>
                      <w:szCs w:val="21"/>
                    </w:rPr>
                  </w:pPr>
                </w:p>
              </w:tc>
              <w:tc>
                <w:tcPr>
                  <w:tcW w:w="520" w:type="pct"/>
                  <w:vAlign w:val="center"/>
                </w:tcPr>
                <w:p w14:paraId="26A97491">
                  <w:pPr>
                    <w:widowControl/>
                    <w:jc w:val="center"/>
                    <w:textAlignment w:val="center"/>
                    <w:rPr>
                      <w:bCs/>
                      <w:color w:val="auto"/>
                      <w:kern w:val="0"/>
                      <w:szCs w:val="21"/>
                      <w:lang w:bidi="ar"/>
                    </w:rPr>
                  </w:pPr>
                  <w:r>
                    <w:rPr>
                      <w:rFonts w:hint="eastAsia"/>
                      <w:color w:val="auto"/>
                      <w:kern w:val="0"/>
                      <w:szCs w:val="21"/>
                      <w:lang w:bidi="ar"/>
                    </w:rPr>
                    <w:t>TVOC</w:t>
                  </w:r>
                </w:p>
              </w:tc>
              <w:tc>
                <w:tcPr>
                  <w:tcW w:w="326" w:type="pct"/>
                  <w:vAlign w:val="center"/>
                </w:tcPr>
                <w:p w14:paraId="4DE9A781">
                  <w:pPr>
                    <w:widowControl/>
                    <w:jc w:val="center"/>
                    <w:textAlignment w:val="center"/>
                    <w:rPr>
                      <w:color w:val="auto"/>
                    </w:rPr>
                  </w:pPr>
                  <w:r>
                    <w:rPr>
                      <w:rFonts w:hint="eastAsia"/>
                      <w:color w:val="auto"/>
                    </w:rPr>
                    <w:t>10%</w:t>
                  </w:r>
                </w:p>
              </w:tc>
              <w:tc>
                <w:tcPr>
                  <w:tcW w:w="899" w:type="dxa"/>
                  <w:vAlign w:val="center"/>
                </w:tcPr>
                <w:p w14:paraId="17CBEEFC">
                  <w:pPr>
                    <w:widowControl/>
                    <w:jc w:val="center"/>
                    <w:textAlignment w:val="center"/>
                    <w:rPr>
                      <w:color w:val="auto"/>
                    </w:rPr>
                  </w:pPr>
                  <w:r>
                    <w:rPr>
                      <w:color w:val="auto"/>
                      <w:kern w:val="0"/>
                      <w:szCs w:val="21"/>
                      <w:lang w:bidi="ar"/>
                    </w:rPr>
                    <w:t xml:space="preserve">0.0050 </w:t>
                  </w:r>
                </w:p>
              </w:tc>
              <w:tc>
                <w:tcPr>
                  <w:tcW w:w="1082" w:type="dxa"/>
                  <w:vAlign w:val="center"/>
                </w:tcPr>
                <w:p w14:paraId="059BFB56">
                  <w:pPr>
                    <w:widowControl/>
                    <w:jc w:val="center"/>
                    <w:textAlignment w:val="center"/>
                    <w:rPr>
                      <w:color w:val="auto"/>
                    </w:rPr>
                  </w:pPr>
                  <w:r>
                    <w:rPr>
                      <w:color w:val="auto"/>
                      <w:kern w:val="0"/>
                      <w:szCs w:val="21"/>
                      <w:lang w:bidi="ar"/>
                    </w:rPr>
                    <w:t xml:space="preserve">0.846 </w:t>
                  </w:r>
                </w:p>
              </w:tc>
              <w:tc>
                <w:tcPr>
                  <w:tcW w:w="945" w:type="dxa"/>
                  <w:vAlign w:val="center"/>
                </w:tcPr>
                <w:p w14:paraId="4C05D826">
                  <w:pPr>
                    <w:widowControl/>
                    <w:jc w:val="center"/>
                    <w:textAlignment w:val="center"/>
                    <w:rPr>
                      <w:color w:val="auto"/>
                    </w:rPr>
                  </w:pPr>
                  <w:r>
                    <w:rPr>
                      <w:color w:val="auto"/>
                      <w:kern w:val="0"/>
                      <w:szCs w:val="21"/>
                      <w:lang w:bidi="ar"/>
                    </w:rPr>
                    <w:t xml:space="preserve">0.0085 </w:t>
                  </w:r>
                </w:p>
              </w:tc>
              <w:tc>
                <w:tcPr>
                  <w:tcW w:w="507" w:type="pct"/>
                  <w:vMerge w:val="continue"/>
                </w:tcPr>
                <w:p w14:paraId="174215B4">
                  <w:pPr>
                    <w:pStyle w:val="127"/>
                    <w:rPr>
                      <w:color w:val="auto"/>
                      <w:szCs w:val="21"/>
                    </w:rPr>
                  </w:pPr>
                </w:p>
              </w:tc>
              <w:tc>
                <w:tcPr>
                  <w:tcW w:w="488" w:type="pct"/>
                  <w:vAlign w:val="center"/>
                </w:tcPr>
                <w:p w14:paraId="5D476372">
                  <w:pPr>
                    <w:pStyle w:val="127"/>
                    <w:rPr>
                      <w:color w:val="auto"/>
                    </w:rPr>
                  </w:pPr>
                  <w:r>
                    <w:rPr>
                      <w:rFonts w:hint="eastAsia"/>
                      <w:color w:val="auto"/>
                      <w:kern w:val="2"/>
                      <w:szCs w:val="21"/>
                    </w:rPr>
                    <w:t>100</w:t>
                  </w:r>
                </w:p>
              </w:tc>
              <w:tc>
                <w:tcPr>
                  <w:tcW w:w="407" w:type="pct"/>
                  <w:vAlign w:val="center"/>
                </w:tcPr>
                <w:p w14:paraId="16BEEA14">
                  <w:pPr>
                    <w:pStyle w:val="127"/>
                    <w:rPr>
                      <w:color w:val="auto"/>
                    </w:rPr>
                  </w:pPr>
                  <w:r>
                    <w:rPr>
                      <w:rFonts w:hint="eastAsia"/>
                      <w:color w:val="auto"/>
                      <w:kern w:val="2"/>
                      <w:szCs w:val="21"/>
                    </w:rPr>
                    <w:t>/</w:t>
                  </w:r>
                </w:p>
              </w:tc>
              <w:tc>
                <w:tcPr>
                  <w:tcW w:w="408" w:type="pct"/>
                  <w:vAlign w:val="center"/>
                </w:tcPr>
                <w:p w14:paraId="3526B6B1">
                  <w:pPr>
                    <w:pStyle w:val="89"/>
                    <w:rPr>
                      <w:color w:val="auto"/>
                    </w:rPr>
                  </w:pPr>
                  <w:r>
                    <w:rPr>
                      <w:rFonts w:hint="eastAsia"/>
                      <w:color w:val="auto"/>
                    </w:rPr>
                    <w:t>达标</w:t>
                  </w:r>
                </w:p>
              </w:tc>
            </w:tr>
            <w:tr w14:paraId="17738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67917D35">
                  <w:pPr>
                    <w:pStyle w:val="127"/>
                    <w:rPr>
                      <w:color w:val="auto"/>
                      <w:szCs w:val="21"/>
                    </w:rPr>
                  </w:pPr>
                </w:p>
              </w:tc>
              <w:tc>
                <w:tcPr>
                  <w:tcW w:w="534" w:type="pct"/>
                  <w:vMerge w:val="continue"/>
                </w:tcPr>
                <w:p w14:paraId="537D5895">
                  <w:pPr>
                    <w:pStyle w:val="127"/>
                    <w:rPr>
                      <w:color w:val="auto"/>
                      <w:szCs w:val="21"/>
                    </w:rPr>
                  </w:pPr>
                </w:p>
              </w:tc>
              <w:tc>
                <w:tcPr>
                  <w:tcW w:w="520" w:type="pct"/>
                  <w:vAlign w:val="center"/>
                </w:tcPr>
                <w:p w14:paraId="0ABC2F6A">
                  <w:pPr>
                    <w:widowControl/>
                    <w:jc w:val="center"/>
                    <w:textAlignment w:val="center"/>
                    <w:rPr>
                      <w:bCs/>
                      <w:color w:val="auto"/>
                      <w:kern w:val="0"/>
                      <w:szCs w:val="21"/>
                      <w:lang w:bidi="ar"/>
                    </w:rPr>
                  </w:pPr>
                  <w:r>
                    <w:rPr>
                      <w:rFonts w:hint="eastAsia"/>
                      <w:color w:val="auto"/>
                      <w:kern w:val="0"/>
                      <w:szCs w:val="21"/>
                      <w:lang w:bidi="ar"/>
                    </w:rPr>
                    <w:t>氮氧化物</w:t>
                  </w:r>
                </w:p>
              </w:tc>
              <w:tc>
                <w:tcPr>
                  <w:tcW w:w="326" w:type="pct"/>
                  <w:vAlign w:val="center"/>
                </w:tcPr>
                <w:p w14:paraId="70739C78">
                  <w:pPr>
                    <w:widowControl/>
                    <w:jc w:val="center"/>
                    <w:textAlignment w:val="center"/>
                    <w:rPr>
                      <w:color w:val="auto"/>
                    </w:rPr>
                  </w:pPr>
                  <w:r>
                    <w:rPr>
                      <w:rFonts w:hint="eastAsia"/>
                      <w:color w:val="auto"/>
                    </w:rPr>
                    <w:t>0</w:t>
                  </w:r>
                </w:p>
              </w:tc>
              <w:tc>
                <w:tcPr>
                  <w:tcW w:w="899" w:type="dxa"/>
                  <w:vAlign w:val="center"/>
                </w:tcPr>
                <w:p w14:paraId="1E4692D2">
                  <w:pPr>
                    <w:widowControl/>
                    <w:jc w:val="center"/>
                    <w:textAlignment w:val="center"/>
                    <w:rPr>
                      <w:color w:val="auto"/>
                    </w:rPr>
                  </w:pPr>
                  <w:r>
                    <w:rPr>
                      <w:color w:val="auto"/>
                      <w:kern w:val="0"/>
                      <w:szCs w:val="21"/>
                      <w:lang w:bidi="ar"/>
                    </w:rPr>
                    <w:t xml:space="preserve">0.0015 </w:t>
                  </w:r>
                </w:p>
              </w:tc>
              <w:tc>
                <w:tcPr>
                  <w:tcW w:w="1082" w:type="dxa"/>
                  <w:vAlign w:val="center"/>
                </w:tcPr>
                <w:p w14:paraId="147B3312">
                  <w:pPr>
                    <w:widowControl/>
                    <w:jc w:val="center"/>
                    <w:textAlignment w:val="center"/>
                    <w:rPr>
                      <w:color w:val="auto"/>
                    </w:rPr>
                  </w:pPr>
                  <w:r>
                    <w:rPr>
                      <w:color w:val="auto"/>
                      <w:kern w:val="0"/>
                      <w:szCs w:val="21"/>
                      <w:lang w:bidi="ar"/>
                    </w:rPr>
                    <w:t xml:space="preserve">0.3 </w:t>
                  </w:r>
                </w:p>
              </w:tc>
              <w:tc>
                <w:tcPr>
                  <w:tcW w:w="945" w:type="dxa"/>
                  <w:vAlign w:val="center"/>
                </w:tcPr>
                <w:p w14:paraId="5562F688">
                  <w:pPr>
                    <w:widowControl/>
                    <w:jc w:val="center"/>
                    <w:textAlignment w:val="center"/>
                    <w:rPr>
                      <w:color w:val="auto"/>
                    </w:rPr>
                  </w:pPr>
                  <w:r>
                    <w:rPr>
                      <w:color w:val="auto"/>
                      <w:kern w:val="0"/>
                      <w:szCs w:val="21"/>
                      <w:lang w:bidi="ar"/>
                    </w:rPr>
                    <w:t xml:space="preserve">0.0026 </w:t>
                  </w:r>
                </w:p>
              </w:tc>
              <w:tc>
                <w:tcPr>
                  <w:tcW w:w="507" w:type="pct"/>
                  <w:vMerge w:val="continue"/>
                </w:tcPr>
                <w:p w14:paraId="509893B3">
                  <w:pPr>
                    <w:pStyle w:val="127"/>
                    <w:rPr>
                      <w:color w:val="auto"/>
                      <w:szCs w:val="21"/>
                    </w:rPr>
                  </w:pPr>
                </w:p>
              </w:tc>
              <w:tc>
                <w:tcPr>
                  <w:tcW w:w="488" w:type="pct"/>
                  <w:vAlign w:val="center"/>
                </w:tcPr>
                <w:p w14:paraId="08672122">
                  <w:pPr>
                    <w:pStyle w:val="127"/>
                    <w:rPr>
                      <w:color w:val="auto"/>
                    </w:rPr>
                  </w:pPr>
                  <w:r>
                    <w:rPr>
                      <w:rFonts w:hint="eastAsia"/>
                      <w:color w:val="auto"/>
                      <w:kern w:val="2"/>
                      <w:szCs w:val="21"/>
                    </w:rPr>
                    <w:t>300</w:t>
                  </w:r>
                </w:p>
              </w:tc>
              <w:tc>
                <w:tcPr>
                  <w:tcW w:w="407" w:type="pct"/>
                  <w:vAlign w:val="center"/>
                </w:tcPr>
                <w:p w14:paraId="776EC66D">
                  <w:pPr>
                    <w:pStyle w:val="127"/>
                    <w:rPr>
                      <w:color w:val="auto"/>
                    </w:rPr>
                  </w:pPr>
                  <w:r>
                    <w:rPr>
                      <w:rFonts w:hint="eastAsia"/>
                      <w:color w:val="auto"/>
                      <w:kern w:val="2"/>
                      <w:szCs w:val="21"/>
                    </w:rPr>
                    <w:t>/</w:t>
                  </w:r>
                </w:p>
              </w:tc>
              <w:tc>
                <w:tcPr>
                  <w:tcW w:w="408" w:type="pct"/>
                  <w:vAlign w:val="center"/>
                </w:tcPr>
                <w:p w14:paraId="6FBF42D3">
                  <w:pPr>
                    <w:pStyle w:val="89"/>
                    <w:rPr>
                      <w:color w:val="auto"/>
                    </w:rPr>
                  </w:pPr>
                  <w:r>
                    <w:rPr>
                      <w:rFonts w:hint="eastAsia"/>
                      <w:color w:val="auto"/>
                    </w:rPr>
                    <w:t>达标</w:t>
                  </w:r>
                </w:p>
              </w:tc>
            </w:tr>
            <w:tr w14:paraId="37B1E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45748112">
                  <w:pPr>
                    <w:pStyle w:val="127"/>
                    <w:rPr>
                      <w:color w:val="auto"/>
                      <w:szCs w:val="21"/>
                    </w:rPr>
                  </w:pPr>
                </w:p>
              </w:tc>
              <w:tc>
                <w:tcPr>
                  <w:tcW w:w="534" w:type="pct"/>
                  <w:vMerge w:val="continue"/>
                </w:tcPr>
                <w:p w14:paraId="2188579F">
                  <w:pPr>
                    <w:pStyle w:val="127"/>
                    <w:rPr>
                      <w:color w:val="auto"/>
                      <w:szCs w:val="21"/>
                    </w:rPr>
                  </w:pPr>
                </w:p>
              </w:tc>
              <w:tc>
                <w:tcPr>
                  <w:tcW w:w="520" w:type="pct"/>
                  <w:vAlign w:val="center"/>
                </w:tcPr>
                <w:p w14:paraId="06963E90">
                  <w:pPr>
                    <w:widowControl/>
                    <w:jc w:val="center"/>
                    <w:textAlignment w:val="center"/>
                    <w:rPr>
                      <w:bCs/>
                      <w:color w:val="auto"/>
                      <w:kern w:val="0"/>
                      <w:szCs w:val="21"/>
                      <w:lang w:bidi="ar"/>
                    </w:rPr>
                  </w:pPr>
                  <w:r>
                    <w:rPr>
                      <w:rFonts w:hint="eastAsia"/>
                      <w:color w:val="auto"/>
                      <w:kern w:val="0"/>
                      <w:szCs w:val="21"/>
                      <w:lang w:bidi="ar"/>
                    </w:rPr>
                    <w:t>二氧化硫</w:t>
                  </w:r>
                </w:p>
              </w:tc>
              <w:tc>
                <w:tcPr>
                  <w:tcW w:w="326" w:type="pct"/>
                  <w:vAlign w:val="center"/>
                </w:tcPr>
                <w:p w14:paraId="4CEADEF2">
                  <w:pPr>
                    <w:widowControl/>
                    <w:jc w:val="center"/>
                    <w:textAlignment w:val="center"/>
                    <w:rPr>
                      <w:color w:val="auto"/>
                    </w:rPr>
                  </w:pPr>
                  <w:r>
                    <w:rPr>
                      <w:rFonts w:hint="eastAsia"/>
                      <w:color w:val="auto"/>
                    </w:rPr>
                    <w:t>0</w:t>
                  </w:r>
                </w:p>
              </w:tc>
              <w:tc>
                <w:tcPr>
                  <w:tcW w:w="899" w:type="dxa"/>
                  <w:vAlign w:val="center"/>
                </w:tcPr>
                <w:p w14:paraId="6977D270">
                  <w:pPr>
                    <w:widowControl/>
                    <w:jc w:val="center"/>
                    <w:textAlignment w:val="center"/>
                    <w:rPr>
                      <w:color w:val="auto"/>
                    </w:rPr>
                  </w:pPr>
                  <w:r>
                    <w:rPr>
                      <w:color w:val="auto"/>
                      <w:kern w:val="0"/>
                      <w:szCs w:val="21"/>
                      <w:lang w:bidi="ar"/>
                    </w:rPr>
                    <w:t xml:space="preserve">0.00029 </w:t>
                  </w:r>
                </w:p>
              </w:tc>
              <w:tc>
                <w:tcPr>
                  <w:tcW w:w="1082" w:type="dxa"/>
                  <w:vAlign w:val="center"/>
                </w:tcPr>
                <w:p w14:paraId="34D0FB70">
                  <w:pPr>
                    <w:widowControl/>
                    <w:jc w:val="center"/>
                    <w:textAlignment w:val="center"/>
                    <w:rPr>
                      <w:color w:val="auto"/>
                    </w:rPr>
                  </w:pPr>
                  <w:r>
                    <w:rPr>
                      <w:color w:val="auto"/>
                      <w:kern w:val="0"/>
                      <w:szCs w:val="21"/>
                      <w:lang w:bidi="ar"/>
                    </w:rPr>
                    <w:t xml:space="preserve">0.048 </w:t>
                  </w:r>
                </w:p>
              </w:tc>
              <w:tc>
                <w:tcPr>
                  <w:tcW w:w="945" w:type="dxa"/>
                  <w:vAlign w:val="center"/>
                </w:tcPr>
                <w:p w14:paraId="504ACEFA">
                  <w:pPr>
                    <w:widowControl/>
                    <w:jc w:val="center"/>
                    <w:textAlignment w:val="center"/>
                    <w:rPr>
                      <w:color w:val="auto"/>
                    </w:rPr>
                  </w:pPr>
                  <w:r>
                    <w:rPr>
                      <w:color w:val="auto"/>
                      <w:kern w:val="0"/>
                      <w:szCs w:val="21"/>
                      <w:lang w:bidi="ar"/>
                    </w:rPr>
                    <w:t xml:space="preserve">0.00048 </w:t>
                  </w:r>
                </w:p>
              </w:tc>
              <w:tc>
                <w:tcPr>
                  <w:tcW w:w="507" w:type="pct"/>
                  <w:vMerge w:val="continue"/>
                </w:tcPr>
                <w:p w14:paraId="60F33E1C">
                  <w:pPr>
                    <w:pStyle w:val="127"/>
                    <w:rPr>
                      <w:color w:val="auto"/>
                      <w:szCs w:val="21"/>
                    </w:rPr>
                  </w:pPr>
                </w:p>
              </w:tc>
              <w:tc>
                <w:tcPr>
                  <w:tcW w:w="488" w:type="pct"/>
                  <w:vAlign w:val="center"/>
                </w:tcPr>
                <w:p w14:paraId="6EA2AA96">
                  <w:pPr>
                    <w:pStyle w:val="127"/>
                    <w:rPr>
                      <w:color w:val="auto"/>
                    </w:rPr>
                  </w:pPr>
                  <w:r>
                    <w:rPr>
                      <w:rFonts w:hint="eastAsia"/>
                      <w:color w:val="auto"/>
                      <w:kern w:val="2"/>
                      <w:szCs w:val="21"/>
                    </w:rPr>
                    <w:t>200</w:t>
                  </w:r>
                </w:p>
              </w:tc>
              <w:tc>
                <w:tcPr>
                  <w:tcW w:w="407" w:type="pct"/>
                  <w:vAlign w:val="center"/>
                </w:tcPr>
                <w:p w14:paraId="71772457">
                  <w:pPr>
                    <w:pStyle w:val="127"/>
                    <w:rPr>
                      <w:color w:val="auto"/>
                    </w:rPr>
                  </w:pPr>
                  <w:r>
                    <w:rPr>
                      <w:rFonts w:hint="eastAsia"/>
                      <w:color w:val="auto"/>
                      <w:kern w:val="2"/>
                      <w:szCs w:val="21"/>
                    </w:rPr>
                    <w:t>/</w:t>
                  </w:r>
                </w:p>
              </w:tc>
              <w:tc>
                <w:tcPr>
                  <w:tcW w:w="408" w:type="pct"/>
                  <w:vAlign w:val="center"/>
                </w:tcPr>
                <w:p w14:paraId="02BA1485">
                  <w:pPr>
                    <w:pStyle w:val="89"/>
                    <w:rPr>
                      <w:color w:val="auto"/>
                    </w:rPr>
                  </w:pPr>
                  <w:r>
                    <w:rPr>
                      <w:rFonts w:hint="eastAsia"/>
                      <w:color w:val="auto"/>
                    </w:rPr>
                    <w:t>达标</w:t>
                  </w:r>
                </w:p>
              </w:tc>
            </w:tr>
            <w:tr w14:paraId="2E8F2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restart"/>
                  <w:vAlign w:val="center"/>
                </w:tcPr>
                <w:p w14:paraId="40505CD5">
                  <w:pPr>
                    <w:widowControl/>
                    <w:jc w:val="center"/>
                    <w:textAlignment w:val="center"/>
                    <w:rPr>
                      <w:bCs/>
                      <w:color w:val="auto"/>
                      <w:kern w:val="0"/>
                      <w:szCs w:val="21"/>
                      <w:lang w:bidi="ar"/>
                    </w:rPr>
                  </w:pPr>
                  <w:r>
                    <w:rPr>
                      <w:rFonts w:hint="eastAsia"/>
                      <w:color w:val="auto"/>
                      <w:kern w:val="0"/>
                      <w:szCs w:val="21"/>
                      <w:lang w:bidi="ar"/>
                    </w:rPr>
                    <w:t>DA006</w:t>
                  </w:r>
                </w:p>
              </w:tc>
              <w:tc>
                <w:tcPr>
                  <w:tcW w:w="534" w:type="pct"/>
                  <w:vMerge w:val="continue"/>
                </w:tcPr>
                <w:p w14:paraId="66063064">
                  <w:pPr>
                    <w:pStyle w:val="127"/>
                    <w:rPr>
                      <w:color w:val="auto"/>
                      <w:szCs w:val="21"/>
                    </w:rPr>
                  </w:pPr>
                </w:p>
              </w:tc>
              <w:tc>
                <w:tcPr>
                  <w:tcW w:w="520" w:type="pct"/>
                  <w:vAlign w:val="center"/>
                </w:tcPr>
                <w:p w14:paraId="167B6471">
                  <w:pPr>
                    <w:widowControl/>
                    <w:jc w:val="center"/>
                    <w:textAlignment w:val="center"/>
                    <w:rPr>
                      <w:color w:val="auto"/>
                      <w:kern w:val="0"/>
                      <w:szCs w:val="21"/>
                      <w:lang w:bidi="ar"/>
                    </w:rPr>
                  </w:pPr>
                  <w:r>
                    <w:rPr>
                      <w:rFonts w:hint="eastAsia"/>
                      <w:color w:val="auto"/>
                      <w:kern w:val="0"/>
                      <w:szCs w:val="21"/>
                      <w:lang w:bidi="ar"/>
                    </w:rPr>
                    <w:t>硫酸雾</w:t>
                  </w:r>
                </w:p>
              </w:tc>
              <w:tc>
                <w:tcPr>
                  <w:tcW w:w="326" w:type="pct"/>
                  <w:vAlign w:val="center"/>
                </w:tcPr>
                <w:p w14:paraId="16C8FD0C">
                  <w:pPr>
                    <w:widowControl/>
                    <w:jc w:val="center"/>
                    <w:textAlignment w:val="center"/>
                    <w:rPr>
                      <w:color w:val="auto"/>
                    </w:rPr>
                  </w:pPr>
                  <w:r>
                    <w:rPr>
                      <w:rFonts w:hint="eastAsia"/>
                      <w:color w:val="auto"/>
                    </w:rPr>
                    <w:t>10%</w:t>
                  </w:r>
                </w:p>
              </w:tc>
              <w:tc>
                <w:tcPr>
                  <w:tcW w:w="899" w:type="dxa"/>
                  <w:vAlign w:val="center"/>
                </w:tcPr>
                <w:p w14:paraId="37A07F77">
                  <w:pPr>
                    <w:widowControl/>
                    <w:jc w:val="center"/>
                    <w:textAlignment w:val="center"/>
                    <w:rPr>
                      <w:color w:val="auto"/>
                    </w:rPr>
                  </w:pPr>
                  <w:r>
                    <w:rPr>
                      <w:color w:val="auto"/>
                      <w:kern w:val="0"/>
                      <w:szCs w:val="21"/>
                      <w:lang w:bidi="ar"/>
                    </w:rPr>
                    <w:t xml:space="preserve">0.128 </w:t>
                  </w:r>
                </w:p>
              </w:tc>
              <w:tc>
                <w:tcPr>
                  <w:tcW w:w="1082" w:type="dxa"/>
                  <w:vAlign w:val="center"/>
                </w:tcPr>
                <w:p w14:paraId="2346C45C">
                  <w:pPr>
                    <w:widowControl/>
                    <w:jc w:val="center"/>
                    <w:textAlignment w:val="center"/>
                    <w:rPr>
                      <w:color w:val="auto"/>
                    </w:rPr>
                  </w:pPr>
                  <w:r>
                    <w:rPr>
                      <w:color w:val="auto"/>
                      <w:kern w:val="0"/>
                      <w:szCs w:val="21"/>
                      <w:lang w:bidi="ar"/>
                    </w:rPr>
                    <w:t xml:space="preserve">87.2 </w:t>
                  </w:r>
                </w:p>
              </w:tc>
              <w:tc>
                <w:tcPr>
                  <w:tcW w:w="945" w:type="dxa"/>
                  <w:vAlign w:val="center"/>
                </w:tcPr>
                <w:p w14:paraId="6CE7C5E0">
                  <w:pPr>
                    <w:widowControl/>
                    <w:jc w:val="center"/>
                    <w:textAlignment w:val="center"/>
                    <w:rPr>
                      <w:color w:val="auto"/>
                    </w:rPr>
                  </w:pPr>
                  <w:r>
                    <w:rPr>
                      <w:color w:val="auto"/>
                      <w:kern w:val="0"/>
                      <w:szCs w:val="21"/>
                      <w:lang w:bidi="ar"/>
                    </w:rPr>
                    <w:t xml:space="preserve">0.610 </w:t>
                  </w:r>
                </w:p>
              </w:tc>
              <w:tc>
                <w:tcPr>
                  <w:tcW w:w="507" w:type="pct"/>
                  <w:vMerge w:val="continue"/>
                </w:tcPr>
                <w:p w14:paraId="129F1505">
                  <w:pPr>
                    <w:pStyle w:val="127"/>
                    <w:rPr>
                      <w:color w:val="auto"/>
                      <w:szCs w:val="21"/>
                    </w:rPr>
                  </w:pPr>
                </w:p>
              </w:tc>
              <w:tc>
                <w:tcPr>
                  <w:tcW w:w="488" w:type="pct"/>
                  <w:vAlign w:val="center"/>
                </w:tcPr>
                <w:p w14:paraId="7BF610FE">
                  <w:pPr>
                    <w:pStyle w:val="127"/>
                    <w:rPr>
                      <w:color w:val="auto"/>
                    </w:rPr>
                  </w:pPr>
                  <w:r>
                    <w:rPr>
                      <w:rFonts w:hint="eastAsia"/>
                      <w:color w:val="auto"/>
                      <w:kern w:val="2"/>
                      <w:szCs w:val="21"/>
                    </w:rPr>
                    <w:t>35</w:t>
                  </w:r>
                </w:p>
              </w:tc>
              <w:tc>
                <w:tcPr>
                  <w:tcW w:w="407" w:type="pct"/>
                  <w:vAlign w:val="center"/>
                </w:tcPr>
                <w:p w14:paraId="29F6D89C">
                  <w:pPr>
                    <w:pStyle w:val="127"/>
                    <w:rPr>
                      <w:color w:val="auto"/>
                    </w:rPr>
                  </w:pPr>
                  <w:r>
                    <w:rPr>
                      <w:rFonts w:hint="eastAsia"/>
                      <w:color w:val="auto"/>
                      <w:kern w:val="2"/>
                      <w:szCs w:val="21"/>
                    </w:rPr>
                    <w:t>9.5</w:t>
                  </w:r>
                </w:p>
              </w:tc>
              <w:tc>
                <w:tcPr>
                  <w:tcW w:w="408" w:type="pct"/>
                  <w:vAlign w:val="center"/>
                </w:tcPr>
                <w:p w14:paraId="7DE0A7B8">
                  <w:pPr>
                    <w:pStyle w:val="89"/>
                    <w:rPr>
                      <w:color w:val="auto"/>
                    </w:rPr>
                  </w:pPr>
                  <w:r>
                    <w:rPr>
                      <w:rFonts w:hint="eastAsia"/>
                      <w:color w:val="auto"/>
                    </w:rPr>
                    <w:t>不达标</w:t>
                  </w:r>
                </w:p>
              </w:tc>
            </w:tr>
            <w:tr w14:paraId="78F57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462CDCA0">
                  <w:pPr>
                    <w:pStyle w:val="127"/>
                    <w:rPr>
                      <w:color w:val="auto"/>
                      <w:szCs w:val="21"/>
                    </w:rPr>
                  </w:pPr>
                </w:p>
              </w:tc>
              <w:tc>
                <w:tcPr>
                  <w:tcW w:w="534" w:type="pct"/>
                  <w:vMerge w:val="continue"/>
                </w:tcPr>
                <w:p w14:paraId="4218B2B4">
                  <w:pPr>
                    <w:pStyle w:val="127"/>
                    <w:rPr>
                      <w:color w:val="auto"/>
                      <w:szCs w:val="21"/>
                    </w:rPr>
                  </w:pPr>
                </w:p>
              </w:tc>
              <w:tc>
                <w:tcPr>
                  <w:tcW w:w="520" w:type="pct"/>
                  <w:vAlign w:val="center"/>
                </w:tcPr>
                <w:p w14:paraId="488C6F4B">
                  <w:pPr>
                    <w:widowControl/>
                    <w:jc w:val="center"/>
                    <w:textAlignment w:val="center"/>
                    <w:rPr>
                      <w:color w:val="auto"/>
                      <w:kern w:val="0"/>
                      <w:szCs w:val="21"/>
                      <w:lang w:bidi="ar"/>
                    </w:rPr>
                  </w:pPr>
                  <w:r>
                    <w:rPr>
                      <w:rFonts w:hint="eastAsia"/>
                      <w:color w:val="auto"/>
                      <w:kern w:val="0"/>
                      <w:szCs w:val="21"/>
                      <w:lang w:bidi="ar"/>
                    </w:rPr>
                    <w:t>颗粒物</w:t>
                  </w:r>
                </w:p>
              </w:tc>
              <w:tc>
                <w:tcPr>
                  <w:tcW w:w="326" w:type="pct"/>
                  <w:vAlign w:val="center"/>
                </w:tcPr>
                <w:p w14:paraId="4E966A29">
                  <w:pPr>
                    <w:widowControl/>
                    <w:jc w:val="center"/>
                    <w:textAlignment w:val="center"/>
                    <w:rPr>
                      <w:color w:val="auto"/>
                    </w:rPr>
                  </w:pPr>
                  <w:r>
                    <w:rPr>
                      <w:rFonts w:hint="eastAsia"/>
                      <w:color w:val="auto"/>
                    </w:rPr>
                    <w:t>10%</w:t>
                  </w:r>
                </w:p>
              </w:tc>
              <w:tc>
                <w:tcPr>
                  <w:tcW w:w="899" w:type="dxa"/>
                  <w:vAlign w:val="center"/>
                </w:tcPr>
                <w:p w14:paraId="7B737F88">
                  <w:pPr>
                    <w:widowControl/>
                    <w:jc w:val="center"/>
                    <w:textAlignment w:val="center"/>
                    <w:rPr>
                      <w:color w:val="auto"/>
                    </w:rPr>
                  </w:pPr>
                  <w:r>
                    <w:rPr>
                      <w:color w:val="auto"/>
                      <w:kern w:val="0"/>
                      <w:szCs w:val="21"/>
                      <w:lang w:bidi="ar"/>
                    </w:rPr>
                    <w:t xml:space="preserve">0.0041 </w:t>
                  </w:r>
                </w:p>
              </w:tc>
              <w:tc>
                <w:tcPr>
                  <w:tcW w:w="1082" w:type="dxa"/>
                  <w:vAlign w:val="center"/>
                </w:tcPr>
                <w:p w14:paraId="18F0800A">
                  <w:pPr>
                    <w:widowControl/>
                    <w:jc w:val="center"/>
                    <w:textAlignment w:val="center"/>
                    <w:rPr>
                      <w:color w:val="auto"/>
                    </w:rPr>
                  </w:pPr>
                  <w:r>
                    <w:rPr>
                      <w:color w:val="auto"/>
                      <w:kern w:val="0"/>
                      <w:szCs w:val="21"/>
                      <w:lang w:bidi="ar"/>
                    </w:rPr>
                    <w:t xml:space="preserve">0.193 </w:t>
                  </w:r>
                </w:p>
              </w:tc>
              <w:tc>
                <w:tcPr>
                  <w:tcW w:w="945" w:type="dxa"/>
                  <w:vAlign w:val="center"/>
                </w:tcPr>
                <w:p w14:paraId="5D6CCE62">
                  <w:pPr>
                    <w:widowControl/>
                    <w:jc w:val="center"/>
                    <w:textAlignment w:val="center"/>
                    <w:rPr>
                      <w:color w:val="auto"/>
                    </w:rPr>
                  </w:pPr>
                  <w:r>
                    <w:rPr>
                      <w:color w:val="auto"/>
                      <w:kern w:val="0"/>
                      <w:szCs w:val="21"/>
                      <w:lang w:bidi="ar"/>
                    </w:rPr>
                    <w:t xml:space="preserve">0.0014 </w:t>
                  </w:r>
                </w:p>
              </w:tc>
              <w:tc>
                <w:tcPr>
                  <w:tcW w:w="507" w:type="pct"/>
                  <w:vMerge w:val="continue"/>
                </w:tcPr>
                <w:p w14:paraId="32365BC5">
                  <w:pPr>
                    <w:pStyle w:val="127"/>
                    <w:rPr>
                      <w:color w:val="auto"/>
                      <w:szCs w:val="21"/>
                    </w:rPr>
                  </w:pPr>
                </w:p>
              </w:tc>
              <w:tc>
                <w:tcPr>
                  <w:tcW w:w="488" w:type="pct"/>
                  <w:vAlign w:val="center"/>
                </w:tcPr>
                <w:p w14:paraId="6A6B6A0F">
                  <w:pPr>
                    <w:pStyle w:val="127"/>
                    <w:rPr>
                      <w:color w:val="auto"/>
                    </w:rPr>
                  </w:pPr>
                  <w:r>
                    <w:rPr>
                      <w:rFonts w:hint="eastAsia"/>
                      <w:color w:val="auto"/>
                      <w:kern w:val="2"/>
                      <w:szCs w:val="21"/>
                    </w:rPr>
                    <w:t>30</w:t>
                  </w:r>
                </w:p>
              </w:tc>
              <w:tc>
                <w:tcPr>
                  <w:tcW w:w="407" w:type="pct"/>
                  <w:vAlign w:val="center"/>
                </w:tcPr>
                <w:p w14:paraId="35D0A4F4">
                  <w:pPr>
                    <w:pStyle w:val="127"/>
                    <w:rPr>
                      <w:color w:val="auto"/>
                    </w:rPr>
                  </w:pPr>
                  <w:r>
                    <w:rPr>
                      <w:rFonts w:hint="eastAsia"/>
                      <w:color w:val="auto"/>
                      <w:kern w:val="2"/>
                      <w:szCs w:val="21"/>
                    </w:rPr>
                    <w:t>/</w:t>
                  </w:r>
                </w:p>
              </w:tc>
              <w:tc>
                <w:tcPr>
                  <w:tcW w:w="408" w:type="pct"/>
                  <w:vAlign w:val="center"/>
                </w:tcPr>
                <w:p w14:paraId="205506E0">
                  <w:pPr>
                    <w:pStyle w:val="89"/>
                    <w:rPr>
                      <w:color w:val="auto"/>
                    </w:rPr>
                  </w:pPr>
                  <w:r>
                    <w:rPr>
                      <w:rFonts w:hint="eastAsia"/>
                      <w:color w:val="auto"/>
                    </w:rPr>
                    <w:t>达标</w:t>
                  </w:r>
                </w:p>
              </w:tc>
            </w:tr>
            <w:tr w14:paraId="0B39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7C047E33">
                  <w:pPr>
                    <w:pStyle w:val="127"/>
                    <w:rPr>
                      <w:color w:val="auto"/>
                      <w:szCs w:val="21"/>
                    </w:rPr>
                  </w:pPr>
                </w:p>
              </w:tc>
              <w:tc>
                <w:tcPr>
                  <w:tcW w:w="534" w:type="pct"/>
                  <w:vMerge w:val="continue"/>
                </w:tcPr>
                <w:p w14:paraId="536A62C9">
                  <w:pPr>
                    <w:pStyle w:val="127"/>
                    <w:rPr>
                      <w:color w:val="auto"/>
                      <w:szCs w:val="21"/>
                    </w:rPr>
                  </w:pPr>
                </w:p>
              </w:tc>
              <w:tc>
                <w:tcPr>
                  <w:tcW w:w="520" w:type="pct"/>
                  <w:vAlign w:val="center"/>
                </w:tcPr>
                <w:p w14:paraId="335CA764">
                  <w:pPr>
                    <w:widowControl/>
                    <w:jc w:val="center"/>
                    <w:textAlignment w:val="center"/>
                    <w:rPr>
                      <w:color w:val="auto"/>
                      <w:kern w:val="0"/>
                      <w:szCs w:val="21"/>
                      <w:lang w:bidi="ar"/>
                    </w:rPr>
                  </w:pPr>
                  <w:r>
                    <w:rPr>
                      <w:rFonts w:hint="eastAsia"/>
                      <w:color w:val="auto"/>
                      <w:kern w:val="0"/>
                      <w:szCs w:val="21"/>
                      <w:lang w:bidi="ar"/>
                    </w:rPr>
                    <w:t>氮氧化物</w:t>
                  </w:r>
                </w:p>
              </w:tc>
              <w:tc>
                <w:tcPr>
                  <w:tcW w:w="326" w:type="pct"/>
                  <w:vAlign w:val="center"/>
                </w:tcPr>
                <w:p w14:paraId="048E702A">
                  <w:pPr>
                    <w:widowControl/>
                    <w:jc w:val="center"/>
                    <w:textAlignment w:val="center"/>
                    <w:rPr>
                      <w:color w:val="auto"/>
                    </w:rPr>
                  </w:pPr>
                  <w:r>
                    <w:rPr>
                      <w:rFonts w:hint="eastAsia"/>
                      <w:color w:val="auto"/>
                    </w:rPr>
                    <w:t>0</w:t>
                  </w:r>
                </w:p>
              </w:tc>
              <w:tc>
                <w:tcPr>
                  <w:tcW w:w="899" w:type="dxa"/>
                  <w:vAlign w:val="center"/>
                </w:tcPr>
                <w:p w14:paraId="67719DA6">
                  <w:pPr>
                    <w:widowControl/>
                    <w:jc w:val="center"/>
                    <w:textAlignment w:val="center"/>
                    <w:rPr>
                      <w:color w:val="auto"/>
                    </w:rPr>
                  </w:pPr>
                  <w:r>
                    <w:rPr>
                      <w:color w:val="auto"/>
                      <w:kern w:val="0"/>
                      <w:szCs w:val="21"/>
                      <w:lang w:bidi="ar"/>
                    </w:rPr>
                    <w:t xml:space="preserve">0.015 </w:t>
                  </w:r>
                </w:p>
              </w:tc>
              <w:tc>
                <w:tcPr>
                  <w:tcW w:w="1082" w:type="dxa"/>
                  <w:vAlign w:val="center"/>
                </w:tcPr>
                <w:p w14:paraId="0CB9D175">
                  <w:pPr>
                    <w:widowControl/>
                    <w:jc w:val="center"/>
                    <w:textAlignment w:val="center"/>
                    <w:rPr>
                      <w:color w:val="auto"/>
                    </w:rPr>
                  </w:pPr>
                  <w:r>
                    <w:rPr>
                      <w:color w:val="auto"/>
                      <w:kern w:val="0"/>
                      <w:szCs w:val="21"/>
                      <w:lang w:bidi="ar"/>
                    </w:rPr>
                    <w:t xml:space="preserve">0.714 </w:t>
                  </w:r>
                </w:p>
              </w:tc>
              <w:tc>
                <w:tcPr>
                  <w:tcW w:w="945" w:type="dxa"/>
                  <w:vAlign w:val="center"/>
                </w:tcPr>
                <w:p w14:paraId="4FA53B69">
                  <w:pPr>
                    <w:widowControl/>
                    <w:jc w:val="center"/>
                    <w:textAlignment w:val="center"/>
                    <w:rPr>
                      <w:color w:val="auto"/>
                    </w:rPr>
                  </w:pPr>
                  <w:r>
                    <w:rPr>
                      <w:color w:val="auto"/>
                      <w:kern w:val="0"/>
                      <w:szCs w:val="21"/>
                      <w:lang w:bidi="ar"/>
                    </w:rPr>
                    <w:t xml:space="preserve">0.005 </w:t>
                  </w:r>
                </w:p>
              </w:tc>
              <w:tc>
                <w:tcPr>
                  <w:tcW w:w="507" w:type="pct"/>
                  <w:vMerge w:val="continue"/>
                </w:tcPr>
                <w:p w14:paraId="10E5170B">
                  <w:pPr>
                    <w:pStyle w:val="127"/>
                    <w:rPr>
                      <w:color w:val="auto"/>
                      <w:szCs w:val="21"/>
                    </w:rPr>
                  </w:pPr>
                </w:p>
              </w:tc>
              <w:tc>
                <w:tcPr>
                  <w:tcW w:w="488" w:type="pct"/>
                  <w:vAlign w:val="center"/>
                </w:tcPr>
                <w:p w14:paraId="3FB1CA0D">
                  <w:pPr>
                    <w:pStyle w:val="127"/>
                    <w:rPr>
                      <w:color w:val="auto"/>
                    </w:rPr>
                  </w:pPr>
                  <w:r>
                    <w:rPr>
                      <w:rFonts w:hint="eastAsia"/>
                      <w:color w:val="auto"/>
                      <w:kern w:val="2"/>
                      <w:szCs w:val="21"/>
                    </w:rPr>
                    <w:t>300</w:t>
                  </w:r>
                </w:p>
              </w:tc>
              <w:tc>
                <w:tcPr>
                  <w:tcW w:w="407" w:type="pct"/>
                  <w:vAlign w:val="center"/>
                </w:tcPr>
                <w:p w14:paraId="22A13263">
                  <w:pPr>
                    <w:pStyle w:val="127"/>
                    <w:rPr>
                      <w:color w:val="auto"/>
                    </w:rPr>
                  </w:pPr>
                  <w:r>
                    <w:rPr>
                      <w:rFonts w:hint="eastAsia"/>
                      <w:color w:val="auto"/>
                      <w:kern w:val="2"/>
                      <w:szCs w:val="21"/>
                    </w:rPr>
                    <w:t>/</w:t>
                  </w:r>
                </w:p>
              </w:tc>
              <w:tc>
                <w:tcPr>
                  <w:tcW w:w="408" w:type="pct"/>
                  <w:vAlign w:val="center"/>
                </w:tcPr>
                <w:p w14:paraId="1D16B564">
                  <w:pPr>
                    <w:pStyle w:val="89"/>
                    <w:rPr>
                      <w:color w:val="auto"/>
                    </w:rPr>
                  </w:pPr>
                  <w:r>
                    <w:rPr>
                      <w:rFonts w:hint="eastAsia"/>
                      <w:color w:val="auto"/>
                    </w:rPr>
                    <w:t>达标</w:t>
                  </w:r>
                </w:p>
              </w:tc>
            </w:tr>
            <w:tr w14:paraId="17AD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9" w:type="pct"/>
                  <w:vMerge w:val="continue"/>
                </w:tcPr>
                <w:p w14:paraId="38979EC1">
                  <w:pPr>
                    <w:pStyle w:val="127"/>
                    <w:rPr>
                      <w:color w:val="auto"/>
                      <w:szCs w:val="21"/>
                    </w:rPr>
                  </w:pPr>
                </w:p>
              </w:tc>
              <w:tc>
                <w:tcPr>
                  <w:tcW w:w="534" w:type="pct"/>
                  <w:vMerge w:val="continue"/>
                </w:tcPr>
                <w:p w14:paraId="2BB22A15">
                  <w:pPr>
                    <w:pStyle w:val="127"/>
                    <w:rPr>
                      <w:color w:val="auto"/>
                      <w:szCs w:val="21"/>
                    </w:rPr>
                  </w:pPr>
                </w:p>
              </w:tc>
              <w:tc>
                <w:tcPr>
                  <w:tcW w:w="520" w:type="pct"/>
                  <w:vAlign w:val="center"/>
                </w:tcPr>
                <w:p w14:paraId="6D05248B">
                  <w:pPr>
                    <w:widowControl/>
                    <w:jc w:val="center"/>
                    <w:textAlignment w:val="center"/>
                    <w:rPr>
                      <w:color w:val="auto"/>
                      <w:kern w:val="0"/>
                      <w:szCs w:val="21"/>
                      <w:lang w:bidi="ar"/>
                    </w:rPr>
                  </w:pPr>
                  <w:r>
                    <w:rPr>
                      <w:rFonts w:hint="eastAsia"/>
                      <w:color w:val="auto"/>
                      <w:kern w:val="0"/>
                      <w:szCs w:val="21"/>
                      <w:lang w:bidi="ar"/>
                    </w:rPr>
                    <w:t>二氧化硫</w:t>
                  </w:r>
                </w:p>
              </w:tc>
              <w:tc>
                <w:tcPr>
                  <w:tcW w:w="326" w:type="pct"/>
                  <w:vAlign w:val="center"/>
                </w:tcPr>
                <w:p w14:paraId="7957DC2F">
                  <w:pPr>
                    <w:widowControl/>
                    <w:jc w:val="center"/>
                    <w:textAlignment w:val="center"/>
                    <w:rPr>
                      <w:color w:val="auto"/>
                    </w:rPr>
                  </w:pPr>
                  <w:r>
                    <w:rPr>
                      <w:rFonts w:hint="eastAsia"/>
                      <w:color w:val="auto"/>
                    </w:rPr>
                    <w:t>0</w:t>
                  </w:r>
                </w:p>
              </w:tc>
              <w:tc>
                <w:tcPr>
                  <w:tcW w:w="899" w:type="dxa"/>
                  <w:vAlign w:val="center"/>
                </w:tcPr>
                <w:p w14:paraId="3AA6E24C">
                  <w:pPr>
                    <w:widowControl/>
                    <w:jc w:val="center"/>
                    <w:textAlignment w:val="center"/>
                    <w:rPr>
                      <w:color w:val="auto"/>
                    </w:rPr>
                  </w:pPr>
                  <w:r>
                    <w:rPr>
                      <w:color w:val="auto"/>
                      <w:kern w:val="0"/>
                      <w:szCs w:val="21"/>
                      <w:lang w:bidi="ar"/>
                    </w:rPr>
                    <w:t xml:space="preserve">0.0032 </w:t>
                  </w:r>
                </w:p>
              </w:tc>
              <w:tc>
                <w:tcPr>
                  <w:tcW w:w="1082" w:type="dxa"/>
                  <w:vAlign w:val="center"/>
                </w:tcPr>
                <w:p w14:paraId="2F4454C1">
                  <w:pPr>
                    <w:widowControl/>
                    <w:jc w:val="center"/>
                    <w:textAlignment w:val="center"/>
                    <w:rPr>
                      <w:color w:val="auto"/>
                    </w:rPr>
                  </w:pPr>
                  <w:r>
                    <w:rPr>
                      <w:color w:val="auto"/>
                      <w:kern w:val="0"/>
                      <w:szCs w:val="21"/>
                      <w:lang w:bidi="ar"/>
                    </w:rPr>
                    <w:t xml:space="preserve">0.143 </w:t>
                  </w:r>
                </w:p>
              </w:tc>
              <w:tc>
                <w:tcPr>
                  <w:tcW w:w="945" w:type="dxa"/>
                  <w:vAlign w:val="center"/>
                </w:tcPr>
                <w:p w14:paraId="6B742D1A">
                  <w:pPr>
                    <w:widowControl/>
                    <w:jc w:val="center"/>
                    <w:textAlignment w:val="center"/>
                    <w:rPr>
                      <w:color w:val="auto"/>
                    </w:rPr>
                  </w:pPr>
                  <w:r>
                    <w:rPr>
                      <w:color w:val="auto"/>
                      <w:kern w:val="0"/>
                      <w:szCs w:val="21"/>
                      <w:lang w:bidi="ar"/>
                    </w:rPr>
                    <w:t xml:space="preserve">0.001 </w:t>
                  </w:r>
                </w:p>
              </w:tc>
              <w:tc>
                <w:tcPr>
                  <w:tcW w:w="507" w:type="pct"/>
                  <w:vMerge w:val="continue"/>
                </w:tcPr>
                <w:p w14:paraId="62F3391A">
                  <w:pPr>
                    <w:pStyle w:val="127"/>
                    <w:rPr>
                      <w:color w:val="auto"/>
                      <w:szCs w:val="21"/>
                    </w:rPr>
                  </w:pPr>
                </w:p>
              </w:tc>
              <w:tc>
                <w:tcPr>
                  <w:tcW w:w="488" w:type="pct"/>
                  <w:vAlign w:val="center"/>
                </w:tcPr>
                <w:p w14:paraId="27E281A0">
                  <w:pPr>
                    <w:pStyle w:val="127"/>
                    <w:rPr>
                      <w:color w:val="auto"/>
                    </w:rPr>
                  </w:pPr>
                  <w:r>
                    <w:rPr>
                      <w:rFonts w:hint="eastAsia"/>
                      <w:color w:val="auto"/>
                      <w:kern w:val="2"/>
                      <w:szCs w:val="21"/>
                    </w:rPr>
                    <w:t>200</w:t>
                  </w:r>
                </w:p>
              </w:tc>
              <w:tc>
                <w:tcPr>
                  <w:tcW w:w="407" w:type="pct"/>
                  <w:vAlign w:val="center"/>
                </w:tcPr>
                <w:p w14:paraId="37938F2C">
                  <w:pPr>
                    <w:pStyle w:val="127"/>
                    <w:rPr>
                      <w:color w:val="auto"/>
                    </w:rPr>
                  </w:pPr>
                  <w:r>
                    <w:rPr>
                      <w:rFonts w:hint="eastAsia"/>
                      <w:color w:val="auto"/>
                      <w:kern w:val="2"/>
                      <w:szCs w:val="21"/>
                    </w:rPr>
                    <w:t>/</w:t>
                  </w:r>
                </w:p>
              </w:tc>
              <w:tc>
                <w:tcPr>
                  <w:tcW w:w="408" w:type="pct"/>
                </w:tcPr>
                <w:p w14:paraId="32E85FBB">
                  <w:pPr>
                    <w:pStyle w:val="89"/>
                    <w:rPr>
                      <w:color w:val="auto"/>
                    </w:rPr>
                  </w:pPr>
                  <w:r>
                    <w:rPr>
                      <w:rFonts w:hint="eastAsia"/>
                      <w:color w:val="auto"/>
                    </w:rPr>
                    <w:t>达标</w:t>
                  </w:r>
                </w:p>
              </w:tc>
            </w:tr>
          </w:tbl>
          <w:p w14:paraId="6E745CF9">
            <w:pPr>
              <w:adjustRightInd w:val="0"/>
              <w:snapToGrid w:val="0"/>
              <w:spacing w:line="360" w:lineRule="auto"/>
              <w:ind w:firstLine="480" w:firstLineChars="200"/>
              <w:jc w:val="left"/>
              <w:rPr>
                <w:color w:val="auto"/>
                <w:sz w:val="24"/>
              </w:rPr>
            </w:pPr>
            <w:r>
              <w:rPr>
                <w:rFonts w:hint="eastAsia"/>
                <w:color w:val="auto"/>
                <w:sz w:val="24"/>
              </w:rPr>
              <w:t xml:space="preserve">由上表可知，非正常工况下DA006排放的硫酸雾的排放浓度已超标，其他指标均符合排放标准，故废气处理设施故障的情况下，预计各污染物排放对区域大气环境具有一定影响。为预防非正常工况发生，本报告建议建设单位采取以下措施： </w:t>
            </w:r>
          </w:p>
          <w:p w14:paraId="011FBDF0">
            <w:pPr>
              <w:adjustRightInd w:val="0"/>
              <w:snapToGrid w:val="0"/>
              <w:spacing w:line="360" w:lineRule="auto"/>
              <w:ind w:firstLine="480" w:firstLineChars="200"/>
              <w:jc w:val="left"/>
              <w:rPr>
                <w:color w:val="auto"/>
                <w:sz w:val="24"/>
              </w:rPr>
            </w:pPr>
            <w:r>
              <w:rPr>
                <w:rFonts w:hint="eastAsia"/>
                <w:color w:val="auto"/>
                <w:sz w:val="24"/>
              </w:rPr>
              <w:t xml:space="preserve">1、每日作业开工前，先运行各配套风机及废气处理装置；在停止相应作业后，保持废气风机及处理装置持续运转20分钟再停止，确保在设备开、停车阶段排出的污染物得到有效处理； </w:t>
            </w:r>
          </w:p>
          <w:p w14:paraId="39C64EDE">
            <w:pPr>
              <w:adjustRightInd w:val="0"/>
              <w:snapToGrid w:val="0"/>
              <w:spacing w:line="360" w:lineRule="auto"/>
              <w:ind w:firstLine="480" w:firstLineChars="200"/>
              <w:jc w:val="left"/>
              <w:rPr>
                <w:color w:val="auto"/>
                <w:sz w:val="24"/>
              </w:rPr>
            </w:pPr>
            <w:r>
              <w:rPr>
                <w:rFonts w:hint="eastAsia"/>
                <w:color w:val="auto"/>
                <w:sz w:val="24"/>
              </w:rPr>
              <w:t>2、安排专人负责环保设备的日常维护和管理，定期检查、汇报环保设备情况，及时发现并处理潜在隐患，确保废气系统正常运行；若装置发生故障应立即停止相应产污工序，并组织专人维修，在环保设施运行正常后相应工序才能恢复生产。</w:t>
            </w:r>
          </w:p>
          <w:p w14:paraId="07CC7AB6">
            <w:pPr>
              <w:adjustRightInd w:val="0"/>
              <w:snapToGrid w:val="0"/>
              <w:spacing w:line="360" w:lineRule="auto"/>
              <w:ind w:firstLine="482" w:firstLineChars="200"/>
              <w:jc w:val="left"/>
              <w:rPr>
                <w:b/>
                <w:bCs/>
                <w:color w:val="auto"/>
                <w:sz w:val="24"/>
              </w:rPr>
            </w:pPr>
            <w:r>
              <w:rPr>
                <w:rFonts w:hint="eastAsia"/>
                <w:b/>
                <w:bCs/>
                <w:color w:val="auto"/>
                <w:sz w:val="24"/>
              </w:rPr>
              <w:t>7、</w:t>
            </w:r>
            <w:r>
              <w:rPr>
                <w:b/>
                <w:bCs/>
                <w:color w:val="auto"/>
                <w:sz w:val="24"/>
              </w:rPr>
              <w:t>项目废气处理设施可行性分析</w:t>
            </w:r>
          </w:p>
          <w:p w14:paraId="4A8C51D0">
            <w:pPr>
              <w:adjustRightInd w:val="0"/>
              <w:snapToGrid w:val="0"/>
              <w:spacing w:line="360" w:lineRule="auto"/>
              <w:ind w:firstLine="482" w:firstLineChars="200"/>
              <w:jc w:val="left"/>
              <w:rPr>
                <w:b/>
                <w:bCs/>
                <w:color w:val="auto"/>
                <w:sz w:val="24"/>
              </w:rPr>
            </w:pPr>
            <w:r>
              <w:rPr>
                <w:rFonts w:hint="eastAsia"/>
                <w:b/>
                <w:bCs/>
                <w:color w:val="auto"/>
                <w:sz w:val="24"/>
              </w:rPr>
              <w:t>（1）布袋除尘器</w:t>
            </w:r>
          </w:p>
          <w:p w14:paraId="042B6D29">
            <w:pPr>
              <w:adjustRightInd w:val="0"/>
              <w:snapToGrid w:val="0"/>
              <w:spacing w:line="360" w:lineRule="auto"/>
              <w:ind w:firstLine="480" w:firstLineChars="200"/>
              <w:jc w:val="left"/>
              <w:rPr>
                <w:color w:val="auto"/>
                <w:sz w:val="24"/>
              </w:rPr>
            </w:pPr>
            <w:r>
              <w:rPr>
                <w:color w:val="auto"/>
                <w:sz w:val="24"/>
              </w:rPr>
              <w:t>参照《排污许可证申请与核发技术规范铁路、船舶、航空航天和其他运输设备制造业》（HJ 1124—2020）</w:t>
            </w:r>
            <w:r>
              <w:rPr>
                <w:rFonts w:hint="eastAsia"/>
                <w:color w:val="auto"/>
                <w:sz w:val="24"/>
              </w:rPr>
              <w:t>表C.4其他运输设备制造排污单位废气污染防治推荐可行技术，粉末喷涂室产生的颗粒物推荐可行技术为袋式除尘。因此</w:t>
            </w:r>
            <w:r>
              <w:rPr>
                <w:color w:val="auto"/>
                <w:sz w:val="24"/>
              </w:rPr>
              <w:t>项目采用</w:t>
            </w:r>
            <w:r>
              <w:rPr>
                <w:rFonts w:hint="eastAsia"/>
                <w:color w:val="auto"/>
                <w:sz w:val="24"/>
              </w:rPr>
              <w:t>布袋除尘器处理喷粉废气</w:t>
            </w:r>
            <w:r>
              <w:rPr>
                <w:color w:val="auto"/>
                <w:sz w:val="24"/>
              </w:rPr>
              <w:t>属于可行技术。</w:t>
            </w:r>
          </w:p>
          <w:p w14:paraId="11077425">
            <w:pPr>
              <w:adjustRightInd w:val="0"/>
              <w:snapToGrid w:val="0"/>
              <w:spacing w:line="360" w:lineRule="auto"/>
              <w:ind w:firstLine="482" w:firstLineChars="200"/>
              <w:jc w:val="left"/>
              <w:rPr>
                <w:b/>
                <w:bCs/>
                <w:color w:val="auto"/>
                <w:sz w:val="24"/>
              </w:rPr>
            </w:pPr>
            <w:r>
              <w:rPr>
                <w:rFonts w:hint="eastAsia"/>
                <w:b/>
                <w:bCs/>
                <w:color w:val="auto"/>
                <w:sz w:val="24"/>
              </w:rPr>
              <w:t>（2）水帘柜+喷淋塔</w:t>
            </w:r>
          </w:p>
          <w:p w14:paraId="65FF7666">
            <w:pPr>
              <w:adjustRightInd w:val="0"/>
              <w:snapToGrid w:val="0"/>
              <w:spacing w:line="360" w:lineRule="auto"/>
              <w:ind w:firstLine="480" w:firstLineChars="200"/>
              <w:jc w:val="left"/>
              <w:rPr>
                <w:color w:val="auto"/>
                <w:sz w:val="24"/>
              </w:rPr>
            </w:pPr>
            <w:r>
              <w:rPr>
                <w:color w:val="auto"/>
                <w:sz w:val="24"/>
              </w:rPr>
              <w:t>参照《排污许可证申请与核发技术规范铁路、船舶、航空航天和其他运输设备制造业》（HJ 1124—2020）</w:t>
            </w:r>
            <w:r>
              <w:rPr>
                <w:rFonts w:hint="eastAsia"/>
                <w:color w:val="auto"/>
                <w:sz w:val="24"/>
              </w:rPr>
              <w:t>表C.4其他运输设备制造排污单位废气污染防治推荐可行技术，喷漆室（段）产生的颗粒物推荐可行技术为文丘里/水旋/水帘、石灰粉吸附、纸盒过滤、化学纤维过滤。因此</w:t>
            </w:r>
            <w:r>
              <w:rPr>
                <w:color w:val="auto"/>
                <w:sz w:val="24"/>
              </w:rPr>
              <w:t>项目采用水帘柜+喷淋塔</w:t>
            </w:r>
            <w:r>
              <w:rPr>
                <w:rFonts w:hint="eastAsia"/>
                <w:color w:val="auto"/>
                <w:sz w:val="24"/>
              </w:rPr>
              <w:t>处理漆雾为水旋/水帘，</w:t>
            </w:r>
            <w:r>
              <w:rPr>
                <w:color w:val="auto"/>
                <w:sz w:val="24"/>
              </w:rPr>
              <w:t>属于可行技术。</w:t>
            </w:r>
          </w:p>
          <w:p w14:paraId="146E016C">
            <w:pPr>
              <w:adjustRightInd w:val="0"/>
              <w:snapToGrid w:val="0"/>
              <w:spacing w:line="360" w:lineRule="auto"/>
              <w:ind w:firstLine="482" w:firstLineChars="200"/>
              <w:jc w:val="left"/>
              <w:rPr>
                <w:b/>
                <w:bCs/>
                <w:color w:val="auto"/>
                <w:sz w:val="24"/>
              </w:rPr>
            </w:pPr>
            <w:r>
              <w:rPr>
                <w:rFonts w:hint="eastAsia"/>
                <w:b/>
                <w:bCs/>
                <w:color w:val="auto"/>
                <w:sz w:val="24"/>
              </w:rPr>
              <w:t>（3）二级活性炭吸附装置</w:t>
            </w:r>
          </w:p>
          <w:p w14:paraId="5B3941F5">
            <w:pPr>
              <w:adjustRightInd w:val="0"/>
              <w:snapToGrid w:val="0"/>
              <w:spacing w:line="360" w:lineRule="auto"/>
              <w:ind w:firstLine="480" w:firstLineChars="200"/>
              <w:jc w:val="left"/>
              <w:rPr>
                <w:color w:val="auto"/>
                <w:sz w:val="24"/>
              </w:rPr>
            </w:pPr>
            <w:r>
              <w:rPr>
                <w:color w:val="auto"/>
                <w:sz w:val="24"/>
              </w:rPr>
              <w:t>参照《排污许可证申请与核发技术规范铁路、船舶、航空航天和其他运输设备制造业》（HJ 1124—2020）</w:t>
            </w:r>
            <w:r>
              <w:rPr>
                <w:rFonts w:hint="eastAsia"/>
                <w:color w:val="auto"/>
                <w:sz w:val="24"/>
              </w:rPr>
              <w:t>表C.4其他运输设备制造排污单位废气污染防治推荐可行技术，烘干室（段）产生的苯、甲苯、二甲苯、挥发性有机物推荐可行技术为热力焚烧/催化氧化、吸附/浓缩+热力焚烧/催化氧化。因此</w:t>
            </w:r>
            <w:r>
              <w:rPr>
                <w:color w:val="auto"/>
                <w:sz w:val="24"/>
              </w:rPr>
              <w:t>项目采用</w:t>
            </w:r>
            <w:r>
              <w:rPr>
                <w:rFonts w:hint="eastAsia"/>
                <w:color w:val="auto"/>
                <w:sz w:val="24"/>
              </w:rPr>
              <w:t>二级活性炭吸附装置处理有机废气为吸附，</w:t>
            </w:r>
            <w:r>
              <w:rPr>
                <w:color w:val="auto"/>
                <w:sz w:val="24"/>
              </w:rPr>
              <w:t>属于可行技术。</w:t>
            </w:r>
          </w:p>
          <w:p w14:paraId="3EA436E9">
            <w:pPr>
              <w:pStyle w:val="91"/>
              <w:spacing w:line="360" w:lineRule="auto"/>
              <w:ind w:firstLine="480"/>
              <w:rPr>
                <w:color w:val="auto"/>
              </w:rPr>
            </w:pPr>
            <w:r>
              <w:rPr>
                <w:rFonts w:hint="eastAsia"/>
                <w:color w:val="auto"/>
              </w:rPr>
              <w:t>二级活性炭吸附装置的设计应满足</w:t>
            </w:r>
            <w:r>
              <w:rPr>
                <w:color w:val="auto"/>
              </w:rPr>
              <w:t>《广东省生态环境厅关于印发工业源挥发性有机物和氮氧化物减排量核算方法的通知》</w:t>
            </w:r>
            <w:r>
              <w:rPr>
                <w:rFonts w:hint="eastAsia"/>
                <w:color w:val="auto"/>
              </w:rPr>
              <w:t>（粤环函〔2023〕538 号）关键控制指标的要求，设计要求如下：</w:t>
            </w:r>
          </w:p>
          <w:p w14:paraId="3CDB597E">
            <w:pPr>
              <w:pStyle w:val="77"/>
              <w:numPr>
                <w:ilvl w:val="0"/>
                <w:numId w:val="18"/>
              </w:numPr>
              <w:adjustRightInd w:val="0"/>
              <w:snapToGrid w:val="0"/>
              <w:jc w:val="center"/>
              <w:rPr>
                <w:b/>
                <w:bCs/>
                <w:color w:val="auto"/>
                <w:szCs w:val="21"/>
              </w:rPr>
            </w:pPr>
            <w:r>
              <w:rPr>
                <w:rFonts w:hint="eastAsia"/>
                <w:b/>
                <w:bCs/>
                <w:color w:val="auto"/>
                <w:szCs w:val="21"/>
              </w:rPr>
              <w:t>二级活性炭吸附装置关键控制指标一览表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3"/>
              <w:gridCol w:w="3861"/>
              <w:gridCol w:w="5075"/>
            </w:tblGrid>
            <w:tr w14:paraId="262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pct"/>
                  <w:tcMar>
                    <w:left w:w="0" w:type="dxa"/>
                    <w:right w:w="0" w:type="dxa"/>
                  </w:tcMar>
                  <w:vAlign w:val="center"/>
                </w:tcPr>
                <w:p w14:paraId="4605103D">
                  <w:pPr>
                    <w:jc w:val="center"/>
                    <w:rPr>
                      <w:b/>
                      <w:bCs/>
                      <w:color w:val="auto"/>
                      <w:kern w:val="0"/>
                      <w:szCs w:val="21"/>
                    </w:rPr>
                  </w:pPr>
                  <w:r>
                    <w:rPr>
                      <w:rFonts w:hint="eastAsia"/>
                      <w:b/>
                      <w:bCs/>
                      <w:color w:val="auto"/>
                      <w:kern w:val="0"/>
                      <w:szCs w:val="21"/>
                    </w:rPr>
                    <w:t>处理工艺名称</w:t>
                  </w:r>
                </w:p>
              </w:tc>
              <w:tc>
                <w:tcPr>
                  <w:tcW w:w="1806" w:type="pct"/>
                </w:tcPr>
                <w:p w14:paraId="4B4CC95A">
                  <w:pPr>
                    <w:jc w:val="center"/>
                    <w:rPr>
                      <w:b/>
                      <w:bCs/>
                      <w:color w:val="auto"/>
                      <w:kern w:val="0"/>
                      <w:szCs w:val="21"/>
                    </w:rPr>
                  </w:pPr>
                  <w:r>
                    <w:rPr>
                      <w:rFonts w:hint="eastAsia"/>
                      <w:b/>
                      <w:bCs/>
                      <w:color w:val="auto"/>
                      <w:kern w:val="0"/>
                      <w:szCs w:val="21"/>
                    </w:rPr>
                    <w:t>关键控制指标</w:t>
                  </w:r>
                </w:p>
              </w:tc>
              <w:tc>
                <w:tcPr>
                  <w:tcW w:w="2373" w:type="pct"/>
                </w:tcPr>
                <w:p w14:paraId="5BD56FB0">
                  <w:pPr>
                    <w:jc w:val="center"/>
                    <w:rPr>
                      <w:b/>
                      <w:bCs/>
                      <w:color w:val="auto"/>
                      <w:kern w:val="0"/>
                      <w:szCs w:val="21"/>
                    </w:rPr>
                  </w:pPr>
                  <w:r>
                    <w:rPr>
                      <w:rFonts w:hint="eastAsia"/>
                      <w:b/>
                      <w:bCs/>
                      <w:color w:val="auto"/>
                      <w:kern w:val="0"/>
                      <w:szCs w:val="21"/>
                    </w:rPr>
                    <w:t>项目建设情况</w:t>
                  </w:r>
                </w:p>
              </w:tc>
            </w:tr>
            <w:tr w14:paraId="24AC9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20" w:type="pct"/>
                  <w:tcMar>
                    <w:left w:w="0" w:type="dxa"/>
                    <w:right w:w="0" w:type="dxa"/>
                  </w:tcMar>
                  <w:vAlign w:val="center"/>
                </w:tcPr>
                <w:p w14:paraId="4D21D507">
                  <w:pPr>
                    <w:jc w:val="center"/>
                    <w:rPr>
                      <w:color w:val="auto"/>
                      <w:kern w:val="0"/>
                      <w:szCs w:val="21"/>
                    </w:rPr>
                  </w:pPr>
                  <w:r>
                    <w:rPr>
                      <w:color w:val="auto"/>
                      <w:kern w:val="0"/>
                      <w:szCs w:val="21"/>
                    </w:rPr>
                    <w:t>活性炭吸附技术</w:t>
                  </w:r>
                </w:p>
              </w:tc>
              <w:tc>
                <w:tcPr>
                  <w:tcW w:w="1806" w:type="pct"/>
                  <w:vAlign w:val="center"/>
                </w:tcPr>
                <w:p w14:paraId="25F653D2">
                  <w:pPr>
                    <w:jc w:val="center"/>
                    <w:rPr>
                      <w:color w:val="auto"/>
                      <w:kern w:val="0"/>
                      <w:szCs w:val="21"/>
                    </w:rPr>
                  </w:pPr>
                  <w:r>
                    <w:rPr>
                      <w:color w:val="auto"/>
                      <w:kern w:val="0"/>
                      <w:szCs w:val="21"/>
                    </w:rPr>
                    <w:t>活性炭箱体应设计合理，废气相对湿度高于80%时不适用；废气中颗粒物含量宜低于 1mg/m</w:t>
                  </w:r>
                  <w:r>
                    <w:rPr>
                      <w:color w:val="auto"/>
                      <w:kern w:val="0"/>
                      <w:szCs w:val="21"/>
                      <w:vertAlign w:val="superscript"/>
                    </w:rPr>
                    <w:t>3</w:t>
                  </w:r>
                  <w:r>
                    <w:rPr>
                      <w:color w:val="auto"/>
                      <w:kern w:val="0"/>
                      <w:szCs w:val="21"/>
                    </w:rPr>
                    <w:t>；装置入口废气温度不高于40℃；颗粒炭过滤风速＜0.5m/s；纤维状风速＜0.15m/s；蜂窝状活性炭风速＜1.2m/s。活性炭层装填厚度不低于 300mm，颗粒活性炭碘值不低于 800 mg/g，蜂窝活性炭碘值不低于650mg/g。</w:t>
                  </w:r>
                </w:p>
              </w:tc>
              <w:tc>
                <w:tcPr>
                  <w:tcW w:w="2373" w:type="pct"/>
                  <w:vAlign w:val="center"/>
                </w:tcPr>
                <w:p w14:paraId="75FA76CD">
                  <w:pPr>
                    <w:jc w:val="left"/>
                    <w:rPr>
                      <w:color w:val="auto"/>
                      <w:kern w:val="0"/>
                      <w:szCs w:val="21"/>
                    </w:rPr>
                  </w:pPr>
                  <w:r>
                    <w:rPr>
                      <w:rFonts w:hint="eastAsia"/>
                      <w:color w:val="auto"/>
                      <w:kern w:val="0"/>
                      <w:szCs w:val="21"/>
                    </w:rPr>
                    <w:t>项目共设3套“</w:t>
                  </w:r>
                  <w:r>
                    <w:rPr>
                      <w:rFonts w:hint="eastAsia"/>
                      <w:bCs/>
                      <w:color w:val="auto"/>
                      <w:kern w:val="11"/>
                      <w:szCs w:val="21"/>
                    </w:rPr>
                    <w:t>水帘柜+喷淋塔+除湿装置+二级活性炭吸附装置</w:t>
                  </w:r>
                  <w:r>
                    <w:rPr>
                      <w:rFonts w:hint="eastAsia"/>
                      <w:color w:val="auto"/>
                      <w:kern w:val="0"/>
                      <w:szCs w:val="21"/>
                    </w:rPr>
                    <w:t>”收集处置喷漆、固化、烘烤作业废气，废气经管道引至楼顶废气设施处理</w:t>
                  </w:r>
                  <w:r>
                    <w:rPr>
                      <w:color w:val="auto"/>
                      <w:kern w:val="0"/>
                      <w:szCs w:val="21"/>
                    </w:rPr>
                    <w:t>，</w:t>
                  </w:r>
                  <w:r>
                    <w:rPr>
                      <w:rFonts w:hint="eastAsia"/>
                      <w:color w:val="auto"/>
                      <w:kern w:val="0"/>
                      <w:szCs w:val="21"/>
                    </w:rPr>
                    <w:t>其中喷漆作业废气为常温气体（25℃），固化、烘烤废气为高温气体（150℃/200℃），各股废气混合过程因热传递使高温气体降温，达到热平衡。根据表4-29可计算各股废气的烟气量和温度，可计算出废气设施DA003进气温度为70℃，DA004进气温度为48.3℃，DA005进气温度为57.9℃，</w:t>
                  </w:r>
                  <w:r>
                    <w:rPr>
                      <w:color w:val="auto"/>
                      <w:kern w:val="0"/>
                      <w:szCs w:val="21"/>
                    </w:rPr>
                    <w:t>再经过喷淋塔</w:t>
                  </w:r>
                  <w:r>
                    <w:rPr>
                      <w:rFonts w:hint="eastAsia"/>
                      <w:color w:val="auto"/>
                      <w:kern w:val="0"/>
                      <w:szCs w:val="21"/>
                    </w:rPr>
                    <w:t>可</w:t>
                  </w:r>
                  <w:r>
                    <w:rPr>
                      <w:color w:val="auto"/>
                      <w:kern w:val="0"/>
                      <w:szCs w:val="21"/>
                    </w:rPr>
                    <w:t>降温至</w:t>
                  </w:r>
                  <w:r>
                    <w:rPr>
                      <w:rFonts w:hint="eastAsia"/>
                      <w:color w:val="auto"/>
                      <w:kern w:val="0"/>
                      <w:szCs w:val="21"/>
                    </w:rPr>
                    <w:t>4</w:t>
                  </w:r>
                  <w:r>
                    <w:rPr>
                      <w:color w:val="auto"/>
                      <w:kern w:val="0"/>
                      <w:szCs w:val="21"/>
                    </w:rPr>
                    <w:t>0℃</w:t>
                  </w:r>
                  <w:r>
                    <w:rPr>
                      <w:rFonts w:hint="eastAsia"/>
                      <w:color w:val="auto"/>
                      <w:kern w:val="0"/>
                      <w:szCs w:val="21"/>
                    </w:rPr>
                    <w:t>以下；废气降温后经除湿装置除湿，使湿度降至80%以下；作业废气经水帘柜+喷淋塔预处理后，颗粒物含量降至</w:t>
                  </w:r>
                  <w:r>
                    <w:rPr>
                      <w:color w:val="auto"/>
                      <w:kern w:val="0"/>
                      <w:szCs w:val="21"/>
                    </w:rPr>
                    <w:t>1mg/m</w:t>
                  </w:r>
                  <w:r>
                    <w:rPr>
                      <w:color w:val="auto"/>
                      <w:kern w:val="0"/>
                      <w:szCs w:val="21"/>
                      <w:vertAlign w:val="superscript"/>
                    </w:rPr>
                    <w:t>3</w:t>
                  </w:r>
                  <w:r>
                    <w:rPr>
                      <w:rFonts w:hint="eastAsia"/>
                      <w:color w:val="auto"/>
                      <w:kern w:val="0"/>
                      <w:szCs w:val="21"/>
                    </w:rPr>
                    <w:t>以下（其中DA003进气颗粒物浓度为0.656</w:t>
                  </w:r>
                  <w:r>
                    <w:rPr>
                      <w:color w:val="auto"/>
                      <w:kern w:val="0"/>
                      <w:szCs w:val="21"/>
                    </w:rPr>
                    <w:t>mg/m</w:t>
                  </w:r>
                  <w:r>
                    <w:rPr>
                      <w:color w:val="auto"/>
                      <w:kern w:val="0"/>
                      <w:szCs w:val="21"/>
                      <w:vertAlign w:val="superscript"/>
                    </w:rPr>
                    <w:t>3</w:t>
                  </w:r>
                  <w:r>
                    <w:rPr>
                      <w:rFonts w:hint="eastAsia"/>
                      <w:color w:val="auto"/>
                      <w:kern w:val="0"/>
                      <w:szCs w:val="21"/>
                    </w:rPr>
                    <w:t>，DA004进气颗粒物浓度为0.552</w:t>
                  </w:r>
                  <w:r>
                    <w:rPr>
                      <w:color w:val="auto"/>
                      <w:kern w:val="0"/>
                      <w:szCs w:val="21"/>
                    </w:rPr>
                    <w:t>mg/m</w:t>
                  </w:r>
                  <w:r>
                    <w:rPr>
                      <w:color w:val="auto"/>
                      <w:kern w:val="0"/>
                      <w:szCs w:val="21"/>
                      <w:vertAlign w:val="superscript"/>
                    </w:rPr>
                    <w:t>3</w:t>
                  </w:r>
                  <w:r>
                    <w:rPr>
                      <w:rFonts w:hint="eastAsia"/>
                      <w:color w:val="auto"/>
                      <w:kern w:val="0"/>
                      <w:szCs w:val="21"/>
                    </w:rPr>
                    <w:t>，DA005进气颗粒物浓度为0.156</w:t>
                  </w:r>
                  <w:r>
                    <w:rPr>
                      <w:color w:val="auto"/>
                      <w:kern w:val="0"/>
                      <w:szCs w:val="21"/>
                    </w:rPr>
                    <w:t>mg/m</w:t>
                  </w:r>
                  <w:r>
                    <w:rPr>
                      <w:color w:val="auto"/>
                      <w:kern w:val="0"/>
                      <w:szCs w:val="21"/>
                      <w:vertAlign w:val="superscript"/>
                    </w:rPr>
                    <w:t>3</w:t>
                  </w:r>
                  <w:r>
                    <w:rPr>
                      <w:rFonts w:hint="eastAsia"/>
                      <w:color w:val="auto"/>
                      <w:kern w:val="0"/>
                      <w:szCs w:val="21"/>
                    </w:rPr>
                    <w:t>），因此进入活性炭吸附装置的废气可以满足设计要求。</w:t>
                  </w:r>
                </w:p>
              </w:tc>
            </w:tr>
            <w:tr w14:paraId="4EAB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000" w:type="pct"/>
                  <w:gridSpan w:val="3"/>
                  <w:tcMar>
                    <w:left w:w="0" w:type="dxa"/>
                    <w:right w:w="0" w:type="dxa"/>
                  </w:tcMar>
                  <w:vAlign w:val="center"/>
                </w:tcPr>
                <w:p w14:paraId="0D033240">
                  <w:pPr>
                    <w:jc w:val="left"/>
                    <w:rPr>
                      <w:color w:val="auto"/>
                      <w:kern w:val="0"/>
                      <w:szCs w:val="21"/>
                    </w:rPr>
                  </w:pPr>
                  <w:r>
                    <w:rPr>
                      <w:rFonts w:hint="eastAsia"/>
                      <w:color w:val="auto"/>
                      <w:kern w:val="0"/>
                      <w:szCs w:val="21"/>
                    </w:rPr>
                    <w:t>备注：两种不同温度和烟气量的气体混合后温度的计算公式为：T</w:t>
                  </w:r>
                  <w:r>
                    <w:rPr>
                      <w:rFonts w:hint="eastAsia"/>
                      <w:color w:val="auto"/>
                      <w:kern w:val="0"/>
                      <w:szCs w:val="21"/>
                      <w:vertAlign w:val="subscript"/>
                    </w:rPr>
                    <w:t>混合</w:t>
                  </w:r>
                  <w:r>
                    <w:rPr>
                      <w:rFonts w:hint="eastAsia"/>
                      <w:color w:val="auto"/>
                      <w:kern w:val="0"/>
                      <w:szCs w:val="21"/>
                    </w:rPr>
                    <w:t>=（V</w:t>
                  </w:r>
                  <w:r>
                    <w:rPr>
                      <w:rFonts w:hint="eastAsia"/>
                      <w:color w:val="auto"/>
                      <w:kern w:val="0"/>
                      <w:szCs w:val="21"/>
                      <w:vertAlign w:val="subscript"/>
                    </w:rPr>
                    <w:t>1</w:t>
                  </w:r>
                  <w:r>
                    <w:rPr>
                      <w:rFonts w:hint="eastAsia"/>
                      <w:color w:val="auto"/>
                      <w:kern w:val="0"/>
                      <w:szCs w:val="21"/>
                    </w:rPr>
                    <w:t>+V</w:t>
                  </w:r>
                  <w:r>
                    <w:rPr>
                      <w:rFonts w:hint="eastAsia"/>
                      <w:color w:val="auto"/>
                      <w:kern w:val="0"/>
                      <w:szCs w:val="21"/>
                      <w:vertAlign w:val="subscript"/>
                    </w:rPr>
                    <w:t>2</w:t>
                  </w:r>
                  <w:r>
                    <w:rPr>
                      <w:rFonts w:hint="eastAsia"/>
                      <w:color w:val="auto"/>
                      <w:kern w:val="0"/>
                      <w:szCs w:val="21"/>
                    </w:rPr>
                    <w:t>）/（V</w:t>
                  </w:r>
                  <w:r>
                    <w:rPr>
                      <w:rFonts w:hint="eastAsia"/>
                      <w:color w:val="auto"/>
                      <w:kern w:val="0"/>
                      <w:szCs w:val="21"/>
                      <w:vertAlign w:val="subscript"/>
                    </w:rPr>
                    <w:t>1</w:t>
                  </w:r>
                  <w:r>
                    <w:rPr>
                      <w:rFonts w:hint="eastAsia"/>
                      <w:color w:val="auto"/>
                      <w:kern w:val="0"/>
                      <w:szCs w:val="21"/>
                    </w:rPr>
                    <w:t>/T</w:t>
                  </w:r>
                  <w:r>
                    <w:rPr>
                      <w:rFonts w:hint="eastAsia"/>
                      <w:color w:val="auto"/>
                      <w:kern w:val="0"/>
                      <w:szCs w:val="21"/>
                      <w:vertAlign w:val="subscript"/>
                    </w:rPr>
                    <w:t>1</w:t>
                  </w:r>
                  <w:r>
                    <w:rPr>
                      <w:rFonts w:hint="eastAsia"/>
                      <w:color w:val="auto"/>
                      <w:kern w:val="0"/>
                      <w:szCs w:val="21"/>
                    </w:rPr>
                    <w:t>+V</w:t>
                  </w:r>
                  <w:r>
                    <w:rPr>
                      <w:rFonts w:hint="eastAsia"/>
                      <w:color w:val="auto"/>
                      <w:kern w:val="0"/>
                      <w:szCs w:val="21"/>
                      <w:vertAlign w:val="subscript"/>
                    </w:rPr>
                    <w:t>2</w:t>
                  </w:r>
                  <w:r>
                    <w:rPr>
                      <w:rFonts w:hint="eastAsia"/>
                      <w:color w:val="auto"/>
                      <w:kern w:val="0"/>
                      <w:szCs w:val="21"/>
                    </w:rPr>
                    <w:t>/T</w:t>
                  </w:r>
                  <w:r>
                    <w:rPr>
                      <w:rFonts w:hint="eastAsia"/>
                      <w:color w:val="auto"/>
                      <w:kern w:val="0"/>
                      <w:szCs w:val="21"/>
                      <w:vertAlign w:val="subscript"/>
                    </w:rPr>
                    <w:t>2</w:t>
                  </w:r>
                  <w:r>
                    <w:rPr>
                      <w:rFonts w:hint="eastAsia"/>
                      <w:color w:val="auto"/>
                      <w:kern w:val="0"/>
                      <w:szCs w:val="21"/>
                    </w:rPr>
                    <w:t>）其中，V</w:t>
                  </w:r>
                  <w:r>
                    <w:rPr>
                      <w:rFonts w:hint="eastAsia"/>
                      <w:color w:val="auto"/>
                      <w:kern w:val="0"/>
                      <w:szCs w:val="21"/>
                      <w:vertAlign w:val="subscript"/>
                    </w:rPr>
                    <w:t>1</w:t>
                  </w:r>
                  <w:r>
                    <w:rPr>
                      <w:rFonts w:hint="eastAsia"/>
                      <w:color w:val="auto"/>
                      <w:kern w:val="0"/>
                      <w:szCs w:val="21"/>
                    </w:rPr>
                    <w:t>和V</w:t>
                  </w:r>
                  <w:r>
                    <w:rPr>
                      <w:rFonts w:hint="eastAsia"/>
                      <w:color w:val="auto"/>
                      <w:kern w:val="0"/>
                      <w:szCs w:val="21"/>
                      <w:vertAlign w:val="subscript"/>
                    </w:rPr>
                    <w:t>2</w:t>
                  </w:r>
                  <w:r>
                    <w:rPr>
                      <w:rFonts w:hint="eastAsia"/>
                      <w:color w:val="auto"/>
                      <w:kern w:val="0"/>
                      <w:szCs w:val="21"/>
                    </w:rPr>
                    <w:t>分别为两种气体的体积流量（单位：m³/h）；T</w:t>
                  </w:r>
                  <w:r>
                    <w:rPr>
                      <w:rFonts w:hint="eastAsia"/>
                      <w:color w:val="auto"/>
                      <w:kern w:val="0"/>
                      <w:szCs w:val="21"/>
                      <w:vertAlign w:val="subscript"/>
                    </w:rPr>
                    <w:t>1</w:t>
                  </w:r>
                  <w:r>
                    <w:rPr>
                      <w:rFonts w:hint="eastAsia"/>
                      <w:color w:val="auto"/>
                      <w:kern w:val="0"/>
                      <w:szCs w:val="21"/>
                    </w:rPr>
                    <w:t>和T</w:t>
                  </w:r>
                  <w:r>
                    <w:rPr>
                      <w:rFonts w:hint="eastAsia"/>
                      <w:color w:val="auto"/>
                      <w:kern w:val="0"/>
                      <w:szCs w:val="21"/>
                      <w:vertAlign w:val="subscript"/>
                    </w:rPr>
                    <w:t>2</w:t>
                  </w:r>
                  <w:r>
                    <w:rPr>
                      <w:rFonts w:hint="eastAsia"/>
                      <w:color w:val="auto"/>
                      <w:kern w:val="0"/>
                      <w:szCs w:val="21"/>
                    </w:rPr>
                    <w:t>分别为两种气体的绝对温度（单位：K）​</w:t>
                  </w:r>
                </w:p>
              </w:tc>
            </w:tr>
          </w:tbl>
          <w:p w14:paraId="25F9CF18">
            <w:pPr>
              <w:pStyle w:val="43"/>
              <w:jc w:val="left"/>
              <w:rPr>
                <w:color w:val="auto"/>
                <w:szCs w:val="24"/>
              </w:rPr>
            </w:pPr>
            <w:r>
              <w:rPr>
                <w:color w:val="auto"/>
              </w:rPr>
              <w:t>根据《重点行业挥发性有机物综合治理方案》，采用吸附处理工艺的，应满足《吸附法工业有机废气治理工程技术规范》（HJ2026-2013）“6.3.3.3采用蜂窝状吸附剂，气体流速宜低于1.2m/s”。项目活性炭吸附装置的气体流速小于1.2m/s，满足气体流速要求。</w:t>
            </w:r>
            <w:r>
              <w:rPr>
                <w:color w:val="auto"/>
                <w:szCs w:val="24"/>
              </w:rPr>
              <w:t>项目活性炭吸附器主要技术参数见下表。</w:t>
            </w:r>
          </w:p>
          <w:p w14:paraId="7B8A8AA8">
            <w:pPr>
              <w:pStyle w:val="77"/>
              <w:numPr>
                <w:ilvl w:val="0"/>
                <w:numId w:val="18"/>
              </w:numPr>
              <w:adjustRightInd w:val="0"/>
              <w:snapToGrid w:val="0"/>
              <w:jc w:val="center"/>
              <w:rPr>
                <w:b/>
                <w:bCs/>
                <w:color w:val="auto"/>
                <w:szCs w:val="21"/>
              </w:rPr>
            </w:pPr>
            <w:r>
              <w:rPr>
                <w:rFonts w:hint="eastAsia"/>
                <w:b/>
                <w:bCs/>
                <w:color w:val="auto"/>
                <w:szCs w:val="21"/>
              </w:rPr>
              <w:t>活性炭吸附设施主要技术参数</w:t>
            </w:r>
          </w:p>
          <w:tbl>
            <w:tblPr>
              <w:tblStyle w:val="3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00"/>
              <w:gridCol w:w="2521"/>
              <w:gridCol w:w="2579"/>
              <w:gridCol w:w="2391"/>
            </w:tblGrid>
            <w:tr w14:paraId="6062B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97" w:type="pct"/>
                  <w:vAlign w:val="center"/>
                </w:tcPr>
                <w:p w14:paraId="0CF63F0D">
                  <w:pPr>
                    <w:widowControl/>
                    <w:jc w:val="center"/>
                    <w:textAlignment w:val="center"/>
                    <w:rPr>
                      <w:b/>
                      <w:bCs/>
                      <w:color w:val="auto"/>
                      <w:szCs w:val="21"/>
                    </w:rPr>
                  </w:pPr>
                  <w:r>
                    <w:rPr>
                      <w:b/>
                      <w:bCs/>
                      <w:color w:val="auto"/>
                      <w:kern w:val="0"/>
                      <w:szCs w:val="21"/>
                      <w:lang w:bidi="ar"/>
                    </w:rPr>
                    <w:t>对应排气筒编号</w:t>
                  </w:r>
                </w:p>
              </w:tc>
              <w:tc>
                <w:tcPr>
                  <w:tcW w:w="1179" w:type="pct"/>
                  <w:vAlign w:val="center"/>
                </w:tcPr>
                <w:p w14:paraId="5DDD9E7A">
                  <w:pPr>
                    <w:widowControl/>
                    <w:jc w:val="center"/>
                    <w:textAlignment w:val="center"/>
                    <w:rPr>
                      <w:color w:val="auto"/>
                      <w:szCs w:val="21"/>
                    </w:rPr>
                  </w:pPr>
                  <w:r>
                    <w:rPr>
                      <w:rFonts w:hint="eastAsia"/>
                      <w:color w:val="auto"/>
                      <w:szCs w:val="21"/>
                    </w:rPr>
                    <w:t>DA003</w:t>
                  </w:r>
                </w:p>
              </w:tc>
              <w:tc>
                <w:tcPr>
                  <w:tcW w:w="1206" w:type="pct"/>
                  <w:vAlign w:val="center"/>
                </w:tcPr>
                <w:p w14:paraId="1A159679">
                  <w:pPr>
                    <w:widowControl/>
                    <w:jc w:val="center"/>
                    <w:textAlignment w:val="center"/>
                    <w:rPr>
                      <w:color w:val="auto"/>
                      <w:szCs w:val="21"/>
                    </w:rPr>
                  </w:pPr>
                  <w:r>
                    <w:rPr>
                      <w:rFonts w:hint="eastAsia"/>
                      <w:color w:val="auto"/>
                      <w:szCs w:val="21"/>
                    </w:rPr>
                    <w:t>DA004</w:t>
                  </w:r>
                </w:p>
              </w:tc>
              <w:tc>
                <w:tcPr>
                  <w:tcW w:w="1117" w:type="pct"/>
                  <w:vAlign w:val="center"/>
                </w:tcPr>
                <w:p w14:paraId="493A65DD">
                  <w:pPr>
                    <w:widowControl/>
                    <w:jc w:val="center"/>
                    <w:textAlignment w:val="center"/>
                    <w:rPr>
                      <w:color w:val="auto"/>
                      <w:szCs w:val="21"/>
                    </w:rPr>
                  </w:pPr>
                  <w:r>
                    <w:rPr>
                      <w:rFonts w:hint="eastAsia"/>
                      <w:color w:val="auto"/>
                      <w:szCs w:val="21"/>
                    </w:rPr>
                    <w:t>DA005</w:t>
                  </w:r>
                </w:p>
              </w:tc>
            </w:tr>
            <w:tr w14:paraId="48EDE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46B3C321">
                  <w:pPr>
                    <w:widowControl/>
                    <w:jc w:val="center"/>
                    <w:textAlignment w:val="center"/>
                    <w:rPr>
                      <w:b/>
                      <w:bCs/>
                      <w:color w:val="auto"/>
                      <w:szCs w:val="21"/>
                    </w:rPr>
                  </w:pPr>
                  <w:r>
                    <w:rPr>
                      <w:b/>
                      <w:bCs/>
                      <w:color w:val="auto"/>
                      <w:kern w:val="0"/>
                      <w:szCs w:val="21"/>
                      <w:lang w:bidi="ar"/>
                    </w:rPr>
                    <w:t>系统处理风量Q</w:t>
                  </w:r>
                </w:p>
              </w:tc>
              <w:tc>
                <w:tcPr>
                  <w:tcW w:w="1179" w:type="pct"/>
                  <w:vAlign w:val="center"/>
                </w:tcPr>
                <w:p w14:paraId="7951A6A5">
                  <w:pPr>
                    <w:widowControl/>
                    <w:jc w:val="center"/>
                    <w:textAlignment w:val="center"/>
                    <w:rPr>
                      <w:color w:val="auto"/>
                      <w:szCs w:val="21"/>
                    </w:rPr>
                  </w:pPr>
                  <w:r>
                    <w:rPr>
                      <w:rFonts w:hint="eastAsia"/>
                      <w:color w:val="auto"/>
                      <w:szCs w:val="21"/>
                    </w:rPr>
                    <w:t>20000</w:t>
                  </w:r>
                  <w:r>
                    <w:rPr>
                      <w:color w:val="auto"/>
                      <w:kern w:val="0"/>
                      <w:szCs w:val="21"/>
                      <w:lang w:bidi="ar"/>
                    </w:rPr>
                    <w:t>m</w:t>
                  </w:r>
                  <w:r>
                    <w:rPr>
                      <w:color w:val="auto"/>
                      <w:kern w:val="0"/>
                      <w:szCs w:val="21"/>
                      <w:vertAlign w:val="superscript"/>
                      <w:lang w:bidi="ar"/>
                    </w:rPr>
                    <w:t>3</w:t>
                  </w:r>
                  <w:r>
                    <w:rPr>
                      <w:color w:val="auto"/>
                      <w:kern w:val="0"/>
                      <w:szCs w:val="21"/>
                      <w:lang w:bidi="ar"/>
                    </w:rPr>
                    <w:t>/</w:t>
                  </w:r>
                  <w:r>
                    <w:rPr>
                      <w:rFonts w:hint="eastAsia"/>
                      <w:color w:val="auto"/>
                      <w:kern w:val="0"/>
                      <w:szCs w:val="21"/>
                      <w:lang w:bidi="ar"/>
                    </w:rPr>
                    <w:t>h</w:t>
                  </w:r>
                </w:p>
              </w:tc>
              <w:tc>
                <w:tcPr>
                  <w:tcW w:w="1206" w:type="pct"/>
                  <w:vAlign w:val="center"/>
                </w:tcPr>
                <w:p w14:paraId="4C730A17">
                  <w:pPr>
                    <w:widowControl/>
                    <w:jc w:val="center"/>
                    <w:textAlignment w:val="center"/>
                    <w:rPr>
                      <w:color w:val="auto"/>
                      <w:kern w:val="0"/>
                      <w:szCs w:val="21"/>
                      <w:lang w:bidi="ar"/>
                    </w:rPr>
                  </w:pPr>
                  <w:r>
                    <w:rPr>
                      <w:rFonts w:hint="eastAsia"/>
                      <w:color w:val="auto"/>
                      <w:kern w:val="0"/>
                      <w:szCs w:val="21"/>
                      <w:lang w:bidi="ar"/>
                    </w:rPr>
                    <w:t>15000</w:t>
                  </w:r>
                  <w:r>
                    <w:rPr>
                      <w:color w:val="auto"/>
                      <w:kern w:val="0"/>
                      <w:szCs w:val="21"/>
                      <w:lang w:bidi="ar"/>
                    </w:rPr>
                    <w:t>m</w:t>
                  </w:r>
                  <w:r>
                    <w:rPr>
                      <w:color w:val="auto"/>
                      <w:kern w:val="0"/>
                      <w:szCs w:val="21"/>
                      <w:vertAlign w:val="superscript"/>
                      <w:lang w:bidi="ar"/>
                    </w:rPr>
                    <w:t>3</w:t>
                  </w:r>
                  <w:r>
                    <w:rPr>
                      <w:color w:val="auto"/>
                      <w:kern w:val="0"/>
                      <w:szCs w:val="21"/>
                      <w:lang w:bidi="ar"/>
                    </w:rPr>
                    <w:t>/</w:t>
                  </w:r>
                  <w:r>
                    <w:rPr>
                      <w:rFonts w:hint="eastAsia"/>
                      <w:color w:val="auto"/>
                      <w:kern w:val="0"/>
                      <w:szCs w:val="21"/>
                      <w:lang w:bidi="ar"/>
                    </w:rPr>
                    <w:t>h</w:t>
                  </w:r>
                </w:p>
              </w:tc>
              <w:tc>
                <w:tcPr>
                  <w:tcW w:w="1117" w:type="pct"/>
                  <w:vAlign w:val="center"/>
                </w:tcPr>
                <w:p w14:paraId="745701D3">
                  <w:pPr>
                    <w:widowControl/>
                    <w:jc w:val="center"/>
                    <w:textAlignment w:val="center"/>
                    <w:rPr>
                      <w:color w:val="auto"/>
                      <w:kern w:val="0"/>
                      <w:szCs w:val="21"/>
                      <w:lang w:bidi="ar"/>
                    </w:rPr>
                  </w:pPr>
                  <w:r>
                    <w:rPr>
                      <w:rFonts w:hint="eastAsia"/>
                      <w:color w:val="auto"/>
                      <w:kern w:val="0"/>
                      <w:szCs w:val="21"/>
                      <w:lang w:bidi="ar"/>
                    </w:rPr>
                    <w:t>10000</w:t>
                  </w:r>
                  <w:r>
                    <w:rPr>
                      <w:color w:val="auto"/>
                      <w:kern w:val="0"/>
                      <w:szCs w:val="21"/>
                      <w:lang w:bidi="ar"/>
                    </w:rPr>
                    <w:t>m</w:t>
                  </w:r>
                  <w:r>
                    <w:rPr>
                      <w:color w:val="auto"/>
                      <w:kern w:val="0"/>
                      <w:szCs w:val="21"/>
                      <w:vertAlign w:val="superscript"/>
                      <w:lang w:bidi="ar"/>
                    </w:rPr>
                    <w:t>3</w:t>
                  </w:r>
                  <w:r>
                    <w:rPr>
                      <w:color w:val="auto"/>
                      <w:kern w:val="0"/>
                      <w:szCs w:val="21"/>
                      <w:lang w:bidi="ar"/>
                    </w:rPr>
                    <w:t>/</w:t>
                  </w:r>
                  <w:r>
                    <w:rPr>
                      <w:rFonts w:hint="eastAsia"/>
                      <w:color w:val="auto"/>
                      <w:kern w:val="0"/>
                      <w:szCs w:val="21"/>
                      <w:lang w:bidi="ar"/>
                    </w:rPr>
                    <w:t>h</w:t>
                  </w:r>
                </w:p>
              </w:tc>
            </w:tr>
            <w:tr w14:paraId="390F9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694EDB7C">
                  <w:pPr>
                    <w:widowControl/>
                    <w:jc w:val="center"/>
                    <w:textAlignment w:val="center"/>
                    <w:rPr>
                      <w:b/>
                      <w:bCs/>
                      <w:color w:val="auto"/>
                      <w:szCs w:val="21"/>
                    </w:rPr>
                  </w:pPr>
                  <w:r>
                    <w:rPr>
                      <w:b/>
                      <w:bCs/>
                      <w:color w:val="auto"/>
                      <w:kern w:val="0"/>
                      <w:szCs w:val="21"/>
                      <w:lang w:bidi="ar"/>
                    </w:rPr>
                    <w:t>数量</w:t>
                  </w:r>
                </w:p>
              </w:tc>
              <w:tc>
                <w:tcPr>
                  <w:tcW w:w="1179" w:type="pct"/>
                  <w:vAlign w:val="center"/>
                </w:tcPr>
                <w:p w14:paraId="114707B4">
                  <w:pPr>
                    <w:widowControl/>
                    <w:jc w:val="center"/>
                    <w:textAlignment w:val="center"/>
                    <w:rPr>
                      <w:color w:val="auto"/>
                      <w:szCs w:val="21"/>
                    </w:rPr>
                  </w:pPr>
                  <w:r>
                    <w:rPr>
                      <w:rFonts w:hint="eastAsia"/>
                      <w:color w:val="auto"/>
                      <w:szCs w:val="21"/>
                    </w:rPr>
                    <w:t>1</w:t>
                  </w:r>
                </w:p>
              </w:tc>
              <w:tc>
                <w:tcPr>
                  <w:tcW w:w="1206" w:type="pct"/>
                  <w:vAlign w:val="center"/>
                </w:tcPr>
                <w:p w14:paraId="6CFF4E31">
                  <w:pPr>
                    <w:widowControl/>
                    <w:jc w:val="center"/>
                    <w:textAlignment w:val="center"/>
                    <w:rPr>
                      <w:color w:val="auto"/>
                      <w:szCs w:val="21"/>
                    </w:rPr>
                  </w:pPr>
                  <w:r>
                    <w:rPr>
                      <w:rFonts w:hint="eastAsia"/>
                      <w:color w:val="auto"/>
                      <w:szCs w:val="21"/>
                    </w:rPr>
                    <w:t>1</w:t>
                  </w:r>
                </w:p>
              </w:tc>
              <w:tc>
                <w:tcPr>
                  <w:tcW w:w="1117" w:type="pct"/>
                  <w:vAlign w:val="center"/>
                </w:tcPr>
                <w:p w14:paraId="1967AAC9">
                  <w:pPr>
                    <w:widowControl/>
                    <w:jc w:val="center"/>
                    <w:textAlignment w:val="center"/>
                    <w:rPr>
                      <w:color w:val="auto"/>
                      <w:szCs w:val="21"/>
                    </w:rPr>
                  </w:pPr>
                  <w:r>
                    <w:rPr>
                      <w:rFonts w:hint="eastAsia"/>
                      <w:color w:val="auto"/>
                      <w:szCs w:val="21"/>
                    </w:rPr>
                    <w:t>1</w:t>
                  </w:r>
                </w:p>
              </w:tc>
            </w:tr>
            <w:tr w14:paraId="6A5C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259E1F5D">
                  <w:pPr>
                    <w:widowControl/>
                    <w:jc w:val="center"/>
                    <w:textAlignment w:val="center"/>
                    <w:rPr>
                      <w:b/>
                      <w:bCs/>
                      <w:color w:val="auto"/>
                      <w:szCs w:val="21"/>
                    </w:rPr>
                  </w:pPr>
                  <w:r>
                    <w:rPr>
                      <w:b/>
                      <w:bCs/>
                      <w:color w:val="auto"/>
                      <w:kern w:val="0"/>
                      <w:szCs w:val="21"/>
                      <w:lang w:bidi="ar"/>
                    </w:rPr>
                    <w:t>塔体尺寸（长L×宽B×高H）</w:t>
                  </w:r>
                </w:p>
              </w:tc>
              <w:tc>
                <w:tcPr>
                  <w:tcW w:w="1179" w:type="pct"/>
                  <w:vAlign w:val="center"/>
                </w:tcPr>
                <w:p w14:paraId="3E25F0E7">
                  <w:pPr>
                    <w:widowControl/>
                    <w:jc w:val="center"/>
                    <w:textAlignment w:val="center"/>
                    <w:rPr>
                      <w:color w:val="auto"/>
                      <w:szCs w:val="21"/>
                    </w:rPr>
                  </w:pPr>
                  <w:r>
                    <w:rPr>
                      <w:rFonts w:hint="eastAsia"/>
                      <w:color w:val="auto"/>
                      <w:szCs w:val="21"/>
                    </w:rPr>
                    <w:t>3800×2515×1450mm</w:t>
                  </w:r>
                </w:p>
              </w:tc>
              <w:tc>
                <w:tcPr>
                  <w:tcW w:w="1206" w:type="pct"/>
                  <w:vAlign w:val="center"/>
                </w:tcPr>
                <w:p w14:paraId="509797A6">
                  <w:pPr>
                    <w:widowControl/>
                    <w:jc w:val="center"/>
                    <w:textAlignment w:val="center"/>
                    <w:rPr>
                      <w:color w:val="auto"/>
                      <w:szCs w:val="21"/>
                    </w:rPr>
                  </w:pPr>
                  <w:r>
                    <w:rPr>
                      <w:rFonts w:hint="eastAsia"/>
                      <w:color w:val="auto"/>
                      <w:szCs w:val="21"/>
                    </w:rPr>
                    <w:t>2950×2515×1450mm</w:t>
                  </w:r>
                </w:p>
              </w:tc>
              <w:tc>
                <w:tcPr>
                  <w:tcW w:w="1117" w:type="pct"/>
                  <w:vAlign w:val="center"/>
                </w:tcPr>
                <w:p w14:paraId="62A18AF4">
                  <w:pPr>
                    <w:widowControl/>
                    <w:jc w:val="center"/>
                    <w:textAlignment w:val="center"/>
                    <w:rPr>
                      <w:color w:val="auto"/>
                      <w:kern w:val="0"/>
                      <w:szCs w:val="21"/>
                      <w:lang w:bidi="ar"/>
                    </w:rPr>
                  </w:pPr>
                  <w:r>
                    <w:rPr>
                      <w:rFonts w:hint="eastAsia"/>
                      <w:color w:val="auto"/>
                      <w:szCs w:val="21"/>
                    </w:rPr>
                    <w:t>2300×2515×1450</w:t>
                  </w:r>
                  <w:r>
                    <w:rPr>
                      <w:rFonts w:hint="eastAsia"/>
                      <w:color w:val="auto"/>
                      <w:kern w:val="0"/>
                      <w:szCs w:val="21"/>
                      <w:lang w:bidi="ar"/>
                    </w:rPr>
                    <w:t>mm</w:t>
                  </w:r>
                </w:p>
              </w:tc>
            </w:tr>
            <w:tr w14:paraId="2BFB9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7C01B6CB">
                  <w:pPr>
                    <w:widowControl/>
                    <w:jc w:val="center"/>
                    <w:textAlignment w:val="center"/>
                    <w:rPr>
                      <w:b/>
                      <w:bCs/>
                      <w:color w:val="auto"/>
                      <w:szCs w:val="21"/>
                    </w:rPr>
                  </w:pPr>
                  <w:r>
                    <w:rPr>
                      <w:b/>
                      <w:bCs/>
                      <w:color w:val="auto"/>
                      <w:kern w:val="0"/>
                      <w:szCs w:val="21"/>
                      <w:lang w:bidi="ar"/>
                    </w:rPr>
                    <w:t>吸附剂</w:t>
                  </w:r>
                </w:p>
              </w:tc>
              <w:tc>
                <w:tcPr>
                  <w:tcW w:w="1179" w:type="pct"/>
                  <w:vAlign w:val="center"/>
                </w:tcPr>
                <w:p w14:paraId="68CE71BF">
                  <w:pPr>
                    <w:widowControl/>
                    <w:jc w:val="center"/>
                    <w:textAlignment w:val="center"/>
                    <w:rPr>
                      <w:color w:val="auto"/>
                      <w:szCs w:val="21"/>
                    </w:rPr>
                  </w:pPr>
                  <w:r>
                    <w:rPr>
                      <w:color w:val="auto"/>
                      <w:kern w:val="0"/>
                      <w:szCs w:val="21"/>
                      <w:lang w:bidi="ar"/>
                    </w:rPr>
                    <w:t>蜂窝式</w:t>
                  </w:r>
                </w:p>
              </w:tc>
              <w:tc>
                <w:tcPr>
                  <w:tcW w:w="1206" w:type="pct"/>
                  <w:vAlign w:val="center"/>
                </w:tcPr>
                <w:p w14:paraId="52EE8AB8">
                  <w:pPr>
                    <w:widowControl/>
                    <w:jc w:val="center"/>
                    <w:textAlignment w:val="center"/>
                    <w:rPr>
                      <w:color w:val="auto"/>
                      <w:szCs w:val="21"/>
                    </w:rPr>
                  </w:pPr>
                  <w:r>
                    <w:rPr>
                      <w:color w:val="auto"/>
                      <w:kern w:val="0"/>
                      <w:szCs w:val="21"/>
                      <w:lang w:bidi="ar"/>
                    </w:rPr>
                    <w:t>蜂窝式</w:t>
                  </w:r>
                </w:p>
              </w:tc>
              <w:tc>
                <w:tcPr>
                  <w:tcW w:w="1117" w:type="pct"/>
                  <w:vAlign w:val="center"/>
                </w:tcPr>
                <w:p w14:paraId="244CA8FC">
                  <w:pPr>
                    <w:widowControl/>
                    <w:jc w:val="center"/>
                    <w:textAlignment w:val="center"/>
                    <w:rPr>
                      <w:color w:val="auto"/>
                      <w:szCs w:val="21"/>
                    </w:rPr>
                  </w:pPr>
                  <w:r>
                    <w:rPr>
                      <w:color w:val="auto"/>
                      <w:kern w:val="0"/>
                      <w:szCs w:val="21"/>
                      <w:lang w:bidi="ar"/>
                    </w:rPr>
                    <w:t>蜂窝式</w:t>
                  </w:r>
                </w:p>
              </w:tc>
            </w:tr>
            <w:tr w14:paraId="3C247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tcPr>
                <w:p w14:paraId="6D63F6E6">
                  <w:pPr>
                    <w:pStyle w:val="94"/>
                    <w:rPr>
                      <w:rFonts w:ascii="CG Times (WN)"/>
                      <w:color w:val="auto"/>
                      <w:kern w:val="0"/>
                      <w:sz w:val="21"/>
                      <w:szCs w:val="21"/>
                    </w:rPr>
                  </w:pPr>
                  <w:r>
                    <w:rPr>
                      <w:rFonts w:hint="eastAsia"/>
                      <w:b/>
                      <w:bCs/>
                      <w:color w:val="auto"/>
                      <w:sz w:val="21"/>
                      <w:szCs w:val="21"/>
                    </w:rPr>
                    <w:t>碘值</w:t>
                  </w:r>
                </w:p>
              </w:tc>
              <w:tc>
                <w:tcPr>
                  <w:tcW w:w="3502" w:type="pct"/>
                  <w:gridSpan w:val="3"/>
                </w:tcPr>
                <w:p w14:paraId="2F03B431">
                  <w:pPr>
                    <w:widowControl/>
                    <w:jc w:val="center"/>
                    <w:textAlignment w:val="center"/>
                    <w:rPr>
                      <w:color w:val="auto"/>
                      <w:kern w:val="0"/>
                      <w:szCs w:val="21"/>
                      <w:lang w:bidi="ar"/>
                    </w:rPr>
                  </w:pPr>
                  <w:r>
                    <w:rPr>
                      <w:color w:val="auto"/>
                      <w:szCs w:val="21"/>
                    </w:rPr>
                    <w:t>不低于800mg/g</w:t>
                  </w:r>
                </w:p>
              </w:tc>
            </w:tr>
            <w:tr w14:paraId="6AC08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5F2F2D0C">
                  <w:pPr>
                    <w:widowControl/>
                    <w:jc w:val="center"/>
                    <w:textAlignment w:val="center"/>
                    <w:rPr>
                      <w:b/>
                      <w:bCs/>
                      <w:color w:val="auto"/>
                      <w:szCs w:val="21"/>
                    </w:rPr>
                  </w:pPr>
                  <w:r>
                    <w:rPr>
                      <w:rFonts w:hint="eastAsia"/>
                      <w:b/>
                      <w:bCs/>
                      <w:color w:val="auto"/>
                      <w:kern w:val="0"/>
                      <w:szCs w:val="21"/>
                      <w:lang w:bidi="ar"/>
                    </w:rPr>
                    <w:t>抽屉</w:t>
                  </w:r>
                  <w:r>
                    <w:rPr>
                      <w:b/>
                      <w:bCs/>
                      <w:color w:val="auto"/>
                      <w:kern w:val="0"/>
                      <w:szCs w:val="21"/>
                      <w:lang w:bidi="ar"/>
                    </w:rPr>
                    <w:t>数</w:t>
                  </w:r>
                  <w:r>
                    <w:rPr>
                      <w:rFonts w:hint="eastAsia"/>
                      <w:b/>
                      <w:bCs/>
                      <w:color w:val="auto"/>
                      <w:kern w:val="0"/>
                      <w:szCs w:val="21"/>
                      <w:lang w:bidi="ar"/>
                    </w:rPr>
                    <w:t>n</w:t>
                  </w:r>
                </w:p>
              </w:tc>
              <w:tc>
                <w:tcPr>
                  <w:tcW w:w="1179" w:type="pct"/>
                  <w:vAlign w:val="center"/>
                </w:tcPr>
                <w:p w14:paraId="2FE00771">
                  <w:pPr>
                    <w:widowControl/>
                    <w:jc w:val="center"/>
                    <w:textAlignment w:val="center"/>
                    <w:rPr>
                      <w:color w:val="auto"/>
                      <w:szCs w:val="21"/>
                    </w:rPr>
                  </w:pPr>
                  <w:r>
                    <w:rPr>
                      <w:rFonts w:hint="eastAsia"/>
                      <w:color w:val="auto"/>
                      <w:szCs w:val="21"/>
                    </w:rPr>
                    <w:t>16</w:t>
                  </w:r>
                </w:p>
              </w:tc>
              <w:tc>
                <w:tcPr>
                  <w:tcW w:w="1206" w:type="pct"/>
                  <w:vAlign w:val="center"/>
                </w:tcPr>
                <w:p w14:paraId="408A4AF9">
                  <w:pPr>
                    <w:widowControl/>
                    <w:jc w:val="center"/>
                    <w:textAlignment w:val="center"/>
                    <w:rPr>
                      <w:color w:val="auto"/>
                      <w:szCs w:val="21"/>
                    </w:rPr>
                  </w:pPr>
                  <w:r>
                    <w:rPr>
                      <w:rFonts w:hint="eastAsia"/>
                      <w:color w:val="auto"/>
                      <w:szCs w:val="21"/>
                    </w:rPr>
                    <w:t>12</w:t>
                  </w:r>
                </w:p>
              </w:tc>
              <w:tc>
                <w:tcPr>
                  <w:tcW w:w="1117" w:type="pct"/>
                  <w:vAlign w:val="center"/>
                </w:tcPr>
                <w:p w14:paraId="146B12E5">
                  <w:pPr>
                    <w:widowControl/>
                    <w:jc w:val="center"/>
                    <w:textAlignment w:val="center"/>
                    <w:rPr>
                      <w:color w:val="auto"/>
                      <w:kern w:val="0"/>
                      <w:szCs w:val="21"/>
                      <w:lang w:bidi="ar"/>
                    </w:rPr>
                  </w:pPr>
                  <w:r>
                    <w:rPr>
                      <w:rFonts w:hint="eastAsia"/>
                      <w:color w:val="auto"/>
                      <w:kern w:val="0"/>
                      <w:szCs w:val="21"/>
                      <w:lang w:bidi="ar"/>
                    </w:rPr>
                    <w:t>8</w:t>
                  </w:r>
                </w:p>
              </w:tc>
            </w:tr>
            <w:tr w14:paraId="66E30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76DDB6EC">
                  <w:pPr>
                    <w:widowControl/>
                    <w:jc w:val="center"/>
                    <w:textAlignment w:val="center"/>
                    <w:rPr>
                      <w:b/>
                      <w:bCs/>
                      <w:color w:val="auto"/>
                      <w:szCs w:val="21"/>
                    </w:rPr>
                  </w:pPr>
                  <w:r>
                    <w:rPr>
                      <w:b/>
                      <w:bCs/>
                      <w:color w:val="auto"/>
                      <w:kern w:val="0"/>
                      <w:szCs w:val="21"/>
                      <w:lang w:bidi="ar"/>
                    </w:rPr>
                    <w:t>吸附剂每层厚度 h</w:t>
                  </w:r>
                </w:p>
              </w:tc>
              <w:tc>
                <w:tcPr>
                  <w:tcW w:w="1179" w:type="pct"/>
                  <w:vAlign w:val="center"/>
                </w:tcPr>
                <w:p w14:paraId="32BF6AEE">
                  <w:pPr>
                    <w:widowControl/>
                    <w:jc w:val="center"/>
                    <w:textAlignment w:val="center"/>
                    <w:rPr>
                      <w:color w:val="auto"/>
                      <w:szCs w:val="21"/>
                    </w:rPr>
                  </w:pPr>
                  <w:r>
                    <w:rPr>
                      <w:rFonts w:hint="eastAsia"/>
                      <w:color w:val="auto"/>
                      <w:kern w:val="0"/>
                      <w:szCs w:val="21"/>
                      <w:lang w:bidi="ar"/>
                    </w:rPr>
                    <w:t>600</w:t>
                  </w:r>
                  <w:r>
                    <w:rPr>
                      <w:color w:val="auto"/>
                      <w:kern w:val="0"/>
                      <w:szCs w:val="21"/>
                      <w:lang w:bidi="ar"/>
                    </w:rPr>
                    <w:t>m</w:t>
                  </w:r>
                  <w:r>
                    <w:rPr>
                      <w:rFonts w:hint="eastAsia"/>
                      <w:color w:val="auto"/>
                      <w:kern w:val="0"/>
                      <w:szCs w:val="21"/>
                      <w:lang w:bidi="ar"/>
                    </w:rPr>
                    <w:t>m</w:t>
                  </w:r>
                </w:p>
              </w:tc>
              <w:tc>
                <w:tcPr>
                  <w:tcW w:w="1206" w:type="pct"/>
                  <w:vAlign w:val="center"/>
                </w:tcPr>
                <w:p w14:paraId="7475F537">
                  <w:pPr>
                    <w:widowControl/>
                    <w:jc w:val="center"/>
                    <w:textAlignment w:val="center"/>
                    <w:rPr>
                      <w:color w:val="auto"/>
                      <w:szCs w:val="21"/>
                    </w:rPr>
                  </w:pPr>
                  <w:r>
                    <w:rPr>
                      <w:rFonts w:hint="eastAsia"/>
                      <w:color w:val="auto"/>
                      <w:kern w:val="0"/>
                      <w:szCs w:val="21"/>
                      <w:lang w:bidi="ar"/>
                    </w:rPr>
                    <w:t>600</w:t>
                  </w:r>
                  <w:r>
                    <w:rPr>
                      <w:color w:val="auto"/>
                      <w:kern w:val="0"/>
                      <w:szCs w:val="21"/>
                      <w:lang w:bidi="ar"/>
                    </w:rPr>
                    <w:t>m</w:t>
                  </w:r>
                  <w:r>
                    <w:rPr>
                      <w:rFonts w:hint="eastAsia"/>
                      <w:color w:val="auto"/>
                      <w:kern w:val="0"/>
                      <w:szCs w:val="21"/>
                      <w:lang w:bidi="ar"/>
                    </w:rPr>
                    <w:t>m</w:t>
                  </w:r>
                </w:p>
              </w:tc>
              <w:tc>
                <w:tcPr>
                  <w:tcW w:w="1117" w:type="pct"/>
                  <w:vAlign w:val="center"/>
                </w:tcPr>
                <w:p w14:paraId="6C4D2721">
                  <w:pPr>
                    <w:widowControl/>
                    <w:jc w:val="center"/>
                    <w:textAlignment w:val="center"/>
                    <w:rPr>
                      <w:color w:val="auto"/>
                      <w:kern w:val="0"/>
                      <w:szCs w:val="21"/>
                      <w:lang w:bidi="ar"/>
                    </w:rPr>
                  </w:pPr>
                  <w:r>
                    <w:rPr>
                      <w:rFonts w:hint="eastAsia"/>
                      <w:color w:val="auto"/>
                      <w:kern w:val="0"/>
                      <w:szCs w:val="21"/>
                      <w:lang w:bidi="ar"/>
                    </w:rPr>
                    <w:t>600</w:t>
                  </w:r>
                  <w:r>
                    <w:rPr>
                      <w:color w:val="auto"/>
                      <w:kern w:val="0"/>
                      <w:szCs w:val="21"/>
                      <w:lang w:bidi="ar"/>
                    </w:rPr>
                    <w:t>m</w:t>
                  </w:r>
                  <w:r>
                    <w:rPr>
                      <w:rFonts w:hint="eastAsia"/>
                      <w:color w:val="auto"/>
                      <w:kern w:val="0"/>
                      <w:szCs w:val="21"/>
                      <w:lang w:bidi="ar"/>
                    </w:rPr>
                    <w:t>m</w:t>
                  </w:r>
                </w:p>
              </w:tc>
            </w:tr>
            <w:tr w14:paraId="0C87C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2EECD4B1">
                  <w:pPr>
                    <w:widowControl/>
                    <w:jc w:val="center"/>
                    <w:textAlignment w:val="center"/>
                    <w:rPr>
                      <w:b/>
                      <w:bCs/>
                      <w:color w:val="auto"/>
                      <w:kern w:val="0"/>
                      <w:szCs w:val="21"/>
                      <w:lang w:bidi="ar"/>
                    </w:rPr>
                  </w:pPr>
                  <w:r>
                    <w:rPr>
                      <w:rFonts w:hint="eastAsia"/>
                      <w:b/>
                      <w:bCs/>
                      <w:color w:val="auto"/>
                      <w:szCs w:val="21"/>
                    </w:rPr>
                    <w:t>抽屉尺寸D×W×Hmm</w:t>
                  </w:r>
                </w:p>
              </w:tc>
              <w:tc>
                <w:tcPr>
                  <w:tcW w:w="1179" w:type="pct"/>
                  <w:vAlign w:val="center"/>
                </w:tcPr>
                <w:p w14:paraId="4EA85215">
                  <w:pPr>
                    <w:widowControl/>
                    <w:jc w:val="center"/>
                    <w:textAlignment w:val="center"/>
                    <w:rPr>
                      <w:color w:val="auto"/>
                      <w:kern w:val="0"/>
                      <w:szCs w:val="21"/>
                      <w:lang w:bidi="ar"/>
                    </w:rPr>
                  </w:pPr>
                  <w:r>
                    <w:rPr>
                      <w:rFonts w:hint="eastAsia"/>
                      <w:color w:val="auto"/>
                      <w:szCs w:val="21"/>
                    </w:rPr>
                    <w:t>600×500×600</w:t>
                  </w:r>
                </w:p>
              </w:tc>
              <w:tc>
                <w:tcPr>
                  <w:tcW w:w="1206" w:type="pct"/>
                  <w:vAlign w:val="center"/>
                </w:tcPr>
                <w:p w14:paraId="2A61C9EB">
                  <w:pPr>
                    <w:widowControl/>
                    <w:jc w:val="center"/>
                    <w:textAlignment w:val="center"/>
                    <w:rPr>
                      <w:color w:val="auto"/>
                      <w:kern w:val="0"/>
                      <w:szCs w:val="21"/>
                      <w:lang w:bidi="ar"/>
                    </w:rPr>
                  </w:pPr>
                  <w:r>
                    <w:rPr>
                      <w:rFonts w:hint="eastAsia"/>
                      <w:color w:val="auto"/>
                      <w:szCs w:val="21"/>
                    </w:rPr>
                    <w:t>600×500×600</w:t>
                  </w:r>
                </w:p>
              </w:tc>
              <w:tc>
                <w:tcPr>
                  <w:tcW w:w="1117" w:type="pct"/>
                  <w:vAlign w:val="center"/>
                </w:tcPr>
                <w:p w14:paraId="048C117E">
                  <w:pPr>
                    <w:widowControl/>
                    <w:jc w:val="center"/>
                    <w:textAlignment w:val="center"/>
                    <w:rPr>
                      <w:color w:val="auto"/>
                      <w:kern w:val="0"/>
                      <w:szCs w:val="21"/>
                      <w:lang w:bidi="ar"/>
                    </w:rPr>
                  </w:pPr>
                  <w:r>
                    <w:rPr>
                      <w:rFonts w:hint="eastAsia"/>
                      <w:color w:val="auto"/>
                      <w:szCs w:val="21"/>
                    </w:rPr>
                    <w:t>600×500×600</w:t>
                  </w:r>
                </w:p>
              </w:tc>
            </w:tr>
            <w:tr w14:paraId="3C6D1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512DCC29">
                  <w:pPr>
                    <w:widowControl/>
                    <w:jc w:val="center"/>
                    <w:textAlignment w:val="center"/>
                    <w:rPr>
                      <w:b/>
                      <w:bCs/>
                      <w:color w:val="auto"/>
                      <w:kern w:val="0"/>
                      <w:szCs w:val="21"/>
                      <w:lang w:bidi="ar"/>
                    </w:rPr>
                  </w:pPr>
                  <w:r>
                    <w:rPr>
                      <w:b/>
                      <w:bCs/>
                      <w:color w:val="auto"/>
                      <w:kern w:val="0"/>
                      <w:szCs w:val="21"/>
                      <w:lang w:bidi="ar"/>
                    </w:rPr>
                    <w:t>过滤风速V</w:t>
                  </w:r>
                </w:p>
                <w:p w14:paraId="64FE1DE1">
                  <w:pPr>
                    <w:widowControl/>
                    <w:jc w:val="center"/>
                    <w:textAlignment w:val="center"/>
                    <w:rPr>
                      <w:b/>
                      <w:bCs/>
                      <w:color w:val="auto"/>
                      <w:szCs w:val="21"/>
                    </w:rPr>
                  </w:pPr>
                  <w:r>
                    <w:rPr>
                      <w:b/>
                      <w:bCs/>
                      <w:color w:val="auto"/>
                      <w:kern w:val="0"/>
                      <w:szCs w:val="21"/>
                      <w:lang w:bidi="ar"/>
                    </w:rPr>
                    <w:t>（V=Q/3600/（</w:t>
                  </w:r>
                  <w:r>
                    <w:rPr>
                      <w:rFonts w:hint="eastAsia"/>
                      <w:b/>
                      <w:bCs/>
                      <w:color w:val="auto"/>
                      <w:kern w:val="0"/>
                      <w:szCs w:val="21"/>
                      <w:lang w:bidi="ar"/>
                    </w:rPr>
                    <w:t>D</w:t>
                  </w:r>
                  <w:r>
                    <w:rPr>
                      <w:b/>
                      <w:bCs/>
                      <w:color w:val="auto"/>
                      <w:kern w:val="0"/>
                      <w:szCs w:val="21"/>
                      <w:lang w:bidi="ar"/>
                    </w:rPr>
                    <w:t>×</w:t>
                  </w:r>
                  <w:r>
                    <w:rPr>
                      <w:rFonts w:hint="eastAsia"/>
                      <w:b/>
                      <w:bCs/>
                      <w:color w:val="auto"/>
                      <w:kern w:val="0"/>
                      <w:szCs w:val="21"/>
                      <w:lang w:bidi="ar"/>
                    </w:rPr>
                    <w:t>W</w:t>
                  </w:r>
                  <w:r>
                    <w:rPr>
                      <w:b/>
                      <w:bCs/>
                      <w:color w:val="auto"/>
                      <w:kern w:val="0"/>
                      <w:szCs w:val="21"/>
                      <w:lang w:bidi="ar"/>
                    </w:rPr>
                    <w:t>×</w:t>
                  </w:r>
                  <w:r>
                    <w:rPr>
                      <w:rFonts w:hint="eastAsia"/>
                      <w:b/>
                      <w:bCs/>
                      <w:color w:val="auto"/>
                      <w:kern w:val="0"/>
                      <w:szCs w:val="21"/>
                      <w:lang w:bidi="ar"/>
                    </w:rPr>
                    <w:t>n</w:t>
                  </w:r>
                  <w:r>
                    <w:rPr>
                      <w:b/>
                      <w:bCs/>
                      <w:color w:val="auto"/>
                      <w:kern w:val="0"/>
                      <w:szCs w:val="21"/>
                      <w:lang w:bidi="ar"/>
                    </w:rPr>
                    <w:t>）</w:t>
                  </w:r>
                </w:p>
              </w:tc>
              <w:tc>
                <w:tcPr>
                  <w:tcW w:w="1179" w:type="pct"/>
                  <w:noWrap/>
                  <w:vAlign w:val="center"/>
                </w:tcPr>
                <w:p w14:paraId="03CD2A8B">
                  <w:pPr>
                    <w:widowControl/>
                    <w:jc w:val="center"/>
                    <w:textAlignment w:val="center"/>
                    <w:rPr>
                      <w:color w:val="auto"/>
                      <w:szCs w:val="21"/>
                    </w:rPr>
                  </w:pPr>
                  <w:r>
                    <w:rPr>
                      <w:rFonts w:hint="eastAsia"/>
                      <w:color w:val="auto"/>
                      <w:kern w:val="0"/>
                      <w:szCs w:val="21"/>
                      <w:lang w:bidi="ar"/>
                    </w:rPr>
                    <w:t>1.16</w:t>
                  </w:r>
                  <w:r>
                    <w:rPr>
                      <w:color w:val="auto"/>
                      <w:kern w:val="0"/>
                      <w:szCs w:val="21"/>
                      <w:lang w:bidi="ar"/>
                    </w:rPr>
                    <w:t>m/s</w:t>
                  </w:r>
                </w:p>
              </w:tc>
              <w:tc>
                <w:tcPr>
                  <w:tcW w:w="1206" w:type="pct"/>
                  <w:noWrap/>
                  <w:vAlign w:val="center"/>
                </w:tcPr>
                <w:p w14:paraId="70E5B5E3">
                  <w:pPr>
                    <w:widowControl/>
                    <w:jc w:val="center"/>
                    <w:textAlignment w:val="center"/>
                    <w:rPr>
                      <w:color w:val="auto"/>
                      <w:szCs w:val="21"/>
                    </w:rPr>
                  </w:pPr>
                  <w:r>
                    <w:rPr>
                      <w:rFonts w:hint="eastAsia"/>
                      <w:color w:val="auto"/>
                      <w:kern w:val="0"/>
                      <w:szCs w:val="21"/>
                      <w:lang w:bidi="ar"/>
                    </w:rPr>
                    <w:t>1.16</w:t>
                  </w:r>
                  <w:r>
                    <w:rPr>
                      <w:color w:val="auto"/>
                      <w:kern w:val="0"/>
                      <w:szCs w:val="21"/>
                      <w:lang w:bidi="ar"/>
                    </w:rPr>
                    <w:t>m/s</w:t>
                  </w:r>
                </w:p>
              </w:tc>
              <w:tc>
                <w:tcPr>
                  <w:tcW w:w="1117" w:type="pct"/>
                  <w:noWrap/>
                  <w:vAlign w:val="center"/>
                </w:tcPr>
                <w:p w14:paraId="377FC9CA">
                  <w:pPr>
                    <w:widowControl/>
                    <w:jc w:val="center"/>
                    <w:textAlignment w:val="center"/>
                    <w:rPr>
                      <w:color w:val="auto"/>
                      <w:kern w:val="0"/>
                      <w:szCs w:val="21"/>
                      <w:lang w:bidi="ar"/>
                    </w:rPr>
                  </w:pPr>
                  <w:r>
                    <w:rPr>
                      <w:rFonts w:hint="eastAsia"/>
                      <w:color w:val="auto"/>
                      <w:kern w:val="0"/>
                      <w:szCs w:val="21"/>
                      <w:lang w:bidi="ar"/>
                    </w:rPr>
                    <w:t>1.16</w:t>
                  </w:r>
                  <w:r>
                    <w:rPr>
                      <w:color w:val="auto"/>
                      <w:kern w:val="0"/>
                      <w:szCs w:val="21"/>
                      <w:lang w:bidi="ar"/>
                    </w:rPr>
                    <w:t>m/s</w:t>
                  </w:r>
                </w:p>
              </w:tc>
            </w:tr>
            <w:tr w14:paraId="60011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40D17EDD">
                  <w:pPr>
                    <w:widowControl/>
                    <w:jc w:val="center"/>
                    <w:textAlignment w:val="center"/>
                    <w:rPr>
                      <w:b/>
                      <w:bCs/>
                      <w:color w:val="auto"/>
                      <w:szCs w:val="21"/>
                    </w:rPr>
                  </w:pPr>
                  <w:r>
                    <w:rPr>
                      <w:b/>
                      <w:bCs/>
                      <w:color w:val="auto"/>
                      <w:kern w:val="0"/>
                      <w:szCs w:val="21"/>
                      <w:lang w:bidi="ar"/>
                    </w:rPr>
                    <w:t>过滤停留时间 T（T=h/V）</w:t>
                  </w:r>
                </w:p>
              </w:tc>
              <w:tc>
                <w:tcPr>
                  <w:tcW w:w="1179" w:type="pct"/>
                  <w:noWrap/>
                  <w:vAlign w:val="center"/>
                </w:tcPr>
                <w:p w14:paraId="3FFCBEE0">
                  <w:pPr>
                    <w:widowControl/>
                    <w:jc w:val="center"/>
                    <w:textAlignment w:val="center"/>
                    <w:rPr>
                      <w:color w:val="auto"/>
                      <w:szCs w:val="21"/>
                    </w:rPr>
                  </w:pPr>
                  <w:r>
                    <w:rPr>
                      <w:rFonts w:hint="eastAsia"/>
                      <w:color w:val="auto"/>
                      <w:kern w:val="0"/>
                      <w:szCs w:val="21"/>
                      <w:lang w:bidi="ar"/>
                    </w:rPr>
                    <w:t>0.517</w:t>
                  </w:r>
                  <w:r>
                    <w:rPr>
                      <w:color w:val="auto"/>
                      <w:kern w:val="0"/>
                      <w:szCs w:val="21"/>
                      <w:lang w:bidi="ar"/>
                    </w:rPr>
                    <w:t>s</w:t>
                  </w:r>
                </w:p>
              </w:tc>
              <w:tc>
                <w:tcPr>
                  <w:tcW w:w="1206" w:type="pct"/>
                  <w:noWrap/>
                  <w:vAlign w:val="center"/>
                </w:tcPr>
                <w:p w14:paraId="5E336201">
                  <w:pPr>
                    <w:widowControl/>
                    <w:jc w:val="center"/>
                    <w:textAlignment w:val="center"/>
                    <w:rPr>
                      <w:color w:val="auto"/>
                      <w:szCs w:val="21"/>
                    </w:rPr>
                  </w:pPr>
                  <w:r>
                    <w:rPr>
                      <w:rFonts w:hint="eastAsia"/>
                      <w:color w:val="auto"/>
                      <w:kern w:val="0"/>
                      <w:szCs w:val="21"/>
                      <w:lang w:bidi="ar"/>
                    </w:rPr>
                    <w:t>0.517</w:t>
                  </w:r>
                  <w:r>
                    <w:rPr>
                      <w:color w:val="auto"/>
                      <w:kern w:val="0"/>
                      <w:szCs w:val="21"/>
                      <w:lang w:bidi="ar"/>
                    </w:rPr>
                    <w:t>s</w:t>
                  </w:r>
                </w:p>
              </w:tc>
              <w:tc>
                <w:tcPr>
                  <w:tcW w:w="1117" w:type="pct"/>
                  <w:noWrap/>
                  <w:vAlign w:val="center"/>
                </w:tcPr>
                <w:p w14:paraId="744396E7">
                  <w:pPr>
                    <w:widowControl/>
                    <w:jc w:val="center"/>
                    <w:textAlignment w:val="center"/>
                    <w:rPr>
                      <w:color w:val="auto"/>
                      <w:kern w:val="0"/>
                      <w:szCs w:val="21"/>
                      <w:lang w:bidi="ar"/>
                    </w:rPr>
                  </w:pPr>
                  <w:r>
                    <w:rPr>
                      <w:rFonts w:hint="eastAsia"/>
                      <w:color w:val="auto"/>
                      <w:kern w:val="0"/>
                      <w:szCs w:val="21"/>
                      <w:lang w:bidi="ar"/>
                    </w:rPr>
                    <w:t>0.517</w:t>
                  </w:r>
                  <w:r>
                    <w:rPr>
                      <w:color w:val="auto"/>
                      <w:kern w:val="0"/>
                      <w:szCs w:val="21"/>
                      <w:lang w:bidi="ar"/>
                    </w:rPr>
                    <w:t>s</w:t>
                  </w:r>
                </w:p>
              </w:tc>
            </w:tr>
            <w:tr w14:paraId="666BF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2472D0AA">
                  <w:pPr>
                    <w:widowControl/>
                    <w:jc w:val="center"/>
                    <w:textAlignment w:val="center"/>
                    <w:rPr>
                      <w:b/>
                      <w:bCs/>
                      <w:color w:val="auto"/>
                      <w:szCs w:val="21"/>
                    </w:rPr>
                  </w:pPr>
                  <w:r>
                    <w:rPr>
                      <w:b/>
                      <w:bCs/>
                      <w:color w:val="auto"/>
                      <w:kern w:val="0"/>
                      <w:szCs w:val="21"/>
                      <w:lang w:bidi="ar"/>
                    </w:rPr>
                    <w:t>吸附剂密度ρ</w:t>
                  </w:r>
                </w:p>
              </w:tc>
              <w:tc>
                <w:tcPr>
                  <w:tcW w:w="1179" w:type="pct"/>
                  <w:noWrap/>
                  <w:vAlign w:val="center"/>
                </w:tcPr>
                <w:p w14:paraId="63BBD56F">
                  <w:pPr>
                    <w:widowControl/>
                    <w:jc w:val="center"/>
                    <w:textAlignment w:val="center"/>
                    <w:rPr>
                      <w:color w:val="auto"/>
                      <w:szCs w:val="21"/>
                    </w:rPr>
                  </w:pPr>
                  <w:r>
                    <w:rPr>
                      <w:rFonts w:hint="eastAsia"/>
                      <w:color w:val="auto"/>
                      <w:kern w:val="0"/>
                      <w:szCs w:val="21"/>
                      <w:lang w:bidi="ar"/>
                    </w:rPr>
                    <w:t>350</w:t>
                  </w:r>
                  <w:r>
                    <w:rPr>
                      <w:color w:val="auto"/>
                      <w:kern w:val="0"/>
                      <w:szCs w:val="21"/>
                      <w:lang w:bidi="ar"/>
                    </w:rPr>
                    <w:t>kg/m</w:t>
                  </w:r>
                  <w:r>
                    <w:rPr>
                      <w:color w:val="auto"/>
                      <w:kern w:val="0"/>
                      <w:szCs w:val="21"/>
                      <w:vertAlign w:val="superscript"/>
                      <w:lang w:bidi="ar"/>
                    </w:rPr>
                    <w:t>3</w:t>
                  </w:r>
                </w:p>
              </w:tc>
              <w:tc>
                <w:tcPr>
                  <w:tcW w:w="1206" w:type="pct"/>
                  <w:noWrap/>
                  <w:vAlign w:val="center"/>
                </w:tcPr>
                <w:p w14:paraId="37F7EEB3">
                  <w:pPr>
                    <w:widowControl/>
                    <w:jc w:val="center"/>
                    <w:textAlignment w:val="center"/>
                    <w:rPr>
                      <w:color w:val="auto"/>
                      <w:szCs w:val="21"/>
                    </w:rPr>
                  </w:pPr>
                  <w:r>
                    <w:rPr>
                      <w:rFonts w:hint="eastAsia"/>
                      <w:color w:val="auto"/>
                      <w:kern w:val="0"/>
                      <w:szCs w:val="21"/>
                      <w:lang w:bidi="ar"/>
                    </w:rPr>
                    <w:t>3</w:t>
                  </w:r>
                  <w:r>
                    <w:rPr>
                      <w:color w:val="auto"/>
                      <w:kern w:val="0"/>
                      <w:szCs w:val="21"/>
                      <w:lang w:bidi="ar"/>
                    </w:rPr>
                    <w:t>50kg/m</w:t>
                  </w:r>
                  <w:r>
                    <w:rPr>
                      <w:color w:val="auto"/>
                      <w:kern w:val="0"/>
                      <w:szCs w:val="21"/>
                      <w:vertAlign w:val="superscript"/>
                      <w:lang w:bidi="ar"/>
                    </w:rPr>
                    <w:t>3</w:t>
                  </w:r>
                </w:p>
              </w:tc>
              <w:tc>
                <w:tcPr>
                  <w:tcW w:w="1117" w:type="pct"/>
                  <w:noWrap/>
                  <w:vAlign w:val="center"/>
                </w:tcPr>
                <w:p w14:paraId="3D8D07AB">
                  <w:pPr>
                    <w:widowControl/>
                    <w:jc w:val="center"/>
                    <w:textAlignment w:val="center"/>
                    <w:rPr>
                      <w:color w:val="auto"/>
                      <w:szCs w:val="21"/>
                    </w:rPr>
                  </w:pPr>
                  <w:r>
                    <w:rPr>
                      <w:rFonts w:hint="eastAsia"/>
                      <w:color w:val="auto"/>
                      <w:kern w:val="0"/>
                      <w:szCs w:val="21"/>
                      <w:lang w:bidi="ar"/>
                    </w:rPr>
                    <w:t>3</w:t>
                  </w:r>
                  <w:r>
                    <w:rPr>
                      <w:color w:val="auto"/>
                      <w:kern w:val="0"/>
                      <w:szCs w:val="21"/>
                      <w:lang w:bidi="ar"/>
                    </w:rPr>
                    <w:t>50kg/m</w:t>
                  </w:r>
                  <w:r>
                    <w:rPr>
                      <w:color w:val="auto"/>
                      <w:kern w:val="0"/>
                      <w:szCs w:val="21"/>
                      <w:vertAlign w:val="superscript"/>
                      <w:lang w:bidi="ar"/>
                    </w:rPr>
                    <w:t>3</w:t>
                  </w:r>
                </w:p>
              </w:tc>
            </w:tr>
            <w:tr w14:paraId="59D95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582CACDE">
                  <w:pPr>
                    <w:widowControl/>
                    <w:jc w:val="center"/>
                    <w:textAlignment w:val="center"/>
                    <w:rPr>
                      <w:b/>
                      <w:bCs/>
                      <w:color w:val="auto"/>
                      <w:szCs w:val="21"/>
                    </w:rPr>
                  </w:pPr>
                  <w:r>
                    <w:rPr>
                      <w:b/>
                      <w:bCs/>
                      <w:color w:val="auto"/>
                      <w:kern w:val="0"/>
                      <w:szCs w:val="21"/>
                      <w:lang w:bidi="ar"/>
                    </w:rPr>
                    <w:t>吸附剂尺寸m</w:t>
                  </w:r>
                </w:p>
              </w:tc>
              <w:tc>
                <w:tcPr>
                  <w:tcW w:w="1179" w:type="pct"/>
                  <w:vAlign w:val="center"/>
                </w:tcPr>
                <w:p w14:paraId="44F0A055">
                  <w:pPr>
                    <w:widowControl/>
                    <w:jc w:val="center"/>
                    <w:textAlignment w:val="center"/>
                    <w:rPr>
                      <w:color w:val="auto"/>
                      <w:szCs w:val="21"/>
                    </w:rPr>
                  </w:pPr>
                  <w:r>
                    <w:rPr>
                      <w:color w:val="auto"/>
                      <w:kern w:val="0"/>
                      <w:szCs w:val="21"/>
                      <w:lang w:bidi="ar"/>
                    </w:rPr>
                    <w:t>100×100×100mm</w:t>
                  </w:r>
                </w:p>
              </w:tc>
              <w:tc>
                <w:tcPr>
                  <w:tcW w:w="1206" w:type="pct"/>
                  <w:vAlign w:val="center"/>
                </w:tcPr>
                <w:p w14:paraId="5E43B4FE">
                  <w:pPr>
                    <w:widowControl/>
                    <w:jc w:val="center"/>
                    <w:textAlignment w:val="center"/>
                    <w:rPr>
                      <w:color w:val="auto"/>
                      <w:szCs w:val="21"/>
                    </w:rPr>
                  </w:pPr>
                  <w:r>
                    <w:rPr>
                      <w:color w:val="auto"/>
                      <w:kern w:val="0"/>
                      <w:szCs w:val="21"/>
                      <w:lang w:bidi="ar"/>
                    </w:rPr>
                    <w:t>100×100×100mm</w:t>
                  </w:r>
                </w:p>
              </w:tc>
              <w:tc>
                <w:tcPr>
                  <w:tcW w:w="1117" w:type="pct"/>
                  <w:vAlign w:val="center"/>
                </w:tcPr>
                <w:p w14:paraId="6683657D">
                  <w:pPr>
                    <w:widowControl/>
                    <w:jc w:val="center"/>
                    <w:textAlignment w:val="center"/>
                    <w:rPr>
                      <w:color w:val="auto"/>
                      <w:szCs w:val="21"/>
                    </w:rPr>
                  </w:pPr>
                  <w:r>
                    <w:rPr>
                      <w:color w:val="auto"/>
                      <w:kern w:val="0"/>
                      <w:szCs w:val="21"/>
                      <w:lang w:bidi="ar"/>
                    </w:rPr>
                    <w:t>100×100×100mm</w:t>
                  </w:r>
                </w:p>
              </w:tc>
            </w:tr>
            <w:tr w14:paraId="13EAE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497" w:type="pct"/>
                  <w:vAlign w:val="center"/>
                </w:tcPr>
                <w:p w14:paraId="020C5889">
                  <w:pPr>
                    <w:widowControl/>
                    <w:jc w:val="center"/>
                    <w:textAlignment w:val="center"/>
                    <w:rPr>
                      <w:b/>
                      <w:bCs/>
                      <w:color w:val="auto"/>
                      <w:szCs w:val="21"/>
                    </w:rPr>
                  </w:pPr>
                  <w:r>
                    <w:rPr>
                      <w:b/>
                      <w:bCs/>
                      <w:color w:val="auto"/>
                      <w:kern w:val="0"/>
                      <w:szCs w:val="21"/>
                      <w:lang w:bidi="ar"/>
                    </w:rPr>
                    <w:t>吸附剂重量（m×ρ）</w:t>
                  </w:r>
                </w:p>
              </w:tc>
              <w:tc>
                <w:tcPr>
                  <w:tcW w:w="1179" w:type="pct"/>
                  <w:vAlign w:val="center"/>
                </w:tcPr>
                <w:p w14:paraId="2EAD296E">
                  <w:pPr>
                    <w:widowControl/>
                    <w:jc w:val="center"/>
                    <w:textAlignment w:val="center"/>
                    <w:rPr>
                      <w:color w:val="auto"/>
                      <w:szCs w:val="21"/>
                    </w:rPr>
                  </w:pPr>
                  <w:r>
                    <w:rPr>
                      <w:color w:val="auto"/>
                      <w:kern w:val="0"/>
                      <w:szCs w:val="21"/>
                      <w:lang w:bidi="ar"/>
                    </w:rPr>
                    <w:t>0.</w:t>
                  </w:r>
                  <w:r>
                    <w:rPr>
                      <w:rFonts w:hint="eastAsia"/>
                      <w:color w:val="auto"/>
                      <w:kern w:val="0"/>
                      <w:szCs w:val="21"/>
                      <w:lang w:bidi="ar"/>
                    </w:rPr>
                    <w:t>35</w:t>
                  </w:r>
                  <w:r>
                    <w:rPr>
                      <w:color w:val="auto"/>
                      <w:kern w:val="0"/>
                      <w:szCs w:val="21"/>
                      <w:lang w:bidi="ar"/>
                    </w:rPr>
                    <w:t>kg/个</w:t>
                  </w:r>
                </w:p>
              </w:tc>
              <w:tc>
                <w:tcPr>
                  <w:tcW w:w="1206" w:type="pct"/>
                  <w:vAlign w:val="center"/>
                </w:tcPr>
                <w:p w14:paraId="441B3A81">
                  <w:pPr>
                    <w:widowControl/>
                    <w:jc w:val="center"/>
                    <w:textAlignment w:val="center"/>
                    <w:rPr>
                      <w:color w:val="auto"/>
                      <w:szCs w:val="21"/>
                    </w:rPr>
                  </w:pPr>
                  <w:r>
                    <w:rPr>
                      <w:color w:val="auto"/>
                      <w:kern w:val="0"/>
                      <w:szCs w:val="21"/>
                      <w:lang w:bidi="ar"/>
                    </w:rPr>
                    <w:t>0.</w:t>
                  </w:r>
                  <w:r>
                    <w:rPr>
                      <w:rFonts w:hint="eastAsia"/>
                      <w:color w:val="auto"/>
                      <w:kern w:val="0"/>
                      <w:szCs w:val="21"/>
                      <w:lang w:bidi="ar"/>
                    </w:rPr>
                    <w:t>3</w:t>
                  </w:r>
                  <w:r>
                    <w:rPr>
                      <w:color w:val="auto"/>
                      <w:kern w:val="0"/>
                      <w:szCs w:val="21"/>
                      <w:lang w:bidi="ar"/>
                    </w:rPr>
                    <w:t>5kg/个</w:t>
                  </w:r>
                </w:p>
              </w:tc>
              <w:tc>
                <w:tcPr>
                  <w:tcW w:w="1117" w:type="pct"/>
                  <w:vAlign w:val="center"/>
                </w:tcPr>
                <w:p w14:paraId="63A033AA">
                  <w:pPr>
                    <w:widowControl/>
                    <w:jc w:val="center"/>
                    <w:textAlignment w:val="center"/>
                    <w:rPr>
                      <w:color w:val="auto"/>
                      <w:szCs w:val="21"/>
                    </w:rPr>
                  </w:pPr>
                  <w:r>
                    <w:rPr>
                      <w:color w:val="auto"/>
                      <w:kern w:val="0"/>
                      <w:szCs w:val="21"/>
                      <w:lang w:bidi="ar"/>
                    </w:rPr>
                    <w:t>0.</w:t>
                  </w:r>
                  <w:r>
                    <w:rPr>
                      <w:rFonts w:hint="eastAsia"/>
                      <w:color w:val="auto"/>
                      <w:kern w:val="0"/>
                      <w:szCs w:val="21"/>
                      <w:lang w:bidi="ar"/>
                    </w:rPr>
                    <w:t>3</w:t>
                  </w:r>
                  <w:r>
                    <w:rPr>
                      <w:color w:val="auto"/>
                      <w:kern w:val="0"/>
                      <w:szCs w:val="21"/>
                      <w:lang w:bidi="ar"/>
                    </w:rPr>
                    <w:t>5kg/个</w:t>
                  </w:r>
                </w:p>
              </w:tc>
            </w:tr>
            <w:tr w14:paraId="0075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34DC453A">
                  <w:pPr>
                    <w:widowControl/>
                    <w:jc w:val="center"/>
                    <w:textAlignment w:val="center"/>
                    <w:rPr>
                      <w:b/>
                      <w:bCs/>
                      <w:color w:val="auto"/>
                      <w:szCs w:val="21"/>
                    </w:rPr>
                  </w:pPr>
                  <w:r>
                    <w:rPr>
                      <w:b/>
                      <w:bCs/>
                      <w:color w:val="auto"/>
                      <w:kern w:val="0"/>
                      <w:szCs w:val="21"/>
                      <w:lang w:bidi="ar"/>
                    </w:rPr>
                    <w:t>单次单级活性炭箱填装量G（G=</w:t>
                  </w:r>
                  <w:r>
                    <w:rPr>
                      <w:rFonts w:hint="eastAsia"/>
                      <w:b/>
                      <w:bCs/>
                      <w:color w:val="auto"/>
                      <w:kern w:val="0"/>
                      <w:szCs w:val="21"/>
                      <w:lang w:bidi="ar"/>
                    </w:rPr>
                    <w:t>D</w:t>
                  </w:r>
                  <w:r>
                    <w:rPr>
                      <w:b/>
                      <w:bCs/>
                      <w:color w:val="auto"/>
                      <w:kern w:val="0"/>
                      <w:szCs w:val="21"/>
                      <w:lang w:bidi="ar"/>
                    </w:rPr>
                    <w:t>*</w:t>
                  </w:r>
                  <w:r>
                    <w:rPr>
                      <w:rFonts w:hint="eastAsia"/>
                      <w:b/>
                      <w:bCs/>
                      <w:color w:val="auto"/>
                      <w:kern w:val="0"/>
                      <w:szCs w:val="21"/>
                      <w:lang w:bidi="ar"/>
                    </w:rPr>
                    <w:t>W</w:t>
                  </w:r>
                  <w:r>
                    <w:rPr>
                      <w:b/>
                      <w:bCs/>
                      <w:color w:val="auto"/>
                      <w:kern w:val="0"/>
                      <w:szCs w:val="21"/>
                      <w:lang w:bidi="ar"/>
                    </w:rPr>
                    <w:t>*h*</w:t>
                  </w:r>
                  <w:r>
                    <w:rPr>
                      <w:rFonts w:hint="eastAsia"/>
                      <w:b/>
                      <w:bCs/>
                      <w:color w:val="auto"/>
                      <w:kern w:val="0"/>
                      <w:szCs w:val="21"/>
                      <w:lang w:bidi="ar"/>
                    </w:rPr>
                    <w:t>n</w:t>
                  </w:r>
                  <w:r>
                    <w:rPr>
                      <w:b/>
                      <w:bCs/>
                      <w:color w:val="auto"/>
                      <w:kern w:val="0"/>
                      <w:szCs w:val="21"/>
                      <w:lang w:bidi="ar"/>
                    </w:rPr>
                    <w:t>*ρ）</w:t>
                  </w:r>
                </w:p>
              </w:tc>
              <w:tc>
                <w:tcPr>
                  <w:tcW w:w="1179" w:type="pct"/>
                  <w:vAlign w:val="center"/>
                </w:tcPr>
                <w:p w14:paraId="01589BD7">
                  <w:pPr>
                    <w:widowControl/>
                    <w:jc w:val="center"/>
                    <w:textAlignment w:val="center"/>
                    <w:rPr>
                      <w:color w:val="auto"/>
                      <w:szCs w:val="21"/>
                    </w:rPr>
                  </w:pPr>
                  <w:r>
                    <w:rPr>
                      <w:rFonts w:hint="eastAsia"/>
                      <w:color w:val="auto"/>
                      <w:kern w:val="0"/>
                      <w:szCs w:val="21"/>
                      <w:lang w:bidi="ar"/>
                    </w:rPr>
                    <w:t>1.008t</w:t>
                  </w:r>
                </w:p>
              </w:tc>
              <w:tc>
                <w:tcPr>
                  <w:tcW w:w="1206" w:type="pct"/>
                  <w:vAlign w:val="center"/>
                </w:tcPr>
                <w:p w14:paraId="3F5F2B72">
                  <w:pPr>
                    <w:widowControl/>
                    <w:jc w:val="center"/>
                    <w:textAlignment w:val="center"/>
                    <w:rPr>
                      <w:color w:val="auto"/>
                      <w:szCs w:val="21"/>
                    </w:rPr>
                  </w:pPr>
                  <w:r>
                    <w:rPr>
                      <w:rFonts w:hint="eastAsia"/>
                      <w:color w:val="auto"/>
                      <w:kern w:val="0"/>
                      <w:szCs w:val="21"/>
                      <w:lang w:bidi="ar"/>
                    </w:rPr>
                    <w:t>0.756t</w:t>
                  </w:r>
                </w:p>
              </w:tc>
              <w:tc>
                <w:tcPr>
                  <w:tcW w:w="1117" w:type="pct"/>
                  <w:vAlign w:val="center"/>
                </w:tcPr>
                <w:p w14:paraId="411291ED">
                  <w:pPr>
                    <w:widowControl/>
                    <w:jc w:val="center"/>
                    <w:textAlignment w:val="center"/>
                    <w:rPr>
                      <w:color w:val="auto"/>
                    </w:rPr>
                  </w:pPr>
                  <w:r>
                    <w:rPr>
                      <w:rFonts w:hint="eastAsia"/>
                      <w:color w:val="auto"/>
                      <w:kern w:val="0"/>
                      <w:szCs w:val="21"/>
                      <w:lang w:bidi="ar"/>
                    </w:rPr>
                    <w:t>0.504t</w:t>
                  </w:r>
                </w:p>
              </w:tc>
            </w:tr>
            <w:tr w14:paraId="75BBC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251D4BC4">
                  <w:pPr>
                    <w:widowControl/>
                    <w:jc w:val="center"/>
                    <w:textAlignment w:val="center"/>
                    <w:rPr>
                      <w:b/>
                      <w:bCs/>
                      <w:color w:val="auto"/>
                      <w:szCs w:val="21"/>
                    </w:rPr>
                  </w:pPr>
                  <w:r>
                    <w:rPr>
                      <w:b/>
                      <w:bCs/>
                      <w:color w:val="auto"/>
                      <w:kern w:val="0"/>
                      <w:szCs w:val="21"/>
                      <w:lang w:bidi="ar"/>
                    </w:rPr>
                    <w:t>更换周期</w:t>
                  </w:r>
                </w:p>
              </w:tc>
              <w:tc>
                <w:tcPr>
                  <w:tcW w:w="3502" w:type="pct"/>
                  <w:gridSpan w:val="3"/>
                  <w:vAlign w:val="center"/>
                </w:tcPr>
                <w:p w14:paraId="6FF06E13">
                  <w:pPr>
                    <w:widowControl/>
                    <w:jc w:val="center"/>
                    <w:textAlignment w:val="center"/>
                    <w:rPr>
                      <w:color w:val="auto"/>
                      <w:szCs w:val="21"/>
                    </w:rPr>
                  </w:pPr>
                  <w:r>
                    <w:rPr>
                      <w:rFonts w:hint="eastAsia"/>
                      <w:color w:val="auto"/>
                      <w:kern w:val="0"/>
                      <w:szCs w:val="21"/>
                      <w:lang w:bidi="ar"/>
                    </w:rPr>
                    <w:t>3个月</w:t>
                  </w:r>
                  <w:r>
                    <w:rPr>
                      <w:color w:val="auto"/>
                      <w:kern w:val="0"/>
                      <w:szCs w:val="21"/>
                      <w:lang w:bidi="ar"/>
                    </w:rPr>
                    <w:t>/次</w:t>
                  </w:r>
                </w:p>
              </w:tc>
            </w:tr>
            <w:tr w14:paraId="22558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409C2550">
                  <w:pPr>
                    <w:widowControl/>
                    <w:jc w:val="center"/>
                    <w:textAlignment w:val="center"/>
                    <w:rPr>
                      <w:b/>
                      <w:bCs/>
                      <w:color w:val="auto"/>
                      <w:kern w:val="0"/>
                      <w:szCs w:val="21"/>
                      <w:lang w:bidi="ar"/>
                    </w:rPr>
                  </w:pPr>
                  <w:r>
                    <w:rPr>
                      <w:rFonts w:hint="eastAsia"/>
                      <w:b/>
                      <w:bCs/>
                      <w:color w:val="auto"/>
                      <w:kern w:val="0"/>
                      <w:szCs w:val="21"/>
                      <w:lang w:bidi="ar"/>
                    </w:rPr>
                    <w:t>年合计更换量</w:t>
                  </w:r>
                </w:p>
              </w:tc>
              <w:tc>
                <w:tcPr>
                  <w:tcW w:w="1179" w:type="pct"/>
                  <w:vAlign w:val="center"/>
                </w:tcPr>
                <w:p w14:paraId="41504EF2">
                  <w:pPr>
                    <w:widowControl/>
                    <w:jc w:val="center"/>
                    <w:textAlignment w:val="center"/>
                    <w:rPr>
                      <w:color w:val="auto"/>
                      <w:kern w:val="0"/>
                      <w:szCs w:val="21"/>
                      <w:lang w:bidi="ar"/>
                    </w:rPr>
                  </w:pPr>
                  <w:r>
                    <w:rPr>
                      <w:rFonts w:hint="eastAsia"/>
                      <w:color w:val="auto"/>
                      <w:kern w:val="0"/>
                      <w:szCs w:val="21"/>
                      <w:lang w:bidi="ar"/>
                    </w:rPr>
                    <w:t>8.064t</w:t>
                  </w:r>
                </w:p>
              </w:tc>
              <w:tc>
                <w:tcPr>
                  <w:tcW w:w="1206" w:type="pct"/>
                  <w:vAlign w:val="center"/>
                </w:tcPr>
                <w:p w14:paraId="40F16E6F">
                  <w:pPr>
                    <w:widowControl/>
                    <w:jc w:val="center"/>
                    <w:textAlignment w:val="center"/>
                    <w:rPr>
                      <w:color w:val="auto"/>
                      <w:kern w:val="0"/>
                      <w:szCs w:val="21"/>
                      <w:lang w:bidi="ar"/>
                    </w:rPr>
                  </w:pPr>
                  <w:r>
                    <w:rPr>
                      <w:rFonts w:hint="eastAsia"/>
                      <w:color w:val="auto"/>
                      <w:kern w:val="0"/>
                      <w:szCs w:val="21"/>
                      <w:lang w:bidi="ar"/>
                    </w:rPr>
                    <w:t>6.048t</w:t>
                  </w:r>
                </w:p>
              </w:tc>
              <w:tc>
                <w:tcPr>
                  <w:tcW w:w="1117" w:type="pct"/>
                  <w:vAlign w:val="center"/>
                </w:tcPr>
                <w:p w14:paraId="09266DF9">
                  <w:pPr>
                    <w:widowControl/>
                    <w:jc w:val="center"/>
                    <w:textAlignment w:val="center"/>
                    <w:rPr>
                      <w:color w:val="auto"/>
                      <w:kern w:val="0"/>
                      <w:szCs w:val="21"/>
                      <w:lang w:bidi="ar"/>
                    </w:rPr>
                  </w:pPr>
                  <w:r>
                    <w:rPr>
                      <w:rFonts w:hint="eastAsia"/>
                      <w:color w:val="auto"/>
                      <w:kern w:val="0"/>
                      <w:szCs w:val="21"/>
                      <w:lang w:bidi="ar"/>
                    </w:rPr>
                    <w:t>4.032t</w:t>
                  </w:r>
                </w:p>
              </w:tc>
            </w:tr>
            <w:tr w14:paraId="67B74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473C07F9">
                  <w:pPr>
                    <w:widowControl/>
                    <w:jc w:val="center"/>
                    <w:textAlignment w:val="center"/>
                    <w:rPr>
                      <w:b/>
                      <w:bCs/>
                      <w:color w:val="auto"/>
                      <w:szCs w:val="21"/>
                    </w:rPr>
                  </w:pPr>
                  <w:r>
                    <w:rPr>
                      <w:b/>
                      <w:bCs/>
                      <w:color w:val="auto"/>
                      <w:kern w:val="0"/>
                      <w:szCs w:val="21"/>
                      <w:lang w:bidi="ar"/>
                    </w:rPr>
                    <w:t>有机废气吸附量</w:t>
                  </w:r>
                </w:p>
              </w:tc>
              <w:tc>
                <w:tcPr>
                  <w:tcW w:w="3502" w:type="pct"/>
                  <w:gridSpan w:val="3"/>
                  <w:vAlign w:val="center"/>
                </w:tcPr>
                <w:p w14:paraId="650ABB10">
                  <w:pPr>
                    <w:widowControl/>
                    <w:jc w:val="center"/>
                    <w:textAlignment w:val="center"/>
                    <w:rPr>
                      <w:color w:val="auto"/>
                      <w:szCs w:val="21"/>
                    </w:rPr>
                  </w:pPr>
                  <w:r>
                    <w:rPr>
                      <w:rFonts w:hint="eastAsia"/>
                      <w:color w:val="auto"/>
                      <w:kern w:val="0"/>
                      <w:szCs w:val="21"/>
                      <w:lang w:bidi="ar"/>
                    </w:rPr>
                    <w:t>0.424t</w:t>
                  </w:r>
                </w:p>
              </w:tc>
            </w:tr>
            <w:tr w14:paraId="5AE4A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7" w:type="pct"/>
                  <w:vAlign w:val="center"/>
                </w:tcPr>
                <w:p w14:paraId="7DF7DB20">
                  <w:pPr>
                    <w:widowControl/>
                    <w:jc w:val="center"/>
                    <w:textAlignment w:val="center"/>
                    <w:rPr>
                      <w:b/>
                      <w:bCs/>
                      <w:color w:val="auto"/>
                      <w:szCs w:val="21"/>
                    </w:rPr>
                  </w:pPr>
                  <w:r>
                    <w:rPr>
                      <w:b/>
                      <w:bCs/>
                      <w:color w:val="auto"/>
                      <w:kern w:val="0"/>
                      <w:szCs w:val="21"/>
                      <w:lang w:bidi="ar"/>
                    </w:rPr>
                    <w:t>废活性炭产生总量</w:t>
                  </w:r>
                </w:p>
              </w:tc>
              <w:tc>
                <w:tcPr>
                  <w:tcW w:w="3502" w:type="pct"/>
                  <w:gridSpan w:val="3"/>
                  <w:vAlign w:val="center"/>
                </w:tcPr>
                <w:p w14:paraId="289E45B3">
                  <w:pPr>
                    <w:widowControl/>
                    <w:jc w:val="center"/>
                    <w:textAlignment w:val="center"/>
                    <w:rPr>
                      <w:color w:val="auto"/>
                      <w:szCs w:val="21"/>
                    </w:rPr>
                  </w:pPr>
                  <w:r>
                    <w:rPr>
                      <w:rFonts w:hint="eastAsia"/>
                      <w:color w:val="auto"/>
                      <w:kern w:val="0"/>
                      <w:szCs w:val="21"/>
                      <w:lang w:bidi="ar"/>
                    </w:rPr>
                    <w:t>18.6t</w:t>
                  </w:r>
                </w:p>
              </w:tc>
            </w:tr>
            <w:tr w14:paraId="571B3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11D69C09">
                  <w:pPr>
                    <w:widowControl/>
                    <w:jc w:val="left"/>
                    <w:textAlignment w:val="center"/>
                    <w:rPr>
                      <w:color w:val="auto"/>
                      <w:kern w:val="0"/>
                      <w:szCs w:val="21"/>
                      <w:lang w:bidi="ar"/>
                    </w:rPr>
                  </w:pPr>
                  <w:r>
                    <w:rPr>
                      <w:rFonts w:hint="eastAsia"/>
                      <w:color w:val="auto"/>
                      <w:kern w:val="0"/>
                      <w:szCs w:val="21"/>
                      <w:lang w:bidi="ar"/>
                    </w:rPr>
                    <w:t>计算过程说明：</w:t>
                  </w:r>
                </w:p>
                <w:p w14:paraId="712CB273">
                  <w:pPr>
                    <w:widowControl/>
                    <w:jc w:val="left"/>
                    <w:textAlignment w:val="center"/>
                    <w:rPr>
                      <w:color w:val="auto"/>
                      <w:kern w:val="0"/>
                      <w:szCs w:val="21"/>
                      <w:lang w:bidi="ar"/>
                    </w:rPr>
                  </w:pPr>
                  <w:r>
                    <w:rPr>
                      <w:rFonts w:eastAsia="微软雅黑"/>
                      <w:color w:val="auto"/>
                      <w:kern w:val="0"/>
                      <w:szCs w:val="21"/>
                      <w:lang w:bidi="ar"/>
                    </w:rPr>
                    <w:t>①</w:t>
                  </w:r>
                  <w:r>
                    <w:rPr>
                      <w:rFonts w:hint="eastAsia"/>
                      <w:color w:val="auto"/>
                      <w:kern w:val="0"/>
                      <w:szCs w:val="21"/>
                      <w:lang w:bidi="ar"/>
                    </w:rPr>
                    <w:t>过滤风速V    DA003：V=20000/3600/（0.6×0.5×16）=1.16m/s；</w:t>
                  </w:r>
                </w:p>
                <w:p w14:paraId="5AC6D3EC">
                  <w:pPr>
                    <w:widowControl/>
                    <w:ind w:firstLine="1680" w:firstLineChars="800"/>
                    <w:jc w:val="left"/>
                    <w:textAlignment w:val="center"/>
                    <w:rPr>
                      <w:color w:val="auto"/>
                      <w:kern w:val="0"/>
                      <w:szCs w:val="21"/>
                      <w:lang w:bidi="ar"/>
                    </w:rPr>
                  </w:pPr>
                  <w:r>
                    <w:rPr>
                      <w:rFonts w:hint="eastAsia"/>
                      <w:color w:val="auto"/>
                      <w:kern w:val="0"/>
                      <w:szCs w:val="21"/>
                      <w:lang w:bidi="ar"/>
                    </w:rPr>
                    <w:t>DA004：V=15000/3600/（0.6×0.5×12）=1.16m/s；</w:t>
                  </w:r>
                </w:p>
                <w:p w14:paraId="18BCDF2D">
                  <w:pPr>
                    <w:widowControl/>
                    <w:ind w:firstLine="1680" w:firstLineChars="800"/>
                    <w:jc w:val="left"/>
                    <w:textAlignment w:val="center"/>
                    <w:rPr>
                      <w:color w:val="auto"/>
                      <w:kern w:val="0"/>
                      <w:szCs w:val="21"/>
                      <w:lang w:bidi="ar"/>
                    </w:rPr>
                  </w:pPr>
                  <w:r>
                    <w:rPr>
                      <w:rFonts w:hint="eastAsia"/>
                      <w:color w:val="auto"/>
                      <w:kern w:val="0"/>
                      <w:szCs w:val="21"/>
                      <w:lang w:bidi="ar"/>
                    </w:rPr>
                    <w:t>DA005：V=10000/3600/（0.6×0.5×8）=1.16m/s；</w:t>
                  </w:r>
                </w:p>
                <w:p w14:paraId="20CA7E0B">
                  <w:pPr>
                    <w:widowControl/>
                    <w:jc w:val="left"/>
                    <w:textAlignment w:val="center"/>
                    <w:rPr>
                      <w:color w:val="auto"/>
                      <w:kern w:val="0"/>
                      <w:szCs w:val="21"/>
                      <w:lang w:bidi="ar"/>
                    </w:rPr>
                  </w:pPr>
                  <w:r>
                    <w:rPr>
                      <w:rFonts w:hint="eastAsia" w:ascii="宋体" w:hAnsi="宋体" w:cs="宋体"/>
                      <w:color w:val="auto"/>
                      <w:kern w:val="0"/>
                      <w:szCs w:val="21"/>
                      <w:lang w:bidi="ar"/>
                    </w:rPr>
                    <w:t>②</w:t>
                  </w:r>
                  <w:r>
                    <w:rPr>
                      <w:rFonts w:hint="eastAsia"/>
                      <w:color w:val="auto"/>
                      <w:kern w:val="0"/>
                      <w:szCs w:val="21"/>
                      <w:lang w:bidi="ar"/>
                    </w:rPr>
                    <w:t>过滤停留时间  DA003：T=0.6/1.16=0.517m/s；</w:t>
                  </w:r>
                </w:p>
                <w:p w14:paraId="1352246C">
                  <w:pPr>
                    <w:widowControl/>
                    <w:ind w:firstLine="1680" w:firstLineChars="800"/>
                    <w:jc w:val="left"/>
                    <w:textAlignment w:val="center"/>
                    <w:rPr>
                      <w:color w:val="auto"/>
                      <w:kern w:val="0"/>
                      <w:szCs w:val="21"/>
                      <w:lang w:bidi="ar"/>
                    </w:rPr>
                  </w:pPr>
                  <w:r>
                    <w:rPr>
                      <w:rFonts w:hint="eastAsia"/>
                      <w:color w:val="auto"/>
                      <w:kern w:val="0"/>
                      <w:szCs w:val="21"/>
                      <w:lang w:bidi="ar"/>
                    </w:rPr>
                    <w:t>DA004：T=0.6/1.16=0.517m/s；</w:t>
                  </w:r>
                </w:p>
                <w:p w14:paraId="514BEE18">
                  <w:pPr>
                    <w:widowControl/>
                    <w:ind w:firstLine="1680" w:firstLineChars="800"/>
                    <w:jc w:val="left"/>
                    <w:textAlignment w:val="center"/>
                    <w:rPr>
                      <w:color w:val="auto"/>
                      <w:kern w:val="0"/>
                      <w:szCs w:val="21"/>
                      <w:lang w:bidi="ar"/>
                    </w:rPr>
                  </w:pPr>
                  <w:r>
                    <w:rPr>
                      <w:rFonts w:hint="eastAsia"/>
                      <w:color w:val="auto"/>
                      <w:kern w:val="0"/>
                      <w:szCs w:val="21"/>
                      <w:lang w:bidi="ar"/>
                    </w:rPr>
                    <w:t>DA005：T=0.6/1.16=0.517m/s；</w:t>
                  </w:r>
                </w:p>
                <w:p w14:paraId="68F9E4A9">
                  <w:pPr>
                    <w:widowControl/>
                    <w:jc w:val="left"/>
                    <w:textAlignment w:val="center"/>
                    <w:rPr>
                      <w:color w:val="auto"/>
                      <w:kern w:val="0"/>
                      <w:szCs w:val="21"/>
                      <w:lang w:bidi="ar"/>
                    </w:rPr>
                  </w:pPr>
                  <w:r>
                    <w:rPr>
                      <w:rFonts w:hint="eastAsia" w:ascii="宋体" w:hAnsi="宋体" w:cs="宋体"/>
                      <w:color w:val="auto"/>
                      <w:kern w:val="0"/>
                      <w:szCs w:val="21"/>
                      <w:lang w:bidi="ar"/>
                    </w:rPr>
                    <w:t>③</w:t>
                  </w:r>
                  <w:r>
                    <w:rPr>
                      <w:rFonts w:hint="eastAsia"/>
                      <w:color w:val="auto"/>
                      <w:kern w:val="0"/>
                      <w:szCs w:val="21"/>
                      <w:lang w:bidi="ar"/>
                    </w:rPr>
                    <w:t>单次单级活性炭装填量    DA003：G=0.6×0.5×0.6×16×0.35=1.008t；</w:t>
                  </w:r>
                </w:p>
                <w:p w14:paraId="55C60E58">
                  <w:pPr>
                    <w:widowControl/>
                    <w:ind w:firstLine="2730" w:firstLineChars="1300"/>
                    <w:jc w:val="left"/>
                    <w:textAlignment w:val="center"/>
                    <w:rPr>
                      <w:color w:val="auto"/>
                      <w:kern w:val="0"/>
                      <w:szCs w:val="21"/>
                      <w:lang w:bidi="ar"/>
                    </w:rPr>
                  </w:pPr>
                  <w:r>
                    <w:rPr>
                      <w:rFonts w:hint="eastAsia"/>
                      <w:color w:val="auto"/>
                      <w:kern w:val="0"/>
                      <w:szCs w:val="21"/>
                      <w:lang w:bidi="ar"/>
                    </w:rPr>
                    <w:t>DA004：G=0.6×0.5×0.6×12×0.35=0.756t；</w:t>
                  </w:r>
                </w:p>
                <w:p w14:paraId="2A2135D7">
                  <w:pPr>
                    <w:widowControl/>
                    <w:ind w:firstLine="2730" w:firstLineChars="1300"/>
                    <w:jc w:val="left"/>
                    <w:textAlignment w:val="center"/>
                    <w:rPr>
                      <w:color w:val="auto"/>
                      <w:kern w:val="0"/>
                      <w:szCs w:val="21"/>
                      <w:lang w:bidi="ar"/>
                    </w:rPr>
                  </w:pPr>
                  <w:r>
                    <w:rPr>
                      <w:rFonts w:hint="eastAsia"/>
                      <w:color w:val="auto"/>
                      <w:kern w:val="0"/>
                      <w:szCs w:val="21"/>
                      <w:lang w:bidi="ar"/>
                    </w:rPr>
                    <w:t>DA005：G=0.6×0.5×0.6×16×0.35=0.504t；</w:t>
                  </w:r>
                </w:p>
              </w:tc>
            </w:tr>
          </w:tbl>
          <w:p w14:paraId="49A0F542">
            <w:pPr>
              <w:adjustRightInd w:val="0"/>
              <w:snapToGrid w:val="0"/>
              <w:spacing w:line="360" w:lineRule="auto"/>
              <w:ind w:firstLine="482" w:firstLineChars="200"/>
              <w:jc w:val="left"/>
              <w:rPr>
                <w:b/>
                <w:bCs/>
                <w:color w:val="auto"/>
                <w:sz w:val="24"/>
              </w:rPr>
            </w:pPr>
            <w:r>
              <w:rPr>
                <w:rFonts w:hint="eastAsia"/>
                <w:b/>
                <w:bCs/>
                <w:color w:val="auto"/>
                <w:sz w:val="24"/>
              </w:rPr>
              <w:t>（4）碱液喷淋塔</w:t>
            </w:r>
          </w:p>
          <w:p w14:paraId="3EEDAE42">
            <w:pPr>
              <w:adjustRightInd w:val="0"/>
              <w:snapToGrid w:val="0"/>
              <w:spacing w:before="120" w:beforeLines="50" w:line="360" w:lineRule="auto"/>
              <w:ind w:firstLine="480" w:firstLineChars="200"/>
              <w:jc w:val="left"/>
              <w:rPr>
                <w:color w:val="auto"/>
                <w:sz w:val="24"/>
              </w:rPr>
            </w:pPr>
            <w:r>
              <w:rPr>
                <w:color w:val="auto"/>
                <w:sz w:val="24"/>
              </w:rPr>
              <w:t>参照《排污许可证申请与核发技术规范铁路、船舶、航空航天和其他运输设备制造业》（HJ 1124—2020）</w:t>
            </w:r>
            <w:r>
              <w:rPr>
                <w:rFonts w:hint="eastAsia"/>
                <w:color w:val="auto"/>
                <w:sz w:val="24"/>
              </w:rPr>
              <w:t>表C.4其他运输设备制造排污单位废气污染防治推荐可行技术，酸洗槽产生的氯化氢、硫酸雾、氮氧化物等推荐可行技术为碱液喷淋。因此</w:t>
            </w:r>
            <w:r>
              <w:rPr>
                <w:color w:val="auto"/>
                <w:sz w:val="24"/>
              </w:rPr>
              <w:t>项目采用</w:t>
            </w:r>
            <w:r>
              <w:rPr>
                <w:rFonts w:hint="eastAsia"/>
                <w:color w:val="auto"/>
                <w:sz w:val="24"/>
              </w:rPr>
              <w:t>碱液喷淋塔处理硫酸雾</w:t>
            </w:r>
            <w:r>
              <w:rPr>
                <w:color w:val="auto"/>
                <w:sz w:val="24"/>
              </w:rPr>
              <w:t>属于可行技术。</w:t>
            </w:r>
          </w:p>
          <w:p w14:paraId="3F42E62E">
            <w:pPr>
              <w:adjustRightInd w:val="0"/>
              <w:snapToGrid w:val="0"/>
              <w:spacing w:before="120" w:beforeLines="50" w:line="360" w:lineRule="auto"/>
              <w:ind w:firstLine="482" w:firstLineChars="200"/>
              <w:jc w:val="left"/>
              <w:rPr>
                <w:b/>
                <w:bCs/>
                <w:color w:val="auto"/>
                <w:sz w:val="24"/>
              </w:rPr>
            </w:pPr>
            <w:r>
              <w:rPr>
                <w:rFonts w:hint="eastAsia"/>
                <w:b/>
                <w:bCs/>
                <w:color w:val="auto"/>
                <w:sz w:val="24"/>
              </w:rPr>
              <w:t>8</w:t>
            </w:r>
            <w:r>
              <w:rPr>
                <w:b/>
                <w:bCs/>
                <w:color w:val="auto"/>
                <w:sz w:val="24"/>
              </w:rPr>
              <w:t>、排污口情况</w:t>
            </w:r>
          </w:p>
          <w:p w14:paraId="04854224">
            <w:pPr>
              <w:adjustRightInd w:val="0"/>
              <w:snapToGrid w:val="0"/>
              <w:spacing w:line="360" w:lineRule="auto"/>
              <w:ind w:firstLine="480" w:firstLineChars="200"/>
              <w:jc w:val="left"/>
              <w:rPr>
                <w:color w:val="auto"/>
                <w:sz w:val="24"/>
              </w:rPr>
            </w:pPr>
            <w:r>
              <w:rPr>
                <w:color w:val="auto"/>
                <w:sz w:val="24"/>
              </w:rPr>
              <w:t>项目各废气排放口基本情况见下表。</w:t>
            </w:r>
          </w:p>
          <w:p w14:paraId="074700E0">
            <w:pPr>
              <w:adjustRightInd w:val="0"/>
              <w:snapToGrid w:val="0"/>
              <w:spacing w:line="360" w:lineRule="auto"/>
              <w:ind w:firstLine="480" w:firstLineChars="200"/>
              <w:jc w:val="left"/>
              <w:rPr>
                <w:color w:val="auto"/>
                <w:sz w:val="24"/>
              </w:rPr>
            </w:pPr>
          </w:p>
          <w:p w14:paraId="49F941C7">
            <w:pPr>
              <w:pStyle w:val="77"/>
              <w:numPr>
                <w:ilvl w:val="0"/>
                <w:numId w:val="18"/>
              </w:numPr>
              <w:adjustRightInd w:val="0"/>
              <w:snapToGrid w:val="0"/>
              <w:jc w:val="center"/>
              <w:rPr>
                <w:b/>
                <w:bCs/>
                <w:color w:val="auto"/>
                <w:szCs w:val="21"/>
              </w:rPr>
            </w:pPr>
            <w:r>
              <w:rPr>
                <w:rFonts w:hint="eastAsia"/>
                <w:b/>
                <w:bCs/>
                <w:color w:val="auto"/>
                <w:szCs w:val="21"/>
              </w:rPr>
              <w:t>排放口基</w:t>
            </w:r>
            <w:bookmarkStart w:id="1" w:name="排气筒高度及数量"/>
            <w:r>
              <w:rPr>
                <w:rFonts w:hint="eastAsia"/>
                <w:b/>
                <w:bCs/>
                <w:color w:val="auto"/>
                <w:szCs w:val="21"/>
              </w:rPr>
              <w:t>本情况</w:t>
            </w:r>
            <w:bookmarkEnd w:id="1"/>
            <w:r>
              <w:rPr>
                <w:rFonts w:hint="eastAsia"/>
                <w:b/>
                <w:bCs/>
                <w:color w:val="auto"/>
                <w:szCs w:val="21"/>
              </w:rPr>
              <w:t>表</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1302"/>
              <w:gridCol w:w="1501"/>
              <w:gridCol w:w="1310"/>
              <w:gridCol w:w="1248"/>
              <w:gridCol w:w="947"/>
              <w:gridCol w:w="947"/>
              <w:gridCol w:w="1118"/>
              <w:gridCol w:w="999"/>
            </w:tblGrid>
            <w:tr w14:paraId="1C2F2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616" w:type="pct"/>
                  <w:vMerge w:val="restart"/>
                  <w:noWrap/>
                  <w:vAlign w:val="center"/>
                </w:tcPr>
                <w:p w14:paraId="7A5D562B">
                  <w:pPr>
                    <w:widowControl/>
                    <w:jc w:val="center"/>
                    <w:rPr>
                      <w:b/>
                      <w:bCs/>
                      <w:color w:val="auto"/>
                      <w:kern w:val="0"/>
                      <w:szCs w:val="22"/>
                    </w:rPr>
                  </w:pPr>
                  <w:r>
                    <w:rPr>
                      <w:rFonts w:hint="eastAsia"/>
                      <w:b/>
                      <w:bCs/>
                      <w:color w:val="auto"/>
                      <w:kern w:val="0"/>
                      <w:szCs w:val="22"/>
                    </w:rPr>
                    <w:t>排放口</w:t>
                  </w:r>
                  <w:r>
                    <w:rPr>
                      <w:b/>
                      <w:bCs/>
                      <w:color w:val="auto"/>
                      <w:kern w:val="0"/>
                      <w:szCs w:val="22"/>
                    </w:rPr>
                    <w:t>编号</w:t>
                  </w:r>
                </w:p>
              </w:tc>
              <w:tc>
                <w:tcPr>
                  <w:tcW w:w="609" w:type="pct"/>
                  <w:vMerge w:val="restart"/>
                  <w:vAlign w:val="center"/>
                </w:tcPr>
                <w:p w14:paraId="69BF9885">
                  <w:pPr>
                    <w:widowControl/>
                    <w:jc w:val="center"/>
                    <w:rPr>
                      <w:b/>
                      <w:bCs/>
                      <w:color w:val="auto"/>
                      <w:kern w:val="0"/>
                      <w:szCs w:val="21"/>
                    </w:rPr>
                  </w:pPr>
                  <w:r>
                    <w:rPr>
                      <w:rFonts w:hint="eastAsia"/>
                      <w:b/>
                      <w:bCs/>
                      <w:color w:val="auto"/>
                      <w:kern w:val="0"/>
                      <w:szCs w:val="21"/>
                    </w:rPr>
                    <w:t>排放口名称</w:t>
                  </w:r>
                </w:p>
              </w:tc>
              <w:tc>
                <w:tcPr>
                  <w:tcW w:w="702" w:type="pct"/>
                  <w:vMerge w:val="restart"/>
                  <w:noWrap/>
                  <w:vAlign w:val="center"/>
                </w:tcPr>
                <w:p w14:paraId="764B0B8B">
                  <w:pPr>
                    <w:widowControl/>
                    <w:jc w:val="center"/>
                    <w:rPr>
                      <w:b/>
                      <w:bCs/>
                      <w:color w:val="auto"/>
                      <w:kern w:val="0"/>
                      <w:szCs w:val="21"/>
                    </w:rPr>
                  </w:pPr>
                  <w:r>
                    <w:rPr>
                      <w:b/>
                      <w:bCs/>
                      <w:color w:val="auto"/>
                      <w:kern w:val="0"/>
                      <w:szCs w:val="21"/>
                    </w:rPr>
                    <w:t>污染物种类</w:t>
                  </w:r>
                </w:p>
              </w:tc>
              <w:tc>
                <w:tcPr>
                  <w:tcW w:w="1197" w:type="pct"/>
                  <w:gridSpan w:val="2"/>
                  <w:vAlign w:val="center"/>
                </w:tcPr>
                <w:p w14:paraId="3806BC8C">
                  <w:pPr>
                    <w:widowControl/>
                    <w:jc w:val="center"/>
                    <w:rPr>
                      <w:b/>
                      <w:bCs/>
                      <w:color w:val="auto"/>
                      <w:kern w:val="0"/>
                      <w:szCs w:val="21"/>
                    </w:rPr>
                  </w:pPr>
                  <w:r>
                    <w:rPr>
                      <w:b/>
                      <w:bCs/>
                      <w:color w:val="auto"/>
                      <w:kern w:val="0"/>
                      <w:szCs w:val="21"/>
                    </w:rPr>
                    <w:t>排放口地理坐标</w:t>
                  </w:r>
                </w:p>
              </w:tc>
              <w:tc>
                <w:tcPr>
                  <w:tcW w:w="443" w:type="pct"/>
                  <w:vMerge w:val="restart"/>
                  <w:vAlign w:val="center"/>
                </w:tcPr>
                <w:p w14:paraId="757C13CF">
                  <w:pPr>
                    <w:widowControl/>
                    <w:jc w:val="center"/>
                    <w:rPr>
                      <w:b/>
                      <w:bCs/>
                      <w:color w:val="auto"/>
                      <w:kern w:val="0"/>
                      <w:szCs w:val="21"/>
                    </w:rPr>
                  </w:pPr>
                  <w:r>
                    <w:rPr>
                      <w:b/>
                      <w:bCs/>
                      <w:color w:val="auto"/>
                      <w:kern w:val="0"/>
                      <w:szCs w:val="21"/>
                    </w:rPr>
                    <w:t>排气筒高度（m）</w:t>
                  </w:r>
                </w:p>
              </w:tc>
              <w:tc>
                <w:tcPr>
                  <w:tcW w:w="443" w:type="pct"/>
                  <w:vMerge w:val="restart"/>
                  <w:vAlign w:val="center"/>
                </w:tcPr>
                <w:p w14:paraId="3410DAF2">
                  <w:pPr>
                    <w:widowControl/>
                    <w:jc w:val="center"/>
                    <w:rPr>
                      <w:b/>
                      <w:bCs/>
                      <w:color w:val="auto"/>
                      <w:kern w:val="0"/>
                      <w:szCs w:val="21"/>
                    </w:rPr>
                  </w:pPr>
                  <w:r>
                    <w:rPr>
                      <w:b/>
                      <w:bCs/>
                      <w:color w:val="auto"/>
                      <w:kern w:val="0"/>
                      <w:szCs w:val="21"/>
                    </w:rPr>
                    <w:t>排气筒出口内径（m）</w:t>
                  </w:r>
                </w:p>
              </w:tc>
              <w:tc>
                <w:tcPr>
                  <w:tcW w:w="523" w:type="pct"/>
                  <w:vMerge w:val="restart"/>
                  <w:vAlign w:val="center"/>
                </w:tcPr>
                <w:p w14:paraId="05AC3B60">
                  <w:pPr>
                    <w:widowControl/>
                    <w:jc w:val="center"/>
                    <w:rPr>
                      <w:b/>
                      <w:bCs/>
                      <w:color w:val="auto"/>
                      <w:kern w:val="0"/>
                      <w:szCs w:val="21"/>
                    </w:rPr>
                  </w:pPr>
                  <w:r>
                    <w:rPr>
                      <w:b/>
                      <w:bCs/>
                      <w:color w:val="auto"/>
                      <w:kern w:val="0"/>
                      <w:szCs w:val="21"/>
                    </w:rPr>
                    <w:t>排气筒出口流速（m/s）</w:t>
                  </w:r>
                </w:p>
              </w:tc>
              <w:tc>
                <w:tcPr>
                  <w:tcW w:w="464" w:type="pct"/>
                  <w:vMerge w:val="restart"/>
                  <w:vAlign w:val="center"/>
                </w:tcPr>
                <w:p w14:paraId="3B6E93F6">
                  <w:pPr>
                    <w:widowControl/>
                    <w:jc w:val="center"/>
                    <w:rPr>
                      <w:b/>
                      <w:bCs/>
                      <w:color w:val="auto"/>
                      <w:kern w:val="0"/>
                      <w:szCs w:val="21"/>
                    </w:rPr>
                  </w:pPr>
                  <w:r>
                    <w:rPr>
                      <w:b/>
                      <w:bCs/>
                      <w:color w:val="auto"/>
                      <w:kern w:val="0"/>
                      <w:szCs w:val="21"/>
                    </w:rPr>
                    <w:t>排气温度（</w:t>
                  </w:r>
                  <w:r>
                    <w:rPr>
                      <w:rFonts w:hint="eastAsia" w:ascii="宋体" w:hAnsi="宋体" w:cs="宋体"/>
                      <w:b/>
                      <w:bCs/>
                      <w:color w:val="auto"/>
                      <w:kern w:val="0"/>
                      <w:szCs w:val="21"/>
                    </w:rPr>
                    <w:t>℃</w:t>
                  </w:r>
                  <w:r>
                    <w:rPr>
                      <w:b/>
                      <w:bCs/>
                      <w:color w:val="auto"/>
                      <w:kern w:val="0"/>
                      <w:szCs w:val="21"/>
                    </w:rPr>
                    <w:t>）</w:t>
                  </w:r>
                </w:p>
              </w:tc>
            </w:tr>
            <w:tr w14:paraId="6034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616" w:type="pct"/>
                  <w:vMerge w:val="continue"/>
                  <w:vAlign w:val="center"/>
                </w:tcPr>
                <w:p w14:paraId="57D75B37">
                  <w:pPr>
                    <w:widowControl/>
                    <w:jc w:val="center"/>
                    <w:rPr>
                      <w:color w:val="auto"/>
                      <w:kern w:val="0"/>
                      <w:szCs w:val="22"/>
                    </w:rPr>
                  </w:pPr>
                </w:p>
              </w:tc>
              <w:tc>
                <w:tcPr>
                  <w:tcW w:w="609" w:type="pct"/>
                  <w:vMerge w:val="continue"/>
                  <w:vAlign w:val="center"/>
                </w:tcPr>
                <w:p w14:paraId="7BD33DE5">
                  <w:pPr>
                    <w:widowControl/>
                    <w:jc w:val="center"/>
                    <w:rPr>
                      <w:b/>
                      <w:bCs/>
                      <w:color w:val="auto"/>
                      <w:kern w:val="0"/>
                      <w:szCs w:val="21"/>
                    </w:rPr>
                  </w:pPr>
                </w:p>
              </w:tc>
              <w:tc>
                <w:tcPr>
                  <w:tcW w:w="702" w:type="pct"/>
                  <w:vMerge w:val="continue"/>
                  <w:vAlign w:val="center"/>
                </w:tcPr>
                <w:p w14:paraId="71FA7020">
                  <w:pPr>
                    <w:widowControl/>
                    <w:jc w:val="center"/>
                    <w:rPr>
                      <w:b/>
                      <w:bCs/>
                      <w:color w:val="auto"/>
                      <w:kern w:val="0"/>
                      <w:szCs w:val="21"/>
                    </w:rPr>
                  </w:pPr>
                </w:p>
              </w:tc>
              <w:tc>
                <w:tcPr>
                  <w:tcW w:w="613" w:type="pct"/>
                  <w:vAlign w:val="center"/>
                </w:tcPr>
                <w:p w14:paraId="2FAC783B">
                  <w:pPr>
                    <w:widowControl/>
                    <w:jc w:val="center"/>
                    <w:rPr>
                      <w:b/>
                      <w:bCs/>
                      <w:color w:val="auto"/>
                      <w:kern w:val="0"/>
                      <w:szCs w:val="21"/>
                    </w:rPr>
                  </w:pPr>
                  <w:r>
                    <w:rPr>
                      <w:b/>
                      <w:bCs/>
                      <w:color w:val="auto"/>
                      <w:kern w:val="0"/>
                      <w:szCs w:val="21"/>
                    </w:rPr>
                    <w:t>经度</w:t>
                  </w:r>
                </w:p>
              </w:tc>
              <w:tc>
                <w:tcPr>
                  <w:tcW w:w="583" w:type="pct"/>
                  <w:vAlign w:val="center"/>
                </w:tcPr>
                <w:p w14:paraId="068D4BF9">
                  <w:pPr>
                    <w:widowControl/>
                    <w:jc w:val="center"/>
                    <w:rPr>
                      <w:b/>
                      <w:bCs/>
                      <w:color w:val="auto"/>
                      <w:kern w:val="0"/>
                      <w:szCs w:val="21"/>
                    </w:rPr>
                  </w:pPr>
                  <w:r>
                    <w:rPr>
                      <w:b/>
                      <w:bCs/>
                      <w:color w:val="auto"/>
                      <w:kern w:val="0"/>
                      <w:szCs w:val="21"/>
                    </w:rPr>
                    <w:t>纬度</w:t>
                  </w:r>
                </w:p>
              </w:tc>
              <w:tc>
                <w:tcPr>
                  <w:tcW w:w="443" w:type="pct"/>
                  <w:vMerge w:val="continue"/>
                  <w:vAlign w:val="center"/>
                </w:tcPr>
                <w:p w14:paraId="75A84F71">
                  <w:pPr>
                    <w:widowControl/>
                    <w:jc w:val="center"/>
                    <w:rPr>
                      <w:b/>
                      <w:bCs/>
                      <w:color w:val="auto"/>
                      <w:kern w:val="0"/>
                      <w:szCs w:val="21"/>
                    </w:rPr>
                  </w:pPr>
                </w:p>
              </w:tc>
              <w:tc>
                <w:tcPr>
                  <w:tcW w:w="443" w:type="pct"/>
                  <w:vMerge w:val="continue"/>
                  <w:vAlign w:val="center"/>
                </w:tcPr>
                <w:p w14:paraId="54FCA6E6">
                  <w:pPr>
                    <w:widowControl/>
                    <w:jc w:val="center"/>
                    <w:rPr>
                      <w:b/>
                      <w:bCs/>
                      <w:color w:val="auto"/>
                      <w:kern w:val="0"/>
                      <w:szCs w:val="21"/>
                    </w:rPr>
                  </w:pPr>
                </w:p>
              </w:tc>
              <w:tc>
                <w:tcPr>
                  <w:tcW w:w="523" w:type="pct"/>
                  <w:vMerge w:val="continue"/>
                  <w:vAlign w:val="center"/>
                </w:tcPr>
                <w:p w14:paraId="7B9BA157">
                  <w:pPr>
                    <w:widowControl/>
                    <w:jc w:val="center"/>
                    <w:rPr>
                      <w:b/>
                      <w:bCs/>
                      <w:color w:val="auto"/>
                      <w:kern w:val="0"/>
                      <w:szCs w:val="21"/>
                    </w:rPr>
                  </w:pPr>
                </w:p>
              </w:tc>
              <w:tc>
                <w:tcPr>
                  <w:tcW w:w="464" w:type="pct"/>
                  <w:vMerge w:val="continue"/>
                  <w:vAlign w:val="center"/>
                </w:tcPr>
                <w:p w14:paraId="1C897401">
                  <w:pPr>
                    <w:widowControl/>
                    <w:jc w:val="center"/>
                    <w:rPr>
                      <w:b/>
                      <w:bCs/>
                      <w:color w:val="auto"/>
                      <w:kern w:val="0"/>
                      <w:szCs w:val="21"/>
                    </w:rPr>
                  </w:pPr>
                </w:p>
              </w:tc>
            </w:tr>
            <w:tr w14:paraId="2B01F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16" w:type="pct"/>
                  <w:noWrap/>
                  <w:vAlign w:val="center"/>
                </w:tcPr>
                <w:p w14:paraId="46BD65D8">
                  <w:pPr>
                    <w:widowControl/>
                    <w:jc w:val="center"/>
                    <w:rPr>
                      <w:color w:val="auto"/>
                      <w:kern w:val="0"/>
                      <w:szCs w:val="22"/>
                    </w:rPr>
                  </w:pPr>
                  <w:r>
                    <w:rPr>
                      <w:color w:val="auto"/>
                      <w:kern w:val="0"/>
                      <w:szCs w:val="22"/>
                    </w:rPr>
                    <w:t>DA001</w:t>
                  </w:r>
                </w:p>
              </w:tc>
              <w:tc>
                <w:tcPr>
                  <w:tcW w:w="609" w:type="pct"/>
                  <w:vAlign w:val="center"/>
                </w:tcPr>
                <w:p w14:paraId="6AF8F2BF">
                  <w:pPr>
                    <w:widowControl/>
                    <w:jc w:val="center"/>
                    <w:rPr>
                      <w:color w:val="auto"/>
                      <w:kern w:val="0"/>
                      <w:szCs w:val="22"/>
                    </w:rPr>
                  </w:pPr>
                  <w:r>
                    <w:rPr>
                      <w:rFonts w:hint="eastAsia"/>
                      <w:color w:val="auto"/>
                      <w:kern w:val="0"/>
                      <w:szCs w:val="22"/>
                    </w:rPr>
                    <w:t>生产废气</w:t>
                  </w:r>
                </w:p>
                <w:p w14:paraId="6B857D13">
                  <w:pPr>
                    <w:widowControl/>
                    <w:jc w:val="center"/>
                    <w:rPr>
                      <w:color w:val="auto"/>
                      <w:kern w:val="0"/>
                      <w:szCs w:val="22"/>
                    </w:rPr>
                  </w:pPr>
                  <w:r>
                    <w:rPr>
                      <w:rFonts w:hint="eastAsia"/>
                      <w:color w:val="auto"/>
                      <w:kern w:val="0"/>
                      <w:szCs w:val="22"/>
                    </w:rPr>
                    <w:t>排放口1</w:t>
                  </w:r>
                </w:p>
              </w:tc>
              <w:tc>
                <w:tcPr>
                  <w:tcW w:w="702" w:type="pct"/>
                  <w:vAlign w:val="center"/>
                </w:tcPr>
                <w:p w14:paraId="7B1C2D1F">
                  <w:pPr>
                    <w:widowControl/>
                    <w:jc w:val="center"/>
                    <w:rPr>
                      <w:color w:val="auto"/>
                      <w:kern w:val="0"/>
                      <w:szCs w:val="21"/>
                    </w:rPr>
                  </w:pPr>
                  <w:r>
                    <w:rPr>
                      <w:rFonts w:hint="eastAsia"/>
                      <w:color w:val="auto"/>
                      <w:kern w:val="0"/>
                      <w:szCs w:val="21"/>
                    </w:rPr>
                    <w:t>颗粒物</w:t>
                  </w:r>
                </w:p>
              </w:tc>
              <w:tc>
                <w:tcPr>
                  <w:tcW w:w="613" w:type="pct"/>
                  <w:vAlign w:val="center"/>
                </w:tcPr>
                <w:p w14:paraId="02FBFBC5">
                  <w:pPr>
                    <w:widowControl/>
                    <w:jc w:val="center"/>
                    <w:rPr>
                      <w:color w:val="auto"/>
                      <w:kern w:val="0"/>
                      <w:szCs w:val="22"/>
                    </w:rPr>
                  </w:pPr>
                  <w:r>
                    <w:rPr>
                      <w:rFonts w:hint="eastAsia"/>
                      <w:color w:val="auto"/>
                      <w:kern w:val="0"/>
                      <w:szCs w:val="22"/>
                    </w:rPr>
                    <w:t>113.883799</w:t>
                  </w:r>
                  <w:r>
                    <w:rPr>
                      <w:color w:val="auto"/>
                      <w:kern w:val="0"/>
                      <w:szCs w:val="22"/>
                    </w:rPr>
                    <w:t>°</w:t>
                  </w:r>
                </w:p>
              </w:tc>
              <w:tc>
                <w:tcPr>
                  <w:tcW w:w="583" w:type="pct"/>
                  <w:vAlign w:val="center"/>
                </w:tcPr>
                <w:p w14:paraId="17F671A3">
                  <w:pPr>
                    <w:widowControl/>
                    <w:jc w:val="center"/>
                    <w:rPr>
                      <w:color w:val="auto"/>
                      <w:kern w:val="0"/>
                      <w:szCs w:val="22"/>
                    </w:rPr>
                  </w:pPr>
                  <w:r>
                    <w:rPr>
                      <w:rFonts w:hint="eastAsia"/>
                      <w:color w:val="auto"/>
                      <w:kern w:val="0"/>
                      <w:szCs w:val="22"/>
                    </w:rPr>
                    <w:t>23.187828</w:t>
                  </w:r>
                  <w:r>
                    <w:rPr>
                      <w:color w:val="auto"/>
                      <w:kern w:val="0"/>
                      <w:szCs w:val="22"/>
                    </w:rPr>
                    <w:t>°</w:t>
                  </w:r>
                </w:p>
              </w:tc>
              <w:tc>
                <w:tcPr>
                  <w:tcW w:w="443" w:type="pct"/>
                  <w:noWrap/>
                  <w:vAlign w:val="center"/>
                </w:tcPr>
                <w:p w14:paraId="64722F1D">
                  <w:pPr>
                    <w:widowControl/>
                    <w:jc w:val="center"/>
                    <w:rPr>
                      <w:color w:val="auto"/>
                      <w:kern w:val="0"/>
                      <w:szCs w:val="22"/>
                    </w:rPr>
                  </w:pPr>
                  <w:r>
                    <w:rPr>
                      <w:rFonts w:hint="eastAsia"/>
                      <w:color w:val="auto"/>
                      <w:kern w:val="0"/>
                      <w:szCs w:val="22"/>
                    </w:rPr>
                    <w:t>45</w:t>
                  </w:r>
                </w:p>
              </w:tc>
              <w:tc>
                <w:tcPr>
                  <w:tcW w:w="443" w:type="pct"/>
                  <w:noWrap/>
                  <w:vAlign w:val="center"/>
                </w:tcPr>
                <w:p w14:paraId="0B866586">
                  <w:pPr>
                    <w:widowControl/>
                    <w:jc w:val="center"/>
                    <w:rPr>
                      <w:color w:val="auto"/>
                      <w:kern w:val="0"/>
                      <w:szCs w:val="22"/>
                    </w:rPr>
                  </w:pPr>
                  <w:r>
                    <w:rPr>
                      <w:rFonts w:hint="eastAsia"/>
                      <w:color w:val="auto"/>
                      <w:kern w:val="0"/>
                      <w:szCs w:val="22"/>
                    </w:rPr>
                    <w:t>0.6</w:t>
                  </w:r>
                </w:p>
              </w:tc>
              <w:tc>
                <w:tcPr>
                  <w:tcW w:w="523" w:type="pct"/>
                  <w:noWrap/>
                  <w:vAlign w:val="center"/>
                </w:tcPr>
                <w:p w14:paraId="3DF16E11">
                  <w:pPr>
                    <w:widowControl/>
                    <w:jc w:val="center"/>
                    <w:textAlignment w:val="center"/>
                    <w:rPr>
                      <w:color w:val="auto"/>
                      <w:kern w:val="0"/>
                      <w:szCs w:val="21"/>
                    </w:rPr>
                  </w:pPr>
                  <w:r>
                    <w:rPr>
                      <w:rFonts w:hint="eastAsia"/>
                      <w:color w:val="auto"/>
                      <w:kern w:val="0"/>
                      <w:szCs w:val="21"/>
                    </w:rPr>
                    <w:t>12.77</w:t>
                  </w:r>
                </w:p>
              </w:tc>
              <w:tc>
                <w:tcPr>
                  <w:tcW w:w="464" w:type="pct"/>
                  <w:noWrap/>
                  <w:vAlign w:val="center"/>
                </w:tcPr>
                <w:p w14:paraId="72185857">
                  <w:pPr>
                    <w:widowControl/>
                    <w:jc w:val="center"/>
                    <w:textAlignment w:val="center"/>
                    <w:rPr>
                      <w:color w:val="auto"/>
                      <w:kern w:val="0"/>
                      <w:szCs w:val="22"/>
                    </w:rPr>
                  </w:pPr>
                  <w:r>
                    <w:rPr>
                      <w:rFonts w:hint="eastAsia"/>
                      <w:color w:val="auto"/>
                      <w:kern w:val="0"/>
                      <w:szCs w:val="22"/>
                    </w:rPr>
                    <w:t>25</w:t>
                  </w:r>
                </w:p>
              </w:tc>
            </w:tr>
            <w:tr w14:paraId="60C89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16" w:type="pct"/>
                  <w:noWrap/>
                  <w:vAlign w:val="center"/>
                </w:tcPr>
                <w:p w14:paraId="06657B73">
                  <w:pPr>
                    <w:widowControl/>
                    <w:jc w:val="center"/>
                    <w:rPr>
                      <w:color w:val="auto"/>
                      <w:kern w:val="0"/>
                      <w:szCs w:val="22"/>
                    </w:rPr>
                  </w:pPr>
                  <w:r>
                    <w:rPr>
                      <w:color w:val="auto"/>
                      <w:kern w:val="0"/>
                      <w:szCs w:val="22"/>
                    </w:rPr>
                    <w:t>DA002</w:t>
                  </w:r>
                </w:p>
              </w:tc>
              <w:tc>
                <w:tcPr>
                  <w:tcW w:w="609" w:type="pct"/>
                  <w:vAlign w:val="center"/>
                </w:tcPr>
                <w:p w14:paraId="7E3DAD9C">
                  <w:pPr>
                    <w:widowControl/>
                    <w:jc w:val="center"/>
                    <w:rPr>
                      <w:color w:val="auto"/>
                      <w:kern w:val="0"/>
                      <w:szCs w:val="22"/>
                    </w:rPr>
                  </w:pPr>
                  <w:r>
                    <w:rPr>
                      <w:rFonts w:hint="eastAsia"/>
                      <w:color w:val="auto"/>
                      <w:kern w:val="0"/>
                      <w:szCs w:val="22"/>
                    </w:rPr>
                    <w:t>生产废气</w:t>
                  </w:r>
                </w:p>
                <w:p w14:paraId="1F3A3AC7">
                  <w:pPr>
                    <w:widowControl/>
                    <w:jc w:val="center"/>
                    <w:rPr>
                      <w:color w:val="auto"/>
                      <w:kern w:val="0"/>
                      <w:szCs w:val="22"/>
                    </w:rPr>
                  </w:pPr>
                  <w:r>
                    <w:rPr>
                      <w:rFonts w:hint="eastAsia"/>
                      <w:color w:val="auto"/>
                      <w:kern w:val="0"/>
                      <w:szCs w:val="22"/>
                    </w:rPr>
                    <w:t>排放口2</w:t>
                  </w:r>
                </w:p>
              </w:tc>
              <w:tc>
                <w:tcPr>
                  <w:tcW w:w="702" w:type="pct"/>
                  <w:vAlign w:val="center"/>
                </w:tcPr>
                <w:p w14:paraId="17ED9693">
                  <w:pPr>
                    <w:widowControl/>
                    <w:jc w:val="center"/>
                    <w:rPr>
                      <w:color w:val="auto"/>
                      <w:kern w:val="0"/>
                      <w:szCs w:val="22"/>
                    </w:rPr>
                  </w:pPr>
                  <w:r>
                    <w:rPr>
                      <w:rFonts w:hint="eastAsia"/>
                      <w:color w:val="auto"/>
                      <w:kern w:val="0"/>
                      <w:szCs w:val="22"/>
                    </w:rPr>
                    <w:t>颗粒物</w:t>
                  </w:r>
                </w:p>
              </w:tc>
              <w:tc>
                <w:tcPr>
                  <w:tcW w:w="613" w:type="pct"/>
                  <w:vAlign w:val="center"/>
                </w:tcPr>
                <w:p w14:paraId="10B63450">
                  <w:pPr>
                    <w:widowControl/>
                    <w:jc w:val="center"/>
                    <w:rPr>
                      <w:color w:val="auto"/>
                      <w:kern w:val="0"/>
                      <w:szCs w:val="22"/>
                    </w:rPr>
                  </w:pPr>
                  <w:r>
                    <w:rPr>
                      <w:rFonts w:hint="eastAsia"/>
                      <w:color w:val="auto"/>
                      <w:kern w:val="0"/>
                      <w:szCs w:val="22"/>
                    </w:rPr>
                    <w:t>113.883852</w:t>
                  </w:r>
                  <w:r>
                    <w:rPr>
                      <w:color w:val="auto"/>
                      <w:kern w:val="0"/>
                      <w:szCs w:val="22"/>
                    </w:rPr>
                    <w:t>°</w:t>
                  </w:r>
                </w:p>
              </w:tc>
              <w:tc>
                <w:tcPr>
                  <w:tcW w:w="583" w:type="pct"/>
                  <w:vAlign w:val="center"/>
                </w:tcPr>
                <w:p w14:paraId="3901894D">
                  <w:pPr>
                    <w:widowControl/>
                    <w:jc w:val="center"/>
                    <w:rPr>
                      <w:color w:val="auto"/>
                      <w:kern w:val="0"/>
                      <w:szCs w:val="22"/>
                    </w:rPr>
                  </w:pPr>
                  <w:r>
                    <w:rPr>
                      <w:rFonts w:hint="eastAsia"/>
                      <w:color w:val="auto"/>
                      <w:kern w:val="0"/>
                      <w:szCs w:val="22"/>
                    </w:rPr>
                    <w:t>23.187898</w:t>
                  </w:r>
                  <w:r>
                    <w:rPr>
                      <w:color w:val="auto"/>
                      <w:kern w:val="0"/>
                      <w:szCs w:val="22"/>
                    </w:rPr>
                    <w:t>°</w:t>
                  </w:r>
                </w:p>
              </w:tc>
              <w:tc>
                <w:tcPr>
                  <w:tcW w:w="443" w:type="pct"/>
                  <w:noWrap/>
                  <w:vAlign w:val="center"/>
                </w:tcPr>
                <w:p w14:paraId="0AFD1735">
                  <w:pPr>
                    <w:widowControl/>
                    <w:jc w:val="center"/>
                    <w:rPr>
                      <w:color w:val="auto"/>
                      <w:kern w:val="0"/>
                      <w:szCs w:val="22"/>
                    </w:rPr>
                  </w:pPr>
                  <w:r>
                    <w:rPr>
                      <w:rFonts w:hint="eastAsia"/>
                      <w:color w:val="auto"/>
                      <w:kern w:val="0"/>
                      <w:szCs w:val="22"/>
                    </w:rPr>
                    <w:t>45</w:t>
                  </w:r>
                </w:p>
              </w:tc>
              <w:tc>
                <w:tcPr>
                  <w:tcW w:w="443" w:type="pct"/>
                  <w:noWrap/>
                  <w:vAlign w:val="center"/>
                </w:tcPr>
                <w:p w14:paraId="2A7003A1">
                  <w:pPr>
                    <w:widowControl/>
                    <w:jc w:val="center"/>
                    <w:rPr>
                      <w:color w:val="auto"/>
                      <w:kern w:val="0"/>
                      <w:szCs w:val="22"/>
                    </w:rPr>
                  </w:pPr>
                  <w:r>
                    <w:rPr>
                      <w:rFonts w:hint="eastAsia"/>
                      <w:color w:val="auto"/>
                      <w:kern w:val="0"/>
                      <w:szCs w:val="22"/>
                    </w:rPr>
                    <w:t>0.6</w:t>
                  </w:r>
                </w:p>
              </w:tc>
              <w:tc>
                <w:tcPr>
                  <w:tcW w:w="523" w:type="pct"/>
                  <w:noWrap/>
                  <w:vAlign w:val="center"/>
                </w:tcPr>
                <w:p w14:paraId="2647F3E2">
                  <w:pPr>
                    <w:widowControl/>
                    <w:jc w:val="center"/>
                    <w:textAlignment w:val="center"/>
                    <w:rPr>
                      <w:color w:val="auto"/>
                      <w:kern w:val="0"/>
                      <w:szCs w:val="21"/>
                    </w:rPr>
                  </w:pPr>
                  <w:r>
                    <w:rPr>
                      <w:rFonts w:hint="eastAsia"/>
                      <w:color w:val="auto"/>
                      <w:kern w:val="0"/>
                      <w:szCs w:val="21"/>
                    </w:rPr>
                    <w:t>12.77</w:t>
                  </w:r>
                </w:p>
              </w:tc>
              <w:tc>
                <w:tcPr>
                  <w:tcW w:w="464" w:type="pct"/>
                  <w:noWrap/>
                  <w:vAlign w:val="center"/>
                </w:tcPr>
                <w:p w14:paraId="3163E804">
                  <w:pPr>
                    <w:widowControl/>
                    <w:jc w:val="center"/>
                    <w:textAlignment w:val="center"/>
                    <w:rPr>
                      <w:color w:val="auto"/>
                      <w:kern w:val="0"/>
                      <w:szCs w:val="22"/>
                    </w:rPr>
                  </w:pPr>
                  <w:r>
                    <w:rPr>
                      <w:rFonts w:hint="eastAsia"/>
                      <w:color w:val="auto"/>
                      <w:kern w:val="0"/>
                      <w:szCs w:val="22"/>
                    </w:rPr>
                    <w:t>25</w:t>
                  </w:r>
                </w:p>
              </w:tc>
            </w:tr>
            <w:tr w14:paraId="16FA0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16" w:type="pct"/>
                  <w:noWrap/>
                  <w:vAlign w:val="center"/>
                </w:tcPr>
                <w:p w14:paraId="0B34128F">
                  <w:pPr>
                    <w:widowControl/>
                    <w:jc w:val="center"/>
                    <w:rPr>
                      <w:color w:val="auto"/>
                      <w:kern w:val="0"/>
                      <w:szCs w:val="22"/>
                    </w:rPr>
                  </w:pPr>
                  <w:r>
                    <w:rPr>
                      <w:color w:val="auto"/>
                      <w:kern w:val="0"/>
                      <w:szCs w:val="22"/>
                    </w:rPr>
                    <w:t>DA003</w:t>
                  </w:r>
                </w:p>
              </w:tc>
              <w:tc>
                <w:tcPr>
                  <w:tcW w:w="609" w:type="pct"/>
                  <w:vAlign w:val="center"/>
                </w:tcPr>
                <w:p w14:paraId="67B8A042">
                  <w:pPr>
                    <w:widowControl/>
                    <w:jc w:val="center"/>
                    <w:rPr>
                      <w:color w:val="auto"/>
                      <w:kern w:val="0"/>
                      <w:szCs w:val="22"/>
                    </w:rPr>
                  </w:pPr>
                  <w:r>
                    <w:rPr>
                      <w:rFonts w:hint="eastAsia"/>
                      <w:color w:val="auto"/>
                      <w:kern w:val="0"/>
                      <w:szCs w:val="22"/>
                    </w:rPr>
                    <w:t>生产废气</w:t>
                  </w:r>
                </w:p>
                <w:p w14:paraId="30E8F98A">
                  <w:pPr>
                    <w:widowControl/>
                    <w:jc w:val="center"/>
                    <w:rPr>
                      <w:color w:val="auto"/>
                      <w:kern w:val="0"/>
                      <w:szCs w:val="22"/>
                    </w:rPr>
                  </w:pPr>
                  <w:r>
                    <w:rPr>
                      <w:rFonts w:hint="eastAsia"/>
                      <w:color w:val="auto"/>
                      <w:kern w:val="0"/>
                      <w:szCs w:val="22"/>
                    </w:rPr>
                    <w:t>排放口3</w:t>
                  </w:r>
                </w:p>
              </w:tc>
              <w:tc>
                <w:tcPr>
                  <w:tcW w:w="702" w:type="pct"/>
                  <w:vAlign w:val="center"/>
                </w:tcPr>
                <w:p w14:paraId="74B9FCBF">
                  <w:pPr>
                    <w:widowControl/>
                    <w:jc w:val="center"/>
                    <w:rPr>
                      <w:color w:val="auto"/>
                      <w:kern w:val="0"/>
                      <w:szCs w:val="21"/>
                    </w:rPr>
                  </w:pPr>
                  <w:r>
                    <w:rPr>
                      <w:rFonts w:hint="eastAsia"/>
                      <w:color w:val="auto"/>
                      <w:kern w:val="0"/>
                      <w:szCs w:val="21"/>
                    </w:rPr>
                    <w:t>TVOC、颗粒物、氮氧化物、二氧化硫</w:t>
                  </w:r>
                </w:p>
              </w:tc>
              <w:tc>
                <w:tcPr>
                  <w:tcW w:w="613" w:type="pct"/>
                  <w:vAlign w:val="center"/>
                </w:tcPr>
                <w:p w14:paraId="1E220E85">
                  <w:pPr>
                    <w:widowControl/>
                    <w:jc w:val="center"/>
                    <w:rPr>
                      <w:color w:val="auto"/>
                      <w:kern w:val="0"/>
                      <w:szCs w:val="22"/>
                    </w:rPr>
                  </w:pPr>
                  <w:r>
                    <w:rPr>
                      <w:rFonts w:hint="eastAsia"/>
                      <w:color w:val="auto"/>
                      <w:kern w:val="0"/>
                      <w:szCs w:val="22"/>
                    </w:rPr>
                    <w:t>113.883965</w:t>
                  </w:r>
                  <w:r>
                    <w:rPr>
                      <w:color w:val="auto"/>
                      <w:kern w:val="0"/>
                      <w:szCs w:val="22"/>
                    </w:rPr>
                    <w:t>°</w:t>
                  </w:r>
                </w:p>
              </w:tc>
              <w:tc>
                <w:tcPr>
                  <w:tcW w:w="583" w:type="pct"/>
                  <w:vAlign w:val="center"/>
                </w:tcPr>
                <w:p w14:paraId="1B93C3C9">
                  <w:pPr>
                    <w:widowControl/>
                    <w:jc w:val="center"/>
                    <w:rPr>
                      <w:color w:val="auto"/>
                      <w:kern w:val="0"/>
                      <w:szCs w:val="22"/>
                    </w:rPr>
                  </w:pPr>
                  <w:r>
                    <w:rPr>
                      <w:rFonts w:hint="eastAsia"/>
                      <w:color w:val="auto"/>
                      <w:kern w:val="0"/>
                      <w:szCs w:val="22"/>
                    </w:rPr>
                    <w:t>23.188155</w:t>
                  </w:r>
                  <w:r>
                    <w:rPr>
                      <w:color w:val="auto"/>
                      <w:kern w:val="0"/>
                      <w:szCs w:val="22"/>
                    </w:rPr>
                    <w:t>°</w:t>
                  </w:r>
                </w:p>
              </w:tc>
              <w:tc>
                <w:tcPr>
                  <w:tcW w:w="443" w:type="pct"/>
                  <w:noWrap/>
                  <w:vAlign w:val="center"/>
                </w:tcPr>
                <w:p w14:paraId="0ECAA3BB">
                  <w:pPr>
                    <w:widowControl/>
                    <w:jc w:val="center"/>
                    <w:rPr>
                      <w:color w:val="auto"/>
                      <w:kern w:val="0"/>
                      <w:szCs w:val="22"/>
                    </w:rPr>
                  </w:pPr>
                  <w:r>
                    <w:rPr>
                      <w:rFonts w:hint="eastAsia"/>
                      <w:color w:val="auto"/>
                      <w:kern w:val="0"/>
                      <w:szCs w:val="22"/>
                    </w:rPr>
                    <w:t>45</w:t>
                  </w:r>
                </w:p>
              </w:tc>
              <w:tc>
                <w:tcPr>
                  <w:tcW w:w="443" w:type="pct"/>
                  <w:noWrap/>
                  <w:vAlign w:val="center"/>
                </w:tcPr>
                <w:p w14:paraId="0EF7E8C5">
                  <w:pPr>
                    <w:widowControl/>
                    <w:jc w:val="center"/>
                    <w:rPr>
                      <w:color w:val="auto"/>
                      <w:kern w:val="0"/>
                      <w:szCs w:val="22"/>
                    </w:rPr>
                  </w:pPr>
                  <w:r>
                    <w:rPr>
                      <w:rFonts w:hint="eastAsia"/>
                      <w:color w:val="auto"/>
                      <w:kern w:val="0"/>
                      <w:szCs w:val="22"/>
                    </w:rPr>
                    <w:t>0.8</w:t>
                  </w:r>
                </w:p>
              </w:tc>
              <w:tc>
                <w:tcPr>
                  <w:tcW w:w="523" w:type="pct"/>
                  <w:noWrap/>
                  <w:vAlign w:val="center"/>
                </w:tcPr>
                <w:p w14:paraId="57A98B02">
                  <w:pPr>
                    <w:widowControl/>
                    <w:jc w:val="center"/>
                    <w:textAlignment w:val="center"/>
                    <w:rPr>
                      <w:color w:val="auto"/>
                      <w:kern w:val="0"/>
                      <w:szCs w:val="21"/>
                    </w:rPr>
                  </w:pPr>
                  <w:r>
                    <w:rPr>
                      <w:rFonts w:hint="eastAsia"/>
                      <w:color w:val="auto"/>
                      <w:kern w:val="0"/>
                      <w:szCs w:val="21"/>
                    </w:rPr>
                    <w:t>11.05</w:t>
                  </w:r>
                </w:p>
              </w:tc>
              <w:tc>
                <w:tcPr>
                  <w:tcW w:w="464" w:type="pct"/>
                  <w:noWrap/>
                  <w:vAlign w:val="center"/>
                </w:tcPr>
                <w:p w14:paraId="1E46A378">
                  <w:pPr>
                    <w:widowControl/>
                    <w:jc w:val="center"/>
                    <w:textAlignment w:val="center"/>
                    <w:rPr>
                      <w:color w:val="auto"/>
                      <w:kern w:val="0"/>
                      <w:szCs w:val="22"/>
                    </w:rPr>
                  </w:pPr>
                  <w:r>
                    <w:rPr>
                      <w:rFonts w:hint="eastAsia"/>
                      <w:color w:val="auto"/>
                      <w:kern w:val="0"/>
                      <w:szCs w:val="22"/>
                    </w:rPr>
                    <w:t>25</w:t>
                  </w:r>
                </w:p>
              </w:tc>
            </w:tr>
            <w:tr w14:paraId="21D26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16" w:type="pct"/>
                  <w:noWrap/>
                  <w:vAlign w:val="center"/>
                </w:tcPr>
                <w:p w14:paraId="100403C9">
                  <w:pPr>
                    <w:widowControl/>
                    <w:jc w:val="center"/>
                    <w:rPr>
                      <w:color w:val="auto"/>
                      <w:kern w:val="0"/>
                      <w:szCs w:val="22"/>
                    </w:rPr>
                  </w:pPr>
                  <w:r>
                    <w:rPr>
                      <w:color w:val="auto"/>
                      <w:kern w:val="0"/>
                      <w:szCs w:val="22"/>
                    </w:rPr>
                    <w:t>DA004</w:t>
                  </w:r>
                </w:p>
              </w:tc>
              <w:tc>
                <w:tcPr>
                  <w:tcW w:w="609" w:type="pct"/>
                  <w:vAlign w:val="center"/>
                </w:tcPr>
                <w:p w14:paraId="0511F9C2">
                  <w:pPr>
                    <w:widowControl/>
                    <w:jc w:val="center"/>
                    <w:rPr>
                      <w:color w:val="auto"/>
                      <w:kern w:val="0"/>
                      <w:szCs w:val="22"/>
                    </w:rPr>
                  </w:pPr>
                  <w:r>
                    <w:rPr>
                      <w:rFonts w:hint="eastAsia"/>
                      <w:color w:val="auto"/>
                      <w:kern w:val="0"/>
                      <w:szCs w:val="22"/>
                    </w:rPr>
                    <w:t>生产废气</w:t>
                  </w:r>
                </w:p>
                <w:p w14:paraId="1DA742BF">
                  <w:pPr>
                    <w:widowControl/>
                    <w:jc w:val="center"/>
                    <w:rPr>
                      <w:color w:val="auto"/>
                      <w:kern w:val="0"/>
                      <w:szCs w:val="22"/>
                    </w:rPr>
                  </w:pPr>
                  <w:r>
                    <w:rPr>
                      <w:rFonts w:hint="eastAsia"/>
                      <w:color w:val="auto"/>
                      <w:kern w:val="0"/>
                      <w:szCs w:val="22"/>
                    </w:rPr>
                    <w:t>排放口4</w:t>
                  </w:r>
                </w:p>
              </w:tc>
              <w:tc>
                <w:tcPr>
                  <w:tcW w:w="702" w:type="pct"/>
                  <w:vAlign w:val="center"/>
                </w:tcPr>
                <w:p w14:paraId="34B866DD">
                  <w:pPr>
                    <w:widowControl/>
                    <w:jc w:val="center"/>
                    <w:rPr>
                      <w:color w:val="auto"/>
                      <w:kern w:val="0"/>
                      <w:szCs w:val="22"/>
                    </w:rPr>
                  </w:pPr>
                  <w:r>
                    <w:rPr>
                      <w:rFonts w:hint="eastAsia"/>
                      <w:color w:val="auto"/>
                      <w:kern w:val="0"/>
                      <w:szCs w:val="21"/>
                    </w:rPr>
                    <w:t>TVOC、颗粒物、氮氧化物、二氧化硫</w:t>
                  </w:r>
                </w:p>
              </w:tc>
              <w:tc>
                <w:tcPr>
                  <w:tcW w:w="613" w:type="pct"/>
                  <w:vAlign w:val="center"/>
                </w:tcPr>
                <w:p w14:paraId="214EFF15">
                  <w:pPr>
                    <w:widowControl/>
                    <w:jc w:val="center"/>
                    <w:rPr>
                      <w:color w:val="auto"/>
                      <w:kern w:val="0"/>
                      <w:szCs w:val="22"/>
                    </w:rPr>
                  </w:pPr>
                  <w:r>
                    <w:rPr>
                      <w:rFonts w:hint="eastAsia"/>
                      <w:color w:val="auto"/>
                      <w:kern w:val="0"/>
                      <w:szCs w:val="22"/>
                    </w:rPr>
                    <w:t>113.884008</w:t>
                  </w:r>
                  <w:r>
                    <w:rPr>
                      <w:color w:val="auto"/>
                      <w:kern w:val="0"/>
                      <w:szCs w:val="22"/>
                    </w:rPr>
                    <w:t>°</w:t>
                  </w:r>
                </w:p>
              </w:tc>
              <w:tc>
                <w:tcPr>
                  <w:tcW w:w="583" w:type="pct"/>
                  <w:vAlign w:val="center"/>
                </w:tcPr>
                <w:p w14:paraId="6E9C9773">
                  <w:pPr>
                    <w:widowControl/>
                    <w:jc w:val="center"/>
                    <w:rPr>
                      <w:color w:val="auto"/>
                      <w:kern w:val="0"/>
                      <w:szCs w:val="22"/>
                    </w:rPr>
                  </w:pPr>
                  <w:r>
                    <w:rPr>
                      <w:rFonts w:hint="eastAsia"/>
                      <w:color w:val="auto"/>
                      <w:kern w:val="0"/>
                      <w:szCs w:val="22"/>
                    </w:rPr>
                    <w:t>23.188214</w:t>
                  </w:r>
                  <w:r>
                    <w:rPr>
                      <w:color w:val="auto"/>
                      <w:kern w:val="0"/>
                      <w:szCs w:val="22"/>
                    </w:rPr>
                    <w:t>°</w:t>
                  </w:r>
                </w:p>
              </w:tc>
              <w:tc>
                <w:tcPr>
                  <w:tcW w:w="443" w:type="pct"/>
                  <w:noWrap/>
                  <w:vAlign w:val="center"/>
                </w:tcPr>
                <w:p w14:paraId="086B1A48">
                  <w:pPr>
                    <w:widowControl/>
                    <w:jc w:val="center"/>
                    <w:rPr>
                      <w:color w:val="auto"/>
                      <w:kern w:val="0"/>
                      <w:szCs w:val="22"/>
                    </w:rPr>
                  </w:pPr>
                  <w:r>
                    <w:rPr>
                      <w:rFonts w:hint="eastAsia"/>
                      <w:color w:val="auto"/>
                      <w:kern w:val="0"/>
                      <w:szCs w:val="22"/>
                    </w:rPr>
                    <w:t>45</w:t>
                  </w:r>
                </w:p>
              </w:tc>
              <w:tc>
                <w:tcPr>
                  <w:tcW w:w="443" w:type="pct"/>
                  <w:noWrap/>
                  <w:vAlign w:val="center"/>
                </w:tcPr>
                <w:p w14:paraId="0FDBE73E">
                  <w:pPr>
                    <w:widowControl/>
                    <w:jc w:val="center"/>
                    <w:rPr>
                      <w:color w:val="auto"/>
                      <w:kern w:val="0"/>
                      <w:szCs w:val="22"/>
                    </w:rPr>
                  </w:pPr>
                  <w:r>
                    <w:rPr>
                      <w:rFonts w:hint="eastAsia"/>
                      <w:color w:val="auto"/>
                      <w:kern w:val="0"/>
                      <w:szCs w:val="22"/>
                    </w:rPr>
                    <w:t>0.6</w:t>
                  </w:r>
                </w:p>
              </w:tc>
              <w:tc>
                <w:tcPr>
                  <w:tcW w:w="523" w:type="pct"/>
                  <w:noWrap/>
                  <w:vAlign w:val="center"/>
                </w:tcPr>
                <w:p w14:paraId="0242FA03">
                  <w:pPr>
                    <w:widowControl/>
                    <w:jc w:val="center"/>
                    <w:textAlignment w:val="center"/>
                    <w:rPr>
                      <w:color w:val="auto"/>
                      <w:kern w:val="0"/>
                      <w:szCs w:val="21"/>
                    </w:rPr>
                  </w:pPr>
                  <w:r>
                    <w:rPr>
                      <w:rFonts w:hint="eastAsia"/>
                      <w:color w:val="auto"/>
                      <w:kern w:val="0"/>
                      <w:szCs w:val="21"/>
                    </w:rPr>
                    <w:t>14.74</w:t>
                  </w:r>
                </w:p>
              </w:tc>
              <w:tc>
                <w:tcPr>
                  <w:tcW w:w="464" w:type="pct"/>
                  <w:noWrap/>
                  <w:vAlign w:val="center"/>
                </w:tcPr>
                <w:p w14:paraId="5E7DF950">
                  <w:pPr>
                    <w:widowControl/>
                    <w:jc w:val="center"/>
                    <w:textAlignment w:val="center"/>
                    <w:rPr>
                      <w:color w:val="auto"/>
                      <w:kern w:val="0"/>
                      <w:szCs w:val="22"/>
                    </w:rPr>
                  </w:pPr>
                  <w:r>
                    <w:rPr>
                      <w:rFonts w:hint="eastAsia"/>
                      <w:color w:val="auto"/>
                      <w:kern w:val="0"/>
                      <w:szCs w:val="22"/>
                    </w:rPr>
                    <w:t>25</w:t>
                  </w:r>
                </w:p>
              </w:tc>
            </w:tr>
            <w:tr w14:paraId="446B6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16" w:type="pct"/>
                  <w:noWrap/>
                  <w:vAlign w:val="center"/>
                </w:tcPr>
                <w:p w14:paraId="1F2EFDA2">
                  <w:pPr>
                    <w:widowControl/>
                    <w:jc w:val="center"/>
                    <w:rPr>
                      <w:color w:val="auto"/>
                      <w:kern w:val="0"/>
                      <w:szCs w:val="22"/>
                    </w:rPr>
                  </w:pPr>
                  <w:r>
                    <w:rPr>
                      <w:color w:val="auto"/>
                      <w:kern w:val="0"/>
                      <w:szCs w:val="22"/>
                    </w:rPr>
                    <w:t>DA00</w:t>
                  </w:r>
                  <w:r>
                    <w:rPr>
                      <w:rFonts w:hint="eastAsia"/>
                      <w:color w:val="auto"/>
                      <w:kern w:val="0"/>
                      <w:szCs w:val="22"/>
                    </w:rPr>
                    <w:t>5</w:t>
                  </w:r>
                </w:p>
              </w:tc>
              <w:tc>
                <w:tcPr>
                  <w:tcW w:w="609" w:type="pct"/>
                  <w:vAlign w:val="center"/>
                </w:tcPr>
                <w:p w14:paraId="68C4F8C1">
                  <w:pPr>
                    <w:widowControl/>
                    <w:jc w:val="center"/>
                    <w:rPr>
                      <w:color w:val="auto"/>
                      <w:kern w:val="0"/>
                      <w:szCs w:val="22"/>
                    </w:rPr>
                  </w:pPr>
                  <w:r>
                    <w:rPr>
                      <w:rFonts w:hint="eastAsia"/>
                      <w:color w:val="auto"/>
                      <w:kern w:val="0"/>
                      <w:szCs w:val="22"/>
                    </w:rPr>
                    <w:t>生产废气</w:t>
                  </w:r>
                </w:p>
                <w:p w14:paraId="6787FA33">
                  <w:pPr>
                    <w:widowControl/>
                    <w:jc w:val="center"/>
                    <w:rPr>
                      <w:color w:val="auto"/>
                      <w:kern w:val="0"/>
                      <w:szCs w:val="22"/>
                    </w:rPr>
                  </w:pPr>
                  <w:r>
                    <w:rPr>
                      <w:rFonts w:hint="eastAsia"/>
                      <w:color w:val="auto"/>
                      <w:kern w:val="0"/>
                      <w:szCs w:val="22"/>
                    </w:rPr>
                    <w:t>排放口5</w:t>
                  </w:r>
                </w:p>
              </w:tc>
              <w:tc>
                <w:tcPr>
                  <w:tcW w:w="702" w:type="pct"/>
                  <w:vAlign w:val="center"/>
                </w:tcPr>
                <w:p w14:paraId="66965A8E">
                  <w:pPr>
                    <w:widowControl/>
                    <w:jc w:val="center"/>
                    <w:rPr>
                      <w:color w:val="auto"/>
                      <w:kern w:val="0"/>
                      <w:szCs w:val="21"/>
                    </w:rPr>
                  </w:pPr>
                  <w:r>
                    <w:rPr>
                      <w:rFonts w:hint="eastAsia"/>
                      <w:color w:val="auto"/>
                      <w:kern w:val="0"/>
                      <w:szCs w:val="21"/>
                    </w:rPr>
                    <w:t>TVOC、颗粒物、氮氧化物、二氧化硫</w:t>
                  </w:r>
                </w:p>
              </w:tc>
              <w:tc>
                <w:tcPr>
                  <w:tcW w:w="613" w:type="pct"/>
                  <w:vAlign w:val="center"/>
                </w:tcPr>
                <w:p w14:paraId="311CE63C">
                  <w:pPr>
                    <w:widowControl/>
                    <w:jc w:val="center"/>
                    <w:rPr>
                      <w:color w:val="auto"/>
                      <w:kern w:val="0"/>
                      <w:szCs w:val="22"/>
                    </w:rPr>
                  </w:pPr>
                  <w:r>
                    <w:rPr>
                      <w:rFonts w:hint="eastAsia"/>
                      <w:color w:val="auto"/>
                      <w:kern w:val="0"/>
                      <w:szCs w:val="22"/>
                    </w:rPr>
                    <w:t>113.884209</w:t>
                  </w:r>
                  <w:r>
                    <w:rPr>
                      <w:color w:val="auto"/>
                      <w:kern w:val="0"/>
                      <w:szCs w:val="22"/>
                    </w:rPr>
                    <w:t>°</w:t>
                  </w:r>
                </w:p>
              </w:tc>
              <w:tc>
                <w:tcPr>
                  <w:tcW w:w="583" w:type="pct"/>
                  <w:vAlign w:val="center"/>
                </w:tcPr>
                <w:p w14:paraId="3CB94DCF">
                  <w:pPr>
                    <w:widowControl/>
                    <w:jc w:val="center"/>
                    <w:rPr>
                      <w:color w:val="auto"/>
                      <w:kern w:val="0"/>
                      <w:szCs w:val="22"/>
                    </w:rPr>
                  </w:pPr>
                  <w:r>
                    <w:rPr>
                      <w:rFonts w:hint="eastAsia"/>
                      <w:color w:val="auto"/>
                      <w:kern w:val="0"/>
                      <w:szCs w:val="22"/>
                    </w:rPr>
                    <w:t>23.188582</w:t>
                  </w:r>
                  <w:r>
                    <w:rPr>
                      <w:color w:val="auto"/>
                      <w:kern w:val="0"/>
                      <w:szCs w:val="22"/>
                    </w:rPr>
                    <w:t>°</w:t>
                  </w:r>
                </w:p>
              </w:tc>
              <w:tc>
                <w:tcPr>
                  <w:tcW w:w="443" w:type="pct"/>
                  <w:noWrap/>
                  <w:vAlign w:val="center"/>
                </w:tcPr>
                <w:p w14:paraId="2BEAD904">
                  <w:pPr>
                    <w:widowControl/>
                    <w:jc w:val="center"/>
                    <w:rPr>
                      <w:color w:val="auto"/>
                      <w:kern w:val="0"/>
                      <w:szCs w:val="22"/>
                    </w:rPr>
                  </w:pPr>
                  <w:r>
                    <w:rPr>
                      <w:rFonts w:hint="eastAsia"/>
                      <w:color w:val="auto"/>
                      <w:kern w:val="0"/>
                      <w:szCs w:val="22"/>
                    </w:rPr>
                    <w:t>45</w:t>
                  </w:r>
                </w:p>
              </w:tc>
              <w:tc>
                <w:tcPr>
                  <w:tcW w:w="443" w:type="pct"/>
                  <w:noWrap/>
                  <w:vAlign w:val="center"/>
                </w:tcPr>
                <w:p w14:paraId="6B94279F">
                  <w:pPr>
                    <w:widowControl/>
                    <w:jc w:val="center"/>
                    <w:rPr>
                      <w:color w:val="auto"/>
                      <w:kern w:val="0"/>
                      <w:szCs w:val="22"/>
                    </w:rPr>
                  </w:pPr>
                  <w:r>
                    <w:rPr>
                      <w:rFonts w:hint="eastAsia"/>
                      <w:color w:val="auto"/>
                      <w:kern w:val="0"/>
                      <w:szCs w:val="22"/>
                    </w:rPr>
                    <w:t>0.5</w:t>
                  </w:r>
                </w:p>
              </w:tc>
              <w:tc>
                <w:tcPr>
                  <w:tcW w:w="523" w:type="pct"/>
                  <w:noWrap/>
                  <w:vAlign w:val="center"/>
                </w:tcPr>
                <w:p w14:paraId="2DC0EF4E">
                  <w:pPr>
                    <w:widowControl/>
                    <w:jc w:val="center"/>
                    <w:textAlignment w:val="center"/>
                    <w:rPr>
                      <w:color w:val="auto"/>
                      <w:kern w:val="0"/>
                      <w:szCs w:val="22"/>
                    </w:rPr>
                  </w:pPr>
                  <w:r>
                    <w:rPr>
                      <w:rFonts w:hint="eastAsia"/>
                      <w:color w:val="auto"/>
                      <w:kern w:val="0"/>
                      <w:szCs w:val="22"/>
                    </w:rPr>
                    <w:t>14.15</w:t>
                  </w:r>
                </w:p>
              </w:tc>
              <w:tc>
                <w:tcPr>
                  <w:tcW w:w="464" w:type="pct"/>
                  <w:vAlign w:val="center"/>
                </w:tcPr>
                <w:p w14:paraId="5DA95694">
                  <w:pPr>
                    <w:widowControl/>
                    <w:jc w:val="center"/>
                    <w:textAlignment w:val="center"/>
                    <w:rPr>
                      <w:color w:val="auto"/>
                      <w:kern w:val="0"/>
                      <w:szCs w:val="21"/>
                    </w:rPr>
                  </w:pPr>
                  <w:r>
                    <w:rPr>
                      <w:rFonts w:hint="eastAsia"/>
                      <w:color w:val="auto"/>
                      <w:kern w:val="0"/>
                      <w:szCs w:val="21"/>
                    </w:rPr>
                    <w:t>25</w:t>
                  </w:r>
                </w:p>
              </w:tc>
            </w:tr>
            <w:tr w14:paraId="644B0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16" w:type="pct"/>
                  <w:noWrap/>
                  <w:vAlign w:val="center"/>
                </w:tcPr>
                <w:p w14:paraId="66F787D3">
                  <w:pPr>
                    <w:widowControl/>
                    <w:jc w:val="center"/>
                    <w:rPr>
                      <w:color w:val="auto"/>
                      <w:kern w:val="0"/>
                      <w:szCs w:val="22"/>
                    </w:rPr>
                  </w:pPr>
                  <w:r>
                    <w:rPr>
                      <w:color w:val="auto"/>
                      <w:kern w:val="0"/>
                      <w:szCs w:val="22"/>
                    </w:rPr>
                    <w:t>DA00</w:t>
                  </w:r>
                  <w:r>
                    <w:rPr>
                      <w:rFonts w:hint="eastAsia"/>
                      <w:color w:val="auto"/>
                      <w:kern w:val="0"/>
                      <w:szCs w:val="22"/>
                    </w:rPr>
                    <w:t>6</w:t>
                  </w:r>
                </w:p>
              </w:tc>
              <w:tc>
                <w:tcPr>
                  <w:tcW w:w="609" w:type="pct"/>
                  <w:vAlign w:val="center"/>
                </w:tcPr>
                <w:p w14:paraId="4122A3A3">
                  <w:pPr>
                    <w:widowControl/>
                    <w:jc w:val="center"/>
                    <w:rPr>
                      <w:color w:val="auto"/>
                      <w:kern w:val="0"/>
                      <w:szCs w:val="22"/>
                    </w:rPr>
                  </w:pPr>
                  <w:r>
                    <w:rPr>
                      <w:rFonts w:hint="eastAsia"/>
                      <w:color w:val="auto"/>
                      <w:kern w:val="0"/>
                      <w:szCs w:val="22"/>
                    </w:rPr>
                    <w:t>生产废气</w:t>
                  </w:r>
                </w:p>
                <w:p w14:paraId="68EC72F6">
                  <w:pPr>
                    <w:widowControl/>
                    <w:jc w:val="center"/>
                    <w:rPr>
                      <w:color w:val="auto"/>
                      <w:kern w:val="0"/>
                      <w:szCs w:val="22"/>
                    </w:rPr>
                  </w:pPr>
                  <w:r>
                    <w:rPr>
                      <w:rFonts w:hint="eastAsia"/>
                      <w:color w:val="auto"/>
                      <w:kern w:val="0"/>
                      <w:szCs w:val="22"/>
                    </w:rPr>
                    <w:t>排放口6</w:t>
                  </w:r>
                </w:p>
              </w:tc>
              <w:tc>
                <w:tcPr>
                  <w:tcW w:w="702" w:type="pct"/>
                  <w:vAlign w:val="center"/>
                </w:tcPr>
                <w:p w14:paraId="520343E6">
                  <w:pPr>
                    <w:widowControl/>
                    <w:jc w:val="center"/>
                    <w:rPr>
                      <w:color w:val="auto"/>
                      <w:kern w:val="0"/>
                      <w:szCs w:val="21"/>
                    </w:rPr>
                  </w:pPr>
                  <w:r>
                    <w:rPr>
                      <w:rFonts w:hint="eastAsia"/>
                      <w:color w:val="auto"/>
                      <w:kern w:val="0"/>
                      <w:szCs w:val="21"/>
                    </w:rPr>
                    <w:t>硫酸雾、颗粒物、氮氧化物、二氧化硫</w:t>
                  </w:r>
                </w:p>
              </w:tc>
              <w:tc>
                <w:tcPr>
                  <w:tcW w:w="613" w:type="pct"/>
                  <w:vAlign w:val="center"/>
                </w:tcPr>
                <w:p w14:paraId="6250A40C">
                  <w:pPr>
                    <w:widowControl/>
                    <w:jc w:val="center"/>
                    <w:rPr>
                      <w:color w:val="auto"/>
                      <w:kern w:val="0"/>
                      <w:szCs w:val="22"/>
                    </w:rPr>
                  </w:pPr>
                  <w:r>
                    <w:rPr>
                      <w:rFonts w:hint="eastAsia"/>
                      <w:color w:val="auto"/>
                      <w:kern w:val="0"/>
                      <w:szCs w:val="22"/>
                    </w:rPr>
                    <w:t>113.884075</w:t>
                  </w:r>
                  <w:r>
                    <w:rPr>
                      <w:color w:val="auto"/>
                      <w:kern w:val="0"/>
                      <w:szCs w:val="22"/>
                    </w:rPr>
                    <w:t>°</w:t>
                  </w:r>
                </w:p>
              </w:tc>
              <w:tc>
                <w:tcPr>
                  <w:tcW w:w="583" w:type="pct"/>
                  <w:vAlign w:val="center"/>
                </w:tcPr>
                <w:p w14:paraId="4AB243DD">
                  <w:pPr>
                    <w:widowControl/>
                    <w:jc w:val="center"/>
                    <w:rPr>
                      <w:color w:val="auto"/>
                      <w:kern w:val="0"/>
                      <w:szCs w:val="22"/>
                    </w:rPr>
                  </w:pPr>
                  <w:r>
                    <w:rPr>
                      <w:rFonts w:hint="eastAsia"/>
                      <w:color w:val="auto"/>
                      <w:kern w:val="0"/>
                      <w:szCs w:val="22"/>
                    </w:rPr>
                    <w:t>23.188329</w:t>
                  </w:r>
                  <w:r>
                    <w:rPr>
                      <w:color w:val="auto"/>
                      <w:kern w:val="0"/>
                      <w:szCs w:val="22"/>
                    </w:rPr>
                    <w:t>°</w:t>
                  </w:r>
                </w:p>
              </w:tc>
              <w:tc>
                <w:tcPr>
                  <w:tcW w:w="443" w:type="pct"/>
                  <w:noWrap/>
                  <w:vAlign w:val="center"/>
                </w:tcPr>
                <w:p w14:paraId="33E25784">
                  <w:pPr>
                    <w:widowControl/>
                    <w:jc w:val="center"/>
                    <w:rPr>
                      <w:color w:val="auto"/>
                      <w:kern w:val="0"/>
                      <w:szCs w:val="22"/>
                    </w:rPr>
                  </w:pPr>
                  <w:r>
                    <w:rPr>
                      <w:rFonts w:hint="eastAsia"/>
                      <w:color w:val="auto"/>
                      <w:kern w:val="0"/>
                      <w:szCs w:val="22"/>
                    </w:rPr>
                    <w:t>45</w:t>
                  </w:r>
                </w:p>
              </w:tc>
              <w:tc>
                <w:tcPr>
                  <w:tcW w:w="443" w:type="pct"/>
                  <w:noWrap/>
                  <w:vAlign w:val="center"/>
                </w:tcPr>
                <w:p w14:paraId="0D4441D1">
                  <w:pPr>
                    <w:widowControl/>
                    <w:jc w:val="center"/>
                    <w:rPr>
                      <w:color w:val="auto"/>
                      <w:kern w:val="0"/>
                      <w:szCs w:val="22"/>
                    </w:rPr>
                  </w:pPr>
                  <w:r>
                    <w:rPr>
                      <w:rFonts w:hint="eastAsia"/>
                      <w:color w:val="auto"/>
                      <w:kern w:val="0"/>
                      <w:szCs w:val="22"/>
                    </w:rPr>
                    <w:t>0.45</w:t>
                  </w:r>
                </w:p>
              </w:tc>
              <w:tc>
                <w:tcPr>
                  <w:tcW w:w="523" w:type="pct"/>
                  <w:noWrap/>
                  <w:vAlign w:val="center"/>
                </w:tcPr>
                <w:p w14:paraId="0E9DA0C2">
                  <w:pPr>
                    <w:widowControl/>
                    <w:jc w:val="center"/>
                    <w:textAlignment w:val="center"/>
                    <w:rPr>
                      <w:color w:val="auto"/>
                      <w:kern w:val="0"/>
                      <w:szCs w:val="22"/>
                    </w:rPr>
                  </w:pPr>
                  <w:r>
                    <w:rPr>
                      <w:rFonts w:hint="eastAsia"/>
                      <w:color w:val="auto"/>
                      <w:kern w:val="0"/>
                      <w:szCs w:val="22"/>
                    </w:rPr>
                    <w:t>12.23</w:t>
                  </w:r>
                </w:p>
              </w:tc>
              <w:tc>
                <w:tcPr>
                  <w:tcW w:w="464" w:type="pct"/>
                  <w:vAlign w:val="center"/>
                </w:tcPr>
                <w:p w14:paraId="502CDDEF">
                  <w:pPr>
                    <w:widowControl/>
                    <w:jc w:val="center"/>
                    <w:textAlignment w:val="center"/>
                    <w:rPr>
                      <w:color w:val="auto"/>
                      <w:kern w:val="0"/>
                      <w:szCs w:val="21"/>
                    </w:rPr>
                  </w:pPr>
                  <w:r>
                    <w:rPr>
                      <w:rFonts w:hint="eastAsia"/>
                      <w:color w:val="auto"/>
                      <w:kern w:val="0"/>
                      <w:szCs w:val="21"/>
                    </w:rPr>
                    <w:t>25</w:t>
                  </w:r>
                </w:p>
              </w:tc>
            </w:tr>
            <w:tr w14:paraId="11EAD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5000" w:type="pct"/>
                  <w:gridSpan w:val="9"/>
                  <w:noWrap/>
                  <w:vAlign w:val="center"/>
                </w:tcPr>
                <w:p w14:paraId="2C77FB27">
                  <w:pPr>
                    <w:widowControl/>
                    <w:textAlignment w:val="center"/>
                    <w:rPr>
                      <w:color w:val="auto"/>
                      <w:kern w:val="0"/>
                      <w:szCs w:val="21"/>
                    </w:rPr>
                  </w:pPr>
                  <w:r>
                    <w:rPr>
                      <w:rFonts w:hint="eastAsia"/>
                      <w:color w:val="auto"/>
                      <w:kern w:val="0"/>
                      <w:szCs w:val="21"/>
                    </w:rPr>
                    <w:t>说明：</w:t>
                  </w:r>
                  <w:r>
                    <w:rPr>
                      <w:rFonts w:hint="eastAsia"/>
                      <w:color w:val="auto"/>
                    </w:rPr>
                    <w:t>项目拟建废气处理设施均设于顶楼。</w:t>
                  </w:r>
                </w:p>
              </w:tc>
            </w:tr>
          </w:tbl>
          <w:p w14:paraId="78C7326A">
            <w:pPr>
              <w:adjustRightInd w:val="0"/>
              <w:snapToGrid w:val="0"/>
              <w:spacing w:line="360" w:lineRule="auto"/>
              <w:ind w:firstLine="482" w:firstLineChars="200"/>
              <w:jc w:val="left"/>
              <w:rPr>
                <w:b/>
                <w:bCs/>
                <w:color w:val="auto"/>
                <w:sz w:val="24"/>
              </w:rPr>
            </w:pPr>
            <w:r>
              <w:rPr>
                <w:rFonts w:hint="eastAsia"/>
                <w:b/>
                <w:bCs/>
                <w:color w:val="auto"/>
                <w:sz w:val="24"/>
              </w:rPr>
              <w:t>9</w:t>
            </w:r>
            <w:r>
              <w:rPr>
                <w:b/>
                <w:bCs/>
                <w:color w:val="auto"/>
                <w:sz w:val="24"/>
              </w:rPr>
              <w:t>、废气监测计划</w:t>
            </w:r>
          </w:p>
          <w:p w14:paraId="0CE610E9">
            <w:pPr>
              <w:adjustRightInd w:val="0"/>
              <w:snapToGrid w:val="0"/>
              <w:spacing w:line="360" w:lineRule="auto"/>
              <w:ind w:firstLine="480" w:firstLineChars="200"/>
              <w:jc w:val="left"/>
              <w:rPr>
                <w:color w:val="auto"/>
                <w:sz w:val="24"/>
              </w:rPr>
            </w:pPr>
            <w:r>
              <w:rPr>
                <w:color w:val="auto"/>
                <w:sz w:val="24"/>
              </w:rPr>
              <w:t xml:space="preserve">针对项目所排污染物情况，根据《排污单位自行监测技术指南总则》（HJ819-2017）、《排污许可证申请与核发技术规范 </w:t>
            </w:r>
            <w:r>
              <w:rPr>
                <w:rFonts w:hint="eastAsia"/>
                <w:color w:val="auto"/>
                <w:sz w:val="24"/>
              </w:rPr>
              <w:t>电镀工业</w:t>
            </w:r>
            <w:r>
              <w:rPr>
                <w:color w:val="auto"/>
                <w:sz w:val="24"/>
              </w:rPr>
              <w:t>》（HJ</w:t>
            </w:r>
            <w:r>
              <w:rPr>
                <w:rFonts w:hint="eastAsia"/>
                <w:color w:val="auto"/>
                <w:sz w:val="24"/>
              </w:rPr>
              <w:t xml:space="preserve"> 985</w:t>
            </w:r>
            <w:r>
              <w:rPr>
                <w:color w:val="auto"/>
                <w:sz w:val="24"/>
              </w:rPr>
              <w:t>-20</w:t>
            </w:r>
            <w:r>
              <w:rPr>
                <w:rFonts w:hint="eastAsia"/>
                <w:color w:val="auto"/>
                <w:sz w:val="24"/>
              </w:rPr>
              <w:t>18</w:t>
            </w:r>
            <w:r>
              <w:rPr>
                <w:color w:val="auto"/>
                <w:sz w:val="24"/>
              </w:rPr>
              <w:t>）</w:t>
            </w:r>
            <w:r>
              <w:rPr>
                <w:rFonts w:hint="eastAsia"/>
                <w:color w:val="auto"/>
                <w:sz w:val="24"/>
              </w:rPr>
              <w:t>、</w:t>
            </w:r>
            <w:r>
              <w:rPr>
                <w:color w:val="auto"/>
                <w:sz w:val="24"/>
              </w:rPr>
              <w:t>《排污许可证申请与核发技术规范 工业炉窑》（HJ1121-2020）、《排污单位自行监测技术指南 涂装》（HJ1086-2020）的相关规定，制定项目废气监测计划见下表：</w:t>
            </w:r>
          </w:p>
          <w:p w14:paraId="71236C9E">
            <w:pPr>
              <w:pStyle w:val="77"/>
              <w:numPr>
                <w:ilvl w:val="0"/>
                <w:numId w:val="18"/>
              </w:numPr>
              <w:adjustRightInd w:val="0"/>
              <w:snapToGrid w:val="0"/>
              <w:jc w:val="center"/>
              <w:rPr>
                <w:b/>
                <w:bCs/>
                <w:color w:val="auto"/>
                <w:szCs w:val="21"/>
              </w:rPr>
            </w:pPr>
            <w:r>
              <w:rPr>
                <w:rFonts w:hint="eastAsia"/>
                <w:b/>
                <w:bCs/>
                <w:color w:val="auto"/>
                <w:szCs w:val="21"/>
              </w:rPr>
              <w:t>项目废气</w:t>
            </w:r>
            <w:bookmarkStart w:id="2" w:name="废气监测计划"/>
            <w:bookmarkEnd w:id="2"/>
            <w:r>
              <w:rPr>
                <w:rFonts w:hint="eastAsia"/>
                <w:b/>
                <w:bCs/>
                <w:color w:val="auto"/>
                <w:szCs w:val="21"/>
              </w:rPr>
              <w:t>监测计划一览表</w:t>
            </w:r>
          </w:p>
          <w:tbl>
            <w:tblPr>
              <w:tblStyle w:val="35"/>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8"/>
              <w:gridCol w:w="1375"/>
              <w:gridCol w:w="1215"/>
              <w:gridCol w:w="1136"/>
              <w:gridCol w:w="1557"/>
              <w:gridCol w:w="1747"/>
              <w:gridCol w:w="2478"/>
            </w:tblGrid>
            <w:tr w14:paraId="24FE5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547" w:type="pct"/>
                  <w:vMerge w:val="restart"/>
                  <w:vAlign w:val="center"/>
                </w:tcPr>
                <w:p w14:paraId="770AEF84">
                  <w:pPr>
                    <w:adjustRightInd w:val="0"/>
                    <w:snapToGrid w:val="0"/>
                    <w:jc w:val="center"/>
                    <w:rPr>
                      <w:b/>
                      <w:bCs/>
                      <w:color w:val="auto"/>
                      <w:szCs w:val="21"/>
                    </w:rPr>
                  </w:pPr>
                  <w:r>
                    <w:rPr>
                      <w:b/>
                      <w:bCs/>
                      <w:color w:val="auto"/>
                      <w:szCs w:val="21"/>
                    </w:rPr>
                    <w:t>监测位置</w:t>
                  </w:r>
                </w:p>
              </w:tc>
              <w:tc>
                <w:tcPr>
                  <w:tcW w:w="644" w:type="pct"/>
                  <w:vMerge w:val="restart"/>
                  <w:vAlign w:val="center"/>
                </w:tcPr>
                <w:p w14:paraId="7993A08C">
                  <w:pPr>
                    <w:adjustRightInd w:val="0"/>
                    <w:snapToGrid w:val="0"/>
                    <w:jc w:val="center"/>
                    <w:rPr>
                      <w:b/>
                      <w:bCs/>
                      <w:color w:val="auto"/>
                      <w:szCs w:val="21"/>
                    </w:rPr>
                  </w:pPr>
                  <w:r>
                    <w:rPr>
                      <w:b/>
                      <w:bCs/>
                      <w:color w:val="auto"/>
                      <w:szCs w:val="21"/>
                    </w:rPr>
                    <w:t>监测项目</w:t>
                  </w:r>
                </w:p>
              </w:tc>
              <w:tc>
                <w:tcPr>
                  <w:tcW w:w="569" w:type="pct"/>
                  <w:vMerge w:val="restart"/>
                  <w:vAlign w:val="center"/>
                </w:tcPr>
                <w:p w14:paraId="2F8315F8">
                  <w:pPr>
                    <w:adjustRightInd w:val="0"/>
                    <w:snapToGrid w:val="0"/>
                    <w:jc w:val="center"/>
                    <w:rPr>
                      <w:b/>
                      <w:bCs/>
                      <w:color w:val="auto"/>
                      <w:szCs w:val="21"/>
                    </w:rPr>
                  </w:pPr>
                  <w:r>
                    <w:rPr>
                      <w:b/>
                      <w:bCs/>
                      <w:color w:val="auto"/>
                      <w:szCs w:val="21"/>
                    </w:rPr>
                    <w:t>监测频次</w:t>
                  </w:r>
                </w:p>
              </w:tc>
              <w:tc>
                <w:tcPr>
                  <w:tcW w:w="3239" w:type="pct"/>
                  <w:gridSpan w:val="4"/>
                  <w:vAlign w:val="center"/>
                </w:tcPr>
                <w:p w14:paraId="52EE8F5A">
                  <w:pPr>
                    <w:adjustRightInd w:val="0"/>
                    <w:snapToGrid w:val="0"/>
                    <w:jc w:val="center"/>
                    <w:rPr>
                      <w:b/>
                      <w:bCs/>
                      <w:color w:val="auto"/>
                      <w:szCs w:val="21"/>
                    </w:rPr>
                  </w:pPr>
                  <w:r>
                    <w:rPr>
                      <w:b/>
                      <w:bCs/>
                      <w:color w:val="auto"/>
                      <w:szCs w:val="21"/>
                    </w:rPr>
                    <w:t>执行标准</w:t>
                  </w:r>
                </w:p>
              </w:tc>
            </w:tr>
            <w:tr w14:paraId="50DEA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547" w:type="pct"/>
                  <w:vMerge w:val="continue"/>
                  <w:vAlign w:val="center"/>
                </w:tcPr>
                <w:p w14:paraId="4D125F04">
                  <w:pPr>
                    <w:adjustRightInd w:val="0"/>
                    <w:snapToGrid w:val="0"/>
                    <w:jc w:val="center"/>
                    <w:rPr>
                      <w:b/>
                      <w:bCs/>
                      <w:color w:val="auto"/>
                      <w:szCs w:val="21"/>
                    </w:rPr>
                  </w:pPr>
                </w:p>
              </w:tc>
              <w:tc>
                <w:tcPr>
                  <w:tcW w:w="644" w:type="pct"/>
                  <w:vMerge w:val="continue"/>
                  <w:vAlign w:val="center"/>
                </w:tcPr>
                <w:p w14:paraId="54D3F1DF">
                  <w:pPr>
                    <w:adjustRightInd w:val="0"/>
                    <w:snapToGrid w:val="0"/>
                    <w:jc w:val="center"/>
                    <w:rPr>
                      <w:b/>
                      <w:bCs/>
                      <w:color w:val="auto"/>
                      <w:szCs w:val="21"/>
                    </w:rPr>
                  </w:pPr>
                </w:p>
              </w:tc>
              <w:tc>
                <w:tcPr>
                  <w:tcW w:w="569" w:type="pct"/>
                  <w:vMerge w:val="continue"/>
                  <w:vAlign w:val="center"/>
                </w:tcPr>
                <w:p w14:paraId="61F2D48C">
                  <w:pPr>
                    <w:adjustRightInd w:val="0"/>
                    <w:snapToGrid w:val="0"/>
                    <w:jc w:val="center"/>
                    <w:rPr>
                      <w:b/>
                      <w:bCs/>
                      <w:color w:val="auto"/>
                      <w:szCs w:val="21"/>
                    </w:rPr>
                  </w:pPr>
                </w:p>
              </w:tc>
              <w:tc>
                <w:tcPr>
                  <w:tcW w:w="532" w:type="pct"/>
                  <w:vAlign w:val="center"/>
                </w:tcPr>
                <w:p w14:paraId="3BD0E536">
                  <w:pPr>
                    <w:adjustRightInd w:val="0"/>
                    <w:snapToGrid w:val="0"/>
                    <w:jc w:val="center"/>
                    <w:rPr>
                      <w:b/>
                      <w:bCs/>
                      <w:color w:val="auto"/>
                      <w:szCs w:val="21"/>
                    </w:rPr>
                  </w:pPr>
                  <w:r>
                    <w:rPr>
                      <w:b/>
                      <w:bCs/>
                      <w:color w:val="auto"/>
                      <w:szCs w:val="21"/>
                    </w:rPr>
                    <w:t>排放浓度(mg/m</w:t>
                  </w:r>
                  <w:r>
                    <w:rPr>
                      <w:b/>
                      <w:bCs/>
                      <w:color w:val="auto"/>
                      <w:szCs w:val="21"/>
                      <w:vertAlign w:val="superscript"/>
                    </w:rPr>
                    <w:t>3</w:t>
                  </w:r>
                  <w:r>
                    <w:rPr>
                      <w:b/>
                      <w:bCs/>
                      <w:color w:val="auto"/>
                      <w:szCs w:val="21"/>
                    </w:rPr>
                    <w:t>)</w:t>
                  </w:r>
                </w:p>
              </w:tc>
              <w:tc>
                <w:tcPr>
                  <w:tcW w:w="729" w:type="pct"/>
                  <w:vAlign w:val="center"/>
                </w:tcPr>
                <w:p w14:paraId="57F6271A">
                  <w:pPr>
                    <w:adjustRightInd w:val="0"/>
                    <w:snapToGrid w:val="0"/>
                    <w:jc w:val="center"/>
                    <w:rPr>
                      <w:b/>
                      <w:bCs/>
                      <w:color w:val="auto"/>
                      <w:szCs w:val="21"/>
                    </w:rPr>
                  </w:pPr>
                  <w:r>
                    <w:rPr>
                      <w:b/>
                      <w:color w:val="auto"/>
                      <w:szCs w:val="21"/>
                    </w:rPr>
                    <w:t>本项目允许排放速率</w:t>
                  </w:r>
                  <w:r>
                    <w:rPr>
                      <w:b/>
                      <w:bCs/>
                      <w:color w:val="auto"/>
                      <w:szCs w:val="21"/>
                    </w:rPr>
                    <w:t>(kg/h)</w:t>
                  </w:r>
                </w:p>
              </w:tc>
              <w:tc>
                <w:tcPr>
                  <w:tcW w:w="1977" w:type="pct"/>
                  <w:gridSpan w:val="2"/>
                  <w:vAlign w:val="center"/>
                </w:tcPr>
                <w:p w14:paraId="1946EC29">
                  <w:pPr>
                    <w:adjustRightInd w:val="0"/>
                    <w:snapToGrid w:val="0"/>
                    <w:jc w:val="center"/>
                    <w:rPr>
                      <w:b/>
                      <w:bCs/>
                      <w:color w:val="auto"/>
                      <w:szCs w:val="21"/>
                    </w:rPr>
                  </w:pPr>
                  <w:r>
                    <w:rPr>
                      <w:b/>
                      <w:bCs/>
                      <w:color w:val="auto"/>
                      <w:szCs w:val="21"/>
                    </w:rPr>
                    <w:t>标准名称</w:t>
                  </w:r>
                </w:p>
              </w:tc>
            </w:tr>
            <w:tr w14:paraId="54C52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47" w:type="pct"/>
                  <w:vAlign w:val="center"/>
                </w:tcPr>
                <w:p w14:paraId="07D1BC76">
                  <w:pPr>
                    <w:adjustRightInd w:val="0"/>
                    <w:snapToGrid w:val="0"/>
                    <w:jc w:val="center"/>
                    <w:rPr>
                      <w:color w:val="auto"/>
                      <w:szCs w:val="21"/>
                    </w:rPr>
                  </w:pPr>
                  <w:r>
                    <w:rPr>
                      <w:color w:val="auto"/>
                      <w:szCs w:val="21"/>
                    </w:rPr>
                    <w:t>DA001</w:t>
                  </w:r>
                </w:p>
              </w:tc>
              <w:tc>
                <w:tcPr>
                  <w:tcW w:w="644" w:type="pct"/>
                  <w:vAlign w:val="center"/>
                </w:tcPr>
                <w:p w14:paraId="1437AC19">
                  <w:pPr>
                    <w:adjustRightInd w:val="0"/>
                    <w:snapToGrid w:val="0"/>
                    <w:jc w:val="center"/>
                    <w:rPr>
                      <w:color w:val="auto"/>
                      <w:szCs w:val="21"/>
                      <w:lang w:bidi="ar"/>
                    </w:rPr>
                  </w:pPr>
                  <w:r>
                    <w:rPr>
                      <w:color w:val="auto"/>
                      <w:szCs w:val="21"/>
                      <w:lang w:bidi="ar"/>
                    </w:rPr>
                    <w:t>颗粒物</w:t>
                  </w:r>
                </w:p>
              </w:tc>
              <w:tc>
                <w:tcPr>
                  <w:tcW w:w="569" w:type="pct"/>
                  <w:vMerge w:val="restart"/>
                  <w:vAlign w:val="center"/>
                </w:tcPr>
                <w:p w14:paraId="36D1FB85">
                  <w:pPr>
                    <w:adjustRightInd w:val="0"/>
                    <w:snapToGrid w:val="0"/>
                    <w:jc w:val="center"/>
                    <w:rPr>
                      <w:color w:val="auto"/>
                      <w:szCs w:val="21"/>
                    </w:rPr>
                  </w:pPr>
                  <w:r>
                    <w:rPr>
                      <w:rFonts w:hint="eastAsia"/>
                      <w:color w:val="auto"/>
                      <w:szCs w:val="21"/>
                    </w:rPr>
                    <w:t>1次/年</w:t>
                  </w:r>
                </w:p>
              </w:tc>
              <w:tc>
                <w:tcPr>
                  <w:tcW w:w="532" w:type="pct"/>
                  <w:vAlign w:val="center"/>
                </w:tcPr>
                <w:p w14:paraId="30AAFF40">
                  <w:pPr>
                    <w:snapToGrid w:val="0"/>
                    <w:jc w:val="center"/>
                    <w:rPr>
                      <w:color w:val="auto"/>
                      <w:szCs w:val="21"/>
                    </w:rPr>
                  </w:pPr>
                  <w:r>
                    <w:rPr>
                      <w:color w:val="auto"/>
                      <w:szCs w:val="21"/>
                    </w:rPr>
                    <w:t>120</w:t>
                  </w:r>
                </w:p>
              </w:tc>
              <w:tc>
                <w:tcPr>
                  <w:tcW w:w="729" w:type="pct"/>
                  <w:vAlign w:val="center"/>
                </w:tcPr>
                <w:p w14:paraId="2B0EFD3D">
                  <w:pPr>
                    <w:jc w:val="center"/>
                    <w:rPr>
                      <w:color w:val="auto"/>
                      <w:szCs w:val="21"/>
                    </w:rPr>
                  </w:pPr>
                  <w:r>
                    <w:rPr>
                      <w:rFonts w:hint="eastAsia"/>
                      <w:color w:val="auto"/>
                      <w:szCs w:val="21"/>
                    </w:rPr>
                    <w:t>19.25</w:t>
                  </w:r>
                </w:p>
              </w:tc>
              <w:tc>
                <w:tcPr>
                  <w:tcW w:w="1977" w:type="pct"/>
                  <w:gridSpan w:val="2"/>
                  <w:vMerge w:val="restart"/>
                  <w:vAlign w:val="center"/>
                </w:tcPr>
                <w:p w14:paraId="7915CF78">
                  <w:pPr>
                    <w:adjustRightInd w:val="0"/>
                    <w:snapToGrid w:val="0"/>
                    <w:jc w:val="center"/>
                    <w:rPr>
                      <w:color w:val="auto"/>
                      <w:szCs w:val="21"/>
                    </w:rPr>
                  </w:pPr>
                  <w:r>
                    <w:rPr>
                      <w:color w:val="auto"/>
                      <w:szCs w:val="21"/>
                    </w:rPr>
                    <w:t>广东省《大气污染物排放限值》(DB44/27-2001)第二时段二级标准</w:t>
                  </w:r>
                </w:p>
              </w:tc>
            </w:tr>
            <w:tr w14:paraId="7CC72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47" w:type="pct"/>
                  <w:vAlign w:val="center"/>
                </w:tcPr>
                <w:p w14:paraId="2A340A35">
                  <w:pPr>
                    <w:adjustRightInd w:val="0"/>
                    <w:snapToGrid w:val="0"/>
                    <w:jc w:val="center"/>
                    <w:rPr>
                      <w:color w:val="auto"/>
                      <w:szCs w:val="21"/>
                    </w:rPr>
                  </w:pPr>
                  <w:r>
                    <w:rPr>
                      <w:color w:val="auto"/>
                      <w:szCs w:val="21"/>
                    </w:rPr>
                    <w:t>DA002</w:t>
                  </w:r>
                </w:p>
              </w:tc>
              <w:tc>
                <w:tcPr>
                  <w:tcW w:w="644" w:type="pct"/>
                  <w:vAlign w:val="center"/>
                </w:tcPr>
                <w:p w14:paraId="29785EEF">
                  <w:pPr>
                    <w:adjustRightInd w:val="0"/>
                    <w:snapToGrid w:val="0"/>
                    <w:jc w:val="center"/>
                    <w:rPr>
                      <w:color w:val="auto"/>
                      <w:szCs w:val="21"/>
                      <w:lang w:bidi="ar"/>
                    </w:rPr>
                  </w:pPr>
                  <w:r>
                    <w:rPr>
                      <w:color w:val="auto"/>
                      <w:szCs w:val="21"/>
                      <w:lang w:bidi="ar"/>
                    </w:rPr>
                    <w:t>颗粒物</w:t>
                  </w:r>
                </w:p>
              </w:tc>
              <w:tc>
                <w:tcPr>
                  <w:tcW w:w="569" w:type="pct"/>
                  <w:vMerge w:val="continue"/>
                  <w:vAlign w:val="center"/>
                </w:tcPr>
                <w:p w14:paraId="09DEBBD6">
                  <w:pPr>
                    <w:adjustRightInd w:val="0"/>
                    <w:snapToGrid w:val="0"/>
                    <w:jc w:val="center"/>
                    <w:rPr>
                      <w:color w:val="auto"/>
                      <w:szCs w:val="21"/>
                    </w:rPr>
                  </w:pPr>
                </w:p>
              </w:tc>
              <w:tc>
                <w:tcPr>
                  <w:tcW w:w="532" w:type="pct"/>
                  <w:vAlign w:val="center"/>
                </w:tcPr>
                <w:p w14:paraId="40D8BF62">
                  <w:pPr>
                    <w:snapToGrid w:val="0"/>
                    <w:jc w:val="center"/>
                    <w:rPr>
                      <w:color w:val="auto"/>
                      <w:szCs w:val="21"/>
                    </w:rPr>
                  </w:pPr>
                  <w:r>
                    <w:rPr>
                      <w:color w:val="auto"/>
                      <w:szCs w:val="21"/>
                    </w:rPr>
                    <w:t>120</w:t>
                  </w:r>
                </w:p>
              </w:tc>
              <w:tc>
                <w:tcPr>
                  <w:tcW w:w="729" w:type="pct"/>
                  <w:vAlign w:val="center"/>
                </w:tcPr>
                <w:p w14:paraId="5632E6BF">
                  <w:pPr>
                    <w:jc w:val="center"/>
                    <w:rPr>
                      <w:color w:val="auto"/>
                      <w:szCs w:val="21"/>
                    </w:rPr>
                  </w:pPr>
                  <w:r>
                    <w:rPr>
                      <w:rFonts w:hint="eastAsia"/>
                      <w:color w:val="auto"/>
                      <w:szCs w:val="21"/>
                    </w:rPr>
                    <w:t>19.25</w:t>
                  </w:r>
                </w:p>
              </w:tc>
              <w:tc>
                <w:tcPr>
                  <w:tcW w:w="1977" w:type="pct"/>
                  <w:gridSpan w:val="2"/>
                  <w:vMerge w:val="continue"/>
                  <w:vAlign w:val="center"/>
                </w:tcPr>
                <w:p w14:paraId="79CB068C">
                  <w:pPr>
                    <w:adjustRightInd w:val="0"/>
                    <w:snapToGrid w:val="0"/>
                    <w:jc w:val="center"/>
                    <w:rPr>
                      <w:color w:val="auto"/>
                      <w:szCs w:val="21"/>
                    </w:rPr>
                  </w:pPr>
                </w:p>
              </w:tc>
            </w:tr>
            <w:tr w14:paraId="3F705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547" w:type="pct"/>
                  <w:vMerge w:val="restart"/>
                  <w:vAlign w:val="center"/>
                </w:tcPr>
                <w:p w14:paraId="005F527A">
                  <w:pPr>
                    <w:adjustRightInd w:val="0"/>
                    <w:snapToGrid w:val="0"/>
                    <w:jc w:val="center"/>
                    <w:rPr>
                      <w:color w:val="auto"/>
                      <w:szCs w:val="21"/>
                    </w:rPr>
                  </w:pPr>
                  <w:r>
                    <w:rPr>
                      <w:color w:val="auto"/>
                    </w:rPr>
                    <w:t>DA003、DA004、DA005</w:t>
                  </w:r>
                </w:p>
              </w:tc>
              <w:tc>
                <w:tcPr>
                  <w:tcW w:w="644" w:type="pct"/>
                  <w:vAlign w:val="center"/>
                </w:tcPr>
                <w:p w14:paraId="63EBBDDA">
                  <w:pPr>
                    <w:snapToGrid w:val="0"/>
                    <w:jc w:val="center"/>
                    <w:rPr>
                      <w:bCs/>
                      <w:color w:val="auto"/>
                      <w:szCs w:val="21"/>
                    </w:rPr>
                  </w:pPr>
                  <w:r>
                    <w:rPr>
                      <w:rFonts w:hint="eastAsia"/>
                      <w:color w:val="auto"/>
                      <w:szCs w:val="21"/>
                    </w:rPr>
                    <w:t>TVOC</w:t>
                  </w:r>
                </w:p>
              </w:tc>
              <w:tc>
                <w:tcPr>
                  <w:tcW w:w="569" w:type="pct"/>
                  <w:vMerge w:val="restart"/>
                  <w:vAlign w:val="center"/>
                </w:tcPr>
                <w:p w14:paraId="65DF427D">
                  <w:pPr>
                    <w:adjustRightInd w:val="0"/>
                    <w:snapToGrid w:val="0"/>
                    <w:jc w:val="center"/>
                    <w:rPr>
                      <w:color w:val="auto"/>
                      <w:szCs w:val="21"/>
                    </w:rPr>
                  </w:pPr>
                  <w:r>
                    <w:rPr>
                      <w:rFonts w:hint="eastAsia"/>
                      <w:color w:val="auto"/>
                      <w:szCs w:val="21"/>
                    </w:rPr>
                    <w:t>1次/年</w:t>
                  </w:r>
                </w:p>
              </w:tc>
              <w:tc>
                <w:tcPr>
                  <w:tcW w:w="532" w:type="pct"/>
                  <w:vAlign w:val="center"/>
                </w:tcPr>
                <w:p w14:paraId="4106AC06">
                  <w:pPr>
                    <w:pStyle w:val="127"/>
                    <w:rPr>
                      <w:color w:val="auto"/>
                      <w:szCs w:val="21"/>
                    </w:rPr>
                  </w:pPr>
                  <w:r>
                    <w:rPr>
                      <w:rFonts w:hint="eastAsia"/>
                      <w:color w:val="auto"/>
                      <w:kern w:val="2"/>
                      <w:szCs w:val="21"/>
                    </w:rPr>
                    <w:t>100</w:t>
                  </w:r>
                </w:p>
              </w:tc>
              <w:tc>
                <w:tcPr>
                  <w:tcW w:w="729" w:type="pct"/>
                  <w:vAlign w:val="center"/>
                </w:tcPr>
                <w:p w14:paraId="38022A43">
                  <w:pPr>
                    <w:pStyle w:val="127"/>
                    <w:rPr>
                      <w:color w:val="auto"/>
                      <w:szCs w:val="21"/>
                    </w:rPr>
                  </w:pPr>
                  <w:r>
                    <w:rPr>
                      <w:rFonts w:hint="eastAsia"/>
                      <w:color w:val="auto"/>
                      <w:kern w:val="2"/>
                      <w:szCs w:val="21"/>
                    </w:rPr>
                    <w:t>/</w:t>
                  </w:r>
                </w:p>
              </w:tc>
              <w:tc>
                <w:tcPr>
                  <w:tcW w:w="1977" w:type="pct"/>
                  <w:gridSpan w:val="2"/>
                  <w:vMerge w:val="restart"/>
                  <w:vAlign w:val="center"/>
                </w:tcPr>
                <w:p w14:paraId="461C1C23">
                  <w:pPr>
                    <w:adjustRightInd w:val="0"/>
                    <w:snapToGrid w:val="0"/>
                    <w:jc w:val="center"/>
                    <w:rPr>
                      <w:color w:val="auto"/>
                      <w:szCs w:val="21"/>
                    </w:rPr>
                  </w:pPr>
                  <w:r>
                    <w:rPr>
                      <w:color w:val="auto"/>
                      <w:szCs w:val="21"/>
                    </w:rPr>
                    <w:t>广东省《固定污染源挥发性有机物综合排放标准》（DB44/2367-2022）中表1挥发性有机物排放限值</w:t>
                  </w:r>
                </w:p>
              </w:tc>
            </w:tr>
            <w:tr w14:paraId="5D534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547" w:type="pct"/>
                  <w:vMerge w:val="continue"/>
                  <w:vAlign w:val="center"/>
                </w:tcPr>
                <w:p w14:paraId="53950FA4">
                  <w:pPr>
                    <w:adjustRightInd w:val="0"/>
                    <w:snapToGrid w:val="0"/>
                    <w:jc w:val="center"/>
                    <w:rPr>
                      <w:color w:val="auto"/>
                    </w:rPr>
                  </w:pPr>
                </w:p>
              </w:tc>
              <w:tc>
                <w:tcPr>
                  <w:tcW w:w="644" w:type="pct"/>
                  <w:vAlign w:val="center"/>
                </w:tcPr>
                <w:p w14:paraId="1885EF55">
                  <w:pPr>
                    <w:snapToGrid w:val="0"/>
                    <w:jc w:val="center"/>
                    <w:rPr>
                      <w:color w:val="auto"/>
                      <w:szCs w:val="21"/>
                    </w:rPr>
                  </w:pPr>
                  <w:r>
                    <w:rPr>
                      <w:rFonts w:hint="eastAsia"/>
                      <w:color w:val="auto"/>
                      <w:szCs w:val="21"/>
                    </w:rPr>
                    <w:t>NMHC</w:t>
                  </w:r>
                </w:p>
              </w:tc>
              <w:tc>
                <w:tcPr>
                  <w:tcW w:w="569" w:type="pct"/>
                  <w:vMerge w:val="continue"/>
                  <w:vAlign w:val="center"/>
                </w:tcPr>
                <w:p w14:paraId="653B40CE">
                  <w:pPr>
                    <w:adjustRightInd w:val="0"/>
                    <w:snapToGrid w:val="0"/>
                    <w:jc w:val="center"/>
                    <w:rPr>
                      <w:color w:val="auto"/>
                      <w:szCs w:val="21"/>
                    </w:rPr>
                  </w:pPr>
                </w:p>
              </w:tc>
              <w:tc>
                <w:tcPr>
                  <w:tcW w:w="532" w:type="pct"/>
                  <w:vAlign w:val="center"/>
                </w:tcPr>
                <w:p w14:paraId="2D321021">
                  <w:pPr>
                    <w:pStyle w:val="127"/>
                    <w:rPr>
                      <w:color w:val="auto"/>
                      <w:kern w:val="2"/>
                      <w:szCs w:val="21"/>
                    </w:rPr>
                  </w:pPr>
                  <w:r>
                    <w:rPr>
                      <w:rFonts w:hint="eastAsia"/>
                      <w:color w:val="auto"/>
                      <w:kern w:val="2"/>
                      <w:szCs w:val="21"/>
                    </w:rPr>
                    <w:t>80</w:t>
                  </w:r>
                </w:p>
              </w:tc>
              <w:tc>
                <w:tcPr>
                  <w:tcW w:w="729" w:type="pct"/>
                  <w:vAlign w:val="center"/>
                </w:tcPr>
                <w:p w14:paraId="74A18E0A">
                  <w:pPr>
                    <w:pStyle w:val="127"/>
                    <w:rPr>
                      <w:color w:val="auto"/>
                      <w:kern w:val="2"/>
                      <w:szCs w:val="21"/>
                    </w:rPr>
                  </w:pPr>
                  <w:r>
                    <w:rPr>
                      <w:rFonts w:hint="eastAsia"/>
                      <w:color w:val="auto"/>
                      <w:kern w:val="2"/>
                      <w:szCs w:val="21"/>
                    </w:rPr>
                    <w:t>/</w:t>
                  </w:r>
                </w:p>
              </w:tc>
              <w:tc>
                <w:tcPr>
                  <w:tcW w:w="1977" w:type="pct"/>
                  <w:gridSpan w:val="2"/>
                  <w:vMerge w:val="continue"/>
                  <w:vAlign w:val="center"/>
                </w:tcPr>
                <w:p w14:paraId="74D2FD7B">
                  <w:pPr>
                    <w:adjustRightInd w:val="0"/>
                    <w:snapToGrid w:val="0"/>
                    <w:jc w:val="center"/>
                    <w:rPr>
                      <w:color w:val="auto"/>
                      <w:szCs w:val="21"/>
                    </w:rPr>
                  </w:pPr>
                </w:p>
              </w:tc>
            </w:tr>
            <w:tr w14:paraId="25E26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547" w:type="pct"/>
                  <w:vMerge w:val="continue"/>
                  <w:vAlign w:val="center"/>
                </w:tcPr>
                <w:p w14:paraId="5FFB013F">
                  <w:pPr>
                    <w:adjustRightInd w:val="0"/>
                    <w:snapToGrid w:val="0"/>
                    <w:jc w:val="center"/>
                    <w:rPr>
                      <w:color w:val="auto"/>
                    </w:rPr>
                  </w:pPr>
                </w:p>
              </w:tc>
              <w:tc>
                <w:tcPr>
                  <w:tcW w:w="644" w:type="pct"/>
                  <w:vAlign w:val="center"/>
                </w:tcPr>
                <w:p w14:paraId="3B6BBA89">
                  <w:pPr>
                    <w:pStyle w:val="127"/>
                    <w:rPr>
                      <w:color w:val="auto"/>
                      <w:kern w:val="2"/>
                      <w:szCs w:val="21"/>
                    </w:rPr>
                  </w:pPr>
                  <w:r>
                    <w:rPr>
                      <w:rFonts w:hint="eastAsia"/>
                      <w:color w:val="auto"/>
                      <w:kern w:val="2"/>
                      <w:szCs w:val="21"/>
                    </w:rPr>
                    <w:t>颗粒物</w:t>
                  </w:r>
                </w:p>
              </w:tc>
              <w:tc>
                <w:tcPr>
                  <w:tcW w:w="569" w:type="pct"/>
                  <w:vMerge w:val="continue"/>
                  <w:vAlign w:val="center"/>
                </w:tcPr>
                <w:p w14:paraId="2EDFDBC8">
                  <w:pPr>
                    <w:adjustRightInd w:val="0"/>
                    <w:snapToGrid w:val="0"/>
                    <w:jc w:val="center"/>
                    <w:rPr>
                      <w:color w:val="auto"/>
                      <w:szCs w:val="21"/>
                    </w:rPr>
                  </w:pPr>
                </w:p>
              </w:tc>
              <w:tc>
                <w:tcPr>
                  <w:tcW w:w="532" w:type="pct"/>
                  <w:vAlign w:val="center"/>
                </w:tcPr>
                <w:p w14:paraId="5CFF6278">
                  <w:pPr>
                    <w:pStyle w:val="127"/>
                    <w:rPr>
                      <w:color w:val="auto"/>
                      <w:szCs w:val="21"/>
                    </w:rPr>
                  </w:pPr>
                  <w:r>
                    <w:rPr>
                      <w:rFonts w:hint="eastAsia"/>
                      <w:color w:val="auto"/>
                      <w:kern w:val="2"/>
                      <w:szCs w:val="21"/>
                    </w:rPr>
                    <w:t>30</w:t>
                  </w:r>
                </w:p>
              </w:tc>
              <w:tc>
                <w:tcPr>
                  <w:tcW w:w="729" w:type="pct"/>
                  <w:vAlign w:val="center"/>
                </w:tcPr>
                <w:p w14:paraId="4C717520">
                  <w:pPr>
                    <w:pStyle w:val="127"/>
                    <w:rPr>
                      <w:color w:val="auto"/>
                      <w:szCs w:val="21"/>
                    </w:rPr>
                  </w:pPr>
                  <w:r>
                    <w:rPr>
                      <w:rFonts w:hint="eastAsia"/>
                      <w:color w:val="auto"/>
                      <w:kern w:val="2"/>
                      <w:szCs w:val="21"/>
                    </w:rPr>
                    <w:t>/</w:t>
                  </w:r>
                </w:p>
              </w:tc>
              <w:tc>
                <w:tcPr>
                  <w:tcW w:w="1977" w:type="pct"/>
                  <w:gridSpan w:val="2"/>
                  <w:vAlign w:val="center"/>
                </w:tcPr>
                <w:p w14:paraId="37A73D2B">
                  <w:pPr>
                    <w:adjustRightInd w:val="0"/>
                    <w:snapToGrid w:val="0"/>
                    <w:jc w:val="center"/>
                    <w:rPr>
                      <w:color w:val="auto"/>
                      <w:szCs w:val="21"/>
                    </w:rPr>
                  </w:pPr>
                  <w:r>
                    <w:rPr>
                      <w:rFonts w:hint="eastAsia"/>
                      <w:color w:val="auto"/>
                    </w:rPr>
                    <w:t>《大气污染物排放限值》（DB44/27-2001）第二时段二级标准与</w:t>
                  </w:r>
                  <w:r>
                    <w:rPr>
                      <w:bCs/>
                      <w:color w:val="auto"/>
                      <w:szCs w:val="21"/>
                    </w:rPr>
                    <w:t>《工业炉窑大气污染综合治理方案》（大气[2019]56号）重点区域排放限值</w:t>
                  </w:r>
                  <w:r>
                    <w:rPr>
                      <w:rFonts w:hint="eastAsia"/>
                      <w:color w:val="auto"/>
                    </w:rPr>
                    <w:t>要求的较严值</w:t>
                  </w:r>
                </w:p>
              </w:tc>
            </w:tr>
            <w:tr w14:paraId="1B923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547" w:type="pct"/>
                  <w:vMerge w:val="continue"/>
                  <w:vAlign w:val="center"/>
                </w:tcPr>
                <w:p w14:paraId="7A97F02D">
                  <w:pPr>
                    <w:snapToGrid w:val="0"/>
                    <w:jc w:val="center"/>
                    <w:rPr>
                      <w:color w:val="auto"/>
                    </w:rPr>
                  </w:pPr>
                </w:p>
              </w:tc>
              <w:tc>
                <w:tcPr>
                  <w:tcW w:w="644" w:type="pct"/>
                  <w:vAlign w:val="center"/>
                </w:tcPr>
                <w:p w14:paraId="31E5E15D">
                  <w:pPr>
                    <w:pStyle w:val="127"/>
                    <w:rPr>
                      <w:color w:val="auto"/>
                      <w:kern w:val="2"/>
                      <w:szCs w:val="21"/>
                    </w:rPr>
                  </w:pPr>
                  <w:r>
                    <w:rPr>
                      <w:rFonts w:hint="eastAsia"/>
                      <w:color w:val="auto"/>
                      <w:kern w:val="2"/>
                      <w:szCs w:val="21"/>
                    </w:rPr>
                    <w:t>臭气浓度</w:t>
                  </w:r>
                </w:p>
              </w:tc>
              <w:tc>
                <w:tcPr>
                  <w:tcW w:w="569" w:type="pct"/>
                  <w:vMerge w:val="continue"/>
                  <w:vAlign w:val="center"/>
                </w:tcPr>
                <w:p w14:paraId="5B037FBB">
                  <w:pPr>
                    <w:snapToGrid w:val="0"/>
                    <w:jc w:val="center"/>
                    <w:rPr>
                      <w:color w:val="auto"/>
                      <w:szCs w:val="21"/>
                      <w:lang w:bidi="ar"/>
                    </w:rPr>
                  </w:pPr>
                </w:p>
              </w:tc>
              <w:tc>
                <w:tcPr>
                  <w:tcW w:w="532" w:type="pct"/>
                  <w:vAlign w:val="center"/>
                </w:tcPr>
                <w:p w14:paraId="304805B2">
                  <w:pPr>
                    <w:pStyle w:val="127"/>
                    <w:rPr>
                      <w:color w:val="auto"/>
                      <w:szCs w:val="21"/>
                      <w:lang w:bidi="ar"/>
                    </w:rPr>
                  </w:pPr>
                  <w:r>
                    <w:rPr>
                      <w:rFonts w:hint="eastAsia"/>
                      <w:color w:val="auto"/>
                      <w:kern w:val="2"/>
                      <w:szCs w:val="21"/>
                    </w:rPr>
                    <w:t>4000</w:t>
                  </w:r>
                </w:p>
              </w:tc>
              <w:tc>
                <w:tcPr>
                  <w:tcW w:w="729" w:type="pct"/>
                  <w:vAlign w:val="center"/>
                </w:tcPr>
                <w:p w14:paraId="560F528F">
                  <w:pPr>
                    <w:pStyle w:val="127"/>
                    <w:rPr>
                      <w:color w:val="auto"/>
                      <w:szCs w:val="21"/>
                      <w:lang w:bidi="ar"/>
                    </w:rPr>
                  </w:pPr>
                  <w:r>
                    <w:rPr>
                      <w:rFonts w:hint="eastAsia"/>
                      <w:color w:val="auto"/>
                      <w:kern w:val="2"/>
                      <w:szCs w:val="21"/>
                    </w:rPr>
                    <w:t>/</w:t>
                  </w:r>
                </w:p>
              </w:tc>
              <w:tc>
                <w:tcPr>
                  <w:tcW w:w="1977" w:type="pct"/>
                  <w:gridSpan w:val="2"/>
                  <w:vAlign w:val="center"/>
                </w:tcPr>
                <w:p w14:paraId="24DF0A13">
                  <w:pPr>
                    <w:snapToGrid w:val="0"/>
                    <w:jc w:val="center"/>
                    <w:rPr>
                      <w:color w:val="auto"/>
                      <w:szCs w:val="21"/>
                      <w:lang w:bidi="ar"/>
                    </w:rPr>
                  </w:pPr>
                  <w:r>
                    <w:rPr>
                      <w:rFonts w:hint="eastAsia"/>
                      <w:color w:val="auto"/>
                      <w:szCs w:val="21"/>
                      <w:lang w:bidi="ar"/>
                    </w:rPr>
                    <w:t>《恶臭污染物排放标准》（GB14554-93）表2臭气浓度排气筒高度50m排放标准值</w:t>
                  </w:r>
                </w:p>
              </w:tc>
            </w:tr>
            <w:tr w14:paraId="2D30E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547" w:type="pct"/>
                  <w:vMerge w:val="continue"/>
                  <w:vAlign w:val="center"/>
                </w:tcPr>
                <w:p w14:paraId="527D0BBC">
                  <w:pPr>
                    <w:snapToGrid w:val="0"/>
                    <w:jc w:val="center"/>
                    <w:rPr>
                      <w:color w:val="auto"/>
                    </w:rPr>
                  </w:pPr>
                </w:p>
              </w:tc>
              <w:tc>
                <w:tcPr>
                  <w:tcW w:w="644" w:type="pct"/>
                  <w:vAlign w:val="center"/>
                </w:tcPr>
                <w:p w14:paraId="22381FAA">
                  <w:pPr>
                    <w:pStyle w:val="127"/>
                    <w:rPr>
                      <w:color w:val="auto"/>
                      <w:kern w:val="2"/>
                      <w:szCs w:val="21"/>
                    </w:rPr>
                  </w:pPr>
                  <w:r>
                    <w:rPr>
                      <w:rFonts w:hint="eastAsia"/>
                      <w:color w:val="auto"/>
                      <w:kern w:val="2"/>
                      <w:szCs w:val="21"/>
                    </w:rPr>
                    <w:t>氮氧化物</w:t>
                  </w:r>
                </w:p>
              </w:tc>
              <w:tc>
                <w:tcPr>
                  <w:tcW w:w="569" w:type="pct"/>
                  <w:vMerge w:val="continue"/>
                  <w:vAlign w:val="center"/>
                </w:tcPr>
                <w:p w14:paraId="5E23739B">
                  <w:pPr>
                    <w:snapToGrid w:val="0"/>
                    <w:jc w:val="center"/>
                    <w:rPr>
                      <w:color w:val="auto"/>
                      <w:szCs w:val="21"/>
                      <w:lang w:bidi="ar"/>
                    </w:rPr>
                  </w:pPr>
                </w:p>
              </w:tc>
              <w:tc>
                <w:tcPr>
                  <w:tcW w:w="532" w:type="pct"/>
                  <w:vAlign w:val="center"/>
                </w:tcPr>
                <w:p w14:paraId="1116D9A7">
                  <w:pPr>
                    <w:pStyle w:val="127"/>
                    <w:rPr>
                      <w:color w:val="auto"/>
                      <w:szCs w:val="21"/>
                      <w:lang w:bidi="ar"/>
                    </w:rPr>
                  </w:pPr>
                  <w:r>
                    <w:rPr>
                      <w:rFonts w:hint="eastAsia"/>
                      <w:color w:val="auto"/>
                      <w:kern w:val="2"/>
                      <w:szCs w:val="21"/>
                    </w:rPr>
                    <w:t>300</w:t>
                  </w:r>
                </w:p>
              </w:tc>
              <w:tc>
                <w:tcPr>
                  <w:tcW w:w="729" w:type="pct"/>
                  <w:vAlign w:val="center"/>
                </w:tcPr>
                <w:p w14:paraId="34A89510">
                  <w:pPr>
                    <w:pStyle w:val="127"/>
                    <w:rPr>
                      <w:color w:val="auto"/>
                      <w:szCs w:val="21"/>
                      <w:lang w:bidi="ar"/>
                    </w:rPr>
                  </w:pPr>
                  <w:r>
                    <w:rPr>
                      <w:rFonts w:hint="eastAsia"/>
                      <w:color w:val="auto"/>
                      <w:kern w:val="2"/>
                      <w:szCs w:val="21"/>
                    </w:rPr>
                    <w:t>/</w:t>
                  </w:r>
                </w:p>
              </w:tc>
              <w:tc>
                <w:tcPr>
                  <w:tcW w:w="1977" w:type="pct"/>
                  <w:gridSpan w:val="2"/>
                  <w:vMerge w:val="restart"/>
                  <w:vAlign w:val="center"/>
                </w:tcPr>
                <w:p w14:paraId="426B65E6">
                  <w:pPr>
                    <w:snapToGrid w:val="0"/>
                    <w:jc w:val="center"/>
                    <w:rPr>
                      <w:color w:val="auto"/>
                      <w:szCs w:val="21"/>
                      <w:lang w:bidi="ar"/>
                    </w:rPr>
                  </w:pPr>
                  <w:r>
                    <w:rPr>
                      <w:bCs/>
                      <w:color w:val="auto"/>
                      <w:szCs w:val="21"/>
                    </w:rPr>
                    <w:t>《工业炉窑大气污染综合治理方案》（大气[2019]56号）重点区域排放限值</w:t>
                  </w:r>
                </w:p>
              </w:tc>
            </w:tr>
            <w:tr w14:paraId="49954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547" w:type="pct"/>
                  <w:vMerge w:val="continue"/>
                  <w:vAlign w:val="center"/>
                </w:tcPr>
                <w:p w14:paraId="4958AF57">
                  <w:pPr>
                    <w:snapToGrid w:val="0"/>
                    <w:jc w:val="center"/>
                    <w:rPr>
                      <w:color w:val="auto"/>
                      <w:szCs w:val="21"/>
                      <w:lang w:bidi="ar"/>
                    </w:rPr>
                  </w:pPr>
                </w:p>
              </w:tc>
              <w:tc>
                <w:tcPr>
                  <w:tcW w:w="644" w:type="pct"/>
                  <w:vAlign w:val="center"/>
                </w:tcPr>
                <w:p w14:paraId="6A4B850E">
                  <w:pPr>
                    <w:pStyle w:val="127"/>
                    <w:rPr>
                      <w:color w:val="auto"/>
                      <w:kern w:val="2"/>
                      <w:szCs w:val="21"/>
                    </w:rPr>
                  </w:pPr>
                  <w:r>
                    <w:rPr>
                      <w:rFonts w:hint="eastAsia"/>
                      <w:color w:val="auto"/>
                      <w:kern w:val="2"/>
                      <w:szCs w:val="21"/>
                    </w:rPr>
                    <w:t>二氧化硫</w:t>
                  </w:r>
                </w:p>
              </w:tc>
              <w:tc>
                <w:tcPr>
                  <w:tcW w:w="569" w:type="pct"/>
                  <w:vMerge w:val="continue"/>
                  <w:vAlign w:val="center"/>
                </w:tcPr>
                <w:p w14:paraId="6E3C4BDD">
                  <w:pPr>
                    <w:snapToGrid w:val="0"/>
                    <w:jc w:val="center"/>
                    <w:rPr>
                      <w:color w:val="auto"/>
                      <w:szCs w:val="21"/>
                      <w:lang w:bidi="ar"/>
                    </w:rPr>
                  </w:pPr>
                </w:p>
              </w:tc>
              <w:tc>
                <w:tcPr>
                  <w:tcW w:w="532" w:type="pct"/>
                  <w:vAlign w:val="center"/>
                </w:tcPr>
                <w:p w14:paraId="1A375F10">
                  <w:pPr>
                    <w:pStyle w:val="127"/>
                    <w:rPr>
                      <w:color w:val="auto"/>
                      <w:szCs w:val="21"/>
                      <w:lang w:bidi="ar"/>
                    </w:rPr>
                  </w:pPr>
                  <w:r>
                    <w:rPr>
                      <w:rFonts w:hint="eastAsia"/>
                      <w:color w:val="auto"/>
                      <w:kern w:val="2"/>
                      <w:szCs w:val="21"/>
                    </w:rPr>
                    <w:t>200</w:t>
                  </w:r>
                </w:p>
              </w:tc>
              <w:tc>
                <w:tcPr>
                  <w:tcW w:w="729" w:type="pct"/>
                  <w:vAlign w:val="center"/>
                </w:tcPr>
                <w:p w14:paraId="5946B35D">
                  <w:pPr>
                    <w:pStyle w:val="127"/>
                    <w:rPr>
                      <w:color w:val="auto"/>
                      <w:szCs w:val="21"/>
                      <w:lang w:bidi="ar"/>
                    </w:rPr>
                  </w:pPr>
                  <w:r>
                    <w:rPr>
                      <w:rFonts w:hint="eastAsia"/>
                      <w:color w:val="auto"/>
                      <w:kern w:val="2"/>
                      <w:szCs w:val="21"/>
                    </w:rPr>
                    <w:t>/</w:t>
                  </w:r>
                </w:p>
              </w:tc>
              <w:tc>
                <w:tcPr>
                  <w:tcW w:w="1977" w:type="pct"/>
                  <w:gridSpan w:val="2"/>
                  <w:vMerge w:val="continue"/>
                  <w:vAlign w:val="center"/>
                </w:tcPr>
                <w:p w14:paraId="085BECBA">
                  <w:pPr>
                    <w:snapToGrid w:val="0"/>
                    <w:jc w:val="center"/>
                    <w:rPr>
                      <w:color w:val="auto"/>
                      <w:szCs w:val="21"/>
                      <w:lang w:bidi="ar"/>
                    </w:rPr>
                  </w:pPr>
                </w:p>
              </w:tc>
            </w:tr>
            <w:tr w14:paraId="22B25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restart"/>
                  <w:vAlign w:val="center"/>
                </w:tcPr>
                <w:p w14:paraId="7F76977E">
                  <w:pPr>
                    <w:adjustRightInd w:val="0"/>
                    <w:snapToGrid w:val="0"/>
                    <w:jc w:val="center"/>
                    <w:rPr>
                      <w:color w:val="auto"/>
                      <w:szCs w:val="21"/>
                    </w:rPr>
                  </w:pPr>
                  <w:r>
                    <w:rPr>
                      <w:color w:val="auto"/>
                    </w:rPr>
                    <w:t>DA00</w:t>
                  </w:r>
                  <w:r>
                    <w:rPr>
                      <w:rFonts w:hint="eastAsia"/>
                      <w:color w:val="auto"/>
                    </w:rPr>
                    <w:t>6</w:t>
                  </w:r>
                </w:p>
              </w:tc>
              <w:tc>
                <w:tcPr>
                  <w:tcW w:w="644" w:type="pct"/>
                  <w:vAlign w:val="center"/>
                </w:tcPr>
                <w:p w14:paraId="039ECAC4">
                  <w:pPr>
                    <w:snapToGrid w:val="0"/>
                    <w:jc w:val="center"/>
                    <w:rPr>
                      <w:bCs/>
                      <w:color w:val="auto"/>
                      <w:szCs w:val="21"/>
                    </w:rPr>
                  </w:pPr>
                  <w:r>
                    <w:rPr>
                      <w:rFonts w:hint="eastAsia"/>
                      <w:bCs/>
                      <w:color w:val="auto"/>
                      <w:szCs w:val="21"/>
                    </w:rPr>
                    <w:t>硫酸雾</w:t>
                  </w:r>
                </w:p>
              </w:tc>
              <w:tc>
                <w:tcPr>
                  <w:tcW w:w="569" w:type="pct"/>
                  <w:vAlign w:val="center"/>
                </w:tcPr>
                <w:p w14:paraId="7DD57CC5">
                  <w:pPr>
                    <w:adjustRightInd w:val="0"/>
                    <w:snapToGrid w:val="0"/>
                    <w:jc w:val="center"/>
                    <w:rPr>
                      <w:color w:val="auto"/>
                      <w:szCs w:val="21"/>
                    </w:rPr>
                  </w:pPr>
                  <w:r>
                    <w:rPr>
                      <w:rFonts w:hint="eastAsia"/>
                      <w:color w:val="auto"/>
                      <w:szCs w:val="21"/>
                    </w:rPr>
                    <w:t>1次/半年</w:t>
                  </w:r>
                </w:p>
              </w:tc>
              <w:tc>
                <w:tcPr>
                  <w:tcW w:w="532" w:type="pct"/>
                  <w:vAlign w:val="center"/>
                </w:tcPr>
                <w:p w14:paraId="02207AEB">
                  <w:pPr>
                    <w:pStyle w:val="127"/>
                    <w:rPr>
                      <w:color w:val="auto"/>
                      <w:szCs w:val="21"/>
                    </w:rPr>
                  </w:pPr>
                  <w:r>
                    <w:rPr>
                      <w:rFonts w:hint="eastAsia"/>
                      <w:color w:val="auto"/>
                      <w:kern w:val="2"/>
                      <w:szCs w:val="21"/>
                    </w:rPr>
                    <w:t>35</w:t>
                  </w:r>
                </w:p>
              </w:tc>
              <w:tc>
                <w:tcPr>
                  <w:tcW w:w="729" w:type="pct"/>
                  <w:vAlign w:val="center"/>
                </w:tcPr>
                <w:p w14:paraId="33184BD5">
                  <w:pPr>
                    <w:pStyle w:val="127"/>
                    <w:rPr>
                      <w:color w:val="auto"/>
                      <w:szCs w:val="21"/>
                    </w:rPr>
                  </w:pPr>
                  <w:r>
                    <w:rPr>
                      <w:rFonts w:hint="eastAsia"/>
                      <w:color w:val="auto"/>
                      <w:kern w:val="2"/>
                      <w:szCs w:val="21"/>
                    </w:rPr>
                    <w:t>9.5</w:t>
                  </w:r>
                </w:p>
              </w:tc>
              <w:tc>
                <w:tcPr>
                  <w:tcW w:w="1977" w:type="pct"/>
                  <w:gridSpan w:val="2"/>
                  <w:vAlign w:val="center"/>
                </w:tcPr>
                <w:p w14:paraId="462208A4">
                  <w:pPr>
                    <w:adjustRightInd w:val="0"/>
                    <w:snapToGrid w:val="0"/>
                    <w:jc w:val="center"/>
                    <w:rPr>
                      <w:color w:val="auto"/>
                      <w:szCs w:val="21"/>
                    </w:rPr>
                  </w:pPr>
                  <w:r>
                    <w:rPr>
                      <w:color w:val="auto"/>
                      <w:szCs w:val="21"/>
                    </w:rPr>
                    <w:t>广东省《大气污染物排放限值》(DB44/27-2001)第二时段二级标准</w:t>
                  </w:r>
                </w:p>
              </w:tc>
            </w:tr>
            <w:tr w14:paraId="1DAEE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2F1C14B1">
                  <w:pPr>
                    <w:adjustRightInd w:val="0"/>
                    <w:snapToGrid w:val="0"/>
                    <w:jc w:val="center"/>
                    <w:rPr>
                      <w:color w:val="auto"/>
                      <w:szCs w:val="21"/>
                    </w:rPr>
                  </w:pPr>
                </w:p>
              </w:tc>
              <w:tc>
                <w:tcPr>
                  <w:tcW w:w="644" w:type="pct"/>
                  <w:vAlign w:val="center"/>
                </w:tcPr>
                <w:p w14:paraId="63528917">
                  <w:pPr>
                    <w:snapToGrid w:val="0"/>
                    <w:jc w:val="center"/>
                    <w:rPr>
                      <w:bCs/>
                      <w:color w:val="auto"/>
                      <w:szCs w:val="21"/>
                    </w:rPr>
                  </w:pPr>
                  <w:r>
                    <w:rPr>
                      <w:color w:val="auto"/>
                      <w:szCs w:val="21"/>
                    </w:rPr>
                    <w:t>颗粒物</w:t>
                  </w:r>
                </w:p>
              </w:tc>
              <w:tc>
                <w:tcPr>
                  <w:tcW w:w="569" w:type="pct"/>
                  <w:vMerge w:val="restart"/>
                  <w:vAlign w:val="center"/>
                </w:tcPr>
                <w:p w14:paraId="7062196F">
                  <w:pPr>
                    <w:adjustRightInd w:val="0"/>
                    <w:snapToGrid w:val="0"/>
                    <w:jc w:val="center"/>
                    <w:rPr>
                      <w:color w:val="auto"/>
                      <w:szCs w:val="21"/>
                    </w:rPr>
                  </w:pPr>
                  <w:r>
                    <w:rPr>
                      <w:rFonts w:hint="eastAsia"/>
                      <w:color w:val="auto"/>
                      <w:szCs w:val="21"/>
                    </w:rPr>
                    <w:t>1次/年</w:t>
                  </w:r>
                </w:p>
              </w:tc>
              <w:tc>
                <w:tcPr>
                  <w:tcW w:w="532" w:type="pct"/>
                  <w:vAlign w:val="center"/>
                </w:tcPr>
                <w:p w14:paraId="7E76AE9B">
                  <w:pPr>
                    <w:pStyle w:val="127"/>
                    <w:rPr>
                      <w:color w:val="auto"/>
                      <w:szCs w:val="21"/>
                    </w:rPr>
                  </w:pPr>
                  <w:r>
                    <w:rPr>
                      <w:rFonts w:hint="eastAsia"/>
                      <w:color w:val="auto"/>
                      <w:kern w:val="2"/>
                      <w:szCs w:val="21"/>
                    </w:rPr>
                    <w:t>30</w:t>
                  </w:r>
                </w:p>
              </w:tc>
              <w:tc>
                <w:tcPr>
                  <w:tcW w:w="729" w:type="pct"/>
                  <w:vAlign w:val="center"/>
                </w:tcPr>
                <w:p w14:paraId="2A15771B">
                  <w:pPr>
                    <w:pStyle w:val="127"/>
                    <w:rPr>
                      <w:color w:val="auto"/>
                      <w:szCs w:val="21"/>
                    </w:rPr>
                  </w:pPr>
                  <w:r>
                    <w:rPr>
                      <w:rFonts w:hint="eastAsia"/>
                      <w:color w:val="auto"/>
                      <w:kern w:val="2"/>
                      <w:szCs w:val="21"/>
                    </w:rPr>
                    <w:t>/</w:t>
                  </w:r>
                </w:p>
              </w:tc>
              <w:tc>
                <w:tcPr>
                  <w:tcW w:w="1977" w:type="pct"/>
                  <w:gridSpan w:val="2"/>
                  <w:vMerge w:val="restart"/>
                  <w:vAlign w:val="center"/>
                </w:tcPr>
                <w:p w14:paraId="148717F5">
                  <w:pPr>
                    <w:adjustRightInd w:val="0"/>
                    <w:snapToGrid w:val="0"/>
                    <w:jc w:val="center"/>
                    <w:rPr>
                      <w:color w:val="auto"/>
                      <w:szCs w:val="21"/>
                    </w:rPr>
                  </w:pPr>
                  <w:r>
                    <w:rPr>
                      <w:bCs/>
                      <w:color w:val="auto"/>
                      <w:szCs w:val="21"/>
                    </w:rPr>
                    <w:t>《工业炉窑大气污染综合治理方案》（大气[2019]56号）重点区域排放限值</w:t>
                  </w:r>
                </w:p>
              </w:tc>
            </w:tr>
            <w:tr w14:paraId="2C458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58F9C1E4">
                  <w:pPr>
                    <w:adjustRightInd w:val="0"/>
                    <w:snapToGrid w:val="0"/>
                    <w:jc w:val="center"/>
                    <w:rPr>
                      <w:color w:val="auto"/>
                      <w:szCs w:val="21"/>
                    </w:rPr>
                  </w:pPr>
                </w:p>
              </w:tc>
              <w:tc>
                <w:tcPr>
                  <w:tcW w:w="644" w:type="pct"/>
                  <w:vAlign w:val="center"/>
                </w:tcPr>
                <w:p w14:paraId="00903753">
                  <w:pPr>
                    <w:snapToGrid w:val="0"/>
                    <w:jc w:val="center"/>
                    <w:rPr>
                      <w:bCs/>
                      <w:color w:val="auto"/>
                      <w:szCs w:val="21"/>
                    </w:rPr>
                  </w:pPr>
                  <w:r>
                    <w:rPr>
                      <w:color w:val="auto"/>
                      <w:szCs w:val="21"/>
                    </w:rPr>
                    <w:t>二氧化硫</w:t>
                  </w:r>
                </w:p>
              </w:tc>
              <w:tc>
                <w:tcPr>
                  <w:tcW w:w="569" w:type="pct"/>
                  <w:vMerge w:val="continue"/>
                  <w:vAlign w:val="center"/>
                </w:tcPr>
                <w:p w14:paraId="37A7296B">
                  <w:pPr>
                    <w:adjustRightInd w:val="0"/>
                    <w:snapToGrid w:val="0"/>
                    <w:jc w:val="center"/>
                    <w:rPr>
                      <w:color w:val="auto"/>
                      <w:szCs w:val="21"/>
                    </w:rPr>
                  </w:pPr>
                </w:p>
              </w:tc>
              <w:tc>
                <w:tcPr>
                  <w:tcW w:w="532" w:type="pct"/>
                  <w:vAlign w:val="center"/>
                </w:tcPr>
                <w:p w14:paraId="22ECC58A">
                  <w:pPr>
                    <w:pStyle w:val="127"/>
                    <w:rPr>
                      <w:color w:val="auto"/>
                      <w:szCs w:val="21"/>
                    </w:rPr>
                  </w:pPr>
                  <w:r>
                    <w:rPr>
                      <w:rFonts w:hint="eastAsia"/>
                      <w:color w:val="auto"/>
                      <w:kern w:val="2"/>
                      <w:szCs w:val="21"/>
                    </w:rPr>
                    <w:t>300</w:t>
                  </w:r>
                </w:p>
              </w:tc>
              <w:tc>
                <w:tcPr>
                  <w:tcW w:w="729" w:type="pct"/>
                  <w:vAlign w:val="center"/>
                </w:tcPr>
                <w:p w14:paraId="70631200">
                  <w:pPr>
                    <w:pStyle w:val="127"/>
                    <w:rPr>
                      <w:color w:val="auto"/>
                      <w:szCs w:val="21"/>
                    </w:rPr>
                  </w:pPr>
                  <w:r>
                    <w:rPr>
                      <w:rFonts w:hint="eastAsia"/>
                      <w:color w:val="auto"/>
                      <w:kern w:val="2"/>
                      <w:szCs w:val="21"/>
                    </w:rPr>
                    <w:t>/</w:t>
                  </w:r>
                </w:p>
              </w:tc>
              <w:tc>
                <w:tcPr>
                  <w:tcW w:w="1977" w:type="pct"/>
                  <w:gridSpan w:val="2"/>
                  <w:vMerge w:val="continue"/>
                  <w:vAlign w:val="center"/>
                </w:tcPr>
                <w:p w14:paraId="23B68629">
                  <w:pPr>
                    <w:adjustRightInd w:val="0"/>
                    <w:snapToGrid w:val="0"/>
                    <w:jc w:val="center"/>
                    <w:rPr>
                      <w:color w:val="auto"/>
                      <w:szCs w:val="21"/>
                    </w:rPr>
                  </w:pPr>
                </w:p>
              </w:tc>
            </w:tr>
            <w:tr w14:paraId="5C82F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0223FD7B">
                  <w:pPr>
                    <w:adjustRightInd w:val="0"/>
                    <w:snapToGrid w:val="0"/>
                    <w:jc w:val="center"/>
                    <w:rPr>
                      <w:color w:val="auto"/>
                      <w:szCs w:val="21"/>
                    </w:rPr>
                  </w:pPr>
                </w:p>
              </w:tc>
              <w:tc>
                <w:tcPr>
                  <w:tcW w:w="644" w:type="pct"/>
                  <w:vAlign w:val="center"/>
                </w:tcPr>
                <w:p w14:paraId="39C00D8F">
                  <w:pPr>
                    <w:snapToGrid w:val="0"/>
                    <w:jc w:val="center"/>
                    <w:rPr>
                      <w:bCs/>
                      <w:color w:val="auto"/>
                      <w:szCs w:val="21"/>
                    </w:rPr>
                  </w:pPr>
                  <w:r>
                    <w:rPr>
                      <w:color w:val="auto"/>
                      <w:szCs w:val="21"/>
                    </w:rPr>
                    <w:t>氮氧化物</w:t>
                  </w:r>
                </w:p>
              </w:tc>
              <w:tc>
                <w:tcPr>
                  <w:tcW w:w="569" w:type="pct"/>
                  <w:vMerge w:val="continue"/>
                  <w:vAlign w:val="center"/>
                </w:tcPr>
                <w:p w14:paraId="17D4F16F">
                  <w:pPr>
                    <w:adjustRightInd w:val="0"/>
                    <w:snapToGrid w:val="0"/>
                    <w:jc w:val="center"/>
                    <w:rPr>
                      <w:color w:val="auto"/>
                      <w:szCs w:val="21"/>
                    </w:rPr>
                  </w:pPr>
                </w:p>
              </w:tc>
              <w:tc>
                <w:tcPr>
                  <w:tcW w:w="532" w:type="pct"/>
                  <w:vAlign w:val="center"/>
                </w:tcPr>
                <w:p w14:paraId="5F3EE891">
                  <w:pPr>
                    <w:pStyle w:val="127"/>
                    <w:rPr>
                      <w:color w:val="auto"/>
                      <w:szCs w:val="21"/>
                    </w:rPr>
                  </w:pPr>
                  <w:r>
                    <w:rPr>
                      <w:rFonts w:hint="eastAsia"/>
                      <w:color w:val="auto"/>
                      <w:kern w:val="2"/>
                      <w:szCs w:val="21"/>
                    </w:rPr>
                    <w:t>200</w:t>
                  </w:r>
                </w:p>
              </w:tc>
              <w:tc>
                <w:tcPr>
                  <w:tcW w:w="729" w:type="pct"/>
                  <w:vAlign w:val="center"/>
                </w:tcPr>
                <w:p w14:paraId="0B6CFA31">
                  <w:pPr>
                    <w:pStyle w:val="127"/>
                    <w:rPr>
                      <w:color w:val="auto"/>
                      <w:szCs w:val="21"/>
                    </w:rPr>
                  </w:pPr>
                  <w:r>
                    <w:rPr>
                      <w:rFonts w:hint="eastAsia"/>
                      <w:color w:val="auto"/>
                      <w:kern w:val="2"/>
                      <w:szCs w:val="21"/>
                    </w:rPr>
                    <w:t>/</w:t>
                  </w:r>
                </w:p>
              </w:tc>
              <w:tc>
                <w:tcPr>
                  <w:tcW w:w="1977" w:type="pct"/>
                  <w:gridSpan w:val="2"/>
                  <w:vMerge w:val="continue"/>
                  <w:vAlign w:val="center"/>
                </w:tcPr>
                <w:p w14:paraId="6EC6D269">
                  <w:pPr>
                    <w:adjustRightInd w:val="0"/>
                    <w:snapToGrid w:val="0"/>
                    <w:jc w:val="center"/>
                    <w:rPr>
                      <w:color w:val="auto"/>
                      <w:szCs w:val="21"/>
                    </w:rPr>
                  </w:pPr>
                </w:p>
              </w:tc>
            </w:tr>
            <w:tr w14:paraId="1A786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7" w:type="pct"/>
                  <w:vMerge w:val="restart"/>
                  <w:vAlign w:val="center"/>
                </w:tcPr>
                <w:p w14:paraId="266CBA8D">
                  <w:pPr>
                    <w:adjustRightInd w:val="0"/>
                    <w:snapToGrid w:val="0"/>
                    <w:jc w:val="center"/>
                    <w:rPr>
                      <w:color w:val="auto"/>
                      <w:szCs w:val="21"/>
                    </w:rPr>
                  </w:pPr>
                  <w:r>
                    <w:rPr>
                      <w:color w:val="auto"/>
                      <w:szCs w:val="21"/>
                    </w:rPr>
                    <w:t>无组织</w:t>
                  </w:r>
                </w:p>
              </w:tc>
              <w:tc>
                <w:tcPr>
                  <w:tcW w:w="644" w:type="pct"/>
                  <w:vMerge w:val="restart"/>
                  <w:vAlign w:val="center"/>
                </w:tcPr>
                <w:p w14:paraId="343D7875">
                  <w:pPr>
                    <w:adjustRightInd w:val="0"/>
                    <w:snapToGrid w:val="0"/>
                    <w:jc w:val="center"/>
                    <w:rPr>
                      <w:color w:val="auto"/>
                      <w:szCs w:val="21"/>
                    </w:rPr>
                  </w:pPr>
                  <w:r>
                    <w:rPr>
                      <w:color w:val="auto"/>
                      <w:szCs w:val="21"/>
                    </w:rPr>
                    <w:t>厂区内</w:t>
                  </w:r>
                  <w:r>
                    <w:rPr>
                      <w:bCs/>
                      <w:color w:val="auto"/>
                      <w:szCs w:val="21"/>
                    </w:rPr>
                    <w:t>NMHC</w:t>
                  </w:r>
                </w:p>
              </w:tc>
              <w:tc>
                <w:tcPr>
                  <w:tcW w:w="569" w:type="pct"/>
                  <w:vMerge w:val="restart"/>
                  <w:vAlign w:val="center"/>
                </w:tcPr>
                <w:p w14:paraId="3542F40D">
                  <w:pPr>
                    <w:adjustRightInd w:val="0"/>
                    <w:snapToGrid w:val="0"/>
                    <w:jc w:val="center"/>
                    <w:rPr>
                      <w:color w:val="auto"/>
                      <w:szCs w:val="21"/>
                    </w:rPr>
                  </w:pPr>
                  <w:r>
                    <w:rPr>
                      <w:rFonts w:hint="eastAsia"/>
                      <w:color w:val="auto"/>
                      <w:szCs w:val="21"/>
                    </w:rPr>
                    <w:t>1次/半年</w:t>
                  </w:r>
                </w:p>
              </w:tc>
              <w:tc>
                <w:tcPr>
                  <w:tcW w:w="532" w:type="pct"/>
                  <w:vAlign w:val="center"/>
                </w:tcPr>
                <w:p w14:paraId="64995E81">
                  <w:pPr>
                    <w:pStyle w:val="87"/>
                    <w:rPr>
                      <w:rFonts w:hAnsi="Times New Roman"/>
                      <w:color w:val="auto"/>
                    </w:rPr>
                  </w:pPr>
                  <w:r>
                    <w:rPr>
                      <w:rFonts w:hAnsi="Times New Roman"/>
                      <w:b w:val="0"/>
                      <w:color w:val="auto"/>
                    </w:rPr>
                    <w:t>6</w:t>
                  </w:r>
                </w:p>
              </w:tc>
              <w:tc>
                <w:tcPr>
                  <w:tcW w:w="729" w:type="pct"/>
                  <w:vAlign w:val="center"/>
                </w:tcPr>
                <w:p w14:paraId="6ACB5526">
                  <w:pPr>
                    <w:pStyle w:val="87"/>
                    <w:rPr>
                      <w:rFonts w:hAnsi="Times New Roman"/>
                      <w:color w:val="auto"/>
                    </w:rPr>
                  </w:pPr>
                  <w:r>
                    <w:rPr>
                      <w:rFonts w:hAnsi="Times New Roman"/>
                      <w:color w:val="auto"/>
                    </w:rPr>
                    <w:t>/</w:t>
                  </w:r>
                </w:p>
              </w:tc>
              <w:tc>
                <w:tcPr>
                  <w:tcW w:w="818" w:type="pct"/>
                  <w:vAlign w:val="center"/>
                </w:tcPr>
                <w:p w14:paraId="158E8E4A">
                  <w:pPr>
                    <w:adjustRightInd w:val="0"/>
                    <w:snapToGrid w:val="0"/>
                    <w:jc w:val="center"/>
                    <w:rPr>
                      <w:color w:val="auto"/>
                      <w:szCs w:val="21"/>
                    </w:rPr>
                  </w:pPr>
                  <w:r>
                    <w:rPr>
                      <w:color w:val="auto"/>
                      <w:szCs w:val="21"/>
                    </w:rPr>
                    <w:t>监控点处1h平均浓度值</w:t>
                  </w:r>
                </w:p>
              </w:tc>
              <w:tc>
                <w:tcPr>
                  <w:tcW w:w="1158" w:type="pct"/>
                  <w:vMerge w:val="restart"/>
                  <w:vAlign w:val="center"/>
                </w:tcPr>
                <w:p w14:paraId="18F56D8C">
                  <w:pPr>
                    <w:adjustRightInd w:val="0"/>
                    <w:snapToGrid w:val="0"/>
                    <w:jc w:val="center"/>
                    <w:rPr>
                      <w:color w:val="auto"/>
                      <w:szCs w:val="21"/>
                    </w:rPr>
                  </w:pPr>
                  <w:r>
                    <w:rPr>
                      <w:color w:val="auto"/>
                      <w:szCs w:val="21"/>
                    </w:rPr>
                    <w:t>广东省《固定污染源挥发性有机物综合排放标准》（DB44/2367-2022）中表3厂区内VOCs无组织排放限值</w:t>
                  </w:r>
                </w:p>
              </w:tc>
            </w:tr>
            <w:tr w14:paraId="1B359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547" w:type="pct"/>
                  <w:vMerge w:val="continue"/>
                  <w:vAlign w:val="center"/>
                </w:tcPr>
                <w:p w14:paraId="17ADEDDE">
                  <w:pPr>
                    <w:adjustRightInd w:val="0"/>
                    <w:snapToGrid w:val="0"/>
                    <w:jc w:val="center"/>
                    <w:rPr>
                      <w:color w:val="auto"/>
                      <w:szCs w:val="21"/>
                    </w:rPr>
                  </w:pPr>
                </w:p>
              </w:tc>
              <w:tc>
                <w:tcPr>
                  <w:tcW w:w="644" w:type="pct"/>
                  <w:vMerge w:val="continue"/>
                  <w:vAlign w:val="center"/>
                </w:tcPr>
                <w:p w14:paraId="068B2116">
                  <w:pPr>
                    <w:adjustRightInd w:val="0"/>
                    <w:snapToGrid w:val="0"/>
                    <w:jc w:val="center"/>
                    <w:rPr>
                      <w:color w:val="auto"/>
                      <w:szCs w:val="21"/>
                    </w:rPr>
                  </w:pPr>
                </w:p>
              </w:tc>
              <w:tc>
                <w:tcPr>
                  <w:tcW w:w="569" w:type="pct"/>
                  <w:vMerge w:val="continue"/>
                  <w:vAlign w:val="center"/>
                </w:tcPr>
                <w:p w14:paraId="22810EC1">
                  <w:pPr>
                    <w:adjustRightInd w:val="0"/>
                    <w:snapToGrid w:val="0"/>
                    <w:jc w:val="center"/>
                    <w:rPr>
                      <w:color w:val="auto"/>
                      <w:szCs w:val="21"/>
                    </w:rPr>
                  </w:pPr>
                </w:p>
              </w:tc>
              <w:tc>
                <w:tcPr>
                  <w:tcW w:w="532" w:type="pct"/>
                  <w:vAlign w:val="center"/>
                </w:tcPr>
                <w:p w14:paraId="4C1FB9B6">
                  <w:pPr>
                    <w:pStyle w:val="87"/>
                    <w:rPr>
                      <w:rFonts w:hAnsi="Times New Roman"/>
                      <w:color w:val="auto"/>
                    </w:rPr>
                  </w:pPr>
                  <w:r>
                    <w:rPr>
                      <w:rFonts w:hAnsi="Times New Roman"/>
                      <w:b w:val="0"/>
                      <w:color w:val="auto"/>
                    </w:rPr>
                    <w:t>20</w:t>
                  </w:r>
                </w:p>
              </w:tc>
              <w:tc>
                <w:tcPr>
                  <w:tcW w:w="729" w:type="pct"/>
                  <w:vAlign w:val="center"/>
                </w:tcPr>
                <w:p w14:paraId="78244C69">
                  <w:pPr>
                    <w:pStyle w:val="87"/>
                    <w:rPr>
                      <w:rFonts w:hAnsi="Times New Roman"/>
                      <w:color w:val="auto"/>
                    </w:rPr>
                  </w:pPr>
                  <w:r>
                    <w:rPr>
                      <w:rFonts w:hAnsi="Times New Roman"/>
                      <w:color w:val="auto"/>
                    </w:rPr>
                    <w:t>/</w:t>
                  </w:r>
                </w:p>
              </w:tc>
              <w:tc>
                <w:tcPr>
                  <w:tcW w:w="818" w:type="pct"/>
                  <w:vAlign w:val="center"/>
                </w:tcPr>
                <w:p w14:paraId="23945B6C">
                  <w:pPr>
                    <w:adjustRightInd w:val="0"/>
                    <w:snapToGrid w:val="0"/>
                    <w:jc w:val="center"/>
                    <w:rPr>
                      <w:color w:val="auto"/>
                      <w:szCs w:val="21"/>
                    </w:rPr>
                  </w:pPr>
                  <w:r>
                    <w:rPr>
                      <w:color w:val="auto"/>
                      <w:szCs w:val="21"/>
                    </w:rPr>
                    <w:t>监控点处任意一次浓度值</w:t>
                  </w:r>
                </w:p>
              </w:tc>
              <w:tc>
                <w:tcPr>
                  <w:tcW w:w="1158" w:type="pct"/>
                  <w:vMerge w:val="continue"/>
                  <w:vAlign w:val="center"/>
                </w:tcPr>
                <w:p w14:paraId="0D83FAB4">
                  <w:pPr>
                    <w:adjustRightInd w:val="0"/>
                    <w:snapToGrid w:val="0"/>
                    <w:jc w:val="center"/>
                    <w:rPr>
                      <w:color w:val="auto"/>
                      <w:szCs w:val="21"/>
                    </w:rPr>
                  </w:pPr>
                </w:p>
              </w:tc>
            </w:tr>
            <w:tr w14:paraId="315B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71AC55A6">
                  <w:pPr>
                    <w:adjustRightInd w:val="0"/>
                    <w:snapToGrid w:val="0"/>
                    <w:jc w:val="center"/>
                    <w:rPr>
                      <w:color w:val="auto"/>
                      <w:szCs w:val="21"/>
                    </w:rPr>
                  </w:pPr>
                </w:p>
              </w:tc>
              <w:tc>
                <w:tcPr>
                  <w:tcW w:w="644" w:type="pct"/>
                  <w:vAlign w:val="center"/>
                </w:tcPr>
                <w:p w14:paraId="7B5EBC7C">
                  <w:pPr>
                    <w:adjustRightInd w:val="0"/>
                    <w:snapToGrid w:val="0"/>
                    <w:jc w:val="center"/>
                    <w:rPr>
                      <w:color w:val="auto"/>
                      <w:szCs w:val="21"/>
                    </w:rPr>
                  </w:pPr>
                  <w:r>
                    <w:rPr>
                      <w:bCs/>
                      <w:color w:val="auto"/>
                      <w:szCs w:val="21"/>
                    </w:rPr>
                    <w:t>颗粒物</w:t>
                  </w:r>
                </w:p>
              </w:tc>
              <w:tc>
                <w:tcPr>
                  <w:tcW w:w="569" w:type="pct"/>
                  <w:vAlign w:val="center"/>
                </w:tcPr>
                <w:p w14:paraId="7C71D28F">
                  <w:pPr>
                    <w:adjustRightInd w:val="0"/>
                    <w:snapToGrid w:val="0"/>
                    <w:jc w:val="center"/>
                    <w:rPr>
                      <w:color w:val="auto"/>
                      <w:szCs w:val="21"/>
                    </w:rPr>
                  </w:pPr>
                  <w:r>
                    <w:rPr>
                      <w:rFonts w:hint="eastAsia"/>
                      <w:color w:val="auto"/>
                      <w:szCs w:val="21"/>
                    </w:rPr>
                    <w:t>1次/半年</w:t>
                  </w:r>
                </w:p>
              </w:tc>
              <w:tc>
                <w:tcPr>
                  <w:tcW w:w="532" w:type="pct"/>
                  <w:vAlign w:val="center"/>
                </w:tcPr>
                <w:p w14:paraId="35A7BF58">
                  <w:pPr>
                    <w:adjustRightInd w:val="0"/>
                    <w:snapToGrid w:val="0"/>
                    <w:jc w:val="center"/>
                    <w:rPr>
                      <w:color w:val="auto"/>
                      <w:szCs w:val="21"/>
                    </w:rPr>
                  </w:pPr>
                  <w:r>
                    <w:rPr>
                      <w:color w:val="auto"/>
                      <w:szCs w:val="21"/>
                    </w:rPr>
                    <w:t>1.0</w:t>
                  </w:r>
                </w:p>
              </w:tc>
              <w:tc>
                <w:tcPr>
                  <w:tcW w:w="729" w:type="pct"/>
                  <w:vAlign w:val="center"/>
                </w:tcPr>
                <w:p w14:paraId="7F64757F">
                  <w:pPr>
                    <w:adjustRightInd w:val="0"/>
                    <w:snapToGrid w:val="0"/>
                    <w:jc w:val="center"/>
                    <w:rPr>
                      <w:color w:val="auto"/>
                      <w:szCs w:val="21"/>
                    </w:rPr>
                  </w:pPr>
                  <w:r>
                    <w:rPr>
                      <w:color w:val="auto"/>
                      <w:szCs w:val="21"/>
                    </w:rPr>
                    <w:t>/</w:t>
                  </w:r>
                </w:p>
              </w:tc>
              <w:tc>
                <w:tcPr>
                  <w:tcW w:w="1977" w:type="pct"/>
                  <w:gridSpan w:val="2"/>
                  <w:vAlign w:val="center"/>
                </w:tcPr>
                <w:p w14:paraId="4BFC83DE">
                  <w:pPr>
                    <w:adjustRightInd w:val="0"/>
                    <w:snapToGrid w:val="0"/>
                    <w:jc w:val="center"/>
                    <w:rPr>
                      <w:color w:val="auto"/>
                      <w:szCs w:val="21"/>
                    </w:rPr>
                  </w:pPr>
                  <w:r>
                    <w:rPr>
                      <w:rFonts w:hint="eastAsia"/>
                      <w:color w:val="auto"/>
                      <w:szCs w:val="21"/>
                    </w:rPr>
                    <w:t>《工业炉窑大气污染物排放标准》（GB9078-1996）表3其他炉窑无组织排放烟（粉）尘最高允许浓度和</w:t>
                  </w:r>
                  <w:r>
                    <w:rPr>
                      <w:color w:val="auto"/>
                      <w:szCs w:val="21"/>
                    </w:rPr>
                    <w:t>广东省《大气污染物排放限值》（DB44/27-2001）第二时段无组织排放监控浓度限值</w:t>
                  </w:r>
                  <w:r>
                    <w:rPr>
                      <w:rFonts w:hint="eastAsia"/>
                      <w:color w:val="auto"/>
                      <w:szCs w:val="21"/>
                    </w:rPr>
                    <w:t>的较严者要求</w:t>
                  </w:r>
                </w:p>
              </w:tc>
            </w:tr>
            <w:tr w14:paraId="379F7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295C2AE8">
                  <w:pPr>
                    <w:adjustRightInd w:val="0"/>
                    <w:snapToGrid w:val="0"/>
                    <w:jc w:val="center"/>
                    <w:rPr>
                      <w:color w:val="auto"/>
                      <w:szCs w:val="21"/>
                    </w:rPr>
                  </w:pPr>
                </w:p>
              </w:tc>
              <w:tc>
                <w:tcPr>
                  <w:tcW w:w="644" w:type="pct"/>
                  <w:vAlign w:val="center"/>
                </w:tcPr>
                <w:p w14:paraId="4FE6D747">
                  <w:pPr>
                    <w:pStyle w:val="2"/>
                    <w:tabs>
                      <w:tab w:val="left" w:pos="-2793"/>
                    </w:tabs>
                    <w:spacing w:before="0" w:after="0" w:line="240" w:lineRule="auto"/>
                    <w:ind w:right="0"/>
                    <w:jc w:val="center"/>
                    <w:rPr>
                      <w:color w:val="auto"/>
                      <w:sz w:val="21"/>
                      <w:szCs w:val="21"/>
                    </w:rPr>
                  </w:pPr>
                  <w:r>
                    <w:rPr>
                      <w:color w:val="auto"/>
                      <w:sz w:val="21"/>
                      <w:szCs w:val="21"/>
                    </w:rPr>
                    <w:t>硫酸雾</w:t>
                  </w:r>
                </w:p>
              </w:tc>
              <w:tc>
                <w:tcPr>
                  <w:tcW w:w="569" w:type="pct"/>
                  <w:vAlign w:val="center"/>
                </w:tcPr>
                <w:p w14:paraId="65DDA631">
                  <w:pPr>
                    <w:adjustRightInd w:val="0"/>
                    <w:snapToGrid w:val="0"/>
                    <w:jc w:val="center"/>
                    <w:rPr>
                      <w:color w:val="auto"/>
                      <w:szCs w:val="21"/>
                    </w:rPr>
                  </w:pPr>
                  <w:r>
                    <w:rPr>
                      <w:rFonts w:hint="eastAsia"/>
                      <w:color w:val="auto"/>
                      <w:szCs w:val="21"/>
                    </w:rPr>
                    <w:t>1次/年</w:t>
                  </w:r>
                </w:p>
              </w:tc>
              <w:tc>
                <w:tcPr>
                  <w:tcW w:w="532" w:type="pct"/>
                  <w:vAlign w:val="center"/>
                </w:tcPr>
                <w:p w14:paraId="033D991F">
                  <w:pPr>
                    <w:pStyle w:val="2"/>
                    <w:tabs>
                      <w:tab w:val="left" w:pos="-2793"/>
                    </w:tabs>
                    <w:spacing w:before="0" w:after="0" w:line="240" w:lineRule="auto"/>
                    <w:ind w:right="0"/>
                    <w:jc w:val="center"/>
                    <w:rPr>
                      <w:color w:val="auto"/>
                      <w:sz w:val="21"/>
                      <w:szCs w:val="21"/>
                    </w:rPr>
                  </w:pPr>
                  <w:r>
                    <w:rPr>
                      <w:color w:val="auto"/>
                      <w:sz w:val="21"/>
                      <w:szCs w:val="21"/>
                    </w:rPr>
                    <w:t>1.2</w:t>
                  </w:r>
                </w:p>
              </w:tc>
              <w:tc>
                <w:tcPr>
                  <w:tcW w:w="729" w:type="pct"/>
                  <w:vAlign w:val="center"/>
                </w:tcPr>
                <w:p w14:paraId="6D27DC47">
                  <w:pPr>
                    <w:jc w:val="center"/>
                    <w:rPr>
                      <w:color w:val="auto"/>
                      <w:szCs w:val="21"/>
                    </w:rPr>
                  </w:pPr>
                  <w:r>
                    <w:rPr>
                      <w:color w:val="auto"/>
                      <w:szCs w:val="21"/>
                    </w:rPr>
                    <w:t>/</w:t>
                  </w:r>
                </w:p>
              </w:tc>
              <w:tc>
                <w:tcPr>
                  <w:tcW w:w="1977" w:type="pct"/>
                  <w:gridSpan w:val="2"/>
                  <w:vMerge w:val="restart"/>
                  <w:vAlign w:val="center"/>
                </w:tcPr>
                <w:p w14:paraId="2D3A7B78">
                  <w:pPr>
                    <w:pStyle w:val="2"/>
                    <w:tabs>
                      <w:tab w:val="left" w:pos="-2793"/>
                    </w:tabs>
                    <w:spacing w:before="0" w:after="0" w:line="240" w:lineRule="auto"/>
                    <w:ind w:right="0"/>
                    <w:jc w:val="center"/>
                    <w:rPr>
                      <w:color w:val="auto"/>
                      <w:sz w:val="21"/>
                      <w:szCs w:val="21"/>
                    </w:rPr>
                  </w:pPr>
                  <w:r>
                    <w:rPr>
                      <w:color w:val="auto"/>
                      <w:sz w:val="21"/>
                      <w:szCs w:val="21"/>
                    </w:rPr>
                    <w:t>广东省《大气污染物排放限值》(DB44/27-2001)第二时段无组织排放限值</w:t>
                  </w:r>
                </w:p>
              </w:tc>
            </w:tr>
            <w:tr w14:paraId="3104B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7B750157">
                  <w:pPr>
                    <w:adjustRightInd w:val="0"/>
                    <w:snapToGrid w:val="0"/>
                    <w:jc w:val="center"/>
                    <w:rPr>
                      <w:color w:val="auto"/>
                      <w:szCs w:val="21"/>
                    </w:rPr>
                  </w:pPr>
                </w:p>
              </w:tc>
              <w:tc>
                <w:tcPr>
                  <w:tcW w:w="644" w:type="pct"/>
                  <w:vAlign w:val="center"/>
                </w:tcPr>
                <w:p w14:paraId="52C16875">
                  <w:pPr>
                    <w:snapToGrid w:val="0"/>
                    <w:jc w:val="center"/>
                    <w:rPr>
                      <w:bCs/>
                      <w:color w:val="auto"/>
                      <w:szCs w:val="21"/>
                    </w:rPr>
                  </w:pPr>
                  <w:r>
                    <w:rPr>
                      <w:color w:val="auto"/>
                      <w:szCs w:val="21"/>
                    </w:rPr>
                    <w:t>二氧化硫</w:t>
                  </w:r>
                </w:p>
              </w:tc>
              <w:tc>
                <w:tcPr>
                  <w:tcW w:w="569" w:type="pct"/>
                  <w:vAlign w:val="center"/>
                </w:tcPr>
                <w:p w14:paraId="60D12219">
                  <w:pPr>
                    <w:adjustRightInd w:val="0"/>
                    <w:snapToGrid w:val="0"/>
                    <w:jc w:val="center"/>
                    <w:rPr>
                      <w:color w:val="auto"/>
                      <w:szCs w:val="21"/>
                    </w:rPr>
                  </w:pPr>
                  <w:r>
                    <w:rPr>
                      <w:rFonts w:hint="eastAsia"/>
                      <w:color w:val="auto"/>
                      <w:szCs w:val="21"/>
                    </w:rPr>
                    <w:t>1次/年</w:t>
                  </w:r>
                </w:p>
              </w:tc>
              <w:tc>
                <w:tcPr>
                  <w:tcW w:w="532" w:type="pct"/>
                  <w:vAlign w:val="center"/>
                </w:tcPr>
                <w:p w14:paraId="521611DE">
                  <w:pPr>
                    <w:jc w:val="center"/>
                    <w:rPr>
                      <w:color w:val="auto"/>
                      <w:szCs w:val="21"/>
                    </w:rPr>
                  </w:pPr>
                  <w:r>
                    <w:rPr>
                      <w:color w:val="auto"/>
                      <w:kern w:val="0"/>
                      <w:szCs w:val="21"/>
                    </w:rPr>
                    <w:t>0.4</w:t>
                  </w:r>
                </w:p>
              </w:tc>
              <w:tc>
                <w:tcPr>
                  <w:tcW w:w="729" w:type="pct"/>
                  <w:vAlign w:val="center"/>
                </w:tcPr>
                <w:p w14:paraId="33B843FF">
                  <w:pPr>
                    <w:jc w:val="center"/>
                    <w:rPr>
                      <w:color w:val="auto"/>
                      <w:szCs w:val="21"/>
                    </w:rPr>
                  </w:pPr>
                  <w:r>
                    <w:rPr>
                      <w:color w:val="auto"/>
                      <w:szCs w:val="21"/>
                    </w:rPr>
                    <w:t>/</w:t>
                  </w:r>
                </w:p>
              </w:tc>
              <w:tc>
                <w:tcPr>
                  <w:tcW w:w="1977" w:type="pct"/>
                  <w:gridSpan w:val="2"/>
                  <w:vMerge w:val="continue"/>
                  <w:vAlign w:val="center"/>
                </w:tcPr>
                <w:p w14:paraId="3F155904">
                  <w:pPr>
                    <w:pStyle w:val="2"/>
                    <w:tabs>
                      <w:tab w:val="left" w:pos="-2793"/>
                    </w:tabs>
                    <w:spacing w:before="0" w:after="0" w:line="240" w:lineRule="auto"/>
                    <w:ind w:right="0"/>
                    <w:jc w:val="center"/>
                    <w:rPr>
                      <w:color w:val="auto"/>
                      <w:sz w:val="21"/>
                      <w:szCs w:val="21"/>
                    </w:rPr>
                  </w:pPr>
                </w:p>
              </w:tc>
            </w:tr>
            <w:tr w14:paraId="600B2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1DF808C4">
                  <w:pPr>
                    <w:adjustRightInd w:val="0"/>
                    <w:snapToGrid w:val="0"/>
                    <w:jc w:val="center"/>
                    <w:rPr>
                      <w:color w:val="auto"/>
                      <w:szCs w:val="21"/>
                    </w:rPr>
                  </w:pPr>
                </w:p>
                <w:p w14:paraId="4F7519D9">
                  <w:pPr>
                    <w:pStyle w:val="2"/>
                    <w:jc w:val="center"/>
                    <w:rPr>
                      <w:color w:val="auto"/>
                    </w:rPr>
                  </w:pPr>
                </w:p>
              </w:tc>
              <w:tc>
                <w:tcPr>
                  <w:tcW w:w="644" w:type="pct"/>
                  <w:vAlign w:val="center"/>
                </w:tcPr>
                <w:p w14:paraId="5A6D8115">
                  <w:pPr>
                    <w:snapToGrid w:val="0"/>
                    <w:jc w:val="center"/>
                    <w:rPr>
                      <w:bCs/>
                      <w:color w:val="auto"/>
                      <w:szCs w:val="21"/>
                    </w:rPr>
                  </w:pPr>
                  <w:r>
                    <w:rPr>
                      <w:color w:val="auto"/>
                      <w:szCs w:val="21"/>
                    </w:rPr>
                    <w:t>氮氧化物</w:t>
                  </w:r>
                </w:p>
              </w:tc>
              <w:tc>
                <w:tcPr>
                  <w:tcW w:w="569" w:type="pct"/>
                  <w:vAlign w:val="center"/>
                </w:tcPr>
                <w:p w14:paraId="35FDE802">
                  <w:pPr>
                    <w:adjustRightInd w:val="0"/>
                    <w:snapToGrid w:val="0"/>
                    <w:jc w:val="center"/>
                    <w:rPr>
                      <w:color w:val="auto"/>
                      <w:szCs w:val="21"/>
                    </w:rPr>
                  </w:pPr>
                  <w:r>
                    <w:rPr>
                      <w:rFonts w:hint="eastAsia"/>
                      <w:color w:val="auto"/>
                      <w:szCs w:val="21"/>
                    </w:rPr>
                    <w:t>1次/年</w:t>
                  </w:r>
                </w:p>
              </w:tc>
              <w:tc>
                <w:tcPr>
                  <w:tcW w:w="532" w:type="pct"/>
                  <w:vAlign w:val="center"/>
                </w:tcPr>
                <w:p w14:paraId="68BA6559">
                  <w:pPr>
                    <w:jc w:val="center"/>
                    <w:rPr>
                      <w:color w:val="auto"/>
                      <w:szCs w:val="21"/>
                    </w:rPr>
                  </w:pPr>
                  <w:r>
                    <w:rPr>
                      <w:color w:val="auto"/>
                      <w:kern w:val="0"/>
                      <w:szCs w:val="21"/>
                    </w:rPr>
                    <w:t>0.12</w:t>
                  </w:r>
                </w:p>
              </w:tc>
              <w:tc>
                <w:tcPr>
                  <w:tcW w:w="729" w:type="pct"/>
                  <w:vAlign w:val="center"/>
                </w:tcPr>
                <w:p w14:paraId="51CEF241">
                  <w:pPr>
                    <w:jc w:val="center"/>
                    <w:rPr>
                      <w:color w:val="auto"/>
                      <w:szCs w:val="21"/>
                    </w:rPr>
                  </w:pPr>
                  <w:r>
                    <w:rPr>
                      <w:color w:val="auto"/>
                      <w:szCs w:val="21"/>
                    </w:rPr>
                    <w:t>/</w:t>
                  </w:r>
                </w:p>
              </w:tc>
              <w:tc>
                <w:tcPr>
                  <w:tcW w:w="1977" w:type="pct"/>
                  <w:gridSpan w:val="2"/>
                  <w:vMerge w:val="continue"/>
                  <w:vAlign w:val="center"/>
                </w:tcPr>
                <w:p w14:paraId="0B30892C">
                  <w:pPr>
                    <w:pStyle w:val="2"/>
                    <w:tabs>
                      <w:tab w:val="left" w:pos="-2793"/>
                    </w:tabs>
                    <w:spacing w:before="0" w:after="0" w:line="240" w:lineRule="auto"/>
                    <w:ind w:right="0"/>
                    <w:jc w:val="center"/>
                    <w:rPr>
                      <w:color w:val="auto"/>
                      <w:sz w:val="21"/>
                      <w:szCs w:val="21"/>
                    </w:rPr>
                  </w:pPr>
                </w:p>
              </w:tc>
            </w:tr>
            <w:tr w14:paraId="3F7A8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265D6FB1">
                  <w:pPr>
                    <w:adjustRightInd w:val="0"/>
                    <w:snapToGrid w:val="0"/>
                    <w:jc w:val="center"/>
                    <w:rPr>
                      <w:color w:val="auto"/>
                      <w:szCs w:val="21"/>
                    </w:rPr>
                  </w:pPr>
                </w:p>
              </w:tc>
              <w:tc>
                <w:tcPr>
                  <w:tcW w:w="644" w:type="pct"/>
                  <w:vAlign w:val="center"/>
                </w:tcPr>
                <w:p w14:paraId="6992A7C0">
                  <w:pPr>
                    <w:adjustRightInd w:val="0"/>
                    <w:snapToGrid w:val="0"/>
                    <w:jc w:val="center"/>
                    <w:rPr>
                      <w:bCs/>
                      <w:color w:val="auto"/>
                      <w:szCs w:val="21"/>
                    </w:rPr>
                  </w:pPr>
                  <w:r>
                    <w:rPr>
                      <w:bCs/>
                      <w:color w:val="auto"/>
                      <w:szCs w:val="21"/>
                    </w:rPr>
                    <w:t>臭气浓度</w:t>
                  </w:r>
                </w:p>
              </w:tc>
              <w:tc>
                <w:tcPr>
                  <w:tcW w:w="569" w:type="pct"/>
                  <w:vAlign w:val="center"/>
                </w:tcPr>
                <w:p w14:paraId="3A3A5168">
                  <w:pPr>
                    <w:adjustRightInd w:val="0"/>
                    <w:snapToGrid w:val="0"/>
                    <w:jc w:val="center"/>
                    <w:rPr>
                      <w:color w:val="auto"/>
                      <w:szCs w:val="21"/>
                    </w:rPr>
                  </w:pPr>
                  <w:r>
                    <w:rPr>
                      <w:rFonts w:hint="eastAsia"/>
                      <w:color w:val="auto"/>
                      <w:szCs w:val="21"/>
                    </w:rPr>
                    <w:t>1次/半年</w:t>
                  </w:r>
                </w:p>
              </w:tc>
              <w:tc>
                <w:tcPr>
                  <w:tcW w:w="532" w:type="pct"/>
                  <w:vAlign w:val="center"/>
                </w:tcPr>
                <w:p w14:paraId="6A51E8C2">
                  <w:pPr>
                    <w:adjustRightInd w:val="0"/>
                    <w:snapToGrid w:val="0"/>
                    <w:jc w:val="center"/>
                    <w:rPr>
                      <w:color w:val="auto"/>
                      <w:szCs w:val="21"/>
                    </w:rPr>
                  </w:pPr>
                  <w:r>
                    <w:rPr>
                      <w:color w:val="auto"/>
                      <w:szCs w:val="21"/>
                    </w:rPr>
                    <w:t>20</w:t>
                  </w:r>
                </w:p>
              </w:tc>
              <w:tc>
                <w:tcPr>
                  <w:tcW w:w="729" w:type="pct"/>
                  <w:vAlign w:val="center"/>
                </w:tcPr>
                <w:p w14:paraId="635B3C7B">
                  <w:pPr>
                    <w:adjustRightInd w:val="0"/>
                    <w:snapToGrid w:val="0"/>
                    <w:jc w:val="center"/>
                    <w:rPr>
                      <w:color w:val="auto"/>
                      <w:szCs w:val="21"/>
                    </w:rPr>
                  </w:pPr>
                  <w:r>
                    <w:rPr>
                      <w:color w:val="auto"/>
                      <w:szCs w:val="21"/>
                    </w:rPr>
                    <w:t>/</w:t>
                  </w:r>
                </w:p>
              </w:tc>
              <w:tc>
                <w:tcPr>
                  <w:tcW w:w="1977" w:type="pct"/>
                  <w:gridSpan w:val="2"/>
                  <w:vMerge w:val="restart"/>
                  <w:vAlign w:val="center"/>
                </w:tcPr>
                <w:p w14:paraId="3E2C2B00">
                  <w:pPr>
                    <w:adjustRightInd w:val="0"/>
                    <w:snapToGrid w:val="0"/>
                    <w:jc w:val="center"/>
                    <w:rPr>
                      <w:color w:val="auto"/>
                      <w:szCs w:val="21"/>
                    </w:rPr>
                  </w:pPr>
                  <w:r>
                    <w:rPr>
                      <w:color w:val="auto"/>
                      <w:szCs w:val="21"/>
                    </w:rPr>
                    <w:t>《恶臭污染物排放标准》（GB14554-1993）表1恶臭污染物厂界二级新扩改建标准值</w:t>
                  </w:r>
                </w:p>
              </w:tc>
            </w:tr>
            <w:tr w14:paraId="22880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5A15AF48">
                  <w:pPr>
                    <w:adjustRightInd w:val="0"/>
                    <w:snapToGrid w:val="0"/>
                    <w:jc w:val="center"/>
                    <w:rPr>
                      <w:color w:val="auto"/>
                      <w:szCs w:val="21"/>
                    </w:rPr>
                  </w:pPr>
                </w:p>
              </w:tc>
              <w:tc>
                <w:tcPr>
                  <w:tcW w:w="644" w:type="pct"/>
                  <w:vAlign w:val="center"/>
                </w:tcPr>
                <w:p w14:paraId="0CF24F0D">
                  <w:pPr>
                    <w:adjustRightInd w:val="0"/>
                    <w:snapToGrid w:val="0"/>
                    <w:jc w:val="center"/>
                    <w:rPr>
                      <w:bCs/>
                      <w:color w:val="auto"/>
                      <w:szCs w:val="21"/>
                    </w:rPr>
                  </w:pPr>
                  <w:r>
                    <w:rPr>
                      <w:bCs/>
                      <w:color w:val="auto"/>
                      <w:szCs w:val="21"/>
                    </w:rPr>
                    <w:t>NH</w:t>
                  </w:r>
                  <w:r>
                    <w:rPr>
                      <w:bCs/>
                      <w:color w:val="auto"/>
                      <w:szCs w:val="21"/>
                      <w:vertAlign w:val="subscript"/>
                    </w:rPr>
                    <w:t>3</w:t>
                  </w:r>
                </w:p>
              </w:tc>
              <w:tc>
                <w:tcPr>
                  <w:tcW w:w="569" w:type="pct"/>
                  <w:vAlign w:val="center"/>
                </w:tcPr>
                <w:p w14:paraId="46CF5CCB">
                  <w:pPr>
                    <w:adjustRightInd w:val="0"/>
                    <w:snapToGrid w:val="0"/>
                    <w:jc w:val="center"/>
                    <w:rPr>
                      <w:color w:val="auto"/>
                      <w:szCs w:val="21"/>
                    </w:rPr>
                  </w:pPr>
                  <w:r>
                    <w:rPr>
                      <w:rFonts w:hint="eastAsia"/>
                      <w:color w:val="auto"/>
                      <w:szCs w:val="21"/>
                    </w:rPr>
                    <w:t>1次/年</w:t>
                  </w:r>
                </w:p>
              </w:tc>
              <w:tc>
                <w:tcPr>
                  <w:tcW w:w="532" w:type="pct"/>
                  <w:vAlign w:val="center"/>
                </w:tcPr>
                <w:p w14:paraId="1C27C4FE">
                  <w:pPr>
                    <w:adjustRightInd w:val="0"/>
                    <w:snapToGrid w:val="0"/>
                    <w:jc w:val="center"/>
                    <w:rPr>
                      <w:color w:val="auto"/>
                      <w:szCs w:val="21"/>
                    </w:rPr>
                  </w:pPr>
                  <w:r>
                    <w:rPr>
                      <w:color w:val="auto"/>
                      <w:szCs w:val="21"/>
                    </w:rPr>
                    <w:t>1.5</w:t>
                  </w:r>
                </w:p>
              </w:tc>
              <w:tc>
                <w:tcPr>
                  <w:tcW w:w="729" w:type="pct"/>
                  <w:vAlign w:val="center"/>
                </w:tcPr>
                <w:p w14:paraId="3CBD17AB">
                  <w:pPr>
                    <w:adjustRightInd w:val="0"/>
                    <w:snapToGrid w:val="0"/>
                    <w:jc w:val="center"/>
                    <w:rPr>
                      <w:color w:val="auto"/>
                      <w:szCs w:val="21"/>
                    </w:rPr>
                  </w:pPr>
                  <w:r>
                    <w:rPr>
                      <w:color w:val="auto"/>
                      <w:szCs w:val="21"/>
                    </w:rPr>
                    <w:t>/</w:t>
                  </w:r>
                </w:p>
              </w:tc>
              <w:tc>
                <w:tcPr>
                  <w:tcW w:w="1977" w:type="pct"/>
                  <w:gridSpan w:val="2"/>
                  <w:vMerge w:val="continue"/>
                  <w:vAlign w:val="center"/>
                </w:tcPr>
                <w:p w14:paraId="3D41DB54">
                  <w:pPr>
                    <w:adjustRightInd w:val="0"/>
                    <w:snapToGrid w:val="0"/>
                    <w:jc w:val="center"/>
                    <w:rPr>
                      <w:color w:val="auto"/>
                      <w:szCs w:val="21"/>
                    </w:rPr>
                  </w:pPr>
                </w:p>
              </w:tc>
            </w:tr>
            <w:tr w14:paraId="58C5F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vAlign w:val="center"/>
                </w:tcPr>
                <w:p w14:paraId="57A988BA">
                  <w:pPr>
                    <w:adjustRightInd w:val="0"/>
                    <w:snapToGrid w:val="0"/>
                    <w:jc w:val="center"/>
                    <w:rPr>
                      <w:color w:val="auto"/>
                      <w:szCs w:val="21"/>
                    </w:rPr>
                  </w:pPr>
                </w:p>
              </w:tc>
              <w:tc>
                <w:tcPr>
                  <w:tcW w:w="644" w:type="pct"/>
                  <w:vAlign w:val="center"/>
                </w:tcPr>
                <w:p w14:paraId="1DEF35A4">
                  <w:pPr>
                    <w:adjustRightInd w:val="0"/>
                    <w:snapToGrid w:val="0"/>
                    <w:jc w:val="center"/>
                    <w:rPr>
                      <w:bCs/>
                      <w:color w:val="auto"/>
                      <w:szCs w:val="21"/>
                    </w:rPr>
                  </w:pPr>
                  <w:r>
                    <w:rPr>
                      <w:bCs/>
                      <w:color w:val="auto"/>
                      <w:szCs w:val="21"/>
                    </w:rPr>
                    <w:t>H</w:t>
                  </w:r>
                  <w:r>
                    <w:rPr>
                      <w:bCs/>
                      <w:color w:val="auto"/>
                      <w:szCs w:val="21"/>
                      <w:vertAlign w:val="subscript"/>
                    </w:rPr>
                    <w:t>2</w:t>
                  </w:r>
                  <w:r>
                    <w:rPr>
                      <w:bCs/>
                      <w:color w:val="auto"/>
                      <w:szCs w:val="21"/>
                    </w:rPr>
                    <w:t>S</w:t>
                  </w:r>
                </w:p>
              </w:tc>
              <w:tc>
                <w:tcPr>
                  <w:tcW w:w="569" w:type="pct"/>
                  <w:vAlign w:val="center"/>
                </w:tcPr>
                <w:p w14:paraId="7CE9A7E5">
                  <w:pPr>
                    <w:adjustRightInd w:val="0"/>
                    <w:snapToGrid w:val="0"/>
                    <w:jc w:val="center"/>
                    <w:rPr>
                      <w:color w:val="auto"/>
                      <w:szCs w:val="21"/>
                    </w:rPr>
                  </w:pPr>
                  <w:r>
                    <w:rPr>
                      <w:rFonts w:hint="eastAsia"/>
                      <w:color w:val="auto"/>
                      <w:szCs w:val="21"/>
                    </w:rPr>
                    <w:t>1次/年</w:t>
                  </w:r>
                </w:p>
              </w:tc>
              <w:tc>
                <w:tcPr>
                  <w:tcW w:w="532" w:type="pct"/>
                  <w:vAlign w:val="center"/>
                </w:tcPr>
                <w:p w14:paraId="2ADAFBCC">
                  <w:pPr>
                    <w:adjustRightInd w:val="0"/>
                    <w:snapToGrid w:val="0"/>
                    <w:jc w:val="center"/>
                    <w:rPr>
                      <w:color w:val="auto"/>
                      <w:szCs w:val="21"/>
                    </w:rPr>
                  </w:pPr>
                  <w:r>
                    <w:rPr>
                      <w:color w:val="auto"/>
                      <w:szCs w:val="21"/>
                    </w:rPr>
                    <w:t>0.06</w:t>
                  </w:r>
                </w:p>
              </w:tc>
              <w:tc>
                <w:tcPr>
                  <w:tcW w:w="729" w:type="pct"/>
                  <w:vAlign w:val="center"/>
                </w:tcPr>
                <w:p w14:paraId="2DFA8179">
                  <w:pPr>
                    <w:adjustRightInd w:val="0"/>
                    <w:snapToGrid w:val="0"/>
                    <w:jc w:val="center"/>
                    <w:rPr>
                      <w:color w:val="auto"/>
                      <w:szCs w:val="21"/>
                    </w:rPr>
                  </w:pPr>
                  <w:r>
                    <w:rPr>
                      <w:color w:val="auto"/>
                      <w:szCs w:val="21"/>
                    </w:rPr>
                    <w:t>/</w:t>
                  </w:r>
                </w:p>
              </w:tc>
              <w:tc>
                <w:tcPr>
                  <w:tcW w:w="1977" w:type="pct"/>
                  <w:gridSpan w:val="2"/>
                  <w:vMerge w:val="continue"/>
                  <w:vAlign w:val="center"/>
                </w:tcPr>
                <w:p w14:paraId="7E45D9EB">
                  <w:pPr>
                    <w:adjustRightInd w:val="0"/>
                    <w:snapToGrid w:val="0"/>
                    <w:jc w:val="center"/>
                    <w:rPr>
                      <w:color w:val="auto"/>
                      <w:szCs w:val="21"/>
                    </w:rPr>
                  </w:pPr>
                </w:p>
              </w:tc>
            </w:tr>
          </w:tbl>
          <w:p w14:paraId="3E0E957B">
            <w:pPr>
              <w:adjustRightInd w:val="0"/>
              <w:snapToGrid w:val="0"/>
              <w:spacing w:line="360" w:lineRule="auto"/>
              <w:ind w:firstLine="482" w:firstLineChars="200"/>
              <w:jc w:val="left"/>
              <w:rPr>
                <w:b/>
                <w:bCs/>
                <w:color w:val="auto"/>
                <w:sz w:val="24"/>
              </w:rPr>
            </w:pPr>
            <w:r>
              <w:rPr>
                <w:rFonts w:hint="eastAsia"/>
                <w:b/>
                <w:bCs/>
                <w:color w:val="auto"/>
                <w:sz w:val="24"/>
              </w:rPr>
              <w:t>10</w:t>
            </w:r>
            <w:r>
              <w:rPr>
                <w:b/>
                <w:bCs/>
                <w:color w:val="auto"/>
                <w:sz w:val="24"/>
              </w:rPr>
              <w:t>、环境影响分析</w:t>
            </w:r>
          </w:p>
          <w:p w14:paraId="50896A7F">
            <w:pPr>
              <w:adjustRightInd w:val="0"/>
              <w:snapToGrid w:val="0"/>
              <w:spacing w:line="360" w:lineRule="auto"/>
              <w:ind w:firstLine="482" w:firstLineChars="200"/>
              <w:jc w:val="left"/>
              <w:rPr>
                <w:b/>
                <w:bCs/>
                <w:color w:val="auto"/>
                <w:sz w:val="24"/>
              </w:rPr>
            </w:pPr>
            <w:r>
              <w:rPr>
                <w:b/>
                <w:bCs/>
                <w:color w:val="auto"/>
                <w:sz w:val="24"/>
              </w:rPr>
              <w:t>（1）等效排气筒及达标性分析</w:t>
            </w:r>
          </w:p>
          <w:p w14:paraId="42C769AC">
            <w:pPr>
              <w:adjustRightInd w:val="0"/>
              <w:snapToGrid w:val="0"/>
              <w:spacing w:line="360" w:lineRule="auto"/>
              <w:ind w:firstLine="480" w:firstLineChars="200"/>
              <w:jc w:val="left"/>
              <w:rPr>
                <w:bCs/>
                <w:color w:val="auto"/>
                <w:sz w:val="24"/>
              </w:rPr>
            </w:pPr>
            <w:r>
              <w:rPr>
                <w:bCs/>
                <w:color w:val="auto"/>
                <w:sz w:val="24"/>
              </w:rPr>
              <w:t>根据广东省《大气污染物排放限值》（DB44/27-2001），两个排放相同污染物不论其是否由同一生产工艺过程产生的排气筒若其距离小于其几何高度之和应合并视为根等效排气筒，若有三根以上的近距离排气筒且排放同一种污染物时应以前两根的</w:t>
            </w:r>
            <w:r>
              <w:rPr>
                <w:color w:val="auto"/>
                <w:sz w:val="24"/>
              </w:rPr>
              <w:t>等效</w:t>
            </w:r>
            <w:r>
              <w:rPr>
                <w:bCs/>
                <w:color w:val="auto"/>
                <w:sz w:val="24"/>
              </w:rPr>
              <w:t>排气筒依次与第三四根排气筒取等效值。</w:t>
            </w:r>
          </w:p>
          <w:p w14:paraId="772DB5A9">
            <w:pPr>
              <w:pStyle w:val="43"/>
              <w:jc w:val="left"/>
              <w:rPr>
                <w:color w:val="auto"/>
              </w:rPr>
            </w:pPr>
            <w:r>
              <w:rPr>
                <w:color w:val="auto"/>
              </w:rPr>
              <w:t>根据分析DA001~DA006排气筒高度为</w:t>
            </w:r>
            <w:r>
              <w:rPr>
                <w:rFonts w:hint="eastAsia"/>
                <w:color w:val="auto"/>
              </w:rPr>
              <w:t>50</w:t>
            </w:r>
            <w:r>
              <w:rPr>
                <w:color w:val="auto"/>
              </w:rPr>
              <w:t>米，排气筒之间距离小于</w:t>
            </w:r>
            <w:r>
              <w:rPr>
                <w:rFonts w:hint="eastAsia"/>
                <w:color w:val="auto"/>
              </w:rPr>
              <w:t>100</w:t>
            </w:r>
            <w:r>
              <w:rPr>
                <w:color w:val="auto"/>
              </w:rPr>
              <w:t>米，需要进行等效，等效情况见下表。</w:t>
            </w:r>
          </w:p>
          <w:p w14:paraId="2F9F0DDB">
            <w:pPr>
              <w:pStyle w:val="77"/>
              <w:numPr>
                <w:ilvl w:val="0"/>
                <w:numId w:val="18"/>
              </w:numPr>
              <w:adjustRightInd w:val="0"/>
              <w:snapToGrid w:val="0"/>
              <w:jc w:val="center"/>
              <w:rPr>
                <w:b/>
                <w:bCs/>
                <w:color w:val="auto"/>
                <w:szCs w:val="21"/>
              </w:rPr>
            </w:pPr>
            <w:r>
              <w:rPr>
                <w:rFonts w:hint="eastAsia"/>
                <w:b/>
                <w:bCs/>
                <w:color w:val="auto"/>
                <w:szCs w:val="21"/>
              </w:rPr>
              <w:t>排气筒等效排放情况一览表</w:t>
            </w:r>
          </w:p>
          <w:tbl>
            <w:tblPr>
              <w:tblStyle w:val="3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9"/>
              <w:gridCol w:w="1814"/>
              <w:gridCol w:w="1174"/>
              <w:gridCol w:w="2227"/>
              <w:gridCol w:w="1219"/>
              <w:gridCol w:w="2388"/>
            </w:tblGrid>
            <w:tr w14:paraId="326DB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Merge w:val="restart"/>
                  <w:noWrap/>
                  <w:vAlign w:val="center"/>
                </w:tcPr>
                <w:p w14:paraId="03E34EF9">
                  <w:pPr>
                    <w:pStyle w:val="102"/>
                    <w:rPr>
                      <w:b/>
                      <w:bCs/>
                      <w:color w:val="auto"/>
                    </w:rPr>
                  </w:pPr>
                  <w:r>
                    <w:rPr>
                      <w:rFonts w:hint="eastAsia"/>
                      <w:b/>
                      <w:bCs/>
                      <w:color w:val="auto"/>
                    </w:rPr>
                    <w:t>排放口</w:t>
                  </w:r>
                  <w:r>
                    <w:rPr>
                      <w:b/>
                      <w:bCs/>
                      <w:color w:val="auto"/>
                    </w:rPr>
                    <w:t>编号</w:t>
                  </w:r>
                </w:p>
              </w:tc>
              <w:tc>
                <w:tcPr>
                  <w:tcW w:w="848" w:type="pct"/>
                  <w:vMerge w:val="restart"/>
                  <w:noWrap/>
                  <w:vAlign w:val="center"/>
                </w:tcPr>
                <w:p w14:paraId="425953B7">
                  <w:pPr>
                    <w:pStyle w:val="102"/>
                    <w:rPr>
                      <w:b/>
                      <w:bCs/>
                      <w:color w:val="auto"/>
                    </w:rPr>
                  </w:pPr>
                  <w:r>
                    <w:rPr>
                      <w:b/>
                      <w:bCs/>
                      <w:color w:val="auto"/>
                    </w:rPr>
                    <w:t>污染物</w:t>
                  </w:r>
                </w:p>
              </w:tc>
              <w:tc>
                <w:tcPr>
                  <w:tcW w:w="1590" w:type="pct"/>
                  <w:gridSpan w:val="2"/>
                  <w:noWrap/>
                  <w:vAlign w:val="center"/>
                </w:tcPr>
                <w:p w14:paraId="77ED623A">
                  <w:pPr>
                    <w:pStyle w:val="102"/>
                    <w:rPr>
                      <w:b/>
                      <w:bCs/>
                      <w:color w:val="auto"/>
                    </w:rPr>
                  </w:pPr>
                  <w:r>
                    <w:rPr>
                      <w:b/>
                      <w:bCs/>
                      <w:color w:val="auto"/>
                    </w:rPr>
                    <w:t>实际排气筒</w:t>
                  </w:r>
                </w:p>
              </w:tc>
              <w:tc>
                <w:tcPr>
                  <w:tcW w:w="1686" w:type="pct"/>
                  <w:gridSpan w:val="2"/>
                  <w:noWrap/>
                  <w:vAlign w:val="center"/>
                </w:tcPr>
                <w:p w14:paraId="68DE4799">
                  <w:pPr>
                    <w:pStyle w:val="102"/>
                    <w:rPr>
                      <w:b/>
                      <w:bCs/>
                      <w:color w:val="auto"/>
                    </w:rPr>
                  </w:pPr>
                  <w:r>
                    <w:rPr>
                      <w:b/>
                      <w:bCs/>
                      <w:color w:val="auto"/>
                    </w:rPr>
                    <w:t>等效排气筒</w:t>
                  </w:r>
                </w:p>
              </w:tc>
            </w:tr>
            <w:tr w14:paraId="03088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Merge w:val="continue"/>
                  <w:vAlign w:val="center"/>
                </w:tcPr>
                <w:p w14:paraId="35B5CFEF">
                  <w:pPr>
                    <w:pStyle w:val="102"/>
                    <w:rPr>
                      <w:b/>
                      <w:bCs/>
                      <w:color w:val="auto"/>
                    </w:rPr>
                  </w:pPr>
                </w:p>
              </w:tc>
              <w:tc>
                <w:tcPr>
                  <w:tcW w:w="848" w:type="pct"/>
                  <w:vMerge w:val="continue"/>
                  <w:vAlign w:val="center"/>
                </w:tcPr>
                <w:p w14:paraId="1AF6DDD1">
                  <w:pPr>
                    <w:pStyle w:val="102"/>
                    <w:rPr>
                      <w:b/>
                      <w:bCs/>
                      <w:color w:val="auto"/>
                    </w:rPr>
                  </w:pPr>
                </w:p>
              </w:tc>
              <w:tc>
                <w:tcPr>
                  <w:tcW w:w="549" w:type="pct"/>
                  <w:vAlign w:val="center"/>
                </w:tcPr>
                <w:p w14:paraId="0BA8542D">
                  <w:pPr>
                    <w:pStyle w:val="102"/>
                    <w:rPr>
                      <w:b/>
                      <w:bCs/>
                      <w:color w:val="auto"/>
                    </w:rPr>
                  </w:pPr>
                  <w:r>
                    <w:rPr>
                      <w:b/>
                      <w:bCs/>
                      <w:color w:val="auto"/>
                    </w:rPr>
                    <w:t>高度（m）</w:t>
                  </w:r>
                </w:p>
              </w:tc>
              <w:tc>
                <w:tcPr>
                  <w:tcW w:w="1041" w:type="pct"/>
                  <w:noWrap/>
                  <w:vAlign w:val="center"/>
                </w:tcPr>
                <w:p w14:paraId="53B1ED21">
                  <w:pPr>
                    <w:pStyle w:val="102"/>
                    <w:rPr>
                      <w:b/>
                      <w:bCs/>
                      <w:color w:val="auto"/>
                    </w:rPr>
                  </w:pPr>
                  <w:r>
                    <w:rPr>
                      <w:b/>
                      <w:bCs/>
                      <w:color w:val="auto"/>
                    </w:rPr>
                    <w:t>有组织排放速率kg/h</w:t>
                  </w:r>
                </w:p>
              </w:tc>
              <w:tc>
                <w:tcPr>
                  <w:tcW w:w="570" w:type="pct"/>
                  <w:vAlign w:val="center"/>
                </w:tcPr>
                <w:p w14:paraId="6BE30053">
                  <w:pPr>
                    <w:pStyle w:val="102"/>
                    <w:rPr>
                      <w:b/>
                      <w:bCs/>
                      <w:color w:val="auto"/>
                    </w:rPr>
                  </w:pPr>
                  <w:r>
                    <w:rPr>
                      <w:b/>
                      <w:bCs/>
                      <w:color w:val="auto"/>
                    </w:rPr>
                    <w:t>高度（m）</w:t>
                  </w:r>
                </w:p>
              </w:tc>
              <w:tc>
                <w:tcPr>
                  <w:tcW w:w="1116" w:type="pct"/>
                  <w:noWrap/>
                  <w:vAlign w:val="center"/>
                </w:tcPr>
                <w:p w14:paraId="7E905B39">
                  <w:pPr>
                    <w:pStyle w:val="102"/>
                    <w:rPr>
                      <w:b/>
                      <w:bCs/>
                      <w:color w:val="auto"/>
                    </w:rPr>
                  </w:pPr>
                  <w:r>
                    <w:rPr>
                      <w:b/>
                      <w:bCs/>
                      <w:color w:val="auto"/>
                    </w:rPr>
                    <w:t>有组织排放速率kg/h</w:t>
                  </w:r>
                </w:p>
              </w:tc>
            </w:tr>
            <w:tr w14:paraId="40307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Align w:val="center"/>
                </w:tcPr>
                <w:p w14:paraId="79872E19">
                  <w:pPr>
                    <w:pStyle w:val="102"/>
                    <w:rPr>
                      <w:color w:val="auto"/>
                    </w:rPr>
                  </w:pPr>
                  <w:r>
                    <w:rPr>
                      <w:color w:val="auto"/>
                    </w:rPr>
                    <w:t>DA001</w:t>
                  </w:r>
                </w:p>
              </w:tc>
              <w:tc>
                <w:tcPr>
                  <w:tcW w:w="848" w:type="pct"/>
                  <w:vAlign w:val="center"/>
                </w:tcPr>
                <w:p w14:paraId="520075F6">
                  <w:pPr>
                    <w:jc w:val="center"/>
                    <w:rPr>
                      <w:color w:val="auto"/>
                    </w:rPr>
                  </w:pPr>
                  <w:r>
                    <w:rPr>
                      <w:color w:val="auto"/>
                    </w:rPr>
                    <w:t>颗粒物</w:t>
                  </w:r>
                </w:p>
              </w:tc>
              <w:tc>
                <w:tcPr>
                  <w:tcW w:w="549" w:type="pct"/>
                  <w:vAlign w:val="center"/>
                </w:tcPr>
                <w:p w14:paraId="76BA391A">
                  <w:pPr>
                    <w:pStyle w:val="102"/>
                    <w:rPr>
                      <w:color w:val="auto"/>
                    </w:rPr>
                  </w:pPr>
                  <w:r>
                    <w:rPr>
                      <w:rFonts w:hint="eastAsia"/>
                      <w:color w:val="auto"/>
                    </w:rPr>
                    <w:t>45</w:t>
                  </w:r>
                </w:p>
              </w:tc>
              <w:tc>
                <w:tcPr>
                  <w:tcW w:w="2227" w:type="dxa"/>
                  <w:vAlign w:val="center"/>
                </w:tcPr>
                <w:p w14:paraId="612D995F">
                  <w:pPr>
                    <w:widowControl/>
                    <w:jc w:val="center"/>
                    <w:textAlignment w:val="center"/>
                    <w:rPr>
                      <w:color w:val="auto"/>
                      <w:szCs w:val="21"/>
                    </w:rPr>
                  </w:pPr>
                  <w:r>
                    <w:rPr>
                      <w:color w:val="auto"/>
                      <w:kern w:val="0"/>
                      <w:szCs w:val="21"/>
                      <w:lang w:bidi="ar"/>
                    </w:rPr>
                    <w:t>0.0063</w:t>
                  </w:r>
                </w:p>
              </w:tc>
              <w:tc>
                <w:tcPr>
                  <w:tcW w:w="570" w:type="pct"/>
                  <w:vMerge w:val="restart"/>
                  <w:noWrap/>
                  <w:vAlign w:val="center"/>
                </w:tcPr>
                <w:p w14:paraId="2D61C654">
                  <w:pPr>
                    <w:pStyle w:val="102"/>
                    <w:rPr>
                      <w:color w:val="auto"/>
                    </w:rPr>
                  </w:pPr>
                  <w:r>
                    <w:rPr>
                      <w:rFonts w:hint="eastAsia"/>
                      <w:color w:val="auto"/>
                    </w:rPr>
                    <w:t>45</w:t>
                  </w:r>
                </w:p>
              </w:tc>
              <w:tc>
                <w:tcPr>
                  <w:tcW w:w="1116" w:type="pct"/>
                  <w:vMerge w:val="restart"/>
                  <w:noWrap/>
                  <w:vAlign w:val="center"/>
                </w:tcPr>
                <w:p w14:paraId="1B023ED0">
                  <w:pPr>
                    <w:widowControl/>
                    <w:jc w:val="center"/>
                    <w:rPr>
                      <w:rFonts w:eastAsia="Microsoft YaHei UI"/>
                      <w:color w:val="auto"/>
                      <w:kern w:val="0"/>
                      <w:sz w:val="22"/>
                      <w:szCs w:val="22"/>
                    </w:rPr>
                  </w:pPr>
                  <w:r>
                    <w:rPr>
                      <w:rFonts w:hint="eastAsia" w:eastAsia="Microsoft YaHei UI"/>
                      <w:color w:val="auto"/>
                      <w:kern w:val="0"/>
                      <w:sz w:val="22"/>
                      <w:szCs w:val="22"/>
                    </w:rPr>
                    <w:t>0.0359</w:t>
                  </w:r>
                </w:p>
              </w:tc>
            </w:tr>
            <w:tr w14:paraId="2C01F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Align w:val="center"/>
                </w:tcPr>
                <w:p w14:paraId="1D72AD5B">
                  <w:pPr>
                    <w:pStyle w:val="102"/>
                    <w:rPr>
                      <w:color w:val="auto"/>
                    </w:rPr>
                  </w:pPr>
                  <w:r>
                    <w:rPr>
                      <w:color w:val="auto"/>
                    </w:rPr>
                    <w:t>DA002</w:t>
                  </w:r>
                </w:p>
              </w:tc>
              <w:tc>
                <w:tcPr>
                  <w:tcW w:w="848" w:type="pct"/>
                  <w:vAlign w:val="center"/>
                </w:tcPr>
                <w:p w14:paraId="53714603">
                  <w:pPr>
                    <w:jc w:val="center"/>
                    <w:rPr>
                      <w:color w:val="auto"/>
                    </w:rPr>
                  </w:pPr>
                  <w:r>
                    <w:rPr>
                      <w:color w:val="auto"/>
                    </w:rPr>
                    <w:t>颗粒物</w:t>
                  </w:r>
                </w:p>
              </w:tc>
              <w:tc>
                <w:tcPr>
                  <w:tcW w:w="549" w:type="pct"/>
                  <w:vAlign w:val="center"/>
                </w:tcPr>
                <w:p w14:paraId="3B97C5A5">
                  <w:pPr>
                    <w:pStyle w:val="102"/>
                    <w:rPr>
                      <w:color w:val="auto"/>
                    </w:rPr>
                  </w:pPr>
                  <w:r>
                    <w:rPr>
                      <w:rFonts w:hint="eastAsia"/>
                      <w:color w:val="auto"/>
                    </w:rPr>
                    <w:t>45</w:t>
                  </w:r>
                </w:p>
              </w:tc>
              <w:tc>
                <w:tcPr>
                  <w:tcW w:w="2227" w:type="dxa"/>
                  <w:vAlign w:val="center"/>
                </w:tcPr>
                <w:p w14:paraId="48861BA4">
                  <w:pPr>
                    <w:widowControl/>
                    <w:jc w:val="center"/>
                    <w:textAlignment w:val="center"/>
                    <w:rPr>
                      <w:color w:val="auto"/>
                      <w:szCs w:val="21"/>
                    </w:rPr>
                  </w:pPr>
                  <w:r>
                    <w:rPr>
                      <w:color w:val="auto"/>
                      <w:kern w:val="0"/>
                      <w:szCs w:val="21"/>
                      <w:lang w:bidi="ar"/>
                    </w:rPr>
                    <w:t>0.0063</w:t>
                  </w:r>
                </w:p>
              </w:tc>
              <w:tc>
                <w:tcPr>
                  <w:tcW w:w="570" w:type="pct"/>
                  <w:vMerge w:val="continue"/>
                  <w:vAlign w:val="center"/>
                </w:tcPr>
                <w:p w14:paraId="5BDF2E1B">
                  <w:pPr>
                    <w:pStyle w:val="102"/>
                    <w:rPr>
                      <w:color w:val="auto"/>
                    </w:rPr>
                  </w:pPr>
                </w:p>
              </w:tc>
              <w:tc>
                <w:tcPr>
                  <w:tcW w:w="1116" w:type="pct"/>
                  <w:vMerge w:val="continue"/>
                  <w:vAlign w:val="center"/>
                </w:tcPr>
                <w:p w14:paraId="1BF89F3F">
                  <w:pPr>
                    <w:pStyle w:val="102"/>
                    <w:rPr>
                      <w:color w:val="auto"/>
                    </w:rPr>
                  </w:pPr>
                </w:p>
              </w:tc>
            </w:tr>
            <w:tr w14:paraId="10D9C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Align w:val="center"/>
                </w:tcPr>
                <w:p w14:paraId="62FE2AF6">
                  <w:pPr>
                    <w:pStyle w:val="102"/>
                    <w:rPr>
                      <w:color w:val="auto"/>
                    </w:rPr>
                  </w:pPr>
                  <w:r>
                    <w:rPr>
                      <w:color w:val="auto"/>
                    </w:rPr>
                    <w:t>DA003</w:t>
                  </w:r>
                </w:p>
              </w:tc>
              <w:tc>
                <w:tcPr>
                  <w:tcW w:w="848" w:type="pct"/>
                  <w:vAlign w:val="center"/>
                </w:tcPr>
                <w:p w14:paraId="4BC2FF93">
                  <w:pPr>
                    <w:jc w:val="center"/>
                    <w:rPr>
                      <w:color w:val="auto"/>
                    </w:rPr>
                  </w:pPr>
                  <w:r>
                    <w:rPr>
                      <w:color w:val="auto"/>
                    </w:rPr>
                    <w:t>颗粒物</w:t>
                  </w:r>
                </w:p>
              </w:tc>
              <w:tc>
                <w:tcPr>
                  <w:tcW w:w="549" w:type="pct"/>
                  <w:vAlign w:val="center"/>
                </w:tcPr>
                <w:p w14:paraId="12D38CF0">
                  <w:pPr>
                    <w:jc w:val="center"/>
                    <w:rPr>
                      <w:color w:val="auto"/>
                    </w:rPr>
                  </w:pPr>
                  <w:r>
                    <w:rPr>
                      <w:rFonts w:hint="eastAsia"/>
                      <w:color w:val="auto"/>
                    </w:rPr>
                    <w:t>45</w:t>
                  </w:r>
                </w:p>
              </w:tc>
              <w:tc>
                <w:tcPr>
                  <w:tcW w:w="1041" w:type="pct"/>
                  <w:vAlign w:val="center"/>
                </w:tcPr>
                <w:p w14:paraId="58D28131">
                  <w:pPr>
                    <w:jc w:val="center"/>
                    <w:rPr>
                      <w:color w:val="auto"/>
                      <w:szCs w:val="21"/>
                    </w:rPr>
                  </w:pPr>
                  <w:r>
                    <w:rPr>
                      <w:color w:val="auto"/>
                      <w:kern w:val="0"/>
                      <w:szCs w:val="21"/>
                      <w:lang w:bidi="ar"/>
                    </w:rPr>
                    <w:t>0.0131</w:t>
                  </w:r>
                </w:p>
              </w:tc>
              <w:tc>
                <w:tcPr>
                  <w:tcW w:w="570" w:type="pct"/>
                  <w:vMerge w:val="continue"/>
                  <w:vAlign w:val="center"/>
                </w:tcPr>
                <w:p w14:paraId="1EB322DF">
                  <w:pPr>
                    <w:pStyle w:val="102"/>
                    <w:rPr>
                      <w:color w:val="auto"/>
                    </w:rPr>
                  </w:pPr>
                </w:p>
              </w:tc>
              <w:tc>
                <w:tcPr>
                  <w:tcW w:w="1116" w:type="pct"/>
                  <w:vMerge w:val="continue"/>
                  <w:vAlign w:val="center"/>
                </w:tcPr>
                <w:p w14:paraId="594D9855">
                  <w:pPr>
                    <w:pStyle w:val="102"/>
                    <w:rPr>
                      <w:color w:val="auto"/>
                    </w:rPr>
                  </w:pPr>
                </w:p>
              </w:tc>
            </w:tr>
            <w:tr w14:paraId="6E1B8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Align w:val="center"/>
                </w:tcPr>
                <w:p w14:paraId="0EC53B8E">
                  <w:pPr>
                    <w:pStyle w:val="102"/>
                    <w:rPr>
                      <w:color w:val="auto"/>
                    </w:rPr>
                  </w:pPr>
                  <w:r>
                    <w:rPr>
                      <w:color w:val="auto"/>
                    </w:rPr>
                    <w:t>DA004</w:t>
                  </w:r>
                </w:p>
              </w:tc>
              <w:tc>
                <w:tcPr>
                  <w:tcW w:w="848" w:type="pct"/>
                  <w:vAlign w:val="center"/>
                </w:tcPr>
                <w:p w14:paraId="3F8A6438">
                  <w:pPr>
                    <w:pStyle w:val="102"/>
                    <w:rPr>
                      <w:color w:val="auto"/>
                    </w:rPr>
                  </w:pPr>
                  <w:r>
                    <w:rPr>
                      <w:color w:val="auto"/>
                    </w:rPr>
                    <w:t>颗粒物</w:t>
                  </w:r>
                </w:p>
              </w:tc>
              <w:tc>
                <w:tcPr>
                  <w:tcW w:w="549" w:type="pct"/>
                  <w:vAlign w:val="center"/>
                </w:tcPr>
                <w:p w14:paraId="3B338393">
                  <w:pPr>
                    <w:jc w:val="center"/>
                    <w:rPr>
                      <w:color w:val="auto"/>
                    </w:rPr>
                  </w:pPr>
                  <w:r>
                    <w:rPr>
                      <w:rFonts w:hint="eastAsia"/>
                      <w:color w:val="auto"/>
                    </w:rPr>
                    <w:t>45</w:t>
                  </w:r>
                </w:p>
              </w:tc>
              <w:tc>
                <w:tcPr>
                  <w:tcW w:w="1041" w:type="pct"/>
                  <w:vAlign w:val="center"/>
                </w:tcPr>
                <w:p w14:paraId="424B5FF7">
                  <w:pPr>
                    <w:jc w:val="center"/>
                    <w:rPr>
                      <w:color w:val="auto"/>
                      <w:szCs w:val="21"/>
                    </w:rPr>
                  </w:pPr>
                  <w:r>
                    <w:rPr>
                      <w:color w:val="auto"/>
                      <w:kern w:val="0"/>
                      <w:szCs w:val="21"/>
                      <w:lang w:bidi="ar"/>
                    </w:rPr>
                    <w:t>0.0083</w:t>
                  </w:r>
                </w:p>
              </w:tc>
              <w:tc>
                <w:tcPr>
                  <w:tcW w:w="570" w:type="pct"/>
                  <w:vMerge w:val="continue"/>
                  <w:vAlign w:val="center"/>
                </w:tcPr>
                <w:p w14:paraId="60AD5E18">
                  <w:pPr>
                    <w:pStyle w:val="102"/>
                    <w:rPr>
                      <w:color w:val="auto"/>
                    </w:rPr>
                  </w:pPr>
                </w:p>
              </w:tc>
              <w:tc>
                <w:tcPr>
                  <w:tcW w:w="1116" w:type="pct"/>
                  <w:vMerge w:val="continue"/>
                  <w:vAlign w:val="center"/>
                </w:tcPr>
                <w:p w14:paraId="75FFB6FA">
                  <w:pPr>
                    <w:pStyle w:val="102"/>
                    <w:rPr>
                      <w:color w:val="auto"/>
                    </w:rPr>
                  </w:pPr>
                </w:p>
              </w:tc>
            </w:tr>
            <w:tr w14:paraId="2C31E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Align w:val="center"/>
                </w:tcPr>
                <w:p w14:paraId="3081D7C3">
                  <w:pPr>
                    <w:pStyle w:val="102"/>
                    <w:rPr>
                      <w:color w:val="auto"/>
                    </w:rPr>
                  </w:pPr>
                  <w:r>
                    <w:rPr>
                      <w:color w:val="auto"/>
                    </w:rPr>
                    <w:t>DA005</w:t>
                  </w:r>
                </w:p>
              </w:tc>
              <w:tc>
                <w:tcPr>
                  <w:tcW w:w="848" w:type="pct"/>
                  <w:vAlign w:val="center"/>
                </w:tcPr>
                <w:p w14:paraId="003F20CC">
                  <w:pPr>
                    <w:pStyle w:val="102"/>
                    <w:rPr>
                      <w:color w:val="auto"/>
                    </w:rPr>
                  </w:pPr>
                  <w:r>
                    <w:rPr>
                      <w:color w:val="auto"/>
                    </w:rPr>
                    <w:t>颗粒物</w:t>
                  </w:r>
                </w:p>
              </w:tc>
              <w:tc>
                <w:tcPr>
                  <w:tcW w:w="549" w:type="pct"/>
                  <w:vAlign w:val="center"/>
                </w:tcPr>
                <w:p w14:paraId="10D9D421">
                  <w:pPr>
                    <w:jc w:val="center"/>
                    <w:rPr>
                      <w:color w:val="auto"/>
                    </w:rPr>
                  </w:pPr>
                  <w:r>
                    <w:rPr>
                      <w:rFonts w:hint="eastAsia"/>
                      <w:color w:val="auto"/>
                    </w:rPr>
                    <w:t>45</w:t>
                  </w:r>
                </w:p>
              </w:tc>
              <w:tc>
                <w:tcPr>
                  <w:tcW w:w="1041" w:type="pct"/>
                  <w:vAlign w:val="center"/>
                </w:tcPr>
                <w:p w14:paraId="0FABBB4D">
                  <w:pPr>
                    <w:jc w:val="center"/>
                    <w:rPr>
                      <w:color w:val="auto"/>
                      <w:szCs w:val="21"/>
                    </w:rPr>
                  </w:pPr>
                  <w:r>
                    <w:rPr>
                      <w:color w:val="auto"/>
                      <w:kern w:val="0"/>
                      <w:szCs w:val="21"/>
                      <w:lang w:bidi="ar"/>
                    </w:rPr>
                    <w:t>0.0016</w:t>
                  </w:r>
                </w:p>
              </w:tc>
              <w:tc>
                <w:tcPr>
                  <w:tcW w:w="570" w:type="pct"/>
                  <w:vMerge w:val="continue"/>
                  <w:vAlign w:val="center"/>
                </w:tcPr>
                <w:p w14:paraId="4A3D3B7D">
                  <w:pPr>
                    <w:pStyle w:val="102"/>
                    <w:rPr>
                      <w:color w:val="auto"/>
                    </w:rPr>
                  </w:pPr>
                </w:p>
              </w:tc>
              <w:tc>
                <w:tcPr>
                  <w:tcW w:w="1116" w:type="pct"/>
                  <w:vMerge w:val="continue"/>
                  <w:vAlign w:val="center"/>
                </w:tcPr>
                <w:p w14:paraId="2A20177D">
                  <w:pPr>
                    <w:pStyle w:val="102"/>
                    <w:rPr>
                      <w:color w:val="auto"/>
                    </w:rPr>
                  </w:pPr>
                </w:p>
              </w:tc>
            </w:tr>
            <w:tr w14:paraId="4F3F2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874" w:type="pct"/>
                  <w:vAlign w:val="center"/>
                </w:tcPr>
                <w:p w14:paraId="10FA8E86">
                  <w:pPr>
                    <w:pStyle w:val="102"/>
                    <w:rPr>
                      <w:color w:val="auto"/>
                    </w:rPr>
                  </w:pPr>
                  <w:r>
                    <w:rPr>
                      <w:color w:val="auto"/>
                    </w:rPr>
                    <w:t>DA006</w:t>
                  </w:r>
                </w:p>
              </w:tc>
              <w:tc>
                <w:tcPr>
                  <w:tcW w:w="848" w:type="pct"/>
                  <w:vAlign w:val="center"/>
                </w:tcPr>
                <w:p w14:paraId="773A5B61">
                  <w:pPr>
                    <w:pStyle w:val="102"/>
                    <w:rPr>
                      <w:color w:val="auto"/>
                    </w:rPr>
                  </w:pPr>
                  <w:r>
                    <w:rPr>
                      <w:color w:val="auto"/>
                    </w:rPr>
                    <w:t>颗粒物</w:t>
                  </w:r>
                </w:p>
              </w:tc>
              <w:tc>
                <w:tcPr>
                  <w:tcW w:w="549" w:type="pct"/>
                  <w:vAlign w:val="center"/>
                </w:tcPr>
                <w:p w14:paraId="14D09AFE">
                  <w:pPr>
                    <w:jc w:val="center"/>
                    <w:rPr>
                      <w:color w:val="auto"/>
                    </w:rPr>
                  </w:pPr>
                  <w:r>
                    <w:rPr>
                      <w:rFonts w:hint="eastAsia"/>
                      <w:color w:val="auto"/>
                    </w:rPr>
                    <w:t>45</w:t>
                  </w:r>
                </w:p>
              </w:tc>
              <w:tc>
                <w:tcPr>
                  <w:tcW w:w="1041" w:type="pct"/>
                  <w:vAlign w:val="center"/>
                </w:tcPr>
                <w:p w14:paraId="21D6B467">
                  <w:pPr>
                    <w:jc w:val="center"/>
                    <w:rPr>
                      <w:color w:val="auto"/>
                      <w:szCs w:val="21"/>
                    </w:rPr>
                  </w:pPr>
                  <w:r>
                    <w:rPr>
                      <w:color w:val="auto"/>
                      <w:kern w:val="0"/>
                      <w:szCs w:val="21"/>
                      <w:lang w:bidi="ar"/>
                    </w:rPr>
                    <w:t>0.0003</w:t>
                  </w:r>
                </w:p>
              </w:tc>
              <w:tc>
                <w:tcPr>
                  <w:tcW w:w="570" w:type="pct"/>
                  <w:vMerge w:val="continue"/>
                  <w:vAlign w:val="center"/>
                </w:tcPr>
                <w:p w14:paraId="44D39AC0">
                  <w:pPr>
                    <w:pStyle w:val="102"/>
                    <w:rPr>
                      <w:color w:val="auto"/>
                    </w:rPr>
                  </w:pPr>
                </w:p>
              </w:tc>
              <w:tc>
                <w:tcPr>
                  <w:tcW w:w="1116" w:type="pct"/>
                  <w:vMerge w:val="continue"/>
                  <w:vAlign w:val="center"/>
                </w:tcPr>
                <w:p w14:paraId="04E48E99">
                  <w:pPr>
                    <w:pStyle w:val="102"/>
                    <w:rPr>
                      <w:color w:val="auto"/>
                    </w:rPr>
                  </w:pPr>
                </w:p>
              </w:tc>
            </w:tr>
          </w:tbl>
          <w:p w14:paraId="446FCBCE">
            <w:pPr>
              <w:pStyle w:val="43"/>
              <w:jc w:val="left"/>
              <w:rPr>
                <w:color w:val="auto"/>
              </w:rPr>
            </w:pPr>
            <w:r>
              <w:rPr>
                <w:color w:val="auto"/>
              </w:rPr>
              <w:t>根据上表，项目等效排气筒颗粒物排放速率满足广东省《大气污染物排放限值》(DB44/27-2001)中第二时段二级标准50%要求（即</w:t>
            </w:r>
            <w:r>
              <w:rPr>
                <w:rFonts w:hint="eastAsia"/>
                <w:color w:val="auto"/>
              </w:rPr>
              <w:t>45</w:t>
            </w:r>
            <w:r>
              <w:rPr>
                <w:color w:val="auto"/>
              </w:rPr>
              <w:t>m排气筒≤</w:t>
            </w:r>
            <w:r>
              <w:rPr>
                <w:rFonts w:hint="eastAsia"/>
                <w:color w:val="auto"/>
              </w:rPr>
              <w:t>19.25</w:t>
            </w:r>
            <w:r>
              <w:rPr>
                <w:color w:val="auto"/>
              </w:rPr>
              <w:t>kg/h）。</w:t>
            </w:r>
          </w:p>
          <w:p w14:paraId="0FEA8371">
            <w:pPr>
              <w:adjustRightInd w:val="0"/>
              <w:snapToGrid w:val="0"/>
              <w:spacing w:line="360" w:lineRule="auto"/>
              <w:ind w:firstLine="482" w:firstLineChars="200"/>
              <w:jc w:val="left"/>
              <w:rPr>
                <w:b/>
                <w:bCs/>
                <w:color w:val="auto"/>
                <w:sz w:val="24"/>
              </w:rPr>
            </w:pPr>
            <w:r>
              <w:rPr>
                <w:rFonts w:hint="eastAsia"/>
                <w:b/>
                <w:bCs/>
                <w:color w:val="auto"/>
                <w:sz w:val="24"/>
              </w:rPr>
              <w:t>（2）卫生防护距离</w:t>
            </w:r>
          </w:p>
          <w:p w14:paraId="32C14537">
            <w:pPr>
              <w:adjustRightInd w:val="0"/>
              <w:snapToGrid w:val="0"/>
              <w:spacing w:line="312" w:lineRule="auto"/>
              <w:ind w:firstLine="482" w:firstLineChars="200"/>
              <w:rPr>
                <w:b/>
                <w:color w:val="auto"/>
                <w:sz w:val="24"/>
              </w:rPr>
            </w:pPr>
            <w:r>
              <w:rPr>
                <w:rFonts w:hint="eastAsia"/>
                <w:b/>
                <w:color w:val="auto"/>
                <w:sz w:val="24"/>
              </w:rPr>
              <w:t>1）等标排放量</w:t>
            </w:r>
            <w:r>
              <w:rPr>
                <w:b/>
                <w:color w:val="auto"/>
                <w:sz w:val="24"/>
              </w:rPr>
              <w:t>计算</w:t>
            </w:r>
          </w:p>
          <w:p w14:paraId="3B892D8A">
            <w:pPr>
              <w:pStyle w:val="43"/>
              <w:jc w:val="left"/>
              <w:rPr>
                <w:color w:val="auto"/>
              </w:rPr>
            </w:pPr>
            <w:r>
              <w:rPr>
                <w:rFonts w:hint="eastAsia"/>
                <w:color w:val="auto"/>
              </w:rPr>
              <w:t>根据《大气有害物质无组织排放卫生防护距离推导技术导则》（</w:t>
            </w:r>
            <w:r>
              <w:rPr>
                <w:color w:val="auto"/>
              </w:rPr>
              <w:t>GB/T39499-2020</w:t>
            </w:r>
            <w:r>
              <w:rPr>
                <w:rFonts w:hint="eastAsia"/>
                <w:color w:val="auto"/>
              </w:rPr>
              <w:t xml:space="preserve">），为了防控通过无组织排放的大气污染物的健康危害，产生大气有害物质的生产单元（生产车间或作业场所）的边界至敏感区边界的最小距离。 </w:t>
            </w:r>
          </w:p>
          <w:p w14:paraId="18A4E9D1">
            <w:pPr>
              <w:pStyle w:val="43"/>
              <w:jc w:val="left"/>
              <w:rPr>
                <w:color w:val="auto"/>
              </w:rPr>
            </w:pPr>
            <w:r>
              <w:rPr>
                <w:color w:val="auto"/>
              </w:rPr>
              <w:t>根据项目废气排放情况可知，项目废气无组织排放污染物为颗粒物、</w:t>
            </w:r>
            <w:r>
              <w:rPr>
                <w:rFonts w:hint="eastAsia"/>
                <w:color w:val="auto"/>
              </w:rPr>
              <w:t>TVOC、</w:t>
            </w:r>
            <w:r>
              <w:rPr>
                <w:color w:val="auto"/>
              </w:rPr>
              <w:t>非甲烷总烃，其无组织排放量和等标排放量如下：</w:t>
            </w:r>
          </w:p>
          <w:p w14:paraId="09AAB2DF">
            <w:pPr>
              <w:pStyle w:val="77"/>
              <w:numPr>
                <w:ilvl w:val="0"/>
                <w:numId w:val="18"/>
              </w:numPr>
              <w:adjustRightInd w:val="0"/>
              <w:snapToGrid w:val="0"/>
              <w:jc w:val="center"/>
              <w:rPr>
                <w:b/>
                <w:bCs/>
                <w:color w:val="auto"/>
                <w:szCs w:val="21"/>
              </w:rPr>
            </w:pPr>
            <w:r>
              <w:rPr>
                <w:rFonts w:hint="eastAsia"/>
                <w:b/>
                <w:bCs/>
                <w:color w:val="auto"/>
                <w:szCs w:val="21"/>
              </w:rPr>
              <w:t xml:space="preserve"> 项目无组织排放量和等标排放量情况表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899"/>
              <w:gridCol w:w="794"/>
              <w:gridCol w:w="794"/>
              <w:gridCol w:w="899"/>
              <w:gridCol w:w="794"/>
              <w:gridCol w:w="899"/>
              <w:gridCol w:w="794"/>
              <w:gridCol w:w="794"/>
              <w:gridCol w:w="846"/>
              <w:gridCol w:w="794"/>
              <w:gridCol w:w="794"/>
              <w:gridCol w:w="794"/>
            </w:tblGrid>
            <w:tr w14:paraId="7031B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749CD479">
                  <w:pPr>
                    <w:pStyle w:val="102"/>
                    <w:rPr>
                      <w:b/>
                      <w:bCs/>
                      <w:color w:val="auto"/>
                    </w:rPr>
                  </w:pPr>
                  <w:r>
                    <w:rPr>
                      <w:rFonts w:hint="eastAsia"/>
                      <w:b/>
                      <w:bCs/>
                      <w:color w:val="auto"/>
                    </w:rPr>
                    <w:t>面源</w:t>
                  </w:r>
                </w:p>
              </w:tc>
              <w:tc>
                <w:tcPr>
                  <w:tcW w:w="1577" w:type="pct"/>
                  <w:gridSpan w:val="4"/>
                  <w:vAlign w:val="center"/>
                </w:tcPr>
                <w:p w14:paraId="3F902064">
                  <w:pPr>
                    <w:pStyle w:val="102"/>
                    <w:rPr>
                      <w:color w:val="auto"/>
                    </w:rPr>
                  </w:pPr>
                  <w:r>
                    <w:rPr>
                      <w:rFonts w:hint="eastAsia"/>
                      <w:color w:val="auto"/>
                    </w:rPr>
                    <w:t>四楼</w:t>
                  </w:r>
                </w:p>
              </w:tc>
              <w:tc>
                <w:tcPr>
                  <w:tcW w:w="1528" w:type="pct"/>
                  <w:gridSpan w:val="4"/>
                  <w:vAlign w:val="center"/>
                </w:tcPr>
                <w:p w14:paraId="17376EAD">
                  <w:pPr>
                    <w:pStyle w:val="102"/>
                    <w:rPr>
                      <w:color w:val="auto"/>
                    </w:rPr>
                  </w:pPr>
                  <w:r>
                    <w:rPr>
                      <w:rFonts w:hint="eastAsia"/>
                      <w:color w:val="auto"/>
                    </w:rPr>
                    <w:t>五楼</w:t>
                  </w:r>
                </w:p>
              </w:tc>
              <w:tc>
                <w:tcPr>
                  <w:tcW w:w="1383" w:type="pct"/>
                  <w:gridSpan w:val="4"/>
                  <w:vAlign w:val="center"/>
                </w:tcPr>
                <w:p w14:paraId="449DAE3A">
                  <w:pPr>
                    <w:pStyle w:val="102"/>
                    <w:rPr>
                      <w:color w:val="auto"/>
                    </w:rPr>
                  </w:pPr>
                  <w:r>
                    <w:rPr>
                      <w:rFonts w:hint="eastAsia"/>
                      <w:color w:val="auto"/>
                    </w:rPr>
                    <w:t>六楼</w:t>
                  </w:r>
                </w:p>
              </w:tc>
            </w:tr>
            <w:tr w14:paraId="36D24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3E35CE2A">
                  <w:pPr>
                    <w:pStyle w:val="102"/>
                    <w:rPr>
                      <w:b/>
                      <w:bCs/>
                      <w:color w:val="auto"/>
                    </w:rPr>
                  </w:pPr>
                  <w:r>
                    <w:rPr>
                      <w:rFonts w:hint="eastAsia"/>
                      <w:b/>
                      <w:bCs/>
                      <w:color w:val="auto"/>
                    </w:rPr>
                    <w:t>污染物</w:t>
                  </w:r>
                </w:p>
              </w:tc>
              <w:tc>
                <w:tcPr>
                  <w:tcW w:w="418" w:type="pct"/>
                  <w:vAlign w:val="center"/>
                </w:tcPr>
                <w:p w14:paraId="3132F3E8">
                  <w:pPr>
                    <w:pStyle w:val="102"/>
                    <w:rPr>
                      <w:color w:val="auto"/>
                    </w:rPr>
                  </w:pPr>
                  <w:r>
                    <w:rPr>
                      <w:rFonts w:hint="eastAsia"/>
                      <w:color w:val="auto"/>
                    </w:rPr>
                    <w:t>TSP</w:t>
                  </w:r>
                </w:p>
              </w:tc>
              <w:tc>
                <w:tcPr>
                  <w:tcW w:w="369" w:type="pct"/>
                  <w:vAlign w:val="center"/>
                </w:tcPr>
                <w:p w14:paraId="0AC3CC2C">
                  <w:pPr>
                    <w:pStyle w:val="102"/>
                    <w:rPr>
                      <w:color w:val="auto"/>
                    </w:rPr>
                  </w:pPr>
                  <w:r>
                    <w:rPr>
                      <w:rFonts w:hint="eastAsia"/>
                      <w:color w:val="auto"/>
                    </w:rPr>
                    <w:t>TVOC</w:t>
                  </w:r>
                </w:p>
              </w:tc>
              <w:tc>
                <w:tcPr>
                  <w:tcW w:w="369" w:type="pct"/>
                  <w:vAlign w:val="center"/>
                </w:tcPr>
                <w:p w14:paraId="147C7301">
                  <w:pPr>
                    <w:pStyle w:val="102"/>
                    <w:rPr>
                      <w:color w:val="auto"/>
                      <w:vertAlign w:val="subscript"/>
                    </w:rPr>
                  </w:pPr>
                  <w:r>
                    <w:rPr>
                      <w:rFonts w:hint="eastAsia"/>
                      <w:color w:val="auto"/>
                    </w:rPr>
                    <w:t>NOx</w:t>
                  </w:r>
                </w:p>
              </w:tc>
              <w:tc>
                <w:tcPr>
                  <w:tcW w:w="419" w:type="pct"/>
                  <w:vAlign w:val="center"/>
                </w:tcPr>
                <w:p w14:paraId="055497A0">
                  <w:pPr>
                    <w:pStyle w:val="102"/>
                    <w:rPr>
                      <w:color w:val="auto"/>
                    </w:rPr>
                  </w:pPr>
                  <w:r>
                    <w:rPr>
                      <w:rFonts w:hint="eastAsia"/>
                      <w:color w:val="auto"/>
                    </w:rPr>
                    <w:t>SO</w:t>
                  </w:r>
                  <w:r>
                    <w:rPr>
                      <w:rFonts w:hint="eastAsia"/>
                      <w:color w:val="auto"/>
                      <w:vertAlign w:val="subscript"/>
                    </w:rPr>
                    <w:t>2</w:t>
                  </w:r>
                </w:p>
              </w:tc>
              <w:tc>
                <w:tcPr>
                  <w:tcW w:w="369" w:type="pct"/>
                  <w:vAlign w:val="center"/>
                </w:tcPr>
                <w:p w14:paraId="194999B0">
                  <w:pPr>
                    <w:pStyle w:val="102"/>
                    <w:rPr>
                      <w:color w:val="auto"/>
                    </w:rPr>
                  </w:pPr>
                  <w:r>
                    <w:rPr>
                      <w:rFonts w:hint="eastAsia"/>
                      <w:color w:val="auto"/>
                    </w:rPr>
                    <w:t>TSP</w:t>
                  </w:r>
                </w:p>
              </w:tc>
              <w:tc>
                <w:tcPr>
                  <w:tcW w:w="418" w:type="pct"/>
                  <w:vAlign w:val="center"/>
                </w:tcPr>
                <w:p w14:paraId="3799B022">
                  <w:pPr>
                    <w:pStyle w:val="102"/>
                    <w:rPr>
                      <w:color w:val="auto"/>
                    </w:rPr>
                  </w:pPr>
                  <w:r>
                    <w:rPr>
                      <w:rFonts w:hint="eastAsia"/>
                      <w:color w:val="auto"/>
                    </w:rPr>
                    <w:t>TVOC</w:t>
                  </w:r>
                </w:p>
              </w:tc>
              <w:tc>
                <w:tcPr>
                  <w:tcW w:w="369" w:type="pct"/>
                  <w:vAlign w:val="center"/>
                </w:tcPr>
                <w:p w14:paraId="1E06CEDD">
                  <w:pPr>
                    <w:pStyle w:val="102"/>
                    <w:rPr>
                      <w:color w:val="auto"/>
                    </w:rPr>
                  </w:pPr>
                  <w:r>
                    <w:rPr>
                      <w:rFonts w:hint="eastAsia"/>
                      <w:color w:val="auto"/>
                    </w:rPr>
                    <w:t>NOx</w:t>
                  </w:r>
                </w:p>
              </w:tc>
              <w:tc>
                <w:tcPr>
                  <w:tcW w:w="370" w:type="pct"/>
                  <w:vAlign w:val="center"/>
                </w:tcPr>
                <w:p w14:paraId="063AA4D8">
                  <w:pPr>
                    <w:pStyle w:val="102"/>
                    <w:rPr>
                      <w:color w:val="auto"/>
                    </w:rPr>
                  </w:pPr>
                  <w:r>
                    <w:rPr>
                      <w:rFonts w:hint="eastAsia"/>
                      <w:color w:val="auto"/>
                    </w:rPr>
                    <w:t>SO</w:t>
                  </w:r>
                  <w:r>
                    <w:rPr>
                      <w:rFonts w:hint="eastAsia"/>
                      <w:color w:val="auto"/>
                      <w:vertAlign w:val="subscript"/>
                    </w:rPr>
                    <w:t>2</w:t>
                  </w:r>
                </w:p>
              </w:tc>
              <w:tc>
                <w:tcPr>
                  <w:tcW w:w="272" w:type="pct"/>
                  <w:vAlign w:val="center"/>
                </w:tcPr>
                <w:p w14:paraId="12D29A8F">
                  <w:pPr>
                    <w:pStyle w:val="102"/>
                    <w:rPr>
                      <w:color w:val="auto"/>
                    </w:rPr>
                  </w:pPr>
                  <w:r>
                    <w:rPr>
                      <w:rFonts w:hint="eastAsia"/>
                      <w:color w:val="auto"/>
                    </w:rPr>
                    <w:t>硫酸雾</w:t>
                  </w:r>
                </w:p>
              </w:tc>
              <w:tc>
                <w:tcPr>
                  <w:tcW w:w="369" w:type="pct"/>
                  <w:vAlign w:val="center"/>
                </w:tcPr>
                <w:p w14:paraId="34801A3F">
                  <w:pPr>
                    <w:pStyle w:val="102"/>
                    <w:rPr>
                      <w:color w:val="auto"/>
                    </w:rPr>
                  </w:pPr>
                  <w:r>
                    <w:rPr>
                      <w:rFonts w:hint="eastAsia"/>
                      <w:color w:val="auto"/>
                    </w:rPr>
                    <w:t>TSP</w:t>
                  </w:r>
                </w:p>
              </w:tc>
              <w:tc>
                <w:tcPr>
                  <w:tcW w:w="369" w:type="pct"/>
                  <w:vAlign w:val="center"/>
                </w:tcPr>
                <w:p w14:paraId="317BA281">
                  <w:pPr>
                    <w:pStyle w:val="102"/>
                    <w:rPr>
                      <w:color w:val="auto"/>
                    </w:rPr>
                  </w:pPr>
                  <w:r>
                    <w:rPr>
                      <w:rFonts w:hint="eastAsia"/>
                      <w:color w:val="auto"/>
                    </w:rPr>
                    <w:t>NOx</w:t>
                  </w:r>
                </w:p>
              </w:tc>
              <w:tc>
                <w:tcPr>
                  <w:tcW w:w="371" w:type="pct"/>
                  <w:vAlign w:val="center"/>
                </w:tcPr>
                <w:p w14:paraId="6F15EA81">
                  <w:pPr>
                    <w:pStyle w:val="102"/>
                    <w:rPr>
                      <w:color w:val="auto"/>
                    </w:rPr>
                  </w:pPr>
                  <w:r>
                    <w:rPr>
                      <w:rFonts w:hint="eastAsia"/>
                      <w:color w:val="auto"/>
                    </w:rPr>
                    <w:t>SO</w:t>
                  </w:r>
                  <w:r>
                    <w:rPr>
                      <w:rFonts w:hint="eastAsia"/>
                      <w:color w:val="auto"/>
                      <w:vertAlign w:val="subscript"/>
                    </w:rPr>
                    <w:t>2</w:t>
                  </w:r>
                </w:p>
              </w:tc>
            </w:tr>
            <w:tr w14:paraId="75077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3C019457">
                  <w:pPr>
                    <w:pStyle w:val="102"/>
                    <w:rPr>
                      <w:b/>
                      <w:bCs/>
                      <w:color w:val="auto"/>
                    </w:rPr>
                  </w:pPr>
                  <w:r>
                    <w:rPr>
                      <w:rFonts w:hint="eastAsia"/>
                      <w:b/>
                      <w:bCs/>
                      <w:color w:val="auto"/>
                    </w:rPr>
                    <w:t>无组织排放速率kg/h</w:t>
                  </w:r>
                </w:p>
              </w:tc>
              <w:tc>
                <w:tcPr>
                  <w:tcW w:w="418" w:type="pct"/>
                  <w:vAlign w:val="center"/>
                </w:tcPr>
                <w:p w14:paraId="23A4A546">
                  <w:pPr>
                    <w:pStyle w:val="102"/>
                    <w:rPr>
                      <w:color w:val="auto"/>
                    </w:rPr>
                  </w:pPr>
                  <w:r>
                    <w:rPr>
                      <w:color w:val="auto"/>
                      <w:kern w:val="0"/>
                      <w:lang w:bidi="ar"/>
                    </w:rPr>
                    <w:t>0.26454</w:t>
                  </w:r>
                </w:p>
              </w:tc>
              <w:tc>
                <w:tcPr>
                  <w:tcW w:w="369" w:type="pct"/>
                  <w:vAlign w:val="center"/>
                </w:tcPr>
                <w:p w14:paraId="7E6535D5">
                  <w:pPr>
                    <w:pStyle w:val="102"/>
                    <w:rPr>
                      <w:color w:val="auto"/>
                    </w:rPr>
                  </w:pPr>
                  <w:r>
                    <w:rPr>
                      <w:rFonts w:hint="eastAsia"/>
                      <w:color w:val="auto"/>
                    </w:rPr>
                    <w:t>0.0189</w:t>
                  </w:r>
                </w:p>
              </w:tc>
              <w:tc>
                <w:tcPr>
                  <w:tcW w:w="369" w:type="pct"/>
                  <w:vAlign w:val="center"/>
                </w:tcPr>
                <w:p w14:paraId="0BCF308E">
                  <w:pPr>
                    <w:pStyle w:val="102"/>
                    <w:rPr>
                      <w:color w:val="auto"/>
                    </w:rPr>
                  </w:pPr>
                  <w:r>
                    <w:rPr>
                      <w:rFonts w:hint="eastAsia"/>
                      <w:color w:val="auto"/>
                    </w:rPr>
                    <w:t>0.0001</w:t>
                  </w:r>
                </w:p>
              </w:tc>
              <w:tc>
                <w:tcPr>
                  <w:tcW w:w="419" w:type="pct"/>
                  <w:vAlign w:val="center"/>
                </w:tcPr>
                <w:p w14:paraId="26867AF3">
                  <w:pPr>
                    <w:pStyle w:val="102"/>
                    <w:rPr>
                      <w:color w:val="auto"/>
                    </w:rPr>
                  </w:pPr>
                  <w:r>
                    <w:rPr>
                      <w:rFonts w:hint="eastAsia"/>
                      <w:color w:val="auto"/>
                    </w:rPr>
                    <w:t>0.00002</w:t>
                  </w:r>
                </w:p>
              </w:tc>
              <w:tc>
                <w:tcPr>
                  <w:tcW w:w="369" w:type="pct"/>
                  <w:vAlign w:val="center"/>
                </w:tcPr>
                <w:p w14:paraId="10277B12">
                  <w:pPr>
                    <w:pStyle w:val="102"/>
                    <w:rPr>
                      <w:color w:val="auto"/>
                    </w:rPr>
                  </w:pPr>
                  <w:r>
                    <w:rPr>
                      <w:rFonts w:hint="eastAsia"/>
                      <w:color w:val="auto"/>
                    </w:rPr>
                    <w:t>0.0012</w:t>
                  </w:r>
                </w:p>
              </w:tc>
              <w:tc>
                <w:tcPr>
                  <w:tcW w:w="418" w:type="pct"/>
                  <w:vAlign w:val="center"/>
                </w:tcPr>
                <w:p w14:paraId="55A91D42">
                  <w:pPr>
                    <w:pStyle w:val="102"/>
                    <w:rPr>
                      <w:color w:val="auto"/>
                    </w:rPr>
                  </w:pPr>
                  <w:r>
                    <w:rPr>
                      <w:rFonts w:hint="eastAsia"/>
                      <w:color w:val="auto"/>
                    </w:rPr>
                    <w:t>0.00224</w:t>
                  </w:r>
                </w:p>
              </w:tc>
              <w:tc>
                <w:tcPr>
                  <w:tcW w:w="369" w:type="pct"/>
                  <w:vAlign w:val="center"/>
                </w:tcPr>
                <w:p w14:paraId="53D43DE6">
                  <w:pPr>
                    <w:pStyle w:val="102"/>
                    <w:rPr>
                      <w:color w:val="auto"/>
                    </w:rPr>
                  </w:pPr>
                  <w:r>
                    <w:rPr>
                      <w:rFonts w:hint="eastAsia"/>
                      <w:color w:val="auto"/>
                    </w:rPr>
                    <w:t>0.0039</w:t>
                  </w:r>
                </w:p>
              </w:tc>
              <w:tc>
                <w:tcPr>
                  <w:tcW w:w="370" w:type="pct"/>
                  <w:vAlign w:val="center"/>
                </w:tcPr>
                <w:p w14:paraId="105780FE">
                  <w:pPr>
                    <w:pStyle w:val="102"/>
                    <w:rPr>
                      <w:color w:val="auto"/>
                    </w:rPr>
                  </w:pPr>
                  <w:r>
                    <w:rPr>
                      <w:rFonts w:hint="eastAsia"/>
                      <w:color w:val="auto"/>
                    </w:rPr>
                    <w:t>0.0009</w:t>
                  </w:r>
                </w:p>
              </w:tc>
              <w:tc>
                <w:tcPr>
                  <w:tcW w:w="272" w:type="pct"/>
                  <w:vAlign w:val="center"/>
                </w:tcPr>
                <w:p w14:paraId="07FC3AFC">
                  <w:pPr>
                    <w:pStyle w:val="102"/>
                    <w:rPr>
                      <w:color w:val="auto"/>
                    </w:rPr>
                  </w:pPr>
                  <w:r>
                    <w:rPr>
                      <w:rFonts w:hint="eastAsia"/>
                      <w:color w:val="auto"/>
                    </w:rPr>
                    <w:t>0.17</w:t>
                  </w:r>
                </w:p>
              </w:tc>
              <w:tc>
                <w:tcPr>
                  <w:tcW w:w="369" w:type="pct"/>
                  <w:vAlign w:val="center"/>
                </w:tcPr>
                <w:p w14:paraId="726F9D8D">
                  <w:pPr>
                    <w:pStyle w:val="102"/>
                    <w:rPr>
                      <w:color w:val="auto"/>
                    </w:rPr>
                  </w:pPr>
                  <w:r>
                    <w:rPr>
                      <w:rFonts w:hint="eastAsia"/>
                      <w:color w:val="auto"/>
                    </w:rPr>
                    <w:t>0.0001</w:t>
                  </w:r>
                </w:p>
              </w:tc>
              <w:tc>
                <w:tcPr>
                  <w:tcW w:w="369" w:type="pct"/>
                  <w:vAlign w:val="center"/>
                </w:tcPr>
                <w:p w14:paraId="3EFC196B">
                  <w:pPr>
                    <w:pStyle w:val="102"/>
                    <w:rPr>
                      <w:color w:val="auto"/>
                    </w:rPr>
                  </w:pPr>
                  <w:r>
                    <w:rPr>
                      <w:rFonts w:hint="eastAsia"/>
                      <w:color w:val="auto"/>
                    </w:rPr>
                    <w:t>0.0003</w:t>
                  </w:r>
                </w:p>
              </w:tc>
              <w:tc>
                <w:tcPr>
                  <w:tcW w:w="371" w:type="pct"/>
                  <w:vAlign w:val="center"/>
                </w:tcPr>
                <w:p w14:paraId="6867E6A0">
                  <w:pPr>
                    <w:pStyle w:val="102"/>
                    <w:rPr>
                      <w:color w:val="auto"/>
                    </w:rPr>
                  </w:pPr>
                  <w:r>
                    <w:rPr>
                      <w:rFonts w:hint="eastAsia"/>
                      <w:color w:val="auto"/>
                    </w:rPr>
                    <w:t>0.0001</w:t>
                  </w:r>
                </w:p>
              </w:tc>
            </w:tr>
            <w:tr w14:paraId="2FD40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396B19B4">
                  <w:pPr>
                    <w:pStyle w:val="102"/>
                    <w:rPr>
                      <w:b/>
                      <w:bCs/>
                      <w:color w:val="auto"/>
                    </w:rPr>
                  </w:pPr>
                  <w:r>
                    <w:rPr>
                      <w:rFonts w:hint="eastAsia"/>
                      <w:b/>
                      <w:bCs/>
                      <w:color w:val="auto"/>
                    </w:rPr>
                    <w:t>质量标准mg/m</w:t>
                  </w:r>
                  <w:r>
                    <w:rPr>
                      <w:rFonts w:hint="eastAsia"/>
                      <w:b/>
                      <w:bCs/>
                      <w:color w:val="auto"/>
                      <w:vertAlign w:val="superscript"/>
                    </w:rPr>
                    <w:t>3</w:t>
                  </w:r>
                </w:p>
              </w:tc>
              <w:tc>
                <w:tcPr>
                  <w:tcW w:w="418" w:type="pct"/>
                  <w:vAlign w:val="center"/>
                </w:tcPr>
                <w:p w14:paraId="5CC5D3FF">
                  <w:pPr>
                    <w:pStyle w:val="102"/>
                    <w:rPr>
                      <w:color w:val="auto"/>
                    </w:rPr>
                  </w:pPr>
                  <w:r>
                    <w:rPr>
                      <w:rFonts w:hint="eastAsia"/>
                      <w:color w:val="auto"/>
                    </w:rPr>
                    <w:t>0.9</w:t>
                  </w:r>
                </w:p>
              </w:tc>
              <w:tc>
                <w:tcPr>
                  <w:tcW w:w="369" w:type="pct"/>
                  <w:vAlign w:val="center"/>
                </w:tcPr>
                <w:p w14:paraId="2C62D406">
                  <w:pPr>
                    <w:pStyle w:val="102"/>
                    <w:rPr>
                      <w:color w:val="auto"/>
                    </w:rPr>
                  </w:pPr>
                  <w:r>
                    <w:rPr>
                      <w:rFonts w:hint="eastAsia"/>
                      <w:color w:val="auto"/>
                    </w:rPr>
                    <w:t>1.2</w:t>
                  </w:r>
                </w:p>
              </w:tc>
              <w:tc>
                <w:tcPr>
                  <w:tcW w:w="369" w:type="pct"/>
                  <w:vAlign w:val="center"/>
                </w:tcPr>
                <w:p w14:paraId="666CC3B8">
                  <w:pPr>
                    <w:pStyle w:val="102"/>
                    <w:rPr>
                      <w:color w:val="auto"/>
                    </w:rPr>
                  </w:pPr>
                  <w:r>
                    <w:rPr>
                      <w:rFonts w:hint="eastAsia"/>
                      <w:color w:val="auto"/>
                    </w:rPr>
                    <w:t>0.25</w:t>
                  </w:r>
                </w:p>
              </w:tc>
              <w:tc>
                <w:tcPr>
                  <w:tcW w:w="419" w:type="pct"/>
                  <w:vAlign w:val="center"/>
                </w:tcPr>
                <w:p w14:paraId="759D4601">
                  <w:pPr>
                    <w:pStyle w:val="102"/>
                    <w:rPr>
                      <w:color w:val="auto"/>
                    </w:rPr>
                  </w:pPr>
                  <w:r>
                    <w:rPr>
                      <w:rFonts w:hint="eastAsia"/>
                      <w:color w:val="auto"/>
                    </w:rPr>
                    <w:t>0.5</w:t>
                  </w:r>
                </w:p>
              </w:tc>
              <w:tc>
                <w:tcPr>
                  <w:tcW w:w="369" w:type="pct"/>
                  <w:vAlign w:val="center"/>
                </w:tcPr>
                <w:p w14:paraId="2D937E3D">
                  <w:pPr>
                    <w:pStyle w:val="102"/>
                    <w:rPr>
                      <w:color w:val="auto"/>
                    </w:rPr>
                  </w:pPr>
                  <w:r>
                    <w:rPr>
                      <w:rFonts w:hint="eastAsia"/>
                      <w:color w:val="auto"/>
                    </w:rPr>
                    <w:t>0.9</w:t>
                  </w:r>
                </w:p>
              </w:tc>
              <w:tc>
                <w:tcPr>
                  <w:tcW w:w="418" w:type="pct"/>
                  <w:vAlign w:val="center"/>
                </w:tcPr>
                <w:p w14:paraId="0E5EB6F7">
                  <w:pPr>
                    <w:pStyle w:val="102"/>
                    <w:rPr>
                      <w:color w:val="auto"/>
                    </w:rPr>
                  </w:pPr>
                  <w:r>
                    <w:rPr>
                      <w:rFonts w:hint="eastAsia"/>
                      <w:color w:val="auto"/>
                    </w:rPr>
                    <w:t>1.2</w:t>
                  </w:r>
                </w:p>
              </w:tc>
              <w:tc>
                <w:tcPr>
                  <w:tcW w:w="369" w:type="pct"/>
                  <w:vAlign w:val="center"/>
                </w:tcPr>
                <w:p w14:paraId="629DDC2C">
                  <w:pPr>
                    <w:pStyle w:val="102"/>
                    <w:rPr>
                      <w:color w:val="auto"/>
                    </w:rPr>
                  </w:pPr>
                  <w:r>
                    <w:rPr>
                      <w:rFonts w:hint="eastAsia"/>
                      <w:color w:val="auto"/>
                    </w:rPr>
                    <w:t>0.25</w:t>
                  </w:r>
                </w:p>
              </w:tc>
              <w:tc>
                <w:tcPr>
                  <w:tcW w:w="370" w:type="pct"/>
                  <w:vAlign w:val="center"/>
                </w:tcPr>
                <w:p w14:paraId="5D1477E6">
                  <w:pPr>
                    <w:pStyle w:val="102"/>
                    <w:rPr>
                      <w:color w:val="auto"/>
                    </w:rPr>
                  </w:pPr>
                  <w:r>
                    <w:rPr>
                      <w:rFonts w:hint="eastAsia"/>
                      <w:color w:val="auto"/>
                    </w:rPr>
                    <w:t>0.5</w:t>
                  </w:r>
                </w:p>
              </w:tc>
              <w:tc>
                <w:tcPr>
                  <w:tcW w:w="272" w:type="pct"/>
                  <w:vAlign w:val="center"/>
                </w:tcPr>
                <w:p w14:paraId="75488C51">
                  <w:pPr>
                    <w:pStyle w:val="102"/>
                    <w:rPr>
                      <w:color w:val="auto"/>
                    </w:rPr>
                  </w:pPr>
                  <w:r>
                    <w:rPr>
                      <w:rFonts w:hint="eastAsia"/>
                      <w:color w:val="auto"/>
                    </w:rPr>
                    <w:t>0.3</w:t>
                  </w:r>
                </w:p>
              </w:tc>
              <w:tc>
                <w:tcPr>
                  <w:tcW w:w="369" w:type="pct"/>
                  <w:vAlign w:val="center"/>
                </w:tcPr>
                <w:p w14:paraId="7B3BF07D">
                  <w:pPr>
                    <w:pStyle w:val="102"/>
                    <w:rPr>
                      <w:color w:val="auto"/>
                    </w:rPr>
                  </w:pPr>
                  <w:r>
                    <w:rPr>
                      <w:rFonts w:hint="eastAsia"/>
                      <w:color w:val="auto"/>
                    </w:rPr>
                    <w:t>0.9</w:t>
                  </w:r>
                </w:p>
              </w:tc>
              <w:tc>
                <w:tcPr>
                  <w:tcW w:w="369" w:type="pct"/>
                  <w:vAlign w:val="center"/>
                </w:tcPr>
                <w:p w14:paraId="4585EF5C">
                  <w:pPr>
                    <w:pStyle w:val="102"/>
                    <w:rPr>
                      <w:color w:val="auto"/>
                    </w:rPr>
                  </w:pPr>
                  <w:r>
                    <w:rPr>
                      <w:rFonts w:hint="eastAsia"/>
                      <w:color w:val="auto"/>
                    </w:rPr>
                    <w:t>0.25</w:t>
                  </w:r>
                </w:p>
              </w:tc>
              <w:tc>
                <w:tcPr>
                  <w:tcW w:w="371" w:type="pct"/>
                  <w:vAlign w:val="center"/>
                </w:tcPr>
                <w:p w14:paraId="3E3C7151">
                  <w:pPr>
                    <w:pStyle w:val="102"/>
                    <w:rPr>
                      <w:color w:val="auto"/>
                    </w:rPr>
                  </w:pPr>
                  <w:r>
                    <w:rPr>
                      <w:rFonts w:hint="eastAsia"/>
                      <w:color w:val="auto"/>
                    </w:rPr>
                    <w:t>0.5</w:t>
                  </w:r>
                </w:p>
              </w:tc>
            </w:tr>
            <w:tr w14:paraId="71720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737291B1">
                  <w:pPr>
                    <w:pStyle w:val="102"/>
                    <w:rPr>
                      <w:b/>
                      <w:bCs/>
                      <w:color w:val="auto"/>
                    </w:rPr>
                  </w:pPr>
                  <w:r>
                    <w:rPr>
                      <w:rFonts w:hint="eastAsia"/>
                      <w:b/>
                      <w:bCs/>
                      <w:color w:val="auto"/>
                    </w:rPr>
                    <w:t>等标排放量m</w:t>
                  </w:r>
                  <w:r>
                    <w:rPr>
                      <w:rFonts w:hint="eastAsia"/>
                      <w:b/>
                      <w:bCs/>
                      <w:color w:val="auto"/>
                      <w:vertAlign w:val="superscript"/>
                    </w:rPr>
                    <w:t>3</w:t>
                  </w:r>
                  <w:r>
                    <w:rPr>
                      <w:rFonts w:hint="eastAsia"/>
                      <w:b/>
                      <w:bCs/>
                      <w:color w:val="auto"/>
                    </w:rPr>
                    <w:t>/h</w:t>
                  </w:r>
                </w:p>
              </w:tc>
              <w:tc>
                <w:tcPr>
                  <w:tcW w:w="899" w:type="dxa"/>
                  <w:vAlign w:val="center"/>
                </w:tcPr>
                <w:p w14:paraId="0D4C3588">
                  <w:pPr>
                    <w:widowControl/>
                    <w:jc w:val="center"/>
                    <w:textAlignment w:val="center"/>
                    <w:rPr>
                      <w:color w:val="auto"/>
                    </w:rPr>
                  </w:pPr>
                  <w:r>
                    <w:rPr>
                      <w:color w:val="auto"/>
                      <w:kern w:val="0"/>
                      <w:szCs w:val="21"/>
                      <w:lang w:bidi="ar"/>
                    </w:rPr>
                    <w:t xml:space="preserve">293933 </w:t>
                  </w:r>
                </w:p>
              </w:tc>
              <w:tc>
                <w:tcPr>
                  <w:tcW w:w="794" w:type="dxa"/>
                  <w:vAlign w:val="center"/>
                </w:tcPr>
                <w:p w14:paraId="3FAE4A32">
                  <w:pPr>
                    <w:widowControl/>
                    <w:jc w:val="center"/>
                    <w:textAlignment w:val="center"/>
                    <w:rPr>
                      <w:color w:val="auto"/>
                    </w:rPr>
                  </w:pPr>
                  <w:r>
                    <w:rPr>
                      <w:color w:val="auto"/>
                      <w:kern w:val="0"/>
                      <w:szCs w:val="21"/>
                      <w:lang w:bidi="ar"/>
                    </w:rPr>
                    <w:t xml:space="preserve">15750 </w:t>
                  </w:r>
                </w:p>
              </w:tc>
              <w:tc>
                <w:tcPr>
                  <w:tcW w:w="794" w:type="dxa"/>
                  <w:vAlign w:val="center"/>
                </w:tcPr>
                <w:p w14:paraId="1C6124F3">
                  <w:pPr>
                    <w:widowControl/>
                    <w:jc w:val="center"/>
                    <w:textAlignment w:val="center"/>
                    <w:rPr>
                      <w:color w:val="auto"/>
                    </w:rPr>
                  </w:pPr>
                  <w:r>
                    <w:rPr>
                      <w:color w:val="auto"/>
                      <w:kern w:val="0"/>
                      <w:szCs w:val="21"/>
                      <w:lang w:bidi="ar"/>
                    </w:rPr>
                    <w:t xml:space="preserve">400 </w:t>
                  </w:r>
                </w:p>
              </w:tc>
              <w:tc>
                <w:tcPr>
                  <w:tcW w:w="899" w:type="dxa"/>
                  <w:vAlign w:val="center"/>
                </w:tcPr>
                <w:p w14:paraId="55D34E60">
                  <w:pPr>
                    <w:widowControl/>
                    <w:jc w:val="center"/>
                    <w:textAlignment w:val="center"/>
                    <w:rPr>
                      <w:color w:val="auto"/>
                    </w:rPr>
                  </w:pPr>
                  <w:r>
                    <w:rPr>
                      <w:color w:val="auto"/>
                      <w:kern w:val="0"/>
                      <w:szCs w:val="21"/>
                      <w:lang w:bidi="ar"/>
                    </w:rPr>
                    <w:t xml:space="preserve">40 </w:t>
                  </w:r>
                </w:p>
              </w:tc>
              <w:tc>
                <w:tcPr>
                  <w:tcW w:w="794" w:type="dxa"/>
                  <w:vAlign w:val="center"/>
                </w:tcPr>
                <w:p w14:paraId="26729962">
                  <w:pPr>
                    <w:widowControl/>
                    <w:jc w:val="center"/>
                    <w:textAlignment w:val="center"/>
                    <w:rPr>
                      <w:color w:val="auto"/>
                    </w:rPr>
                  </w:pPr>
                  <w:r>
                    <w:rPr>
                      <w:color w:val="auto"/>
                      <w:kern w:val="0"/>
                      <w:szCs w:val="21"/>
                      <w:lang w:bidi="ar"/>
                    </w:rPr>
                    <w:t xml:space="preserve">1333 </w:t>
                  </w:r>
                </w:p>
              </w:tc>
              <w:tc>
                <w:tcPr>
                  <w:tcW w:w="899" w:type="dxa"/>
                  <w:vAlign w:val="center"/>
                </w:tcPr>
                <w:p w14:paraId="15731CA5">
                  <w:pPr>
                    <w:widowControl/>
                    <w:jc w:val="center"/>
                    <w:textAlignment w:val="center"/>
                    <w:rPr>
                      <w:color w:val="auto"/>
                    </w:rPr>
                  </w:pPr>
                  <w:r>
                    <w:rPr>
                      <w:color w:val="auto"/>
                      <w:kern w:val="0"/>
                      <w:szCs w:val="21"/>
                      <w:lang w:bidi="ar"/>
                    </w:rPr>
                    <w:t xml:space="preserve">1867 </w:t>
                  </w:r>
                </w:p>
              </w:tc>
              <w:tc>
                <w:tcPr>
                  <w:tcW w:w="794" w:type="dxa"/>
                  <w:vAlign w:val="center"/>
                </w:tcPr>
                <w:p w14:paraId="7C1EA9D3">
                  <w:pPr>
                    <w:widowControl/>
                    <w:jc w:val="center"/>
                    <w:textAlignment w:val="center"/>
                    <w:rPr>
                      <w:color w:val="auto"/>
                    </w:rPr>
                  </w:pPr>
                  <w:r>
                    <w:rPr>
                      <w:color w:val="auto"/>
                      <w:kern w:val="0"/>
                      <w:szCs w:val="21"/>
                      <w:lang w:bidi="ar"/>
                    </w:rPr>
                    <w:t xml:space="preserve">15600 </w:t>
                  </w:r>
                </w:p>
              </w:tc>
              <w:tc>
                <w:tcPr>
                  <w:tcW w:w="794" w:type="dxa"/>
                  <w:vAlign w:val="center"/>
                </w:tcPr>
                <w:p w14:paraId="3F65F339">
                  <w:pPr>
                    <w:widowControl/>
                    <w:jc w:val="center"/>
                    <w:textAlignment w:val="center"/>
                    <w:rPr>
                      <w:color w:val="auto"/>
                    </w:rPr>
                  </w:pPr>
                  <w:r>
                    <w:rPr>
                      <w:color w:val="auto"/>
                      <w:kern w:val="0"/>
                      <w:szCs w:val="21"/>
                      <w:lang w:bidi="ar"/>
                    </w:rPr>
                    <w:t xml:space="preserve">1800 </w:t>
                  </w:r>
                </w:p>
              </w:tc>
              <w:tc>
                <w:tcPr>
                  <w:tcW w:w="584" w:type="dxa"/>
                  <w:vAlign w:val="center"/>
                </w:tcPr>
                <w:p w14:paraId="45309704">
                  <w:pPr>
                    <w:widowControl/>
                    <w:jc w:val="center"/>
                    <w:textAlignment w:val="center"/>
                    <w:rPr>
                      <w:color w:val="auto"/>
                    </w:rPr>
                  </w:pPr>
                  <w:r>
                    <w:rPr>
                      <w:color w:val="auto"/>
                      <w:kern w:val="0"/>
                      <w:szCs w:val="21"/>
                      <w:lang w:bidi="ar"/>
                    </w:rPr>
                    <w:t xml:space="preserve">566667 </w:t>
                  </w:r>
                </w:p>
              </w:tc>
              <w:tc>
                <w:tcPr>
                  <w:tcW w:w="794" w:type="dxa"/>
                  <w:vAlign w:val="center"/>
                </w:tcPr>
                <w:p w14:paraId="741E4EF7">
                  <w:pPr>
                    <w:widowControl/>
                    <w:jc w:val="center"/>
                    <w:textAlignment w:val="center"/>
                    <w:rPr>
                      <w:color w:val="auto"/>
                    </w:rPr>
                  </w:pPr>
                  <w:r>
                    <w:rPr>
                      <w:color w:val="auto"/>
                      <w:kern w:val="0"/>
                      <w:szCs w:val="21"/>
                      <w:lang w:bidi="ar"/>
                    </w:rPr>
                    <w:t xml:space="preserve">111 </w:t>
                  </w:r>
                </w:p>
              </w:tc>
              <w:tc>
                <w:tcPr>
                  <w:tcW w:w="794" w:type="dxa"/>
                  <w:vAlign w:val="center"/>
                </w:tcPr>
                <w:p w14:paraId="49C843C1">
                  <w:pPr>
                    <w:widowControl/>
                    <w:jc w:val="center"/>
                    <w:textAlignment w:val="center"/>
                    <w:rPr>
                      <w:color w:val="auto"/>
                    </w:rPr>
                  </w:pPr>
                  <w:r>
                    <w:rPr>
                      <w:color w:val="auto"/>
                      <w:kern w:val="0"/>
                      <w:szCs w:val="21"/>
                      <w:lang w:bidi="ar"/>
                    </w:rPr>
                    <w:t xml:space="preserve">1200 </w:t>
                  </w:r>
                </w:p>
              </w:tc>
              <w:tc>
                <w:tcPr>
                  <w:tcW w:w="795" w:type="dxa"/>
                  <w:vAlign w:val="center"/>
                </w:tcPr>
                <w:p w14:paraId="22DC1DDB">
                  <w:pPr>
                    <w:widowControl/>
                    <w:jc w:val="center"/>
                    <w:textAlignment w:val="center"/>
                    <w:rPr>
                      <w:color w:val="auto"/>
                    </w:rPr>
                  </w:pPr>
                  <w:r>
                    <w:rPr>
                      <w:color w:val="auto"/>
                      <w:kern w:val="0"/>
                      <w:szCs w:val="21"/>
                      <w:lang w:bidi="ar"/>
                    </w:rPr>
                    <w:t xml:space="preserve">200 </w:t>
                  </w:r>
                </w:p>
              </w:tc>
            </w:tr>
            <w:tr w14:paraId="6DBB1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3F606324">
                  <w:pPr>
                    <w:pStyle w:val="102"/>
                    <w:rPr>
                      <w:b/>
                      <w:bCs/>
                      <w:color w:val="auto"/>
                    </w:rPr>
                  </w:pPr>
                  <w:r>
                    <w:rPr>
                      <w:rFonts w:hint="eastAsia"/>
                      <w:b/>
                      <w:bCs/>
                      <w:color w:val="auto"/>
                    </w:rPr>
                    <w:t>等标排放量差值是否在10%以内</w:t>
                  </w:r>
                </w:p>
              </w:tc>
              <w:tc>
                <w:tcPr>
                  <w:tcW w:w="4489" w:type="pct"/>
                  <w:gridSpan w:val="12"/>
                  <w:vAlign w:val="center"/>
                </w:tcPr>
                <w:p w14:paraId="6FC82EDF">
                  <w:pPr>
                    <w:pStyle w:val="102"/>
                    <w:rPr>
                      <w:color w:val="auto"/>
                    </w:rPr>
                  </w:pPr>
                  <w:r>
                    <w:rPr>
                      <w:rFonts w:hint="eastAsia"/>
                      <w:color w:val="auto"/>
                    </w:rPr>
                    <w:t>是</w:t>
                  </w:r>
                </w:p>
              </w:tc>
            </w:tr>
            <w:tr w14:paraId="3C4DA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3"/>
                  <w:vAlign w:val="center"/>
                </w:tcPr>
                <w:p w14:paraId="3D4F7FAA">
                  <w:pPr>
                    <w:pStyle w:val="102"/>
                    <w:jc w:val="both"/>
                    <w:rPr>
                      <w:color w:val="auto"/>
                    </w:rPr>
                  </w:pPr>
                  <w:r>
                    <w:rPr>
                      <w:rFonts w:hint="eastAsia"/>
                      <w:color w:val="auto"/>
                    </w:rPr>
                    <w:t>注：</w:t>
                  </w:r>
                </w:p>
                <w:p w14:paraId="2DE16E35">
                  <w:pPr>
                    <w:pStyle w:val="102"/>
                    <w:jc w:val="both"/>
                    <w:rPr>
                      <w:color w:val="auto"/>
                    </w:rPr>
                  </w:pPr>
                  <w:r>
                    <w:rPr>
                      <w:rFonts w:hint="eastAsia"/>
                      <w:color w:val="auto"/>
                    </w:rPr>
                    <w:t>根据《环境影响评价技术导则 大气环境》（HJ 2.2-2018）中“5.3.2.1一般选用 GB 3095 中1 h平均质量浓度的二级浓度限值，如项目位于一类环境空气功能区，应选择相应的一级浓度限值；对该标准中未包含的污染物，使用 5.2 确定的各评价因子1 h平均质量浓度限值。对仅有8 h平均质量浓度限值、日平均质量浓度限值或年平均质量浓度限值的，可分别按2倍、3倍、6倍折算为1h平均质量浓度限值。”故TSP取0.9mg/m</w:t>
                  </w:r>
                  <w:r>
                    <w:rPr>
                      <w:rFonts w:hint="eastAsia"/>
                      <w:color w:val="auto"/>
                      <w:vertAlign w:val="superscript"/>
                    </w:rPr>
                    <w:t>3</w:t>
                  </w:r>
                  <w:r>
                    <w:rPr>
                      <w:rFonts w:hint="eastAsia"/>
                      <w:color w:val="auto"/>
                    </w:rPr>
                    <w:t>、NOx取0.25mg/m</w:t>
                  </w:r>
                  <w:r>
                    <w:rPr>
                      <w:rFonts w:hint="eastAsia"/>
                      <w:color w:val="auto"/>
                      <w:vertAlign w:val="superscript"/>
                    </w:rPr>
                    <w:t>3</w:t>
                  </w:r>
                  <w:r>
                    <w:rPr>
                      <w:rFonts w:hint="eastAsia"/>
                      <w:color w:val="auto"/>
                    </w:rPr>
                    <w:t>、SO</w:t>
                  </w:r>
                  <w:r>
                    <w:rPr>
                      <w:rFonts w:hint="eastAsia"/>
                      <w:color w:val="auto"/>
                      <w:vertAlign w:val="subscript"/>
                    </w:rPr>
                    <w:t>2</w:t>
                  </w:r>
                  <w:r>
                    <w:rPr>
                      <w:rFonts w:hint="eastAsia"/>
                      <w:color w:val="auto"/>
                    </w:rPr>
                    <w:t>取0.5mg/m</w:t>
                  </w:r>
                  <w:r>
                    <w:rPr>
                      <w:rFonts w:hint="eastAsia"/>
                      <w:color w:val="auto"/>
                      <w:vertAlign w:val="superscript"/>
                    </w:rPr>
                    <w:t>3</w:t>
                  </w:r>
                  <w:r>
                    <w:rPr>
                      <w:rFonts w:hint="eastAsia"/>
                      <w:color w:val="auto"/>
                    </w:rPr>
                    <w:t>、TVOC取1.2mg/m</w:t>
                  </w:r>
                  <w:r>
                    <w:rPr>
                      <w:rFonts w:hint="eastAsia"/>
                      <w:color w:val="auto"/>
                      <w:vertAlign w:val="superscript"/>
                    </w:rPr>
                    <w:t>3</w:t>
                  </w:r>
                  <w:r>
                    <w:rPr>
                      <w:rFonts w:hint="eastAsia"/>
                      <w:color w:val="auto"/>
                    </w:rPr>
                    <w:t>、硫酸雾取0.3mg/m</w:t>
                  </w:r>
                  <w:r>
                    <w:rPr>
                      <w:rFonts w:hint="eastAsia"/>
                      <w:color w:val="auto"/>
                      <w:vertAlign w:val="superscript"/>
                    </w:rPr>
                    <w:t>3</w:t>
                  </w:r>
                  <w:r>
                    <w:rPr>
                      <w:rFonts w:hint="eastAsia"/>
                      <w:color w:val="auto"/>
                    </w:rPr>
                    <w:t>。</w:t>
                  </w:r>
                </w:p>
              </w:tc>
            </w:tr>
          </w:tbl>
          <w:p w14:paraId="0AC24C41">
            <w:pPr>
              <w:pStyle w:val="43"/>
              <w:jc w:val="left"/>
              <w:rPr>
                <w:color w:val="auto"/>
              </w:rPr>
            </w:pPr>
            <w:r>
              <w:rPr>
                <w:rFonts w:hint="eastAsia"/>
                <w:color w:val="auto"/>
              </w:rPr>
              <w:t>根据上表，项目选取四楼车间选取颗粒物作为计算卫生防护距离的因子，五楼车间选取氮氧化物作为计算卫生防护距离的因子，六楼车间选取硫酸雾作为计算卫生防护距离的因子。</w:t>
            </w:r>
          </w:p>
          <w:p w14:paraId="5AF3FDE1">
            <w:pPr>
              <w:adjustRightInd w:val="0"/>
              <w:snapToGrid w:val="0"/>
              <w:spacing w:line="312" w:lineRule="auto"/>
              <w:ind w:firstLine="482" w:firstLineChars="200"/>
              <w:rPr>
                <w:b/>
                <w:color w:val="auto"/>
                <w:sz w:val="24"/>
              </w:rPr>
            </w:pPr>
            <w:r>
              <w:rPr>
                <w:rFonts w:hint="eastAsia"/>
                <w:b/>
                <w:color w:val="auto"/>
                <w:sz w:val="24"/>
              </w:rPr>
              <w:t>2.6.2</w:t>
            </w:r>
            <w:r>
              <w:rPr>
                <w:b/>
                <w:color w:val="auto"/>
                <w:sz w:val="24"/>
              </w:rPr>
              <w:t>卫生防护距离初值计算</w:t>
            </w:r>
          </w:p>
          <w:p w14:paraId="5D5F7747">
            <w:pPr>
              <w:pStyle w:val="43"/>
              <w:jc w:val="left"/>
              <w:rPr>
                <w:color w:val="auto"/>
              </w:rPr>
            </w:pPr>
            <w:r>
              <w:rPr>
                <w:rFonts w:hint="eastAsia"/>
                <w:color w:val="auto"/>
              </w:rPr>
              <w:t>根据《大气有害物质无组织排放卫生防护距离推导技术导则》(GB/T39499- 2020)计算本项目的卫生防护距离，计算公式如下：</w:t>
            </w:r>
          </w:p>
          <w:p w14:paraId="326FD721">
            <w:pPr>
              <w:adjustRightInd w:val="0"/>
              <w:snapToGrid w:val="0"/>
              <w:spacing w:line="312" w:lineRule="auto"/>
              <w:jc w:val="center"/>
              <w:rPr>
                <w:bCs/>
                <w:color w:val="auto"/>
                <w:sz w:val="24"/>
              </w:rPr>
            </w:pPr>
            <w:r>
              <w:rPr>
                <w:color w:val="auto"/>
              </w:rPr>
              <w:drawing>
                <wp:inline distT="0" distB="0" distL="114300" distR="114300">
                  <wp:extent cx="2419985" cy="600710"/>
                  <wp:effectExtent l="0" t="0" r="5715" b="889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39"/>
                          <a:stretch>
                            <a:fillRect/>
                          </a:stretch>
                        </pic:blipFill>
                        <pic:spPr>
                          <a:xfrm>
                            <a:off x="0" y="0"/>
                            <a:ext cx="2419985" cy="600710"/>
                          </a:xfrm>
                          <a:prstGeom prst="rect">
                            <a:avLst/>
                          </a:prstGeom>
                          <a:noFill/>
                          <a:ln>
                            <a:noFill/>
                          </a:ln>
                        </pic:spPr>
                      </pic:pic>
                    </a:graphicData>
                  </a:graphic>
                </wp:inline>
              </w:drawing>
            </w:r>
          </w:p>
          <w:p w14:paraId="079CDBE4">
            <w:pPr>
              <w:adjustRightInd w:val="0"/>
              <w:snapToGrid w:val="0"/>
              <w:spacing w:line="312" w:lineRule="auto"/>
              <w:ind w:firstLine="480" w:firstLineChars="200"/>
              <w:rPr>
                <w:bCs/>
                <w:color w:val="auto"/>
                <w:sz w:val="24"/>
              </w:rPr>
            </w:pPr>
            <w:r>
              <w:rPr>
                <w:rFonts w:hint="eastAsia"/>
                <w:bCs/>
                <w:color w:val="auto"/>
                <w:sz w:val="24"/>
              </w:rPr>
              <w:t>式中：</w:t>
            </w:r>
          </w:p>
          <w:p w14:paraId="27AC7792">
            <w:pPr>
              <w:adjustRightInd w:val="0"/>
              <w:snapToGrid w:val="0"/>
              <w:spacing w:line="312" w:lineRule="auto"/>
              <w:ind w:firstLine="480" w:firstLineChars="200"/>
              <w:rPr>
                <w:bCs/>
                <w:color w:val="auto"/>
                <w:sz w:val="24"/>
              </w:rPr>
            </w:pPr>
            <w:r>
              <w:rPr>
                <w:rFonts w:hint="eastAsia"/>
                <w:bCs/>
                <w:color w:val="auto"/>
                <w:sz w:val="24"/>
              </w:rPr>
              <w:t>Q</w:t>
            </w:r>
            <w:r>
              <w:rPr>
                <w:rFonts w:hint="eastAsia"/>
                <w:bCs/>
                <w:color w:val="auto"/>
                <w:sz w:val="24"/>
                <w:vertAlign w:val="subscript"/>
              </w:rPr>
              <w:t>c</w:t>
            </w:r>
            <w:r>
              <w:rPr>
                <w:rFonts w:hint="eastAsia"/>
                <w:bCs/>
                <w:color w:val="auto"/>
                <w:sz w:val="24"/>
              </w:rPr>
              <w:t>——大气有害物质的无组织排放量，单位为千克每小时(kg/h)；</w:t>
            </w:r>
          </w:p>
          <w:p w14:paraId="1E73E94B">
            <w:pPr>
              <w:adjustRightInd w:val="0"/>
              <w:snapToGrid w:val="0"/>
              <w:spacing w:line="312" w:lineRule="auto"/>
              <w:ind w:firstLine="480" w:firstLineChars="200"/>
              <w:rPr>
                <w:bCs/>
                <w:color w:val="auto"/>
                <w:sz w:val="24"/>
              </w:rPr>
            </w:pPr>
            <w:r>
              <w:rPr>
                <w:rFonts w:hint="eastAsia"/>
                <w:bCs/>
                <w:color w:val="auto"/>
                <w:sz w:val="24"/>
              </w:rPr>
              <w:t>C</w:t>
            </w:r>
            <w:r>
              <w:rPr>
                <w:rFonts w:hint="eastAsia"/>
                <w:bCs/>
                <w:color w:val="auto"/>
                <w:sz w:val="24"/>
                <w:vertAlign w:val="subscript"/>
              </w:rPr>
              <w:t>m</w:t>
            </w:r>
            <w:r>
              <w:rPr>
                <w:rFonts w:hint="eastAsia"/>
                <w:bCs/>
                <w:color w:val="auto"/>
                <w:sz w:val="24"/>
              </w:rPr>
              <w:t>——大气有害物质环境空气质量的标准限值，单位为毫克每立方米(mg/m</w:t>
            </w:r>
            <w:r>
              <w:rPr>
                <w:rFonts w:hint="eastAsia"/>
                <w:bCs/>
                <w:color w:val="auto"/>
                <w:sz w:val="24"/>
                <w:vertAlign w:val="superscript"/>
              </w:rPr>
              <w:t>3</w:t>
            </w:r>
            <w:r>
              <w:rPr>
                <w:rFonts w:hint="eastAsia"/>
                <w:bCs/>
                <w:color w:val="auto"/>
                <w:sz w:val="24"/>
              </w:rPr>
              <w:t>)；</w:t>
            </w:r>
          </w:p>
          <w:p w14:paraId="5FC9A023">
            <w:pPr>
              <w:adjustRightInd w:val="0"/>
              <w:snapToGrid w:val="0"/>
              <w:spacing w:line="312" w:lineRule="auto"/>
              <w:ind w:firstLine="480" w:firstLineChars="200"/>
              <w:rPr>
                <w:bCs/>
                <w:color w:val="auto"/>
                <w:sz w:val="24"/>
              </w:rPr>
            </w:pPr>
            <w:r>
              <w:rPr>
                <w:rFonts w:hint="eastAsia"/>
                <w:bCs/>
                <w:color w:val="auto"/>
                <w:sz w:val="24"/>
              </w:rPr>
              <w:t>L——大气有害物质卫生防护距离初值，单位为米(m)；</w:t>
            </w:r>
          </w:p>
          <w:p w14:paraId="551139E7">
            <w:pPr>
              <w:adjustRightInd w:val="0"/>
              <w:snapToGrid w:val="0"/>
              <w:spacing w:line="312" w:lineRule="auto"/>
              <w:ind w:firstLine="480" w:firstLineChars="200"/>
              <w:rPr>
                <w:bCs/>
                <w:color w:val="auto"/>
                <w:sz w:val="24"/>
              </w:rPr>
            </w:pPr>
            <w:r>
              <w:rPr>
                <w:rFonts w:hint="eastAsia"/>
                <w:bCs/>
                <w:color w:val="auto"/>
                <w:sz w:val="24"/>
              </w:rPr>
              <w:t>r——大气有害物质无组织排放源所在生产单元的等效半径，单位为米(m)；</w:t>
            </w:r>
          </w:p>
          <w:p w14:paraId="10E72EEF">
            <w:pPr>
              <w:adjustRightInd w:val="0"/>
              <w:snapToGrid w:val="0"/>
              <w:spacing w:line="312" w:lineRule="auto"/>
              <w:ind w:firstLine="480" w:firstLineChars="200"/>
              <w:rPr>
                <w:bCs/>
                <w:color w:val="auto"/>
                <w:sz w:val="24"/>
              </w:rPr>
            </w:pPr>
            <w:r>
              <w:rPr>
                <w:rFonts w:hint="eastAsia"/>
                <w:bCs/>
                <w:color w:val="auto"/>
                <w:sz w:val="24"/>
              </w:rPr>
              <w:t>A、B、C、D——卫生防护距离初值计算系数，无因次，根据工业企业所在地区近5年平均风速及大气污染源构成类别从《大气有害物质无组织排放卫生防护距离推导技术导则》(GB/T39499-2020)表1中查取，详见下表。</w:t>
            </w:r>
          </w:p>
          <w:p w14:paraId="10003C67">
            <w:pPr>
              <w:pStyle w:val="77"/>
              <w:numPr>
                <w:ilvl w:val="0"/>
                <w:numId w:val="18"/>
              </w:numPr>
              <w:adjustRightInd w:val="0"/>
              <w:snapToGrid w:val="0"/>
              <w:jc w:val="center"/>
              <w:rPr>
                <w:b/>
                <w:bCs/>
                <w:color w:val="auto"/>
                <w:szCs w:val="21"/>
              </w:rPr>
            </w:pPr>
            <w:r>
              <w:rPr>
                <w:rFonts w:hint="eastAsia"/>
                <w:b/>
                <w:bCs/>
                <w:color w:val="auto"/>
                <w:szCs w:val="21"/>
              </w:rPr>
              <w:t xml:space="preserve"> 卫生防护距离初值计算系数</w:t>
            </w:r>
          </w:p>
          <w:tbl>
            <w:tblPr>
              <w:tblStyle w:val="3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2258"/>
              <w:gridCol w:w="892"/>
              <w:gridCol w:w="853"/>
              <w:gridCol w:w="806"/>
              <w:gridCol w:w="699"/>
              <w:gridCol w:w="725"/>
              <w:gridCol w:w="731"/>
              <w:gridCol w:w="676"/>
              <w:gridCol w:w="699"/>
              <w:gridCol w:w="693"/>
            </w:tblGrid>
            <w:tr w14:paraId="29B35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restart"/>
                  <w:vAlign w:val="center"/>
                </w:tcPr>
                <w:p w14:paraId="7419EA05">
                  <w:pPr>
                    <w:pStyle w:val="91"/>
                    <w:ind w:firstLine="0" w:firstLineChars="0"/>
                    <w:jc w:val="center"/>
                    <w:rPr>
                      <w:b/>
                      <w:bCs/>
                      <w:color w:val="auto"/>
                      <w:sz w:val="21"/>
                      <w:szCs w:val="21"/>
                    </w:rPr>
                  </w:pPr>
                  <w:r>
                    <w:rPr>
                      <w:b/>
                      <w:bCs/>
                      <w:color w:val="auto"/>
                      <w:sz w:val="21"/>
                      <w:szCs w:val="21"/>
                    </w:rPr>
                    <w:t>卫生防护距离初值计算</w:t>
                  </w:r>
                  <w:r>
                    <w:rPr>
                      <w:rFonts w:hint="eastAsia"/>
                      <w:b/>
                      <w:bCs/>
                      <w:color w:val="auto"/>
                      <w:sz w:val="21"/>
                      <w:szCs w:val="21"/>
                    </w:rPr>
                    <w:t>系数</w:t>
                  </w:r>
                </w:p>
              </w:tc>
              <w:tc>
                <w:tcPr>
                  <w:tcW w:w="1056" w:type="pct"/>
                  <w:vMerge w:val="restart"/>
                  <w:vAlign w:val="center"/>
                </w:tcPr>
                <w:p w14:paraId="2133C146">
                  <w:pPr>
                    <w:pStyle w:val="91"/>
                    <w:ind w:firstLine="0" w:firstLineChars="0"/>
                    <w:jc w:val="center"/>
                    <w:rPr>
                      <w:b/>
                      <w:bCs/>
                      <w:color w:val="auto"/>
                      <w:sz w:val="21"/>
                      <w:szCs w:val="21"/>
                    </w:rPr>
                  </w:pPr>
                  <w:r>
                    <w:rPr>
                      <w:b/>
                      <w:bCs/>
                      <w:color w:val="auto"/>
                      <w:sz w:val="21"/>
                      <w:szCs w:val="21"/>
                    </w:rPr>
                    <w:t>工业企业所在地区近</w:t>
                  </w:r>
                  <w:r>
                    <w:rPr>
                      <w:rFonts w:hint="eastAsia"/>
                      <w:b/>
                      <w:bCs/>
                      <w:color w:val="auto"/>
                      <w:sz w:val="21"/>
                      <w:szCs w:val="21"/>
                    </w:rPr>
                    <w:t>5</w:t>
                  </w:r>
                  <w:r>
                    <w:rPr>
                      <w:b/>
                      <w:bCs/>
                      <w:color w:val="auto"/>
                      <w:sz w:val="21"/>
                      <w:szCs w:val="21"/>
                    </w:rPr>
                    <w:t>年平均</w:t>
                  </w:r>
                  <w:r>
                    <w:rPr>
                      <w:rFonts w:hint="eastAsia"/>
                      <w:b/>
                      <w:bCs/>
                      <w:color w:val="auto"/>
                      <w:sz w:val="21"/>
                      <w:szCs w:val="21"/>
                    </w:rPr>
                    <w:t>风速/（m/s）</w:t>
                  </w:r>
                </w:p>
              </w:tc>
              <w:tc>
                <w:tcPr>
                  <w:tcW w:w="3167" w:type="pct"/>
                  <w:gridSpan w:val="9"/>
                  <w:vAlign w:val="center"/>
                </w:tcPr>
                <w:p w14:paraId="598A4CDB">
                  <w:pPr>
                    <w:pStyle w:val="91"/>
                    <w:ind w:firstLine="0" w:firstLineChars="0"/>
                    <w:jc w:val="center"/>
                    <w:rPr>
                      <w:b/>
                      <w:bCs/>
                      <w:color w:val="auto"/>
                      <w:sz w:val="21"/>
                      <w:szCs w:val="21"/>
                    </w:rPr>
                  </w:pPr>
                  <w:r>
                    <w:rPr>
                      <w:rFonts w:hint="eastAsia"/>
                      <w:b/>
                      <w:bCs/>
                      <w:color w:val="auto"/>
                      <w:sz w:val="21"/>
                      <w:szCs w:val="21"/>
                    </w:rPr>
                    <w:t>卫生防护距离L/m</w:t>
                  </w:r>
                </w:p>
              </w:tc>
            </w:tr>
            <w:tr w14:paraId="6177B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5F2E358F">
                  <w:pPr>
                    <w:pStyle w:val="91"/>
                    <w:ind w:firstLine="0" w:firstLineChars="0"/>
                    <w:jc w:val="center"/>
                    <w:rPr>
                      <w:b/>
                      <w:bCs/>
                      <w:color w:val="auto"/>
                      <w:sz w:val="21"/>
                      <w:szCs w:val="21"/>
                    </w:rPr>
                  </w:pPr>
                </w:p>
              </w:tc>
              <w:tc>
                <w:tcPr>
                  <w:tcW w:w="1056" w:type="pct"/>
                  <w:vMerge w:val="continue"/>
                  <w:vAlign w:val="center"/>
                </w:tcPr>
                <w:p w14:paraId="0AC99E4C">
                  <w:pPr>
                    <w:pStyle w:val="91"/>
                    <w:ind w:firstLine="0" w:firstLineChars="0"/>
                    <w:jc w:val="center"/>
                    <w:rPr>
                      <w:b/>
                      <w:bCs/>
                      <w:color w:val="auto"/>
                      <w:sz w:val="21"/>
                      <w:szCs w:val="21"/>
                    </w:rPr>
                  </w:pPr>
                </w:p>
              </w:tc>
              <w:tc>
                <w:tcPr>
                  <w:tcW w:w="1193" w:type="pct"/>
                  <w:gridSpan w:val="3"/>
                  <w:vAlign w:val="center"/>
                </w:tcPr>
                <w:p w14:paraId="73CA79EF">
                  <w:pPr>
                    <w:pStyle w:val="91"/>
                    <w:ind w:firstLine="0" w:firstLineChars="0"/>
                    <w:jc w:val="center"/>
                    <w:rPr>
                      <w:b/>
                      <w:bCs/>
                      <w:color w:val="auto"/>
                      <w:sz w:val="21"/>
                      <w:szCs w:val="21"/>
                    </w:rPr>
                  </w:pPr>
                  <w:r>
                    <w:rPr>
                      <w:rFonts w:hint="eastAsia"/>
                      <w:b/>
                      <w:bCs/>
                      <w:color w:val="auto"/>
                      <w:sz w:val="21"/>
                      <w:szCs w:val="21"/>
                    </w:rPr>
                    <w:t>L</w:t>
                  </w:r>
                  <w:r>
                    <w:rPr>
                      <w:b/>
                      <w:bCs/>
                      <w:color w:val="auto"/>
                      <w:sz w:val="21"/>
                      <w:szCs w:val="21"/>
                    </w:rPr>
                    <w:t>≤</w:t>
                  </w:r>
                  <w:r>
                    <w:rPr>
                      <w:rFonts w:hint="eastAsia"/>
                      <w:b/>
                      <w:bCs/>
                      <w:color w:val="auto"/>
                      <w:sz w:val="21"/>
                      <w:szCs w:val="21"/>
                    </w:rPr>
                    <w:t>1000</w:t>
                  </w:r>
                </w:p>
              </w:tc>
              <w:tc>
                <w:tcPr>
                  <w:tcW w:w="1008" w:type="pct"/>
                  <w:gridSpan w:val="3"/>
                  <w:vAlign w:val="center"/>
                </w:tcPr>
                <w:p w14:paraId="39B4CC19">
                  <w:pPr>
                    <w:pStyle w:val="91"/>
                    <w:ind w:firstLine="0" w:firstLineChars="0"/>
                    <w:jc w:val="center"/>
                    <w:rPr>
                      <w:b/>
                      <w:bCs/>
                      <w:color w:val="auto"/>
                      <w:sz w:val="21"/>
                      <w:szCs w:val="21"/>
                    </w:rPr>
                  </w:pPr>
                  <w:r>
                    <w:rPr>
                      <w:b/>
                      <w:bCs/>
                      <w:color w:val="auto"/>
                      <w:sz w:val="21"/>
                      <w:szCs w:val="21"/>
                    </w:rPr>
                    <w:t>1000＜L≤2000</w:t>
                  </w:r>
                </w:p>
              </w:tc>
              <w:tc>
                <w:tcPr>
                  <w:tcW w:w="965" w:type="pct"/>
                  <w:gridSpan w:val="3"/>
                  <w:vAlign w:val="center"/>
                </w:tcPr>
                <w:p w14:paraId="6806A1BD">
                  <w:pPr>
                    <w:pStyle w:val="91"/>
                    <w:ind w:firstLine="0" w:firstLineChars="0"/>
                    <w:jc w:val="center"/>
                    <w:rPr>
                      <w:b/>
                      <w:bCs/>
                      <w:color w:val="auto"/>
                      <w:sz w:val="21"/>
                      <w:szCs w:val="21"/>
                    </w:rPr>
                  </w:pPr>
                  <w:r>
                    <w:rPr>
                      <w:b/>
                      <w:bCs/>
                      <w:color w:val="auto"/>
                      <w:sz w:val="21"/>
                      <w:szCs w:val="21"/>
                    </w:rPr>
                    <w:t>L＞2000</w:t>
                  </w:r>
                </w:p>
              </w:tc>
            </w:tr>
            <w:tr w14:paraId="1693D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4854F229">
                  <w:pPr>
                    <w:pStyle w:val="91"/>
                    <w:ind w:firstLine="0" w:firstLineChars="0"/>
                    <w:jc w:val="center"/>
                    <w:rPr>
                      <w:b/>
                      <w:bCs/>
                      <w:color w:val="auto"/>
                      <w:sz w:val="21"/>
                      <w:szCs w:val="21"/>
                    </w:rPr>
                  </w:pPr>
                </w:p>
              </w:tc>
              <w:tc>
                <w:tcPr>
                  <w:tcW w:w="1056" w:type="pct"/>
                  <w:vMerge w:val="continue"/>
                  <w:vAlign w:val="center"/>
                </w:tcPr>
                <w:p w14:paraId="7DDAF04C">
                  <w:pPr>
                    <w:pStyle w:val="91"/>
                    <w:ind w:firstLine="0" w:firstLineChars="0"/>
                    <w:jc w:val="center"/>
                    <w:rPr>
                      <w:b/>
                      <w:bCs/>
                      <w:color w:val="auto"/>
                      <w:sz w:val="21"/>
                      <w:szCs w:val="21"/>
                    </w:rPr>
                  </w:pPr>
                </w:p>
              </w:tc>
              <w:tc>
                <w:tcPr>
                  <w:tcW w:w="3167" w:type="pct"/>
                  <w:gridSpan w:val="9"/>
                  <w:vAlign w:val="center"/>
                </w:tcPr>
                <w:p w14:paraId="534198E8">
                  <w:pPr>
                    <w:pStyle w:val="91"/>
                    <w:ind w:firstLine="0" w:firstLineChars="0"/>
                    <w:jc w:val="center"/>
                    <w:rPr>
                      <w:b/>
                      <w:bCs/>
                      <w:color w:val="auto"/>
                      <w:sz w:val="21"/>
                      <w:szCs w:val="21"/>
                    </w:rPr>
                  </w:pPr>
                  <w:r>
                    <w:rPr>
                      <w:b/>
                      <w:bCs/>
                      <w:color w:val="auto"/>
                      <w:sz w:val="21"/>
                      <w:szCs w:val="21"/>
                    </w:rPr>
                    <w:t>工业企业大气污染源构成</w:t>
                  </w:r>
                  <w:r>
                    <w:rPr>
                      <w:rFonts w:hint="eastAsia"/>
                      <w:b/>
                      <w:bCs/>
                      <w:color w:val="auto"/>
                      <w:sz w:val="21"/>
                      <w:szCs w:val="21"/>
                    </w:rPr>
                    <w:t>类型</w:t>
                  </w:r>
                </w:p>
              </w:tc>
            </w:tr>
            <w:tr w14:paraId="47AB6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41592B9F">
                  <w:pPr>
                    <w:pStyle w:val="91"/>
                    <w:ind w:firstLine="0" w:firstLineChars="0"/>
                    <w:jc w:val="center"/>
                    <w:rPr>
                      <w:b/>
                      <w:bCs/>
                      <w:color w:val="auto"/>
                      <w:sz w:val="21"/>
                      <w:szCs w:val="21"/>
                    </w:rPr>
                  </w:pPr>
                </w:p>
              </w:tc>
              <w:tc>
                <w:tcPr>
                  <w:tcW w:w="1056" w:type="pct"/>
                  <w:vMerge w:val="continue"/>
                  <w:vAlign w:val="center"/>
                </w:tcPr>
                <w:p w14:paraId="14EB5658">
                  <w:pPr>
                    <w:pStyle w:val="91"/>
                    <w:ind w:firstLine="0" w:firstLineChars="0"/>
                    <w:jc w:val="center"/>
                    <w:rPr>
                      <w:b/>
                      <w:bCs/>
                      <w:color w:val="auto"/>
                      <w:sz w:val="21"/>
                      <w:szCs w:val="21"/>
                    </w:rPr>
                  </w:pPr>
                </w:p>
              </w:tc>
              <w:tc>
                <w:tcPr>
                  <w:tcW w:w="417" w:type="pct"/>
                  <w:vAlign w:val="center"/>
                </w:tcPr>
                <w:p w14:paraId="235C30CF">
                  <w:pPr>
                    <w:jc w:val="center"/>
                    <w:rPr>
                      <w:b/>
                      <w:bCs/>
                      <w:color w:val="auto"/>
                      <w:szCs w:val="21"/>
                    </w:rPr>
                  </w:pPr>
                  <w:r>
                    <w:rPr>
                      <w:rFonts w:eastAsia="Times New Roman"/>
                      <w:b/>
                      <w:bCs/>
                      <w:color w:val="auto"/>
                      <w:position w:val="-3"/>
                      <w:szCs w:val="21"/>
                    </w:rPr>
                    <w:t>Ⅰ</w:t>
                  </w:r>
                </w:p>
              </w:tc>
              <w:tc>
                <w:tcPr>
                  <w:tcW w:w="399" w:type="pct"/>
                  <w:vAlign w:val="center"/>
                </w:tcPr>
                <w:p w14:paraId="22C92994">
                  <w:pPr>
                    <w:jc w:val="center"/>
                    <w:rPr>
                      <w:b/>
                      <w:bCs/>
                      <w:color w:val="auto"/>
                      <w:szCs w:val="21"/>
                    </w:rPr>
                  </w:pPr>
                  <w:r>
                    <w:rPr>
                      <w:rFonts w:eastAsia="Times New Roman"/>
                      <w:b/>
                      <w:bCs/>
                      <w:color w:val="auto"/>
                      <w:position w:val="-3"/>
                      <w:szCs w:val="21"/>
                    </w:rPr>
                    <w:t>Ⅱ</w:t>
                  </w:r>
                </w:p>
              </w:tc>
              <w:tc>
                <w:tcPr>
                  <w:tcW w:w="375" w:type="pct"/>
                  <w:vAlign w:val="center"/>
                </w:tcPr>
                <w:p w14:paraId="1A4CC4F8">
                  <w:pPr>
                    <w:jc w:val="center"/>
                    <w:rPr>
                      <w:b/>
                      <w:bCs/>
                      <w:color w:val="auto"/>
                      <w:szCs w:val="21"/>
                    </w:rPr>
                  </w:pPr>
                  <w:r>
                    <w:rPr>
                      <w:rFonts w:eastAsia="Times New Roman"/>
                      <w:b/>
                      <w:bCs/>
                      <w:color w:val="auto"/>
                      <w:position w:val="-3"/>
                      <w:szCs w:val="21"/>
                    </w:rPr>
                    <w:t>Ⅲ</w:t>
                  </w:r>
                </w:p>
              </w:tc>
              <w:tc>
                <w:tcPr>
                  <w:tcW w:w="327" w:type="pct"/>
                  <w:vAlign w:val="center"/>
                </w:tcPr>
                <w:p w14:paraId="0E2D2C66">
                  <w:pPr>
                    <w:jc w:val="center"/>
                    <w:rPr>
                      <w:b/>
                      <w:bCs/>
                      <w:color w:val="auto"/>
                      <w:szCs w:val="21"/>
                    </w:rPr>
                  </w:pPr>
                  <w:r>
                    <w:rPr>
                      <w:rFonts w:eastAsia="Times New Roman"/>
                      <w:b/>
                      <w:bCs/>
                      <w:color w:val="auto"/>
                      <w:position w:val="-3"/>
                      <w:szCs w:val="21"/>
                    </w:rPr>
                    <w:t>Ⅰ</w:t>
                  </w:r>
                </w:p>
              </w:tc>
              <w:tc>
                <w:tcPr>
                  <w:tcW w:w="339" w:type="pct"/>
                  <w:vAlign w:val="center"/>
                </w:tcPr>
                <w:p w14:paraId="760CF169">
                  <w:pPr>
                    <w:jc w:val="center"/>
                    <w:rPr>
                      <w:b/>
                      <w:bCs/>
                      <w:color w:val="auto"/>
                      <w:szCs w:val="21"/>
                    </w:rPr>
                  </w:pPr>
                  <w:r>
                    <w:rPr>
                      <w:rFonts w:eastAsia="Times New Roman"/>
                      <w:b/>
                      <w:bCs/>
                      <w:color w:val="auto"/>
                      <w:position w:val="-3"/>
                      <w:szCs w:val="21"/>
                    </w:rPr>
                    <w:t>Ⅱ</w:t>
                  </w:r>
                </w:p>
              </w:tc>
              <w:tc>
                <w:tcPr>
                  <w:tcW w:w="340" w:type="pct"/>
                  <w:vAlign w:val="center"/>
                </w:tcPr>
                <w:p w14:paraId="6996375D">
                  <w:pPr>
                    <w:jc w:val="center"/>
                    <w:rPr>
                      <w:b/>
                      <w:bCs/>
                      <w:color w:val="auto"/>
                      <w:szCs w:val="21"/>
                    </w:rPr>
                  </w:pPr>
                  <w:r>
                    <w:rPr>
                      <w:rFonts w:eastAsia="Times New Roman"/>
                      <w:b/>
                      <w:bCs/>
                      <w:color w:val="auto"/>
                      <w:position w:val="-3"/>
                      <w:szCs w:val="21"/>
                    </w:rPr>
                    <w:t>Ⅲ</w:t>
                  </w:r>
                </w:p>
              </w:tc>
              <w:tc>
                <w:tcPr>
                  <w:tcW w:w="316" w:type="pct"/>
                  <w:vAlign w:val="center"/>
                </w:tcPr>
                <w:p w14:paraId="42D6CC1E">
                  <w:pPr>
                    <w:jc w:val="center"/>
                    <w:rPr>
                      <w:b/>
                      <w:bCs/>
                      <w:color w:val="auto"/>
                      <w:szCs w:val="21"/>
                    </w:rPr>
                  </w:pPr>
                  <w:r>
                    <w:rPr>
                      <w:rFonts w:eastAsia="Times New Roman"/>
                      <w:b/>
                      <w:bCs/>
                      <w:color w:val="auto"/>
                      <w:position w:val="-3"/>
                      <w:szCs w:val="21"/>
                    </w:rPr>
                    <w:t>Ⅰ</w:t>
                  </w:r>
                </w:p>
              </w:tc>
              <w:tc>
                <w:tcPr>
                  <w:tcW w:w="327" w:type="pct"/>
                  <w:vAlign w:val="center"/>
                </w:tcPr>
                <w:p w14:paraId="456172DD">
                  <w:pPr>
                    <w:jc w:val="center"/>
                    <w:rPr>
                      <w:b/>
                      <w:bCs/>
                      <w:color w:val="auto"/>
                      <w:szCs w:val="21"/>
                    </w:rPr>
                  </w:pPr>
                  <w:r>
                    <w:rPr>
                      <w:rFonts w:eastAsia="Times New Roman"/>
                      <w:b/>
                      <w:bCs/>
                      <w:color w:val="auto"/>
                      <w:position w:val="-3"/>
                      <w:szCs w:val="21"/>
                    </w:rPr>
                    <w:t>Ⅱ</w:t>
                  </w:r>
                </w:p>
              </w:tc>
              <w:tc>
                <w:tcPr>
                  <w:tcW w:w="321" w:type="pct"/>
                  <w:vAlign w:val="center"/>
                </w:tcPr>
                <w:p w14:paraId="46806B91">
                  <w:pPr>
                    <w:jc w:val="center"/>
                    <w:rPr>
                      <w:b/>
                      <w:bCs/>
                      <w:color w:val="auto"/>
                      <w:szCs w:val="21"/>
                    </w:rPr>
                  </w:pPr>
                  <w:r>
                    <w:rPr>
                      <w:rFonts w:eastAsia="Times New Roman"/>
                      <w:b/>
                      <w:bCs/>
                      <w:color w:val="auto"/>
                      <w:position w:val="-3"/>
                      <w:szCs w:val="21"/>
                    </w:rPr>
                    <w:t>Ⅲ</w:t>
                  </w:r>
                </w:p>
              </w:tc>
            </w:tr>
            <w:tr w14:paraId="00AC8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restart"/>
                  <w:vAlign w:val="center"/>
                </w:tcPr>
                <w:p w14:paraId="159B563A">
                  <w:pPr>
                    <w:pStyle w:val="91"/>
                    <w:ind w:firstLine="0" w:firstLineChars="0"/>
                    <w:jc w:val="center"/>
                    <w:rPr>
                      <w:color w:val="auto"/>
                      <w:sz w:val="21"/>
                      <w:szCs w:val="21"/>
                    </w:rPr>
                  </w:pPr>
                  <w:r>
                    <w:rPr>
                      <w:rFonts w:hint="eastAsia"/>
                      <w:color w:val="auto"/>
                      <w:sz w:val="21"/>
                      <w:szCs w:val="21"/>
                    </w:rPr>
                    <w:t>A</w:t>
                  </w:r>
                </w:p>
              </w:tc>
              <w:tc>
                <w:tcPr>
                  <w:tcW w:w="1056" w:type="pct"/>
                  <w:vAlign w:val="center"/>
                </w:tcPr>
                <w:p w14:paraId="03479FC7">
                  <w:pPr>
                    <w:jc w:val="center"/>
                    <w:rPr>
                      <w:color w:val="auto"/>
                      <w:szCs w:val="21"/>
                    </w:rPr>
                  </w:pPr>
                  <w:r>
                    <w:rPr>
                      <w:rFonts w:eastAsia="Times New Roman"/>
                      <w:color w:val="auto"/>
                      <w:spacing w:val="-1"/>
                      <w:szCs w:val="21"/>
                    </w:rPr>
                    <w:t>&lt;</w:t>
                  </w:r>
                  <w:r>
                    <w:rPr>
                      <w:rFonts w:eastAsia="Times New Roman"/>
                      <w:color w:val="auto"/>
                      <w:szCs w:val="21"/>
                    </w:rPr>
                    <w:t>2</w:t>
                  </w:r>
                </w:p>
              </w:tc>
              <w:tc>
                <w:tcPr>
                  <w:tcW w:w="417" w:type="pct"/>
                  <w:vAlign w:val="center"/>
                </w:tcPr>
                <w:p w14:paraId="6DC94B50">
                  <w:pPr>
                    <w:jc w:val="center"/>
                    <w:rPr>
                      <w:color w:val="auto"/>
                      <w:szCs w:val="21"/>
                    </w:rPr>
                  </w:pPr>
                  <w:r>
                    <w:rPr>
                      <w:rFonts w:eastAsia="Times New Roman"/>
                      <w:color w:val="auto"/>
                      <w:spacing w:val="-1"/>
                      <w:szCs w:val="21"/>
                    </w:rPr>
                    <w:t>40</w:t>
                  </w:r>
                  <w:r>
                    <w:rPr>
                      <w:rFonts w:eastAsia="Times New Roman"/>
                      <w:color w:val="auto"/>
                      <w:szCs w:val="21"/>
                    </w:rPr>
                    <w:t>0</w:t>
                  </w:r>
                </w:p>
              </w:tc>
              <w:tc>
                <w:tcPr>
                  <w:tcW w:w="399" w:type="pct"/>
                  <w:vAlign w:val="center"/>
                </w:tcPr>
                <w:p w14:paraId="5E5B3AD8">
                  <w:pPr>
                    <w:jc w:val="center"/>
                    <w:rPr>
                      <w:color w:val="auto"/>
                      <w:szCs w:val="21"/>
                    </w:rPr>
                  </w:pPr>
                  <w:r>
                    <w:rPr>
                      <w:rFonts w:eastAsia="Times New Roman"/>
                      <w:color w:val="auto"/>
                      <w:spacing w:val="-1"/>
                      <w:szCs w:val="21"/>
                    </w:rPr>
                    <w:t>40</w:t>
                  </w:r>
                  <w:r>
                    <w:rPr>
                      <w:rFonts w:eastAsia="Times New Roman"/>
                      <w:color w:val="auto"/>
                      <w:szCs w:val="21"/>
                    </w:rPr>
                    <w:t>0</w:t>
                  </w:r>
                </w:p>
              </w:tc>
              <w:tc>
                <w:tcPr>
                  <w:tcW w:w="375" w:type="pct"/>
                  <w:vAlign w:val="center"/>
                </w:tcPr>
                <w:p w14:paraId="6CED47E8">
                  <w:pPr>
                    <w:jc w:val="center"/>
                    <w:rPr>
                      <w:color w:val="auto"/>
                      <w:szCs w:val="21"/>
                    </w:rPr>
                  </w:pPr>
                  <w:r>
                    <w:rPr>
                      <w:rFonts w:eastAsia="Times New Roman"/>
                      <w:color w:val="auto"/>
                      <w:spacing w:val="-1"/>
                      <w:szCs w:val="21"/>
                    </w:rPr>
                    <w:t>40</w:t>
                  </w:r>
                  <w:r>
                    <w:rPr>
                      <w:rFonts w:eastAsia="Times New Roman"/>
                      <w:color w:val="auto"/>
                      <w:szCs w:val="21"/>
                    </w:rPr>
                    <w:t>0</w:t>
                  </w:r>
                </w:p>
              </w:tc>
              <w:tc>
                <w:tcPr>
                  <w:tcW w:w="327" w:type="pct"/>
                  <w:vAlign w:val="center"/>
                </w:tcPr>
                <w:p w14:paraId="65EC8E82">
                  <w:pPr>
                    <w:jc w:val="center"/>
                    <w:rPr>
                      <w:color w:val="auto"/>
                      <w:szCs w:val="21"/>
                    </w:rPr>
                  </w:pPr>
                  <w:r>
                    <w:rPr>
                      <w:rFonts w:eastAsia="Times New Roman"/>
                      <w:color w:val="auto"/>
                      <w:spacing w:val="-1"/>
                      <w:szCs w:val="21"/>
                    </w:rPr>
                    <w:t>40</w:t>
                  </w:r>
                  <w:r>
                    <w:rPr>
                      <w:rFonts w:eastAsia="Times New Roman"/>
                      <w:color w:val="auto"/>
                      <w:szCs w:val="21"/>
                    </w:rPr>
                    <w:t>0</w:t>
                  </w:r>
                </w:p>
              </w:tc>
              <w:tc>
                <w:tcPr>
                  <w:tcW w:w="339" w:type="pct"/>
                  <w:vAlign w:val="center"/>
                </w:tcPr>
                <w:p w14:paraId="3F23FB8D">
                  <w:pPr>
                    <w:jc w:val="center"/>
                    <w:rPr>
                      <w:color w:val="auto"/>
                      <w:szCs w:val="21"/>
                    </w:rPr>
                  </w:pPr>
                  <w:r>
                    <w:rPr>
                      <w:rFonts w:eastAsia="Times New Roman"/>
                      <w:color w:val="auto"/>
                      <w:spacing w:val="-1"/>
                      <w:szCs w:val="21"/>
                    </w:rPr>
                    <w:t>40</w:t>
                  </w:r>
                  <w:r>
                    <w:rPr>
                      <w:rFonts w:eastAsia="Times New Roman"/>
                      <w:color w:val="auto"/>
                      <w:szCs w:val="21"/>
                    </w:rPr>
                    <w:t>0</w:t>
                  </w:r>
                </w:p>
              </w:tc>
              <w:tc>
                <w:tcPr>
                  <w:tcW w:w="340" w:type="pct"/>
                  <w:vAlign w:val="center"/>
                </w:tcPr>
                <w:p w14:paraId="62762065">
                  <w:pPr>
                    <w:jc w:val="center"/>
                    <w:rPr>
                      <w:color w:val="auto"/>
                      <w:szCs w:val="21"/>
                    </w:rPr>
                  </w:pPr>
                  <w:r>
                    <w:rPr>
                      <w:rFonts w:eastAsia="Times New Roman"/>
                      <w:color w:val="auto"/>
                      <w:spacing w:val="-1"/>
                      <w:szCs w:val="21"/>
                    </w:rPr>
                    <w:t>40</w:t>
                  </w:r>
                  <w:r>
                    <w:rPr>
                      <w:rFonts w:eastAsia="Times New Roman"/>
                      <w:color w:val="auto"/>
                      <w:szCs w:val="21"/>
                    </w:rPr>
                    <w:t>0</w:t>
                  </w:r>
                </w:p>
              </w:tc>
              <w:tc>
                <w:tcPr>
                  <w:tcW w:w="316" w:type="pct"/>
                  <w:vAlign w:val="center"/>
                </w:tcPr>
                <w:p w14:paraId="68C5AA2A">
                  <w:pPr>
                    <w:jc w:val="center"/>
                    <w:rPr>
                      <w:color w:val="auto"/>
                      <w:szCs w:val="21"/>
                    </w:rPr>
                  </w:pPr>
                  <w:r>
                    <w:rPr>
                      <w:rFonts w:eastAsia="Times New Roman"/>
                      <w:color w:val="auto"/>
                      <w:spacing w:val="-3"/>
                      <w:szCs w:val="21"/>
                    </w:rPr>
                    <w:t>80</w:t>
                  </w:r>
                </w:p>
              </w:tc>
              <w:tc>
                <w:tcPr>
                  <w:tcW w:w="327" w:type="pct"/>
                  <w:vAlign w:val="center"/>
                </w:tcPr>
                <w:p w14:paraId="021E078B">
                  <w:pPr>
                    <w:jc w:val="center"/>
                    <w:rPr>
                      <w:color w:val="auto"/>
                      <w:szCs w:val="21"/>
                    </w:rPr>
                  </w:pPr>
                  <w:r>
                    <w:rPr>
                      <w:rFonts w:eastAsia="Times New Roman"/>
                      <w:color w:val="auto"/>
                      <w:spacing w:val="-3"/>
                      <w:szCs w:val="21"/>
                    </w:rPr>
                    <w:t>80</w:t>
                  </w:r>
                </w:p>
              </w:tc>
              <w:tc>
                <w:tcPr>
                  <w:tcW w:w="321" w:type="pct"/>
                  <w:vAlign w:val="center"/>
                </w:tcPr>
                <w:p w14:paraId="551423C1">
                  <w:pPr>
                    <w:jc w:val="center"/>
                    <w:rPr>
                      <w:color w:val="auto"/>
                      <w:szCs w:val="21"/>
                    </w:rPr>
                  </w:pPr>
                  <w:r>
                    <w:rPr>
                      <w:rFonts w:eastAsia="Times New Roman"/>
                      <w:color w:val="auto"/>
                      <w:spacing w:val="-3"/>
                      <w:szCs w:val="21"/>
                    </w:rPr>
                    <w:t>80</w:t>
                  </w:r>
                </w:p>
              </w:tc>
            </w:tr>
            <w:tr w14:paraId="0149F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76FD05E3">
                  <w:pPr>
                    <w:pStyle w:val="91"/>
                    <w:ind w:firstLine="0" w:firstLineChars="0"/>
                    <w:jc w:val="center"/>
                    <w:rPr>
                      <w:color w:val="auto"/>
                      <w:sz w:val="21"/>
                      <w:szCs w:val="21"/>
                    </w:rPr>
                  </w:pPr>
                </w:p>
              </w:tc>
              <w:tc>
                <w:tcPr>
                  <w:tcW w:w="1056" w:type="pct"/>
                  <w:vAlign w:val="center"/>
                </w:tcPr>
                <w:p w14:paraId="63D7C82E">
                  <w:pPr>
                    <w:jc w:val="center"/>
                    <w:rPr>
                      <w:color w:val="auto"/>
                      <w:szCs w:val="21"/>
                    </w:rPr>
                  </w:pPr>
                  <w:r>
                    <w:rPr>
                      <w:rFonts w:eastAsia="Times New Roman"/>
                      <w:color w:val="auto"/>
                      <w:spacing w:val="34"/>
                      <w:szCs w:val="21"/>
                    </w:rPr>
                    <w:t>2</w:t>
                  </w:r>
                  <w:r>
                    <w:rPr>
                      <w:color w:val="auto"/>
                      <w:spacing w:val="34"/>
                      <w:szCs w:val="21"/>
                    </w:rPr>
                    <w:t>~</w:t>
                  </w:r>
                  <w:r>
                    <w:rPr>
                      <w:rFonts w:eastAsia="Times New Roman"/>
                      <w:color w:val="auto"/>
                      <w:spacing w:val="34"/>
                      <w:szCs w:val="21"/>
                    </w:rPr>
                    <w:t>4</w:t>
                  </w:r>
                </w:p>
              </w:tc>
              <w:tc>
                <w:tcPr>
                  <w:tcW w:w="417" w:type="pct"/>
                  <w:vAlign w:val="center"/>
                </w:tcPr>
                <w:p w14:paraId="682775AF">
                  <w:pPr>
                    <w:jc w:val="center"/>
                    <w:rPr>
                      <w:color w:val="auto"/>
                      <w:szCs w:val="21"/>
                    </w:rPr>
                  </w:pPr>
                  <w:r>
                    <w:rPr>
                      <w:rFonts w:eastAsia="Times New Roman"/>
                      <w:color w:val="auto"/>
                      <w:spacing w:val="-2"/>
                      <w:szCs w:val="21"/>
                    </w:rPr>
                    <w:t>70</w:t>
                  </w:r>
                  <w:r>
                    <w:rPr>
                      <w:rFonts w:eastAsia="Times New Roman"/>
                      <w:color w:val="auto"/>
                      <w:spacing w:val="-1"/>
                      <w:szCs w:val="21"/>
                    </w:rPr>
                    <w:t>0</w:t>
                  </w:r>
                </w:p>
              </w:tc>
              <w:tc>
                <w:tcPr>
                  <w:tcW w:w="399" w:type="pct"/>
                  <w:vAlign w:val="center"/>
                </w:tcPr>
                <w:p w14:paraId="4CDAA6C5">
                  <w:pPr>
                    <w:jc w:val="center"/>
                    <w:rPr>
                      <w:color w:val="auto"/>
                      <w:szCs w:val="21"/>
                    </w:rPr>
                  </w:pPr>
                  <w:r>
                    <w:rPr>
                      <w:rFonts w:eastAsia="Times New Roman"/>
                      <w:color w:val="auto"/>
                      <w:spacing w:val="-1"/>
                      <w:szCs w:val="21"/>
                    </w:rPr>
                    <w:t>47</w:t>
                  </w:r>
                  <w:r>
                    <w:rPr>
                      <w:rFonts w:eastAsia="Times New Roman"/>
                      <w:color w:val="auto"/>
                      <w:szCs w:val="21"/>
                    </w:rPr>
                    <w:t>0</w:t>
                  </w:r>
                </w:p>
              </w:tc>
              <w:tc>
                <w:tcPr>
                  <w:tcW w:w="375" w:type="pct"/>
                  <w:vAlign w:val="center"/>
                </w:tcPr>
                <w:p w14:paraId="7B3CB87E">
                  <w:pPr>
                    <w:jc w:val="center"/>
                    <w:rPr>
                      <w:color w:val="auto"/>
                      <w:szCs w:val="21"/>
                    </w:rPr>
                  </w:pPr>
                  <w:r>
                    <w:rPr>
                      <w:rFonts w:eastAsia="Times New Roman"/>
                      <w:color w:val="auto"/>
                      <w:spacing w:val="-2"/>
                      <w:szCs w:val="21"/>
                    </w:rPr>
                    <w:t>35</w:t>
                  </w:r>
                  <w:r>
                    <w:rPr>
                      <w:rFonts w:eastAsia="Times New Roman"/>
                      <w:color w:val="auto"/>
                      <w:spacing w:val="-1"/>
                      <w:szCs w:val="21"/>
                    </w:rPr>
                    <w:t>0</w:t>
                  </w:r>
                </w:p>
              </w:tc>
              <w:tc>
                <w:tcPr>
                  <w:tcW w:w="327" w:type="pct"/>
                  <w:vAlign w:val="center"/>
                </w:tcPr>
                <w:p w14:paraId="637EAD50">
                  <w:pPr>
                    <w:jc w:val="center"/>
                    <w:rPr>
                      <w:color w:val="auto"/>
                      <w:szCs w:val="21"/>
                    </w:rPr>
                  </w:pPr>
                  <w:r>
                    <w:rPr>
                      <w:rFonts w:eastAsia="Times New Roman"/>
                      <w:color w:val="auto"/>
                      <w:spacing w:val="-2"/>
                      <w:szCs w:val="21"/>
                    </w:rPr>
                    <w:t>70</w:t>
                  </w:r>
                  <w:r>
                    <w:rPr>
                      <w:rFonts w:eastAsia="Times New Roman"/>
                      <w:color w:val="auto"/>
                      <w:spacing w:val="-1"/>
                      <w:szCs w:val="21"/>
                    </w:rPr>
                    <w:t>0</w:t>
                  </w:r>
                </w:p>
              </w:tc>
              <w:tc>
                <w:tcPr>
                  <w:tcW w:w="339" w:type="pct"/>
                  <w:vAlign w:val="center"/>
                </w:tcPr>
                <w:p w14:paraId="0DCBB380">
                  <w:pPr>
                    <w:jc w:val="center"/>
                    <w:rPr>
                      <w:color w:val="auto"/>
                      <w:szCs w:val="21"/>
                    </w:rPr>
                  </w:pPr>
                  <w:r>
                    <w:rPr>
                      <w:rFonts w:eastAsia="Times New Roman"/>
                      <w:color w:val="auto"/>
                      <w:spacing w:val="-1"/>
                      <w:szCs w:val="21"/>
                    </w:rPr>
                    <w:t>47</w:t>
                  </w:r>
                  <w:r>
                    <w:rPr>
                      <w:rFonts w:eastAsia="Times New Roman"/>
                      <w:color w:val="auto"/>
                      <w:szCs w:val="21"/>
                    </w:rPr>
                    <w:t>0</w:t>
                  </w:r>
                </w:p>
              </w:tc>
              <w:tc>
                <w:tcPr>
                  <w:tcW w:w="340" w:type="pct"/>
                  <w:vAlign w:val="center"/>
                </w:tcPr>
                <w:p w14:paraId="5AB1FC62">
                  <w:pPr>
                    <w:jc w:val="center"/>
                    <w:rPr>
                      <w:color w:val="auto"/>
                      <w:szCs w:val="21"/>
                    </w:rPr>
                  </w:pPr>
                  <w:r>
                    <w:rPr>
                      <w:rFonts w:eastAsia="Times New Roman"/>
                      <w:color w:val="auto"/>
                      <w:spacing w:val="-2"/>
                      <w:szCs w:val="21"/>
                    </w:rPr>
                    <w:t>35</w:t>
                  </w:r>
                  <w:r>
                    <w:rPr>
                      <w:rFonts w:eastAsia="Times New Roman"/>
                      <w:color w:val="auto"/>
                      <w:spacing w:val="-1"/>
                      <w:szCs w:val="21"/>
                    </w:rPr>
                    <w:t>0</w:t>
                  </w:r>
                </w:p>
              </w:tc>
              <w:tc>
                <w:tcPr>
                  <w:tcW w:w="316" w:type="pct"/>
                  <w:vAlign w:val="center"/>
                </w:tcPr>
                <w:p w14:paraId="792C0EFE">
                  <w:pPr>
                    <w:jc w:val="center"/>
                    <w:rPr>
                      <w:color w:val="auto"/>
                      <w:szCs w:val="21"/>
                    </w:rPr>
                  </w:pPr>
                  <w:r>
                    <w:rPr>
                      <w:rFonts w:eastAsia="Times New Roman"/>
                      <w:color w:val="auto"/>
                      <w:spacing w:val="-2"/>
                      <w:szCs w:val="21"/>
                    </w:rPr>
                    <w:t>38</w:t>
                  </w:r>
                  <w:r>
                    <w:rPr>
                      <w:rFonts w:eastAsia="Times New Roman"/>
                      <w:color w:val="auto"/>
                      <w:spacing w:val="-1"/>
                      <w:szCs w:val="21"/>
                    </w:rPr>
                    <w:t>0</w:t>
                  </w:r>
                </w:p>
              </w:tc>
              <w:tc>
                <w:tcPr>
                  <w:tcW w:w="327" w:type="pct"/>
                  <w:vAlign w:val="center"/>
                </w:tcPr>
                <w:p w14:paraId="2A482CD9">
                  <w:pPr>
                    <w:jc w:val="center"/>
                    <w:rPr>
                      <w:color w:val="auto"/>
                      <w:szCs w:val="21"/>
                    </w:rPr>
                  </w:pPr>
                  <w:r>
                    <w:rPr>
                      <w:rFonts w:eastAsia="Times New Roman"/>
                      <w:color w:val="auto"/>
                      <w:spacing w:val="-1"/>
                      <w:szCs w:val="21"/>
                    </w:rPr>
                    <w:t>25</w:t>
                  </w:r>
                  <w:r>
                    <w:rPr>
                      <w:rFonts w:eastAsia="Times New Roman"/>
                      <w:color w:val="auto"/>
                      <w:szCs w:val="21"/>
                    </w:rPr>
                    <w:t>0</w:t>
                  </w:r>
                </w:p>
              </w:tc>
              <w:tc>
                <w:tcPr>
                  <w:tcW w:w="321" w:type="pct"/>
                  <w:vAlign w:val="center"/>
                </w:tcPr>
                <w:p w14:paraId="2DED3D00">
                  <w:pPr>
                    <w:jc w:val="center"/>
                    <w:rPr>
                      <w:color w:val="auto"/>
                      <w:szCs w:val="21"/>
                    </w:rPr>
                  </w:pPr>
                  <w:r>
                    <w:rPr>
                      <w:rFonts w:eastAsia="Times New Roman"/>
                      <w:color w:val="auto"/>
                      <w:spacing w:val="-6"/>
                      <w:szCs w:val="21"/>
                    </w:rPr>
                    <w:t>1</w:t>
                  </w:r>
                  <w:r>
                    <w:rPr>
                      <w:rFonts w:eastAsia="Times New Roman"/>
                      <w:color w:val="auto"/>
                      <w:spacing w:val="-5"/>
                      <w:szCs w:val="21"/>
                    </w:rPr>
                    <w:t>90</w:t>
                  </w:r>
                </w:p>
              </w:tc>
            </w:tr>
            <w:tr w14:paraId="6B750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0E89ED39">
                  <w:pPr>
                    <w:pStyle w:val="91"/>
                    <w:ind w:firstLine="0" w:firstLineChars="0"/>
                    <w:jc w:val="center"/>
                    <w:rPr>
                      <w:color w:val="auto"/>
                      <w:sz w:val="21"/>
                      <w:szCs w:val="21"/>
                    </w:rPr>
                  </w:pPr>
                </w:p>
              </w:tc>
              <w:tc>
                <w:tcPr>
                  <w:tcW w:w="1056" w:type="pct"/>
                  <w:vAlign w:val="center"/>
                </w:tcPr>
                <w:p w14:paraId="5C5E50AA">
                  <w:pPr>
                    <w:jc w:val="center"/>
                    <w:rPr>
                      <w:color w:val="auto"/>
                      <w:szCs w:val="21"/>
                    </w:rPr>
                  </w:pPr>
                  <w:r>
                    <w:rPr>
                      <w:rFonts w:eastAsia="Times New Roman"/>
                      <w:color w:val="auto"/>
                      <w:spacing w:val="-1"/>
                      <w:szCs w:val="21"/>
                    </w:rPr>
                    <w:t>&gt;</w:t>
                  </w:r>
                  <w:r>
                    <w:rPr>
                      <w:rFonts w:eastAsia="Times New Roman"/>
                      <w:color w:val="auto"/>
                      <w:szCs w:val="21"/>
                    </w:rPr>
                    <w:t>4</w:t>
                  </w:r>
                </w:p>
              </w:tc>
              <w:tc>
                <w:tcPr>
                  <w:tcW w:w="417" w:type="pct"/>
                  <w:vAlign w:val="center"/>
                </w:tcPr>
                <w:p w14:paraId="29496E80">
                  <w:pPr>
                    <w:jc w:val="center"/>
                    <w:rPr>
                      <w:color w:val="auto"/>
                      <w:szCs w:val="21"/>
                    </w:rPr>
                  </w:pPr>
                  <w:r>
                    <w:rPr>
                      <w:rFonts w:eastAsia="Times New Roman"/>
                      <w:color w:val="auto"/>
                      <w:spacing w:val="-2"/>
                      <w:szCs w:val="21"/>
                    </w:rPr>
                    <w:t>530</w:t>
                  </w:r>
                </w:p>
              </w:tc>
              <w:tc>
                <w:tcPr>
                  <w:tcW w:w="399" w:type="pct"/>
                  <w:vAlign w:val="center"/>
                </w:tcPr>
                <w:p w14:paraId="0120F37B">
                  <w:pPr>
                    <w:jc w:val="center"/>
                    <w:rPr>
                      <w:color w:val="auto"/>
                      <w:szCs w:val="21"/>
                    </w:rPr>
                  </w:pPr>
                  <w:r>
                    <w:rPr>
                      <w:rFonts w:eastAsia="Times New Roman"/>
                      <w:color w:val="auto"/>
                      <w:spacing w:val="-2"/>
                      <w:szCs w:val="21"/>
                    </w:rPr>
                    <w:t>35</w:t>
                  </w:r>
                  <w:r>
                    <w:rPr>
                      <w:rFonts w:eastAsia="Times New Roman"/>
                      <w:color w:val="auto"/>
                      <w:spacing w:val="-1"/>
                      <w:szCs w:val="21"/>
                    </w:rPr>
                    <w:t>0</w:t>
                  </w:r>
                </w:p>
              </w:tc>
              <w:tc>
                <w:tcPr>
                  <w:tcW w:w="375" w:type="pct"/>
                  <w:vAlign w:val="center"/>
                </w:tcPr>
                <w:p w14:paraId="68295407">
                  <w:pPr>
                    <w:jc w:val="center"/>
                    <w:rPr>
                      <w:color w:val="auto"/>
                      <w:szCs w:val="21"/>
                    </w:rPr>
                  </w:pPr>
                  <w:r>
                    <w:rPr>
                      <w:rFonts w:eastAsia="Times New Roman"/>
                      <w:color w:val="auto"/>
                      <w:spacing w:val="-1"/>
                      <w:szCs w:val="21"/>
                    </w:rPr>
                    <w:t>26</w:t>
                  </w:r>
                  <w:r>
                    <w:rPr>
                      <w:rFonts w:eastAsia="Times New Roman"/>
                      <w:color w:val="auto"/>
                      <w:szCs w:val="21"/>
                    </w:rPr>
                    <w:t>0</w:t>
                  </w:r>
                </w:p>
              </w:tc>
              <w:tc>
                <w:tcPr>
                  <w:tcW w:w="327" w:type="pct"/>
                  <w:vAlign w:val="center"/>
                </w:tcPr>
                <w:p w14:paraId="1489800A">
                  <w:pPr>
                    <w:jc w:val="center"/>
                    <w:rPr>
                      <w:color w:val="auto"/>
                      <w:szCs w:val="21"/>
                    </w:rPr>
                  </w:pPr>
                  <w:r>
                    <w:rPr>
                      <w:rFonts w:eastAsia="Times New Roman"/>
                      <w:color w:val="auto"/>
                      <w:spacing w:val="-2"/>
                      <w:szCs w:val="21"/>
                    </w:rPr>
                    <w:t>530</w:t>
                  </w:r>
                </w:p>
              </w:tc>
              <w:tc>
                <w:tcPr>
                  <w:tcW w:w="339" w:type="pct"/>
                  <w:vAlign w:val="center"/>
                </w:tcPr>
                <w:p w14:paraId="7A01C95C">
                  <w:pPr>
                    <w:jc w:val="center"/>
                    <w:rPr>
                      <w:color w:val="auto"/>
                      <w:szCs w:val="21"/>
                    </w:rPr>
                  </w:pPr>
                  <w:r>
                    <w:rPr>
                      <w:rFonts w:eastAsia="Times New Roman"/>
                      <w:color w:val="auto"/>
                      <w:spacing w:val="-2"/>
                      <w:szCs w:val="21"/>
                    </w:rPr>
                    <w:t>35</w:t>
                  </w:r>
                  <w:r>
                    <w:rPr>
                      <w:rFonts w:eastAsia="Times New Roman"/>
                      <w:color w:val="auto"/>
                      <w:spacing w:val="-1"/>
                      <w:szCs w:val="21"/>
                    </w:rPr>
                    <w:t>0</w:t>
                  </w:r>
                </w:p>
              </w:tc>
              <w:tc>
                <w:tcPr>
                  <w:tcW w:w="340" w:type="pct"/>
                  <w:vAlign w:val="center"/>
                </w:tcPr>
                <w:p w14:paraId="3196C46F">
                  <w:pPr>
                    <w:jc w:val="center"/>
                    <w:rPr>
                      <w:color w:val="auto"/>
                      <w:szCs w:val="21"/>
                    </w:rPr>
                  </w:pPr>
                  <w:r>
                    <w:rPr>
                      <w:rFonts w:eastAsia="Times New Roman"/>
                      <w:color w:val="auto"/>
                      <w:spacing w:val="-1"/>
                      <w:szCs w:val="21"/>
                    </w:rPr>
                    <w:t>26</w:t>
                  </w:r>
                  <w:r>
                    <w:rPr>
                      <w:rFonts w:eastAsia="Times New Roman"/>
                      <w:color w:val="auto"/>
                      <w:szCs w:val="21"/>
                    </w:rPr>
                    <w:t>0</w:t>
                  </w:r>
                </w:p>
              </w:tc>
              <w:tc>
                <w:tcPr>
                  <w:tcW w:w="316" w:type="pct"/>
                  <w:vAlign w:val="center"/>
                </w:tcPr>
                <w:p w14:paraId="7FFAB375">
                  <w:pPr>
                    <w:jc w:val="center"/>
                    <w:rPr>
                      <w:color w:val="auto"/>
                      <w:szCs w:val="21"/>
                    </w:rPr>
                  </w:pPr>
                  <w:r>
                    <w:rPr>
                      <w:rFonts w:eastAsia="Times New Roman"/>
                      <w:color w:val="auto"/>
                      <w:spacing w:val="-1"/>
                      <w:szCs w:val="21"/>
                    </w:rPr>
                    <w:t>29</w:t>
                  </w:r>
                  <w:r>
                    <w:rPr>
                      <w:rFonts w:eastAsia="Times New Roman"/>
                      <w:color w:val="auto"/>
                      <w:szCs w:val="21"/>
                    </w:rPr>
                    <w:t>0</w:t>
                  </w:r>
                </w:p>
              </w:tc>
              <w:tc>
                <w:tcPr>
                  <w:tcW w:w="327" w:type="pct"/>
                  <w:vAlign w:val="center"/>
                </w:tcPr>
                <w:p w14:paraId="4FC3873D">
                  <w:pPr>
                    <w:jc w:val="center"/>
                    <w:rPr>
                      <w:color w:val="auto"/>
                      <w:szCs w:val="21"/>
                    </w:rPr>
                  </w:pPr>
                  <w:r>
                    <w:rPr>
                      <w:rFonts w:eastAsia="Times New Roman"/>
                      <w:color w:val="auto"/>
                      <w:spacing w:val="-6"/>
                      <w:szCs w:val="21"/>
                    </w:rPr>
                    <w:t>1</w:t>
                  </w:r>
                  <w:r>
                    <w:rPr>
                      <w:rFonts w:eastAsia="Times New Roman"/>
                      <w:color w:val="auto"/>
                      <w:spacing w:val="-5"/>
                      <w:szCs w:val="21"/>
                    </w:rPr>
                    <w:t>90</w:t>
                  </w:r>
                </w:p>
              </w:tc>
              <w:tc>
                <w:tcPr>
                  <w:tcW w:w="321" w:type="pct"/>
                  <w:vAlign w:val="center"/>
                </w:tcPr>
                <w:p w14:paraId="1B281331">
                  <w:pPr>
                    <w:jc w:val="center"/>
                    <w:rPr>
                      <w:color w:val="auto"/>
                      <w:szCs w:val="21"/>
                    </w:rPr>
                  </w:pPr>
                  <w:r>
                    <w:rPr>
                      <w:rFonts w:eastAsia="Times New Roman"/>
                      <w:color w:val="auto"/>
                      <w:spacing w:val="-10"/>
                      <w:szCs w:val="21"/>
                    </w:rPr>
                    <w:t>1</w:t>
                  </w:r>
                  <w:r>
                    <w:rPr>
                      <w:rFonts w:eastAsia="Times New Roman"/>
                      <w:color w:val="auto"/>
                      <w:spacing w:val="-9"/>
                      <w:szCs w:val="21"/>
                    </w:rPr>
                    <w:t>10</w:t>
                  </w:r>
                </w:p>
              </w:tc>
            </w:tr>
            <w:tr w14:paraId="14659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restart"/>
                  <w:vAlign w:val="center"/>
                </w:tcPr>
                <w:p w14:paraId="0350DF02">
                  <w:pPr>
                    <w:pStyle w:val="91"/>
                    <w:ind w:firstLine="0" w:firstLineChars="0"/>
                    <w:jc w:val="center"/>
                    <w:rPr>
                      <w:color w:val="auto"/>
                      <w:sz w:val="21"/>
                      <w:szCs w:val="21"/>
                    </w:rPr>
                  </w:pPr>
                  <w:r>
                    <w:rPr>
                      <w:rFonts w:hint="eastAsia"/>
                      <w:color w:val="auto"/>
                      <w:sz w:val="21"/>
                      <w:szCs w:val="21"/>
                    </w:rPr>
                    <w:t>B</w:t>
                  </w:r>
                </w:p>
              </w:tc>
              <w:tc>
                <w:tcPr>
                  <w:tcW w:w="1056" w:type="pct"/>
                  <w:vAlign w:val="center"/>
                </w:tcPr>
                <w:p w14:paraId="50880440">
                  <w:pPr>
                    <w:jc w:val="center"/>
                    <w:rPr>
                      <w:color w:val="auto"/>
                      <w:szCs w:val="21"/>
                    </w:rPr>
                  </w:pPr>
                  <w:r>
                    <w:rPr>
                      <w:rFonts w:eastAsia="Times New Roman"/>
                      <w:color w:val="auto"/>
                      <w:spacing w:val="-1"/>
                      <w:szCs w:val="21"/>
                    </w:rPr>
                    <w:t>&lt;</w:t>
                  </w:r>
                  <w:r>
                    <w:rPr>
                      <w:rFonts w:eastAsia="Times New Roman"/>
                      <w:color w:val="auto"/>
                      <w:szCs w:val="21"/>
                    </w:rPr>
                    <w:t>2</w:t>
                  </w:r>
                </w:p>
              </w:tc>
              <w:tc>
                <w:tcPr>
                  <w:tcW w:w="1193" w:type="pct"/>
                  <w:gridSpan w:val="3"/>
                  <w:vAlign w:val="center"/>
                </w:tcPr>
                <w:p w14:paraId="0D17F1C2">
                  <w:pPr>
                    <w:jc w:val="center"/>
                    <w:rPr>
                      <w:color w:val="auto"/>
                      <w:szCs w:val="21"/>
                    </w:rPr>
                  </w:pPr>
                  <w:r>
                    <w:rPr>
                      <w:rFonts w:eastAsia="Times New Roman"/>
                      <w:color w:val="auto"/>
                      <w:spacing w:val="-1"/>
                      <w:szCs w:val="21"/>
                    </w:rPr>
                    <w:t>0.01</w:t>
                  </w:r>
                </w:p>
              </w:tc>
              <w:tc>
                <w:tcPr>
                  <w:tcW w:w="1008" w:type="pct"/>
                  <w:gridSpan w:val="3"/>
                  <w:vAlign w:val="center"/>
                </w:tcPr>
                <w:p w14:paraId="6AA2562C">
                  <w:pPr>
                    <w:jc w:val="center"/>
                    <w:rPr>
                      <w:color w:val="auto"/>
                      <w:szCs w:val="21"/>
                    </w:rPr>
                  </w:pPr>
                  <w:r>
                    <w:rPr>
                      <w:rFonts w:eastAsia="Times New Roman"/>
                      <w:color w:val="auto"/>
                      <w:spacing w:val="-1"/>
                      <w:szCs w:val="21"/>
                    </w:rPr>
                    <w:t>0.01</w:t>
                  </w:r>
                  <w:r>
                    <w:rPr>
                      <w:rFonts w:eastAsia="Times New Roman"/>
                      <w:color w:val="auto"/>
                      <w:szCs w:val="21"/>
                    </w:rPr>
                    <w:t>5</w:t>
                  </w:r>
                </w:p>
              </w:tc>
              <w:tc>
                <w:tcPr>
                  <w:tcW w:w="965" w:type="pct"/>
                  <w:gridSpan w:val="3"/>
                  <w:vAlign w:val="center"/>
                </w:tcPr>
                <w:p w14:paraId="70D0C6C0">
                  <w:pPr>
                    <w:jc w:val="center"/>
                    <w:rPr>
                      <w:color w:val="auto"/>
                      <w:szCs w:val="21"/>
                    </w:rPr>
                  </w:pPr>
                  <w:r>
                    <w:rPr>
                      <w:rFonts w:eastAsia="Times New Roman"/>
                      <w:color w:val="auto"/>
                      <w:spacing w:val="-1"/>
                      <w:szCs w:val="21"/>
                    </w:rPr>
                    <w:t>0.01</w:t>
                  </w:r>
                  <w:r>
                    <w:rPr>
                      <w:rFonts w:eastAsia="Times New Roman"/>
                      <w:color w:val="auto"/>
                      <w:szCs w:val="21"/>
                    </w:rPr>
                    <w:t>5</w:t>
                  </w:r>
                </w:p>
              </w:tc>
            </w:tr>
            <w:tr w14:paraId="6E8D6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1914F316">
                  <w:pPr>
                    <w:pStyle w:val="91"/>
                    <w:ind w:firstLine="0" w:firstLineChars="0"/>
                    <w:jc w:val="center"/>
                    <w:rPr>
                      <w:color w:val="auto"/>
                      <w:sz w:val="21"/>
                      <w:szCs w:val="21"/>
                    </w:rPr>
                  </w:pPr>
                </w:p>
              </w:tc>
              <w:tc>
                <w:tcPr>
                  <w:tcW w:w="1056" w:type="pct"/>
                  <w:vAlign w:val="center"/>
                </w:tcPr>
                <w:p w14:paraId="53BE60C4">
                  <w:pPr>
                    <w:jc w:val="center"/>
                    <w:rPr>
                      <w:color w:val="auto"/>
                      <w:szCs w:val="21"/>
                    </w:rPr>
                  </w:pPr>
                  <w:r>
                    <w:rPr>
                      <w:rFonts w:eastAsia="Times New Roman"/>
                      <w:color w:val="auto"/>
                      <w:spacing w:val="-1"/>
                      <w:szCs w:val="21"/>
                    </w:rPr>
                    <w:t>&gt;</w:t>
                  </w:r>
                  <w:r>
                    <w:rPr>
                      <w:rFonts w:eastAsia="Times New Roman"/>
                      <w:color w:val="auto"/>
                      <w:szCs w:val="21"/>
                    </w:rPr>
                    <w:t>2</w:t>
                  </w:r>
                </w:p>
              </w:tc>
              <w:tc>
                <w:tcPr>
                  <w:tcW w:w="1193" w:type="pct"/>
                  <w:gridSpan w:val="3"/>
                  <w:vAlign w:val="center"/>
                </w:tcPr>
                <w:p w14:paraId="49932DDF">
                  <w:pPr>
                    <w:jc w:val="center"/>
                    <w:rPr>
                      <w:color w:val="auto"/>
                      <w:szCs w:val="21"/>
                    </w:rPr>
                  </w:pPr>
                  <w:r>
                    <w:rPr>
                      <w:rFonts w:eastAsia="Times New Roman"/>
                      <w:color w:val="auto"/>
                      <w:spacing w:val="-1"/>
                      <w:szCs w:val="21"/>
                    </w:rPr>
                    <w:t>0.02</w:t>
                  </w:r>
                  <w:r>
                    <w:rPr>
                      <w:rFonts w:eastAsia="Times New Roman"/>
                      <w:color w:val="auto"/>
                      <w:szCs w:val="21"/>
                    </w:rPr>
                    <w:t>1</w:t>
                  </w:r>
                </w:p>
              </w:tc>
              <w:tc>
                <w:tcPr>
                  <w:tcW w:w="1008" w:type="pct"/>
                  <w:gridSpan w:val="3"/>
                  <w:vAlign w:val="center"/>
                </w:tcPr>
                <w:p w14:paraId="2E53A8B7">
                  <w:pPr>
                    <w:jc w:val="center"/>
                    <w:rPr>
                      <w:color w:val="auto"/>
                      <w:szCs w:val="21"/>
                    </w:rPr>
                  </w:pPr>
                  <w:r>
                    <w:rPr>
                      <w:rFonts w:eastAsia="Times New Roman"/>
                      <w:color w:val="auto"/>
                      <w:spacing w:val="-1"/>
                      <w:szCs w:val="21"/>
                    </w:rPr>
                    <w:t>0.03</w:t>
                  </w:r>
                  <w:r>
                    <w:rPr>
                      <w:rFonts w:eastAsia="Times New Roman"/>
                      <w:color w:val="auto"/>
                      <w:szCs w:val="21"/>
                    </w:rPr>
                    <w:t>6</w:t>
                  </w:r>
                </w:p>
              </w:tc>
              <w:tc>
                <w:tcPr>
                  <w:tcW w:w="965" w:type="pct"/>
                  <w:gridSpan w:val="3"/>
                  <w:vAlign w:val="center"/>
                </w:tcPr>
                <w:p w14:paraId="5A7C531D">
                  <w:pPr>
                    <w:jc w:val="center"/>
                    <w:rPr>
                      <w:color w:val="auto"/>
                      <w:szCs w:val="21"/>
                    </w:rPr>
                  </w:pPr>
                  <w:r>
                    <w:rPr>
                      <w:rFonts w:eastAsia="Times New Roman"/>
                      <w:color w:val="auto"/>
                      <w:spacing w:val="-1"/>
                      <w:szCs w:val="21"/>
                    </w:rPr>
                    <w:t>0.03</w:t>
                  </w:r>
                  <w:r>
                    <w:rPr>
                      <w:rFonts w:eastAsia="Times New Roman"/>
                      <w:color w:val="auto"/>
                      <w:szCs w:val="21"/>
                    </w:rPr>
                    <w:t>6</w:t>
                  </w:r>
                </w:p>
              </w:tc>
            </w:tr>
            <w:tr w14:paraId="37D9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restart"/>
                  <w:vAlign w:val="center"/>
                </w:tcPr>
                <w:p w14:paraId="42090E42">
                  <w:pPr>
                    <w:pStyle w:val="91"/>
                    <w:ind w:firstLine="0" w:firstLineChars="0"/>
                    <w:jc w:val="center"/>
                    <w:rPr>
                      <w:color w:val="auto"/>
                      <w:sz w:val="21"/>
                      <w:szCs w:val="21"/>
                    </w:rPr>
                  </w:pPr>
                  <w:r>
                    <w:rPr>
                      <w:rFonts w:hint="eastAsia"/>
                      <w:color w:val="auto"/>
                      <w:sz w:val="21"/>
                      <w:szCs w:val="21"/>
                    </w:rPr>
                    <w:t>C</w:t>
                  </w:r>
                </w:p>
              </w:tc>
              <w:tc>
                <w:tcPr>
                  <w:tcW w:w="1056" w:type="pct"/>
                  <w:vAlign w:val="center"/>
                </w:tcPr>
                <w:p w14:paraId="7074E040">
                  <w:pPr>
                    <w:jc w:val="center"/>
                    <w:rPr>
                      <w:color w:val="auto"/>
                      <w:szCs w:val="21"/>
                    </w:rPr>
                  </w:pPr>
                  <w:r>
                    <w:rPr>
                      <w:rFonts w:eastAsia="Times New Roman"/>
                      <w:color w:val="auto"/>
                      <w:spacing w:val="-1"/>
                      <w:szCs w:val="21"/>
                    </w:rPr>
                    <w:t>&lt;</w:t>
                  </w:r>
                  <w:r>
                    <w:rPr>
                      <w:rFonts w:eastAsia="Times New Roman"/>
                      <w:color w:val="auto"/>
                      <w:szCs w:val="21"/>
                    </w:rPr>
                    <w:t>2</w:t>
                  </w:r>
                </w:p>
              </w:tc>
              <w:tc>
                <w:tcPr>
                  <w:tcW w:w="1193" w:type="pct"/>
                  <w:gridSpan w:val="3"/>
                  <w:vAlign w:val="center"/>
                </w:tcPr>
                <w:p w14:paraId="4ECBF521">
                  <w:pPr>
                    <w:jc w:val="center"/>
                    <w:rPr>
                      <w:color w:val="auto"/>
                      <w:szCs w:val="21"/>
                    </w:rPr>
                  </w:pPr>
                  <w:r>
                    <w:rPr>
                      <w:rFonts w:eastAsia="Times New Roman"/>
                      <w:color w:val="auto"/>
                      <w:spacing w:val="-5"/>
                      <w:szCs w:val="21"/>
                    </w:rPr>
                    <w:t>1</w:t>
                  </w:r>
                  <w:r>
                    <w:rPr>
                      <w:rFonts w:eastAsia="Times New Roman"/>
                      <w:color w:val="auto"/>
                      <w:spacing w:val="-4"/>
                      <w:szCs w:val="21"/>
                    </w:rPr>
                    <w:t>.85</w:t>
                  </w:r>
                </w:p>
              </w:tc>
              <w:tc>
                <w:tcPr>
                  <w:tcW w:w="1008" w:type="pct"/>
                  <w:gridSpan w:val="3"/>
                  <w:vAlign w:val="center"/>
                </w:tcPr>
                <w:p w14:paraId="0187D2D3">
                  <w:pPr>
                    <w:jc w:val="center"/>
                    <w:rPr>
                      <w:color w:val="auto"/>
                      <w:szCs w:val="21"/>
                    </w:rPr>
                  </w:pPr>
                  <w:r>
                    <w:rPr>
                      <w:rFonts w:eastAsia="Times New Roman"/>
                      <w:color w:val="auto"/>
                      <w:spacing w:val="-5"/>
                      <w:szCs w:val="21"/>
                    </w:rPr>
                    <w:t>1</w:t>
                  </w:r>
                  <w:r>
                    <w:rPr>
                      <w:rFonts w:eastAsia="Times New Roman"/>
                      <w:color w:val="auto"/>
                      <w:spacing w:val="-4"/>
                      <w:szCs w:val="21"/>
                    </w:rPr>
                    <w:t>.79</w:t>
                  </w:r>
                </w:p>
              </w:tc>
              <w:tc>
                <w:tcPr>
                  <w:tcW w:w="965" w:type="pct"/>
                  <w:gridSpan w:val="3"/>
                  <w:vAlign w:val="center"/>
                </w:tcPr>
                <w:p w14:paraId="52AFA857">
                  <w:pPr>
                    <w:jc w:val="center"/>
                    <w:rPr>
                      <w:color w:val="auto"/>
                      <w:szCs w:val="21"/>
                    </w:rPr>
                  </w:pPr>
                  <w:r>
                    <w:rPr>
                      <w:rFonts w:eastAsia="Times New Roman"/>
                      <w:color w:val="auto"/>
                      <w:spacing w:val="-5"/>
                      <w:szCs w:val="21"/>
                    </w:rPr>
                    <w:t>1</w:t>
                  </w:r>
                  <w:r>
                    <w:rPr>
                      <w:rFonts w:eastAsia="Times New Roman"/>
                      <w:color w:val="auto"/>
                      <w:spacing w:val="-4"/>
                      <w:szCs w:val="21"/>
                    </w:rPr>
                    <w:t>.79</w:t>
                  </w:r>
                </w:p>
              </w:tc>
            </w:tr>
            <w:tr w14:paraId="2B65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406EF76D">
                  <w:pPr>
                    <w:pStyle w:val="91"/>
                    <w:ind w:firstLine="0" w:firstLineChars="0"/>
                    <w:jc w:val="center"/>
                    <w:rPr>
                      <w:color w:val="auto"/>
                      <w:sz w:val="21"/>
                      <w:szCs w:val="21"/>
                    </w:rPr>
                  </w:pPr>
                </w:p>
              </w:tc>
              <w:tc>
                <w:tcPr>
                  <w:tcW w:w="1056" w:type="pct"/>
                  <w:vAlign w:val="center"/>
                </w:tcPr>
                <w:p w14:paraId="7C16ED81">
                  <w:pPr>
                    <w:jc w:val="center"/>
                    <w:rPr>
                      <w:color w:val="auto"/>
                      <w:szCs w:val="21"/>
                    </w:rPr>
                  </w:pPr>
                  <w:r>
                    <w:rPr>
                      <w:rFonts w:eastAsia="Times New Roman"/>
                      <w:color w:val="auto"/>
                      <w:spacing w:val="-1"/>
                      <w:szCs w:val="21"/>
                    </w:rPr>
                    <w:t>&gt;</w:t>
                  </w:r>
                  <w:r>
                    <w:rPr>
                      <w:rFonts w:eastAsia="Times New Roman"/>
                      <w:color w:val="auto"/>
                      <w:szCs w:val="21"/>
                    </w:rPr>
                    <w:t>2</w:t>
                  </w:r>
                </w:p>
              </w:tc>
              <w:tc>
                <w:tcPr>
                  <w:tcW w:w="1193" w:type="pct"/>
                  <w:gridSpan w:val="3"/>
                  <w:vAlign w:val="center"/>
                </w:tcPr>
                <w:p w14:paraId="16A2770F">
                  <w:pPr>
                    <w:jc w:val="center"/>
                    <w:rPr>
                      <w:color w:val="auto"/>
                      <w:szCs w:val="21"/>
                    </w:rPr>
                  </w:pPr>
                  <w:r>
                    <w:rPr>
                      <w:rFonts w:eastAsia="Times New Roman"/>
                      <w:color w:val="auto"/>
                      <w:spacing w:val="-5"/>
                      <w:szCs w:val="21"/>
                    </w:rPr>
                    <w:t>1</w:t>
                  </w:r>
                  <w:r>
                    <w:rPr>
                      <w:rFonts w:eastAsia="Times New Roman"/>
                      <w:color w:val="auto"/>
                      <w:spacing w:val="-4"/>
                      <w:szCs w:val="21"/>
                    </w:rPr>
                    <w:t>.85</w:t>
                  </w:r>
                </w:p>
              </w:tc>
              <w:tc>
                <w:tcPr>
                  <w:tcW w:w="1008" w:type="pct"/>
                  <w:gridSpan w:val="3"/>
                  <w:vAlign w:val="center"/>
                </w:tcPr>
                <w:p w14:paraId="71BE4467">
                  <w:pPr>
                    <w:jc w:val="center"/>
                    <w:rPr>
                      <w:color w:val="auto"/>
                      <w:szCs w:val="21"/>
                    </w:rPr>
                  </w:pPr>
                  <w:r>
                    <w:rPr>
                      <w:rFonts w:eastAsia="Times New Roman"/>
                      <w:color w:val="auto"/>
                      <w:spacing w:val="-5"/>
                      <w:szCs w:val="21"/>
                    </w:rPr>
                    <w:t>1</w:t>
                  </w:r>
                  <w:r>
                    <w:rPr>
                      <w:rFonts w:eastAsia="Times New Roman"/>
                      <w:color w:val="auto"/>
                      <w:spacing w:val="-4"/>
                      <w:szCs w:val="21"/>
                    </w:rPr>
                    <w:t>.77</w:t>
                  </w:r>
                </w:p>
              </w:tc>
              <w:tc>
                <w:tcPr>
                  <w:tcW w:w="965" w:type="pct"/>
                  <w:gridSpan w:val="3"/>
                  <w:vAlign w:val="center"/>
                </w:tcPr>
                <w:p w14:paraId="2B5307F9">
                  <w:pPr>
                    <w:jc w:val="center"/>
                    <w:rPr>
                      <w:color w:val="auto"/>
                      <w:szCs w:val="21"/>
                    </w:rPr>
                  </w:pPr>
                  <w:r>
                    <w:rPr>
                      <w:rFonts w:eastAsia="Times New Roman"/>
                      <w:color w:val="auto"/>
                      <w:spacing w:val="-5"/>
                      <w:szCs w:val="21"/>
                    </w:rPr>
                    <w:t>1</w:t>
                  </w:r>
                  <w:r>
                    <w:rPr>
                      <w:rFonts w:eastAsia="Times New Roman"/>
                      <w:color w:val="auto"/>
                      <w:spacing w:val="-4"/>
                      <w:szCs w:val="21"/>
                    </w:rPr>
                    <w:t>.77</w:t>
                  </w:r>
                </w:p>
              </w:tc>
            </w:tr>
            <w:tr w14:paraId="1E1DB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restart"/>
                  <w:vAlign w:val="center"/>
                </w:tcPr>
                <w:p w14:paraId="769005CC">
                  <w:pPr>
                    <w:pStyle w:val="91"/>
                    <w:ind w:firstLine="0" w:firstLineChars="0"/>
                    <w:jc w:val="center"/>
                    <w:rPr>
                      <w:color w:val="auto"/>
                      <w:sz w:val="21"/>
                      <w:szCs w:val="21"/>
                    </w:rPr>
                  </w:pPr>
                  <w:r>
                    <w:rPr>
                      <w:rFonts w:hint="eastAsia"/>
                      <w:color w:val="auto"/>
                      <w:sz w:val="21"/>
                      <w:szCs w:val="21"/>
                    </w:rPr>
                    <w:t>D</w:t>
                  </w:r>
                </w:p>
              </w:tc>
              <w:tc>
                <w:tcPr>
                  <w:tcW w:w="1056" w:type="pct"/>
                  <w:vAlign w:val="center"/>
                </w:tcPr>
                <w:p w14:paraId="0E3B5EAB">
                  <w:pPr>
                    <w:jc w:val="center"/>
                    <w:rPr>
                      <w:color w:val="auto"/>
                      <w:szCs w:val="21"/>
                    </w:rPr>
                  </w:pPr>
                  <w:r>
                    <w:rPr>
                      <w:rFonts w:eastAsia="Times New Roman"/>
                      <w:color w:val="auto"/>
                      <w:spacing w:val="-1"/>
                      <w:szCs w:val="21"/>
                    </w:rPr>
                    <w:t>&lt;</w:t>
                  </w:r>
                  <w:r>
                    <w:rPr>
                      <w:rFonts w:eastAsia="Times New Roman"/>
                      <w:color w:val="auto"/>
                      <w:szCs w:val="21"/>
                    </w:rPr>
                    <w:t>2</w:t>
                  </w:r>
                </w:p>
              </w:tc>
              <w:tc>
                <w:tcPr>
                  <w:tcW w:w="1193" w:type="pct"/>
                  <w:gridSpan w:val="3"/>
                  <w:vAlign w:val="center"/>
                </w:tcPr>
                <w:p w14:paraId="16AB8DD5">
                  <w:pPr>
                    <w:jc w:val="center"/>
                    <w:rPr>
                      <w:color w:val="auto"/>
                    </w:rPr>
                  </w:pPr>
                  <w:r>
                    <w:rPr>
                      <w:rFonts w:hint="eastAsia"/>
                      <w:color w:val="auto"/>
                    </w:rPr>
                    <w:t>0.78</w:t>
                  </w:r>
                </w:p>
              </w:tc>
              <w:tc>
                <w:tcPr>
                  <w:tcW w:w="1008" w:type="pct"/>
                  <w:gridSpan w:val="3"/>
                  <w:vAlign w:val="center"/>
                </w:tcPr>
                <w:p w14:paraId="4E6CD156">
                  <w:pPr>
                    <w:jc w:val="center"/>
                    <w:rPr>
                      <w:color w:val="auto"/>
                    </w:rPr>
                  </w:pPr>
                  <w:r>
                    <w:rPr>
                      <w:rFonts w:hint="eastAsia"/>
                      <w:color w:val="auto"/>
                    </w:rPr>
                    <w:t>0.78</w:t>
                  </w:r>
                </w:p>
              </w:tc>
              <w:tc>
                <w:tcPr>
                  <w:tcW w:w="965" w:type="pct"/>
                  <w:gridSpan w:val="3"/>
                  <w:vAlign w:val="center"/>
                </w:tcPr>
                <w:p w14:paraId="3FA7A97B">
                  <w:pPr>
                    <w:jc w:val="center"/>
                    <w:rPr>
                      <w:color w:val="auto"/>
                    </w:rPr>
                  </w:pPr>
                  <w:r>
                    <w:rPr>
                      <w:rFonts w:hint="eastAsia"/>
                      <w:color w:val="auto"/>
                    </w:rPr>
                    <w:t>0.57</w:t>
                  </w:r>
                </w:p>
              </w:tc>
            </w:tr>
            <w:tr w14:paraId="5F30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vAlign w:val="center"/>
                </w:tcPr>
                <w:p w14:paraId="7582493C">
                  <w:pPr>
                    <w:pStyle w:val="91"/>
                    <w:ind w:firstLine="0" w:firstLineChars="0"/>
                    <w:jc w:val="center"/>
                    <w:rPr>
                      <w:color w:val="auto"/>
                      <w:sz w:val="21"/>
                      <w:szCs w:val="21"/>
                    </w:rPr>
                  </w:pPr>
                </w:p>
              </w:tc>
              <w:tc>
                <w:tcPr>
                  <w:tcW w:w="1056" w:type="pct"/>
                  <w:vAlign w:val="center"/>
                </w:tcPr>
                <w:p w14:paraId="22407464">
                  <w:pPr>
                    <w:jc w:val="center"/>
                    <w:rPr>
                      <w:color w:val="auto"/>
                      <w:szCs w:val="21"/>
                    </w:rPr>
                  </w:pPr>
                  <w:r>
                    <w:rPr>
                      <w:rFonts w:eastAsia="Times New Roman"/>
                      <w:color w:val="auto"/>
                      <w:spacing w:val="34"/>
                      <w:szCs w:val="21"/>
                    </w:rPr>
                    <w:t>&gt;2</w:t>
                  </w:r>
                </w:p>
              </w:tc>
              <w:tc>
                <w:tcPr>
                  <w:tcW w:w="1193" w:type="pct"/>
                  <w:gridSpan w:val="3"/>
                  <w:vAlign w:val="center"/>
                </w:tcPr>
                <w:p w14:paraId="1DBDE1E5">
                  <w:pPr>
                    <w:jc w:val="center"/>
                    <w:rPr>
                      <w:color w:val="auto"/>
                    </w:rPr>
                  </w:pPr>
                  <w:r>
                    <w:rPr>
                      <w:rFonts w:hint="eastAsia"/>
                      <w:color w:val="auto"/>
                    </w:rPr>
                    <w:t>0.84</w:t>
                  </w:r>
                </w:p>
              </w:tc>
              <w:tc>
                <w:tcPr>
                  <w:tcW w:w="1008" w:type="pct"/>
                  <w:gridSpan w:val="3"/>
                  <w:vAlign w:val="center"/>
                </w:tcPr>
                <w:p w14:paraId="188FBF32">
                  <w:pPr>
                    <w:jc w:val="center"/>
                    <w:rPr>
                      <w:color w:val="auto"/>
                    </w:rPr>
                  </w:pPr>
                  <w:r>
                    <w:rPr>
                      <w:rFonts w:hint="eastAsia"/>
                      <w:color w:val="auto"/>
                    </w:rPr>
                    <w:t>0.84</w:t>
                  </w:r>
                </w:p>
              </w:tc>
              <w:tc>
                <w:tcPr>
                  <w:tcW w:w="965" w:type="pct"/>
                  <w:gridSpan w:val="3"/>
                  <w:vAlign w:val="center"/>
                </w:tcPr>
                <w:p w14:paraId="5DA6B30F">
                  <w:pPr>
                    <w:jc w:val="center"/>
                    <w:rPr>
                      <w:color w:val="auto"/>
                    </w:rPr>
                  </w:pPr>
                  <w:r>
                    <w:rPr>
                      <w:rFonts w:hint="eastAsia"/>
                      <w:color w:val="auto"/>
                    </w:rPr>
                    <w:t>0.76</w:t>
                  </w:r>
                </w:p>
              </w:tc>
            </w:tr>
            <w:tr w14:paraId="45F98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1"/>
                  <w:vAlign w:val="center"/>
                </w:tcPr>
                <w:p w14:paraId="5764453F">
                  <w:pPr>
                    <w:rPr>
                      <w:color w:val="auto"/>
                    </w:rPr>
                  </w:pPr>
                  <w:r>
                    <w:rPr>
                      <w:rFonts w:hint="eastAsia"/>
                      <w:color w:val="auto"/>
                    </w:rPr>
                    <w:t>注：工业企业大气污染源构成分为三类：</w:t>
                  </w:r>
                </w:p>
                <w:p w14:paraId="3CC17520">
                  <w:pPr>
                    <w:rPr>
                      <w:color w:val="auto"/>
                    </w:rPr>
                  </w:pPr>
                  <w:r>
                    <w:rPr>
                      <w:rFonts w:hint="eastAsia"/>
                      <w:color w:val="auto"/>
                    </w:rPr>
                    <w:t>Ⅰ类：与无组织排放源共存的排放同种有害气体的排气筒的排放量，大于或等于标准规定的允许排放量的1/3者。</w:t>
                  </w:r>
                </w:p>
                <w:p w14:paraId="64B73466">
                  <w:pPr>
                    <w:rPr>
                      <w:color w:val="auto"/>
                    </w:rPr>
                  </w:pPr>
                  <w:r>
                    <w:rPr>
                      <w:rFonts w:hint="eastAsia"/>
                      <w:color w:val="auto"/>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63621CD9">
                  <w:pPr>
                    <w:rPr>
                      <w:color w:val="auto"/>
                    </w:rPr>
                  </w:pPr>
                  <w:r>
                    <w:rPr>
                      <w:rFonts w:hint="eastAsia"/>
                      <w:color w:val="auto"/>
                    </w:rPr>
                    <w:t>Ⅲ类：无排放同种有害物质的排气筒与无组织排放源共存，但无组织排放的有害物质的容许浓度是按慢性反应指标确定者。</w:t>
                  </w:r>
                </w:p>
              </w:tc>
            </w:tr>
          </w:tbl>
          <w:p w14:paraId="115539A4">
            <w:pPr>
              <w:adjustRightInd w:val="0"/>
              <w:snapToGrid w:val="0"/>
              <w:spacing w:line="312" w:lineRule="auto"/>
              <w:ind w:firstLine="480" w:firstLineChars="200"/>
              <w:rPr>
                <w:bCs/>
                <w:color w:val="auto"/>
                <w:sz w:val="24"/>
              </w:rPr>
            </w:pPr>
            <w:r>
              <w:rPr>
                <w:rFonts w:hint="eastAsia"/>
                <w:bCs/>
                <w:color w:val="auto"/>
                <w:sz w:val="24"/>
              </w:rPr>
              <w:t>等效半径根据下式计算：</w:t>
            </w:r>
          </w:p>
          <w:p w14:paraId="0D91117D">
            <w:pPr>
              <w:pStyle w:val="91"/>
              <w:ind w:firstLine="0" w:firstLineChars="0"/>
              <w:jc w:val="center"/>
              <w:rPr>
                <w:color w:val="auto"/>
              </w:rPr>
            </w:pPr>
            <w:r>
              <w:rPr>
                <w:color w:val="auto"/>
              </w:rPr>
              <w:drawing>
                <wp:inline distT="0" distB="0" distL="114300" distR="114300">
                  <wp:extent cx="1130935" cy="403860"/>
                  <wp:effectExtent l="0" t="0" r="12065" b="254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40"/>
                          <a:stretch>
                            <a:fillRect/>
                          </a:stretch>
                        </pic:blipFill>
                        <pic:spPr>
                          <a:xfrm>
                            <a:off x="0" y="0"/>
                            <a:ext cx="1130935" cy="403860"/>
                          </a:xfrm>
                          <a:prstGeom prst="rect">
                            <a:avLst/>
                          </a:prstGeom>
                          <a:noFill/>
                          <a:ln>
                            <a:noFill/>
                          </a:ln>
                        </pic:spPr>
                      </pic:pic>
                    </a:graphicData>
                  </a:graphic>
                </wp:inline>
              </w:drawing>
            </w:r>
          </w:p>
          <w:p w14:paraId="115891C6">
            <w:pPr>
              <w:adjustRightInd w:val="0"/>
              <w:snapToGrid w:val="0"/>
              <w:spacing w:line="312" w:lineRule="auto"/>
              <w:ind w:firstLine="480" w:firstLineChars="200"/>
              <w:rPr>
                <w:bCs/>
                <w:color w:val="auto"/>
                <w:sz w:val="24"/>
              </w:rPr>
            </w:pPr>
            <w:r>
              <w:rPr>
                <w:rFonts w:hint="eastAsia"/>
                <w:bCs/>
                <w:color w:val="auto"/>
                <w:sz w:val="24"/>
              </w:rPr>
              <w:t>项目生产单元占地面积3900m</w:t>
            </w:r>
            <w:r>
              <w:rPr>
                <w:rFonts w:hint="eastAsia"/>
                <w:bCs/>
                <w:color w:val="auto"/>
                <w:sz w:val="24"/>
                <w:vertAlign w:val="superscript"/>
              </w:rPr>
              <w:t>2</w:t>
            </w:r>
            <w:r>
              <w:rPr>
                <w:rFonts w:hint="eastAsia"/>
                <w:bCs/>
                <w:color w:val="auto"/>
                <w:sz w:val="24"/>
              </w:rPr>
              <w:t>，计算得出等效半径35.23m。</w:t>
            </w:r>
          </w:p>
          <w:p w14:paraId="0DDD1699">
            <w:pPr>
              <w:adjustRightInd w:val="0"/>
              <w:snapToGrid w:val="0"/>
              <w:spacing w:line="312" w:lineRule="auto"/>
              <w:ind w:firstLine="480" w:firstLineChars="200"/>
              <w:rPr>
                <w:bCs/>
                <w:color w:val="auto"/>
                <w:sz w:val="24"/>
              </w:rPr>
            </w:pPr>
            <w:r>
              <w:rPr>
                <w:rFonts w:hint="eastAsia"/>
                <w:bCs/>
                <w:color w:val="auto"/>
                <w:sz w:val="24"/>
              </w:rPr>
              <w:t>项目所在地区近5年平均风速为1.8m/s，且大气污染源属于Ⅱ类，项目卫生防护距离初值计算系数详见下表：</w:t>
            </w:r>
          </w:p>
          <w:p w14:paraId="75B8B1DD">
            <w:pPr>
              <w:pStyle w:val="77"/>
              <w:numPr>
                <w:ilvl w:val="0"/>
                <w:numId w:val="18"/>
              </w:numPr>
              <w:adjustRightInd w:val="0"/>
              <w:snapToGrid w:val="0"/>
              <w:jc w:val="center"/>
              <w:rPr>
                <w:b/>
                <w:bCs/>
                <w:color w:val="auto"/>
                <w:szCs w:val="21"/>
              </w:rPr>
            </w:pPr>
            <w:r>
              <w:rPr>
                <w:rFonts w:hint="eastAsia"/>
                <w:b/>
                <w:bCs/>
                <w:color w:val="auto"/>
                <w:szCs w:val="21"/>
              </w:rPr>
              <w:t xml:space="preserve"> 卫生防护距离初值计算系数选取</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4"/>
              <w:gridCol w:w="2985"/>
              <w:gridCol w:w="2284"/>
              <w:gridCol w:w="1174"/>
              <w:gridCol w:w="1110"/>
              <w:gridCol w:w="1097"/>
              <w:gridCol w:w="965"/>
            </w:tblGrid>
            <w:tr w14:paraId="38BC8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vMerge w:val="restart"/>
                  <w:vAlign w:val="center"/>
                </w:tcPr>
                <w:p w14:paraId="498C53A9">
                  <w:pPr>
                    <w:adjustRightInd w:val="0"/>
                    <w:snapToGrid w:val="0"/>
                    <w:jc w:val="center"/>
                    <w:rPr>
                      <w:b/>
                      <w:color w:val="auto"/>
                      <w:szCs w:val="21"/>
                    </w:rPr>
                  </w:pPr>
                  <w:r>
                    <w:rPr>
                      <w:rFonts w:hint="eastAsia"/>
                      <w:b/>
                      <w:color w:val="auto"/>
                      <w:szCs w:val="21"/>
                    </w:rPr>
                    <w:t>计算参数</w:t>
                  </w:r>
                </w:p>
              </w:tc>
              <w:tc>
                <w:tcPr>
                  <w:tcW w:w="1396" w:type="pct"/>
                  <w:vAlign w:val="center"/>
                </w:tcPr>
                <w:p w14:paraId="27725549">
                  <w:pPr>
                    <w:adjustRightInd w:val="0"/>
                    <w:snapToGrid w:val="0"/>
                    <w:jc w:val="center"/>
                    <w:rPr>
                      <w:b/>
                      <w:color w:val="auto"/>
                      <w:szCs w:val="21"/>
                    </w:rPr>
                  </w:pPr>
                  <w:r>
                    <w:rPr>
                      <w:rFonts w:hint="eastAsia"/>
                      <w:b/>
                      <w:color w:val="auto"/>
                      <w:szCs w:val="21"/>
                    </w:rPr>
                    <w:t>工业企业所在地区近5年平均风速/（m/s）</w:t>
                  </w:r>
                </w:p>
              </w:tc>
              <w:tc>
                <w:tcPr>
                  <w:tcW w:w="1068" w:type="pct"/>
                  <w:vAlign w:val="center"/>
                </w:tcPr>
                <w:p w14:paraId="683E91A8">
                  <w:pPr>
                    <w:adjustRightInd w:val="0"/>
                    <w:snapToGrid w:val="0"/>
                    <w:jc w:val="center"/>
                    <w:rPr>
                      <w:b/>
                      <w:color w:val="auto"/>
                      <w:szCs w:val="21"/>
                    </w:rPr>
                  </w:pPr>
                  <w:r>
                    <w:rPr>
                      <w:rFonts w:hint="eastAsia"/>
                      <w:b/>
                      <w:color w:val="auto"/>
                      <w:szCs w:val="21"/>
                    </w:rPr>
                    <w:t>工业企业大气污染源构成类别</w:t>
                  </w:r>
                </w:p>
              </w:tc>
              <w:tc>
                <w:tcPr>
                  <w:tcW w:w="549" w:type="pct"/>
                  <w:vAlign w:val="center"/>
                </w:tcPr>
                <w:p w14:paraId="4366C674">
                  <w:pPr>
                    <w:adjustRightInd w:val="0"/>
                    <w:snapToGrid w:val="0"/>
                    <w:jc w:val="center"/>
                    <w:rPr>
                      <w:b/>
                      <w:color w:val="auto"/>
                      <w:szCs w:val="21"/>
                    </w:rPr>
                  </w:pPr>
                  <w:r>
                    <w:rPr>
                      <w:rFonts w:hint="eastAsia"/>
                      <w:b/>
                      <w:color w:val="auto"/>
                      <w:szCs w:val="21"/>
                    </w:rPr>
                    <w:t>A</w:t>
                  </w:r>
                </w:p>
              </w:tc>
              <w:tc>
                <w:tcPr>
                  <w:tcW w:w="519" w:type="pct"/>
                  <w:vAlign w:val="center"/>
                </w:tcPr>
                <w:p w14:paraId="58D8239C">
                  <w:pPr>
                    <w:adjustRightInd w:val="0"/>
                    <w:snapToGrid w:val="0"/>
                    <w:jc w:val="center"/>
                    <w:rPr>
                      <w:b/>
                      <w:color w:val="auto"/>
                      <w:szCs w:val="21"/>
                    </w:rPr>
                  </w:pPr>
                  <w:r>
                    <w:rPr>
                      <w:rFonts w:hint="eastAsia"/>
                      <w:b/>
                      <w:color w:val="auto"/>
                      <w:szCs w:val="21"/>
                    </w:rPr>
                    <w:t>B</w:t>
                  </w:r>
                </w:p>
              </w:tc>
              <w:tc>
                <w:tcPr>
                  <w:tcW w:w="513" w:type="pct"/>
                  <w:vAlign w:val="center"/>
                </w:tcPr>
                <w:p w14:paraId="76DAFED8">
                  <w:pPr>
                    <w:adjustRightInd w:val="0"/>
                    <w:snapToGrid w:val="0"/>
                    <w:jc w:val="center"/>
                    <w:rPr>
                      <w:b/>
                      <w:color w:val="auto"/>
                      <w:szCs w:val="21"/>
                    </w:rPr>
                  </w:pPr>
                  <w:r>
                    <w:rPr>
                      <w:rFonts w:hint="eastAsia"/>
                      <w:b/>
                      <w:color w:val="auto"/>
                      <w:szCs w:val="21"/>
                    </w:rPr>
                    <w:t>C</w:t>
                  </w:r>
                </w:p>
              </w:tc>
              <w:tc>
                <w:tcPr>
                  <w:tcW w:w="451" w:type="pct"/>
                  <w:vAlign w:val="center"/>
                </w:tcPr>
                <w:p w14:paraId="4A6FA93E">
                  <w:pPr>
                    <w:adjustRightInd w:val="0"/>
                    <w:snapToGrid w:val="0"/>
                    <w:jc w:val="center"/>
                    <w:rPr>
                      <w:b/>
                      <w:color w:val="auto"/>
                      <w:szCs w:val="21"/>
                    </w:rPr>
                  </w:pPr>
                  <w:r>
                    <w:rPr>
                      <w:rFonts w:hint="eastAsia"/>
                      <w:b/>
                      <w:color w:val="auto"/>
                      <w:szCs w:val="21"/>
                    </w:rPr>
                    <w:t>D</w:t>
                  </w:r>
                </w:p>
              </w:tc>
            </w:tr>
            <w:tr w14:paraId="3F77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vMerge w:val="continue"/>
                  <w:vAlign w:val="center"/>
                </w:tcPr>
                <w:p w14:paraId="332B0F41">
                  <w:pPr>
                    <w:adjustRightInd w:val="0"/>
                    <w:snapToGrid w:val="0"/>
                    <w:jc w:val="center"/>
                    <w:rPr>
                      <w:bCs/>
                      <w:color w:val="auto"/>
                      <w:szCs w:val="21"/>
                    </w:rPr>
                  </w:pPr>
                </w:p>
              </w:tc>
              <w:tc>
                <w:tcPr>
                  <w:tcW w:w="1396" w:type="pct"/>
                  <w:vAlign w:val="center"/>
                </w:tcPr>
                <w:p w14:paraId="15F4EF55">
                  <w:pPr>
                    <w:adjustRightInd w:val="0"/>
                    <w:snapToGrid w:val="0"/>
                    <w:jc w:val="center"/>
                    <w:rPr>
                      <w:bCs/>
                      <w:color w:val="auto"/>
                      <w:szCs w:val="21"/>
                    </w:rPr>
                  </w:pPr>
                  <w:r>
                    <w:rPr>
                      <w:rFonts w:hint="eastAsia"/>
                      <w:bCs/>
                      <w:color w:val="auto"/>
                      <w:szCs w:val="21"/>
                    </w:rPr>
                    <w:t>1.8</w:t>
                  </w:r>
                </w:p>
              </w:tc>
              <w:tc>
                <w:tcPr>
                  <w:tcW w:w="1068" w:type="pct"/>
                  <w:vAlign w:val="center"/>
                </w:tcPr>
                <w:p w14:paraId="708E44A0">
                  <w:pPr>
                    <w:adjustRightInd w:val="0"/>
                    <w:snapToGrid w:val="0"/>
                    <w:jc w:val="center"/>
                    <w:rPr>
                      <w:bCs/>
                      <w:color w:val="auto"/>
                      <w:szCs w:val="21"/>
                    </w:rPr>
                  </w:pPr>
                  <w:r>
                    <w:rPr>
                      <w:color w:val="auto"/>
                    </w:rPr>
                    <w:t>Ⅱ</w:t>
                  </w:r>
                </w:p>
              </w:tc>
              <w:tc>
                <w:tcPr>
                  <w:tcW w:w="549" w:type="pct"/>
                  <w:vAlign w:val="center"/>
                </w:tcPr>
                <w:p w14:paraId="1CEBA989">
                  <w:pPr>
                    <w:adjustRightInd w:val="0"/>
                    <w:snapToGrid w:val="0"/>
                    <w:jc w:val="center"/>
                    <w:rPr>
                      <w:bCs/>
                      <w:color w:val="auto"/>
                      <w:szCs w:val="21"/>
                    </w:rPr>
                  </w:pPr>
                  <w:r>
                    <w:rPr>
                      <w:rFonts w:hint="eastAsia"/>
                      <w:bCs/>
                      <w:color w:val="auto"/>
                      <w:szCs w:val="21"/>
                    </w:rPr>
                    <w:t>400</w:t>
                  </w:r>
                </w:p>
              </w:tc>
              <w:tc>
                <w:tcPr>
                  <w:tcW w:w="519" w:type="pct"/>
                  <w:vAlign w:val="center"/>
                </w:tcPr>
                <w:p w14:paraId="17D3A68B">
                  <w:pPr>
                    <w:adjustRightInd w:val="0"/>
                    <w:snapToGrid w:val="0"/>
                    <w:jc w:val="center"/>
                    <w:rPr>
                      <w:bCs/>
                      <w:color w:val="auto"/>
                      <w:szCs w:val="21"/>
                    </w:rPr>
                  </w:pPr>
                  <w:r>
                    <w:rPr>
                      <w:rFonts w:hint="eastAsia"/>
                      <w:bCs/>
                      <w:color w:val="auto"/>
                      <w:szCs w:val="21"/>
                    </w:rPr>
                    <w:t>0.01</w:t>
                  </w:r>
                </w:p>
              </w:tc>
              <w:tc>
                <w:tcPr>
                  <w:tcW w:w="513" w:type="pct"/>
                  <w:vAlign w:val="center"/>
                </w:tcPr>
                <w:p w14:paraId="2DA8D7B2">
                  <w:pPr>
                    <w:adjustRightInd w:val="0"/>
                    <w:snapToGrid w:val="0"/>
                    <w:jc w:val="center"/>
                    <w:rPr>
                      <w:bCs/>
                      <w:color w:val="auto"/>
                      <w:szCs w:val="21"/>
                    </w:rPr>
                  </w:pPr>
                  <w:r>
                    <w:rPr>
                      <w:rFonts w:hint="eastAsia"/>
                      <w:bCs/>
                      <w:color w:val="auto"/>
                      <w:szCs w:val="21"/>
                    </w:rPr>
                    <w:t>1.85</w:t>
                  </w:r>
                </w:p>
              </w:tc>
              <w:tc>
                <w:tcPr>
                  <w:tcW w:w="451" w:type="pct"/>
                  <w:vAlign w:val="center"/>
                </w:tcPr>
                <w:p w14:paraId="4167A028">
                  <w:pPr>
                    <w:adjustRightInd w:val="0"/>
                    <w:snapToGrid w:val="0"/>
                    <w:jc w:val="center"/>
                    <w:rPr>
                      <w:bCs/>
                      <w:color w:val="auto"/>
                      <w:szCs w:val="21"/>
                    </w:rPr>
                  </w:pPr>
                  <w:r>
                    <w:rPr>
                      <w:rFonts w:hint="eastAsia"/>
                      <w:bCs/>
                      <w:color w:val="auto"/>
                      <w:szCs w:val="21"/>
                    </w:rPr>
                    <w:t>0.78</w:t>
                  </w:r>
                </w:p>
              </w:tc>
            </w:tr>
          </w:tbl>
          <w:p w14:paraId="75BA2620">
            <w:pPr>
              <w:adjustRightInd w:val="0"/>
              <w:snapToGrid w:val="0"/>
              <w:spacing w:line="312" w:lineRule="auto"/>
              <w:ind w:firstLine="480" w:firstLineChars="200"/>
              <w:rPr>
                <w:bCs/>
                <w:color w:val="auto"/>
                <w:sz w:val="24"/>
              </w:rPr>
            </w:pPr>
          </w:p>
          <w:p w14:paraId="01558779">
            <w:pPr>
              <w:adjustRightInd w:val="0"/>
              <w:snapToGrid w:val="0"/>
              <w:spacing w:line="312" w:lineRule="auto"/>
              <w:ind w:firstLine="480" w:firstLineChars="200"/>
              <w:rPr>
                <w:bCs/>
                <w:color w:val="auto"/>
                <w:sz w:val="24"/>
              </w:rPr>
            </w:pPr>
          </w:p>
          <w:p w14:paraId="493AEB86">
            <w:pPr>
              <w:adjustRightInd w:val="0"/>
              <w:snapToGrid w:val="0"/>
              <w:spacing w:line="312" w:lineRule="auto"/>
              <w:ind w:firstLine="480" w:firstLineChars="200"/>
              <w:rPr>
                <w:bCs/>
                <w:color w:val="auto"/>
                <w:sz w:val="24"/>
              </w:rPr>
            </w:pPr>
            <w:r>
              <w:rPr>
                <w:rFonts w:hint="eastAsia"/>
                <w:bCs/>
                <w:color w:val="auto"/>
                <w:sz w:val="24"/>
              </w:rPr>
              <w:t>项目卫生防护距离初值计算详见下表：</w:t>
            </w:r>
          </w:p>
          <w:p w14:paraId="746A40DB">
            <w:pPr>
              <w:pStyle w:val="77"/>
              <w:numPr>
                <w:ilvl w:val="0"/>
                <w:numId w:val="18"/>
              </w:numPr>
              <w:adjustRightInd w:val="0"/>
              <w:snapToGrid w:val="0"/>
              <w:jc w:val="center"/>
              <w:rPr>
                <w:b/>
                <w:bCs/>
                <w:color w:val="auto"/>
                <w:szCs w:val="21"/>
              </w:rPr>
            </w:pPr>
            <w:r>
              <w:rPr>
                <w:rFonts w:hint="eastAsia"/>
                <w:b/>
                <w:bCs/>
                <w:color w:val="auto"/>
                <w:szCs w:val="21"/>
              </w:rPr>
              <w:t xml:space="preserve"> 卫生防护距离初值计算</w:t>
            </w:r>
          </w:p>
          <w:tbl>
            <w:tblPr>
              <w:tblStyle w:val="3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7"/>
              <w:gridCol w:w="2137"/>
              <w:gridCol w:w="2139"/>
              <w:gridCol w:w="2139"/>
              <w:gridCol w:w="2139"/>
            </w:tblGrid>
            <w:tr w14:paraId="3CF67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14:paraId="2B46FA4F">
                  <w:pPr>
                    <w:adjustRightInd w:val="0"/>
                    <w:snapToGrid w:val="0"/>
                    <w:jc w:val="center"/>
                    <w:rPr>
                      <w:b/>
                      <w:color w:val="auto"/>
                      <w:szCs w:val="21"/>
                    </w:rPr>
                  </w:pPr>
                  <w:r>
                    <w:rPr>
                      <w:rFonts w:hint="eastAsia"/>
                      <w:b/>
                      <w:color w:val="auto"/>
                      <w:szCs w:val="21"/>
                    </w:rPr>
                    <w:t>污染物</w:t>
                  </w:r>
                </w:p>
              </w:tc>
              <w:tc>
                <w:tcPr>
                  <w:tcW w:w="999" w:type="pct"/>
                  <w:vAlign w:val="center"/>
                </w:tcPr>
                <w:p w14:paraId="5CFD8024">
                  <w:pPr>
                    <w:adjustRightInd w:val="0"/>
                    <w:snapToGrid w:val="0"/>
                    <w:jc w:val="center"/>
                    <w:rPr>
                      <w:b/>
                      <w:color w:val="auto"/>
                      <w:szCs w:val="21"/>
                    </w:rPr>
                  </w:pPr>
                  <w:r>
                    <w:rPr>
                      <w:rFonts w:hint="eastAsia"/>
                      <w:b/>
                      <w:color w:val="auto"/>
                      <w:szCs w:val="21"/>
                    </w:rPr>
                    <w:t>Q</w:t>
                  </w:r>
                  <w:r>
                    <w:rPr>
                      <w:rFonts w:hint="eastAsia"/>
                      <w:b/>
                      <w:color w:val="auto"/>
                      <w:szCs w:val="21"/>
                      <w:vertAlign w:val="subscript"/>
                    </w:rPr>
                    <w:t>c</w:t>
                  </w:r>
                  <w:r>
                    <w:rPr>
                      <w:rFonts w:hint="eastAsia"/>
                      <w:b/>
                      <w:color w:val="auto"/>
                      <w:szCs w:val="21"/>
                    </w:rPr>
                    <w:t>（kg/h）</w:t>
                  </w:r>
                </w:p>
              </w:tc>
              <w:tc>
                <w:tcPr>
                  <w:tcW w:w="1000" w:type="pct"/>
                  <w:vAlign w:val="center"/>
                </w:tcPr>
                <w:p w14:paraId="0429BDF2">
                  <w:pPr>
                    <w:adjustRightInd w:val="0"/>
                    <w:snapToGrid w:val="0"/>
                    <w:jc w:val="center"/>
                    <w:rPr>
                      <w:b/>
                      <w:color w:val="auto"/>
                      <w:szCs w:val="21"/>
                    </w:rPr>
                  </w:pPr>
                  <w:r>
                    <w:rPr>
                      <w:rFonts w:hint="eastAsia"/>
                      <w:b/>
                      <w:color w:val="auto"/>
                      <w:szCs w:val="21"/>
                    </w:rPr>
                    <w:t>C</w:t>
                  </w:r>
                  <w:r>
                    <w:rPr>
                      <w:rFonts w:hint="eastAsia"/>
                      <w:b/>
                      <w:color w:val="auto"/>
                      <w:szCs w:val="21"/>
                      <w:vertAlign w:val="subscript"/>
                    </w:rPr>
                    <w:t>m</w:t>
                  </w:r>
                  <w:r>
                    <w:rPr>
                      <w:rFonts w:hint="eastAsia"/>
                      <w:b/>
                      <w:color w:val="auto"/>
                      <w:szCs w:val="21"/>
                    </w:rPr>
                    <w:t>（mg/m</w:t>
                  </w:r>
                  <w:r>
                    <w:rPr>
                      <w:rFonts w:hint="eastAsia"/>
                      <w:b/>
                      <w:color w:val="auto"/>
                      <w:szCs w:val="21"/>
                      <w:vertAlign w:val="superscript"/>
                    </w:rPr>
                    <w:t>3</w:t>
                  </w:r>
                  <w:r>
                    <w:rPr>
                      <w:rFonts w:hint="eastAsia"/>
                      <w:b/>
                      <w:color w:val="auto"/>
                      <w:szCs w:val="21"/>
                    </w:rPr>
                    <w:t>）</w:t>
                  </w:r>
                </w:p>
              </w:tc>
              <w:tc>
                <w:tcPr>
                  <w:tcW w:w="1000" w:type="pct"/>
                  <w:vAlign w:val="center"/>
                </w:tcPr>
                <w:p w14:paraId="5068B0B9">
                  <w:pPr>
                    <w:adjustRightInd w:val="0"/>
                    <w:snapToGrid w:val="0"/>
                    <w:jc w:val="center"/>
                    <w:rPr>
                      <w:b/>
                      <w:color w:val="auto"/>
                      <w:szCs w:val="21"/>
                    </w:rPr>
                  </w:pPr>
                  <w:r>
                    <w:rPr>
                      <w:rFonts w:hint="eastAsia"/>
                      <w:b/>
                      <w:color w:val="auto"/>
                      <w:szCs w:val="21"/>
                    </w:rPr>
                    <w:t>r（m）</w:t>
                  </w:r>
                </w:p>
              </w:tc>
              <w:tc>
                <w:tcPr>
                  <w:tcW w:w="1000" w:type="pct"/>
                  <w:vAlign w:val="center"/>
                </w:tcPr>
                <w:p w14:paraId="5B5091CE">
                  <w:pPr>
                    <w:adjustRightInd w:val="0"/>
                    <w:snapToGrid w:val="0"/>
                    <w:jc w:val="center"/>
                    <w:rPr>
                      <w:b/>
                      <w:color w:val="auto"/>
                      <w:szCs w:val="21"/>
                    </w:rPr>
                  </w:pPr>
                  <w:r>
                    <w:rPr>
                      <w:rFonts w:hint="eastAsia"/>
                      <w:b/>
                      <w:color w:val="auto"/>
                      <w:szCs w:val="21"/>
                    </w:rPr>
                    <w:t>卫生防护距离初值（m）</w:t>
                  </w:r>
                </w:p>
              </w:tc>
            </w:tr>
            <w:tr w14:paraId="650BB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999" w:type="pct"/>
                  <w:vAlign w:val="center"/>
                </w:tcPr>
                <w:p w14:paraId="56EEC9C1">
                  <w:pPr>
                    <w:adjustRightInd w:val="0"/>
                    <w:snapToGrid w:val="0"/>
                    <w:jc w:val="center"/>
                    <w:rPr>
                      <w:bCs/>
                      <w:color w:val="auto"/>
                      <w:szCs w:val="21"/>
                    </w:rPr>
                  </w:pPr>
                  <w:r>
                    <w:rPr>
                      <w:rFonts w:hint="eastAsia"/>
                      <w:bCs/>
                      <w:color w:val="auto"/>
                      <w:szCs w:val="21"/>
                    </w:rPr>
                    <w:t>颗粒物</w:t>
                  </w:r>
                </w:p>
              </w:tc>
              <w:tc>
                <w:tcPr>
                  <w:tcW w:w="999" w:type="pct"/>
                  <w:vAlign w:val="center"/>
                </w:tcPr>
                <w:p w14:paraId="21BEE2C8">
                  <w:pPr>
                    <w:adjustRightInd w:val="0"/>
                    <w:snapToGrid w:val="0"/>
                    <w:jc w:val="center"/>
                    <w:rPr>
                      <w:bCs/>
                      <w:color w:val="auto"/>
                      <w:szCs w:val="21"/>
                    </w:rPr>
                  </w:pPr>
                  <w:r>
                    <w:rPr>
                      <w:color w:val="auto"/>
                      <w:kern w:val="0"/>
                      <w:szCs w:val="21"/>
                      <w:lang w:bidi="ar"/>
                    </w:rPr>
                    <w:t>0.26454</w:t>
                  </w:r>
                </w:p>
              </w:tc>
              <w:tc>
                <w:tcPr>
                  <w:tcW w:w="1000" w:type="pct"/>
                  <w:vAlign w:val="center"/>
                </w:tcPr>
                <w:p w14:paraId="330EDB30">
                  <w:pPr>
                    <w:adjustRightInd w:val="0"/>
                    <w:snapToGrid w:val="0"/>
                    <w:jc w:val="center"/>
                    <w:rPr>
                      <w:bCs/>
                      <w:color w:val="auto"/>
                      <w:szCs w:val="21"/>
                    </w:rPr>
                  </w:pPr>
                  <w:r>
                    <w:rPr>
                      <w:rFonts w:hint="eastAsia"/>
                      <w:bCs/>
                      <w:color w:val="auto"/>
                      <w:szCs w:val="21"/>
                    </w:rPr>
                    <w:t>0.9</w:t>
                  </w:r>
                </w:p>
              </w:tc>
              <w:tc>
                <w:tcPr>
                  <w:tcW w:w="1000" w:type="pct"/>
                  <w:vAlign w:val="center"/>
                </w:tcPr>
                <w:p w14:paraId="5BFB93AE">
                  <w:pPr>
                    <w:adjustRightInd w:val="0"/>
                    <w:snapToGrid w:val="0"/>
                    <w:jc w:val="center"/>
                    <w:rPr>
                      <w:bCs/>
                      <w:color w:val="auto"/>
                      <w:szCs w:val="21"/>
                    </w:rPr>
                  </w:pPr>
                  <w:r>
                    <w:rPr>
                      <w:rFonts w:hint="eastAsia"/>
                      <w:bCs/>
                      <w:color w:val="auto"/>
                      <w:szCs w:val="21"/>
                    </w:rPr>
                    <w:t>35.23</w:t>
                  </w:r>
                </w:p>
              </w:tc>
              <w:tc>
                <w:tcPr>
                  <w:tcW w:w="1000" w:type="pct"/>
                  <w:vAlign w:val="center"/>
                </w:tcPr>
                <w:p w14:paraId="5D5D72D8">
                  <w:pPr>
                    <w:adjustRightInd w:val="0"/>
                    <w:snapToGrid w:val="0"/>
                    <w:jc w:val="center"/>
                    <w:rPr>
                      <w:bCs/>
                      <w:color w:val="auto"/>
                      <w:szCs w:val="21"/>
                    </w:rPr>
                  </w:pPr>
                  <w:r>
                    <w:rPr>
                      <w:rFonts w:hint="eastAsia"/>
                      <w:bCs/>
                      <w:color w:val="auto"/>
                      <w:szCs w:val="21"/>
                    </w:rPr>
                    <w:t>11.37</w:t>
                  </w:r>
                </w:p>
              </w:tc>
            </w:tr>
            <w:tr w14:paraId="6D32B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14:paraId="0CE82526">
                  <w:pPr>
                    <w:adjustRightInd w:val="0"/>
                    <w:snapToGrid w:val="0"/>
                    <w:jc w:val="center"/>
                    <w:rPr>
                      <w:bCs/>
                      <w:color w:val="auto"/>
                      <w:szCs w:val="21"/>
                    </w:rPr>
                  </w:pPr>
                  <w:r>
                    <w:rPr>
                      <w:rFonts w:hint="eastAsia"/>
                      <w:bCs/>
                      <w:color w:val="auto"/>
                      <w:szCs w:val="21"/>
                    </w:rPr>
                    <w:t>氮氧化物</w:t>
                  </w:r>
                </w:p>
              </w:tc>
              <w:tc>
                <w:tcPr>
                  <w:tcW w:w="999" w:type="pct"/>
                  <w:vAlign w:val="center"/>
                </w:tcPr>
                <w:p w14:paraId="40E5CB31">
                  <w:pPr>
                    <w:adjustRightInd w:val="0"/>
                    <w:snapToGrid w:val="0"/>
                    <w:jc w:val="center"/>
                    <w:rPr>
                      <w:bCs/>
                      <w:color w:val="auto"/>
                      <w:szCs w:val="21"/>
                    </w:rPr>
                  </w:pPr>
                  <w:r>
                    <w:rPr>
                      <w:rFonts w:hint="eastAsia"/>
                      <w:bCs/>
                      <w:color w:val="auto"/>
                      <w:szCs w:val="21"/>
                    </w:rPr>
                    <w:t>0.0039</w:t>
                  </w:r>
                </w:p>
              </w:tc>
              <w:tc>
                <w:tcPr>
                  <w:tcW w:w="1000" w:type="pct"/>
                  <w:vAlign w:val="center"/>
                </w:tcPr>
                <w:p w14:paraId="4AB0ECF8">
                  <w:pPr>
                    <w:adjustRightInd w:val="0"/>
                    <w:snapToGrid w:val="0"/>
                    <w:jc w:val="center"/>
                    <w:rPr>
                      <w:bCs/>
                      <w:color w:val="auto"/>
                      <w:szCs w:val="21"/>
                    </w:rPr>
                  </w:pPr>
                  <w:r>
                    <w:rPr>
                      <w:rFonts w:hint="eastAsia"/>
                      <w:bCs/>
                      <w:color w:val="auto"/>
                      <w:szCs w:val="21"/>
                    </w:rPr>
                    <w:t>0.25</w:t>
                  </w:r>
                </w:p>
              </w:tc>
              <w:tc>
                <w:tcPr>
                  <w:tcW w:w="1000" w:type="pct"/>
                  <w:vAlign w:val="center"/>
                </w:tcPr>
                <w:p w14:paraId="007FBB97">
                  <w:pPr>
                    <w:adjustRightInd w:val="0"/>
                    <w:snapToGrid w:val="0"/>
                    <w:jc w:val="center"/>
                    <w:rPr>
                      <w:bCs/>
                      <w:color w:val="auto"/>
                      <w:szCs w:val="21"/>
                    </w:rPr>
                  </w:pPr>
                  <w:r>
                    <w:rPr>
                      <w:rFonts w:hint="eastAsia"/>
                      <w:bCs/>
                      <w:color w:val="auto"/>
                      <w:szCs w:val="21"/>
                    </w:rPr>
                    <w:t>35.23</w:t>
                  </w:r>
                </w:p>
              </w:tc>
              <w:tc>
                <w:tcPr>
                  <w:tcW w:w="1000" w:type="pct"/>
                  <w:vAlign w:val="center"/>
                </w:tcPr>
                <w:p w14:paraId="3F4C4CFF">
                  <w:pPr>
                    <w:adjustRightInd w:val="0"/>
                    <w:snapToGrid w:val="0"/>
                    <w:jc w:val="center"/>
                    <w:rPr>
                      <w:bCs/>
                      <w:color w:val="auto"/>
                      <w:szCs w:val="21"/>
                    </w:rPr>
                  </w:pPr>
                  <w:r>
                    <w:rPr>
                      <w:rFonts w:hint="eastAsia"/>
                      <w:bCs/>
                      <w:color w:val="auto"/>
                      <w:szCs w:val="21"/>
                    </w:rPr>
                    <w:t>0.355</w:t>
                  </w:r>
                </w:p>
              </w:tc>
            </w:tr>
            <w:tr w14:paraId="7A1DE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14:paraId="4D5192F9">
                  <w:pPr>
                    <w:adjustRightInd w:val="0"/>
                    <w:snapToGrid w:val="0"/>
                    <w:jc w:val="center"/>
                    <w:rPr>
                      <w:bCs/>
                      <w:color w:val="auto"/>
                      <w:szCs w:val="21"/>
                    </w:rPr>
                  </w:pPr>
                  <w:r>
                    <w:rPr>
                      <w:rFonts w:hint="eastAsia"/>
                      <w:bCs/>
                      <w:color w:val="auto"/>
                      <w:szCs w:val="21"/>
                    </w:rPr>
                    <w:t>二氧化硫</w:t>
                  </w:r>
                </w:p>
              </w:tc>
              <w:tc>
                <w:tcPr>
                  <w:tcW w:w="999" w:type="pct"/>
                  <w:vAlign w:val="center"/>
                </w:tcPr>
                <w:p w14:paraId="4D802AB4">
                  <w:pPr>
                    <w:adjustRightInd w:val="0"/>
                    <w:snapToGrid w:val="0"/>
                    <w:jc w:val="center"/>
                    <w:rPr>
                      <w:bCs/>
                      <w:color w:val="auto"/>
                      <w:szCs w:val="21"/>
                    </w:rPr>
                  </w:pPr>
                  <w:r>
                    <w:rPr>
                      <w:rFonts w:hint="eastAsia"/>
                      <w:bCs/>
                      <w:color w:val="auto"/>
                      <w:szCs w:val="21"/>
                    </w:rPr>
                    <w:t>0.17</w:t>
                  </w:r>
                </w:p>
              </w:tc>
              <w:tc>
                <w:tcPr>
                  <w:tcW w:w="1000" w:type="pct"/>
                  <w:vAlign w:val="center"/>
                </w:tcPr>
                <w:p w14:paraId="48F329D6">
                  <w:pPr>
                    <w:adjustRightInd w:val="0"/>
                    <w:snapToGrid w:val="0"/>
                    <w:jc w:val="center"/>
                    <w:rPr>
                      <w:bCs/>
                      <w:color w:val="auto"/>
                      <w:szCs w:val="21"/>
                    </w:rPr>
                  </w:pPr>
                  <w:r>
                    <w:rPr>
                      <w:rFonts w:hint="eastAsia"/>
                      <w:bCs/>
                      <w:color w:val="auto"/>
                      <w:szCs w:val="21"/>
                    </w:rPr>
                    <w:t>0.3</w:t>
                  </w:r>
                </w:p>
              </w:tc>
              <w:tc>
                <w:tcPr>
                  <w:tcW w:w="1000" w:type="pct"/>
                  <w:vAlign w:val="center"/>
                </w:tcPr>
                <w:p w14:paraId="3398C68B">
                  <w:pPr>
                    <w:adjustRightInd w:val="0"/>
                    <w:snapToGrid w:val="0"/>
                    <w:jc w:val="center"/>
                    <w:rPr>
                      <w:bCs/>
                      <w:color w:val="auto"/>
                      <w:szCs w:val="21"/>
                    </w:rPr>
                  </w:pPr>
                  <w:r>
                    <w:rPr>
                      <w:rFonts w:hint="eastAsia"/>
                      <w:bCs/>
                      <w:color w:val="auto"/>
                      <w:szCs w:val="21"/>
                    </w:rPr>
                    <w:t>35.23</w:t>
                  </w:r>
                </w:p>
              </w:tc>
              <w:tc>
                <w:tcPr>
                  <w:tcW w:w="1000" w:type="pct"/>
                  <w:vAlign w:val="center"/>
                </w:tcPr>
                <w:p w14:paraId="07058722">
                  <w:pPr>
                    <w:adjustRightInd w:val="0"/>
                    <w:snapToGrid w:val="0"/>
                    <w:jc w:val="center"/>
                    <w:rPr>
                      <w:bCs/>
                      <w:color w:val="auto"/>
                      <w:szCs w:val="21"/>
                    </w:rPr>
                  </w:pPr>
                  <w:r>
                    <w:rPr>
                      <w:rFonts w:hint="eastAsia"/>
                      <w:bCs/>
                      <w:color w:val="auto"/>
                      <w:szCs w:val="21"/>
                    </w:rPr>
                    <w:t>31.853</w:t>
                  </w:r>
                </w:p>
              </w:tc>
            </w:tr>
          </w:tbl>
          <w:p w14:paraId="67FABB56">
            <w:pPr>
              <w:adjustRightInd w:val="0"/>
              <w:snapToGrid w:val="0"/>
              <w:spacing w:line="312" w:lineRule="auto"/>
              <w:ind w:firstLine="480" w:firstLineChars="200"/>
              <w:rPr>
                <w:bCs/>
                <w:color w:val="auto"/>
                <w:sz w:val="24"/>
              </w:rPr>
            </w:pPr>
            <w:r>
              <w:rPr>
                <w:rFonts w:hint="eastAsia"/>
                <w:bCs/>
                <w:color w:val="auto"/>
                <w:sz w:val="24"/>
              </w:rPr>
              <w:t>项目卫生防护距离终值的确定：</w:t>
            </w:r>
          </w:p>
          <w:p w14:paraId="18F1D00D">
            <w:pPr>
              <w:pStyle w:val="77"/>
              <w:numPr>
                <w:ilvl w:val="0"/>
                <w:numId w:val="18"/>
              </w:numPr>
              <w:adjustRightInd w:val="0"/>
              <w:snapToGrid w:val="0"/>
              <w:jc w:val="center"/>
              <w:rPr>
                <w:b/>
                <w:bCs/>
                <w:color w:val="auto"/>
                <w:szCs w:val="21"/>
              </w:rPr>
            </w:pPr>
            <w:r>
              <w:rPr>
                <w:rFonts w:hint="eastAsia"/>
                <w:b/>
                <w:bCs/>
                <w:color w:val="auto"/>
                <w:szCs w:val="21"/>
              </w:rPr>
              <w:t>卫生防护距离终值级差范围表</w:t>
            </w:r>
          </w:p>
          <w:tbl>
            <w:tblPr>
              <w:tblStyle w:val="3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5"/>
              <w:gridCol w:w="5346"/>
            </w:tblGrid>
            <w:tr w14:paraId="21BB6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00" w:type="pct"/>
                  <w:vAlign w:val="center"/>
                </w:tcPr>
                <w:p w14:paraId="0FC7353A">
                  <w:pPr>
                    <w:adjustRightInd w:val="0"/>
                    <w:snapToGrid w:val="0"/>
                    <w:jc w:val="center"/>
                    <w:rPr>
                      <w:b/>
                      <w:color w:val="auto"/>
                      <w:szCs w:val="21"/>
                    </w:rPr>
                  </w:pPr>
                  <w:r>
                    <w:rPr>
                      <w:rFonts w:hint="eastAsia"/>
                      <w:b/>
                      <w:color w:val="auto"/>
                      <w:szCs w:val="21"/>
                    </w:rPr>
                    <w:t>卫生防护距离计算初值L/m</w:t>
                  </w:r>
                </w:p>
              </w:tc>
              <w:tc>
                <w:tcPr>
                  <w:tcW w:w="2500" w:type="pct"/>
                  <w:vAlign w:val="center"/>
                </w:tcPr>
                <w:p w14:paraId="6851B5E1">
                  <w:pPr>
                    <w:adjustRightInd w:val="0"/>
                    <w:snapToGrid w:val="0"/>
                    <w:jc w:val="center"/>
                    <w:rPr>
                      <w:b/>
                      <w:color w:val="auto"/>
                      <w:szCs w:val="21"/>
                    </w:rPr>
                  </w:pPr>
                  <w:r>
                    <w:rPr>
                      <w:rFonts w:hint="eastAsia"/>
                      <w:b/>
                      <w:color w:val="auto"/>
                      <w:szCs w:val="21"/>
                    </w:rPr>
                    <w:t>级差/m</w:t>
                  </w:r>
                </w:p>
              </w:tc>
            </w:tr>
            <w:tr w14:paraId="610F3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14:paraId="2C920FF6">
                  <w:pPr>
                    <w:spacing w:before="37" w:line="185" w:lineRule="auto"/>
                    <w:ind w:left="1630"/>
                    <w:rPr>
                      <w:bCs/>
                      <w:color w:val="auto"/>
                      <w:szCs w:val="21"/>
                    </w:rPr>
                  </w:pPr>
                  <w:r>
                    <w:rPr>
                      <w:rFonts w:eastAsia="Times New Roman"/>
                      <w:color w:val="auto"/>
                      <w:spacing w:val="-1"/>
                      <w:szCs w:val="21"/>
                    </w:rPr>
                    <w:t>0</w:t>
                  </w:r>
                  <w:r>
                    <w:rPr>
                      <w:color w:val="auto"/>
                      <w:szCs w:val="21"/>
                    </w:rPr>
                    <w:t>≤</w:t>
                  </w:r>
                  <w:r>
                    <w:rPr>
                      <w:rFonts w:hint="eastAsia"/>
                      <w:color w:val="auto"/>
                      <w:szCs w:val="21"/>
                    </w:rPr>
                    <w:t xml:space="preserve"> </w:t>
                  </w:r>
                  <w:r>
                    <w:rPr>
                      <w:rFonts w:eastAsia="微软雅黑"/>
                      <w:color w:val="auto"/>
                      <w:szCs w:val="21"/>
                    </w:rPr>
                    <w:t>L</w:t>
                  </w:r>
                  <w:r>
                    <w:rPr>
                      <w:color w:val="auto"/>
                      <w:szCs w:val="21"/>
                    </w:rPr>
                    <w:t>＜</w:t>
                  </w:r>
                  <w:r>
                    <w:rPr>
                      <w:rFonts w:eastAsia="Times New Roman"/>
                      <w:color w:val="auto"/>
                      <w:szCs w:val="21"/>
                    </w:rPr>
                    <w:t>50</w:t>
                  </w:r>
                </w:p>
              </w:tc>
              <w:tc>
                <w:tcPr>
                  <w:tcW w:w="2500" w:type="pct"/>
                  <w:vAlign w:val="center"/>
                </w:tcPr>
                <w:p w14:paraId="7A7B2389">
                  <w:pPr>
                    <w:adjustRightInd w:val="0"/>
                    <w:snapToGrid w:val="0"/>
                    <w:jc w:val="center"/>
                    <w:rPr>
                      <w:bCs/>
                      <w:color w:val="auto"/>
                      <w:szCs w:val="21"/>
                    </w:rPr>
                  </w:pPr>
                  <w:r>
                    <w:rPr>
                      <w:rFonts w:hint="eastAsia"/>
                      <w:bCs/>
                      <w:color w:val="auto"/>
                      <w:szCs w:val="21"/>
                    </w:rPr>
                    <w:t>50</w:t>
                  </w:r>
                </w:p>
              </w:tc>
            </w:tr>
            <w:tr w14:paraId="2658A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14:paraId="1EC2014C">
                  <w:pPr>
                    <w:spacing w:before="38" w:line="184" w:lineRule="auto"/>
                    <w:ind w:left="1513"/>
                    <w:rPr>
                      <w:bCs/>
                      <w:color w:val="auto"/>
                      <w:szCs w:val="21"/>
                    </w:rPr>
                  </w:pPr>
                  <w:r>
                    <w:rPr>
                      <w:rFonts w:eastAsia="Times New Roman"/>
                      <w:color w:val="auto"/>
                      <w:spacing w:val="-1"/>
                      <w:szCs w:val="21"/>
                    </w:rPr>
                    <w:t>50</w:t>
                  </w:r>
                  <w:r>
                    <w:rPr>
                      <w:color w:val="auto"/>
                      <w:spacing w:val="-1"/>
                      <w:szCs w:val="21"/>
                    </w:rPr>
                    <w:t>≤</w:t>
                  </w:r>
                  <w:r>
                    <w:rPr>
                      <w:rFonts w:hint="eastAsia"/>
                      <w:color w:val="auto"/>
                      <w:spacing w:val="-1"/>
                      <w:szCs w:val="21"/>
                    </w:rPr>
                    <w:t xml:space="preserve"> </w:t>
                  </w:r>
                  <w:r>
                    <w:rPr>
                      <w:rFonts w:eastAsia="微软雅黑"/>
                      <w:color w:val="auto"/>
                      <w:szCs w:val="21"/>
                    </w:rPr>
                    <w:t>L</w:t>
                  </w:r>
                  <w:r>
                    <w:rPr>
                      <w:color w:val="auto"/>
                      <w:spacing w:val="-1"/>
                      <w:szCs w:val="21"/>
                    </w:rPr>
                    <w:t>＜</w:t>
                  </w:r>
                  <w:r>
                    <w:rPr>
                      <w:rFonts w:eastAsia="Times New Roman"/>
                      <w:color w:val="auto"/>
                      <w:szCs w:val="21"/>
                    </w:rPr>
                    <w:t>100</w:t>
                  </w:r>
                </w:p>
              </w:tc>
              <w:tc>
                <w:tcPr>
                  <w:tcW w:w="2500" w:type="pct"/>
                  <w:vAlign w:val="center"/>
                </w:tcPr>
                <w:p w14:paraId="13B87476">
                  <w:pPr>
                    <w:adjustRightInd w:val="0"/>
                    <w:snapToGrid w:val="0"/>
                    <w:jc w:val="center"/>
                    <w:rPr>
                      <w:bCs/>
                      <w:color w:val="auto"/>
                      <w:szCs w:val="21"/>
                    </w:rPr>
                  </w:pPr>
                  <w:r>
                    <w:rPr>
                      <w:rFonts w:hint="eastAsia"/>
                      <w:bCs/>
                      <w:color w:val="auto"/>
                      <w:szCs w:val="21"/>
                    </w:rPr>
                    <w:t>50</w:t>
                  </w:r>
                </w:p>
              </w:tc>
            </w:tr>
            <w:tr w14:paraId="2F842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14:paraId="3126019A">
                  <w:pPr>
                    <w:spacing w:before="39" w:line="184" w:lineRule="auto"/>
                    <w:ind w:left="1410"/>
                    <w:rPr>
                      <w:bCs/>
                      <w:color w:val="auto"/>
                      <w:szCs w:val="21"/>
                    </w:rPr>
                  </w:pPr>
                  <w:r>
                    <w:rPr>
                      <w:rFonts w:eastAsia="Times New Roman"/>
                      <w:color w:val="auto"/>
                      <w:spacing w:val="-3"/>
                      <w:szCs w:val="21"/>
                    </w:rPr>
                    <w:t>1</w:t>
                  </w:r>
                  <w:r>
                    <w:rPr>
                      <w:rFonts w:eastAsia="Times New Roman"/>
                      <w:color w:val="auto"/>
                      <w:spacing w:val="-2"/>
                      <w:szCs w:val="21"/>
                    </w:rPr>
                    <w:t>00</w:t>
                  </w:r>
                  <w:r>
                    <w:rPr>
                      <w:color w:val="auto"/>
                      <w:spacing w:val="-2"/>
                      <w:szCs w:val="21"/>
                    </w:rPr>
                    <w:t>≤</w:t>
                  </w:r>
                  <w:r>
                    <w:rPr>
                      <w:rFonts w:hint="eastAsia"/>
                      <w:color w:val="auto"/>
                      <w:spacing w:val="-2"/>
                      <w:szCs w:val="21"/>
                    </w:rPr>
                    <w:t xml:space="preserve"> </w:t>
                  </w:r>
                  <w:r>
                    <w:rPr>
                      <w:rFonts w:eastAsia="微软雅黑"/>
                      <w:color w:val="auto"/>
                      <w:spacing w:val="-2"/>
                      <w:szCs w:val="21"/>
                    </w:rPr>
                    <w:t>L</w:t>
                  </w:r>
                  <w:r>
                    <w:rPr>
                      <w:color w:val="auto"/>
                      <w:spacing w:val="-2"/>
                      <w:szCs w:val="21"/>
                    </w:rPr>
                    <w:t>＜</w:t>
                  </w:r>
                  <w:r>
                    <w:rPr>
                      <w:rFonts w:eastAsia="Times New Roman"/>
                      <w:color w:val="auto"/>
                      <w:spacing w:val="-2"/>
                      <w:szCs w:val="21"/>
                    </w:rPr>
                    <w:t>1000</w:t>
                  </w:r>
                </w:p>
              </w:tc>
              <w:tc>
                <w:tcPr>
                  <w:tcW w:w="2500" w:type="pct"/>
                  <w:vAlign w:val="center"/>
                </w:tcPr>
                <w:p w14:paraId="1A18410C">
                  <w:pPr>
                    <w:adjustRightInd w:val="0"/>
                    <w:snapToGrid w:val="0"/>
                    <w:jc w:val="center"/>
                    <w:rPr>
                      <w:bCs/>
                      <w:color w:val="auto"/>
                      <w:szCs w:val="21"/>
                    </w:rPr>
                  </w:pPr>
                  <w:r>
                    <w:rPr>
                      <w:rFonts w:hint="eastAsia"/>
                      <w:bCs/>
                      <w:color w:val="auto"/>
                      <w:szCs w:val="21"/>
                    </w:rPr>
                    <w:t>100</w:t>
                  </w:r>
                </w:p>
              </w:tc>
            </w:tr>
            <w:tr w14:paraId="6C32D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14:paraId="7B52E3E7">
                  <w:pPr>
                    <w:spacing w:before="40" w:line="187" w:lineRule="auto"/>
                    <w:ind w:left="1688"/>
                    <w:rPr>
                      <w:bCs/>
                      <w:color w:val="auto"/>
                      <w:szCs w:val="21"/>
                    </w:rPr>
                  </w:pPr>
                  <w:r>
                    <w:rPr>
                      <w:rFonts w:eastAsia="微软雅黑"/>
                      <w:color w:val="auto"/>
                      <w:spacing w:val="-8"/>
                      <w:szCs w:val="21"/>
                    </w:rPr>
                    <w:t>L</w:t>
                  </w:r>
                  <w:r>
                    <w:rPr>
                      <w:rFonts w:hint="eastAsia" w:eastAsia="微软雅黑"/>
                      <w:color w:val="auto"/>
                      <w:spacing w:val="-8"/>
                      <w:szCs w:val="21"/>
                    </w:rPr>
                    <w:t xml:space="preserve"> </w:t>
                  </w:r>
                  <w:r>
                    <w:rPr>
                      <w:color w:val="auto"/>
                      <w:spacing w:val="-8"/>
                      <w:szCs w:val="21"/>
                    </w:rPr>
                    <w:t>≥</w:t>
                  </w:r>
                  <w:r>
                    <w:rPr>
                      <w:rFonts w:eastAsia="Times New Roman"/>
                      <w:color w:val="auto"/>
                      <w:spacing w:val="-8"/>
                      <w:szCs w:val="21"/>
                    </w:rPr>
                    <w:t>1000</w:t>
                  </w:r>
                </w:p>
              </w:tc>
              <w:tc>
                <w:tcPr>
                  <w:tcW w:w="2500" w:type="pct"/>
                  <w:vAlign w:val="center"/>
                </w:tcPr>
                <w:p w14:paraId="35FDFF2B">
                  <w:pPr>
                    <w:adjustRightInd w:val="0"/>
                    <w:snapToGrid w:val="0"/>
                    <w:jc w:val="center"/>
                    <w:rPr>
                      <w:bCs/>
                      <w:color w:val="auto"/>
                      <w:szCs w:val="21"/>
                    </w:rPr>
                  </w:pPr>
                  <w:r>
                    <w:rPr>
                      <w:rFonts w:hint="eastAsia"/>
                      <w:bCs/>
                      <w:color w:val="auto"/>
                      <w:szCs w:val="21"/>
                    </w:rPr>
                    <w:t>200</w:t>
                  </w:r>
                </w:p>
              </w:tc>
            </w:tr>
          </w:tbl>
          <w:p w14:paraId="767A92FD">
            <w:pPr>
              <w:adjustRightInd w:val="0"/>
              <w:snapToGrid w:val="0"/>
              <w:spacing w:line="312" w:lineRule="auto"/>
              <w:ind w:firstLine="480" w:firstLineChars="200"/>
              <w:rPr>
                <w:bCs/>
                <w:color w:val="auto"/>
                <w:sz w:val="24"/>
              </w:rPr>
            </w:pPr>
            <w:r>
              <w:rPr>
                <w:rFonts w:hint="eastAsia"/>
                <w:bCs/>
                <w:color w:val="auto"/>
                <w:sz w:val="24"/>
              </w:rPr>
              <w:t>根据《大气有害物质无组织排放卫生防护距离推导技术导则》（GB/T39499-2020），卫生防护距离终值级差见表4-41。项目计算卫生防护距离初值均属于0≤L＜50m，则级差为50m。当企业某生产单元的无组织排放存在多种特征大气有害物质时，如果分别推导出的卫生防护距离初值在同一级别时，则该企业的卫生防护距高终值应提高一级，因此项目卫生防护距离取100m。根据现场勘察，项目卫生防护距离范围100米内无居民、学校等环境敏感目标，因此项目能够满足卫生防护距离的要求。此外，本评价建议严禁在项目卫生防护距离范围内建设新的环境敏感点。</w:t>
            </w:r>
          </w:p>
          <w:p w14:paraId="5765E5BA">
            <w:pPr>
              <w:adjustRightInd w:val="0"/>
              <w:snapToGrid w:val="0"/>
              <w:spacing w:line="360" w:lineRule="auto"/>
              <w:ind w:firstLine="482" w:firstLineChars="200"/>
              <w:jc w:val="left"/>
              <w:rPr>
                <w:b/>
                <w:bCs/>
                <w:color w:val="auto"/>
                <w:sz w:val="24"/>
              </w:rPr>
            </w:pPr>
            <w:r>
              <w:rPr>
                <w:b/>
                <w:bCs/>
                <w:color w:val="auto"/>
                <w:sz w:val="24"/>
              </w:rPr>
              <w:t>（</w:t>
            </w:r>
            <w:r>
              <w:rPr>
                <w:rFonts w:hint="eastAsia"/>
                <w:b/>
                <w:bCs/>
                <w:color w:val="auto"/>
                <w:sz w:val="24"/>
              </w:rPr>
              <w:t>3</w:t>
            </w:r>
            <w:r>
              <w:rPr>
                <w:b/>
                <w:bCs/>
                <w:color w:val="auto"/>
                <w:sz w:val="24"/>
              </w:rPr>
              <w:t>）大气环境影响评价结论</w:t>
            </w:r>
          </w:p>
          <w:p w14:paraId="7B2AE71C">
            <w:pPr>
              <w:pStyle w:val="43"/>
              <w:jc w:val="left"/>
              <w:rPr>
                <w:color w:val="auto"/>
                <w:szCs w:val="24"/>
              </w:rPr>
            </w:pPr>
            <w:r>
              <w:rPr>
                <w:bCs/>
                <w:color w:val="auto"/>
              </w:rPr>
              <w:t>项目所在区域为大气环境质量达标区，各监测指标补充监测结果均达标，项目所在区域大气环境质量良好。</w:t>
            </w:r>
            <w:r>
              <w:rPr>
                <w:color w:val="auto"/>
                <w:szCs w:val="24"/>
              </w:rPr>
              <w:t>本项目采取废气污染防治措施可行，大气污染物排放满足相关排放标准要求，不会对厂内及周边环境造成明显影响。为进一步降低废气影响，后续验收工作开展过程中如出现污染物超标排放造成居民投诉后的情况将采取以下措施：</w:t>
            </w:r>
          </w:p>
          <w:p w14:paraId="37F11582">
            <w:pPr>
              <w:pStyle w:val="43"/>
              <w:jc w:val="left"/>
              <w:rPr>
                <w:color w:val="auto"/>
                <w:szCs w:val="24"/>
              </w:rPr>
            </w:pPr>
            <w:r>
              <w:rPr>
                <w:rFonts w:hint="eastAsia" w:ascii="宋体" w:hAnsi="宋体" w:cs="宋体"/>
                <w:color w:val="auto"/>
                <w:szCs w:val="24"/>
              </w:rPr>
              <w:t>①</w:t>
            </w:r>
            <w:r>
              <w:rPr>
                <w:color w:val="auto"/>
                <w:szCs w:val="24"/>
              </w:rPr>
              <w:t>立即停产，关闭排放阀，查找原因；</w:t>
            </w:r>
          </w:p>
          <w:p w14:paraId="36D2EB47">
            <w:pPr>
              <w:pStyle w:val="43"/>
              <w:jc w:val="left"/>
              <w:rPr>
                <w:color w:val="auto"/>
                <w:szCs w:val="24"/>
              </w:rPr>
            </w:pPr>
            <w:r>
              <w:rPr>
                <w:rFonts w:hint="eastAsia" w:ascii="宋体" w:hAnsi="宋体" w:cs="宋体"/>
                <w:color w:val="auto"/>
                <w:szCs w:val="24"/>
              </w:rPr>
              <w:t>②</w:t>
            </w:r>
            <w:r>
              <w:rPr>
                <w:color w:val="auto"/>
                <w:szCs w:val="24"/>
              </w:rPr>
              <w:t>积极配合居民协商具体投诉原因，加强沟通；</w:t>
            </w:r>
          </w:p>
          <w:p w14:paraId="5498CE78">
            <w:pPr>
              <w:pStyle w:val="43"/>
              <w:jc w:val="left"/>
              <w:rPr>
                <w:color w:val="auto"/>
                <w:szCs w:val="24"/>
              </w:rPr>
            </w:pPr>
            <w:r>
              <w:rPr>
                <w:rFonts w:hint="eastAsia" w:ascii="宋体" w:hAnsi="宋体" w:cs="宋体"/>
                <w:color w:val="auto"/>
                <w:szCs w:val="24"/>
              </w:rPr>
              <w:t>③</w:t>
            </w:r>
            <w:r>
              <w:rPr>
                <w:color w:val="auto"/>
                <w:szCs w:val="24"/>
              </w:rPr>
              <w:t>根据国家排污许可证的要求，对污染源加强定期监测，必要时做环境质量跟踪监测。</w:t>
            </w:r>
          </w:p>
          <w:p w14:paraId="0535BCF8">
            <w:pPr>
              <w:pStyle w:val="7"/>
              <w:adjustRightInd w:val="0"/>
              <w:snapToGrid w:val="0"/>
              <w:spacing w:line="360" w:lineRule="auto"/>
              <w:ind w:firstLine="482" w:firstLineChars="200"/>
              <w:jc w:val="left"/>
              <w:rPr>
                <w:b/>
                <w:bCs/>
                <w:color w:val="auto"/>
                <w:sz w:val="24"/>
              </w:rPr>
            </w:pPr>
            <w:r>
              <w:rPr>
                <w:b/>
                <w:bCs/>
                <w:color w:val="auto"/>
                <w:sz w:val="24"/>
              </w:rPr>
              <w:t>（三）噪声</w:t>
            </w:r>
          </w:p>
          <w:p w14:paraId="799F34BB">
            <w:pPr>
              <w:adjustRightInd w:val="0"/>
              <w:snapToGrid w:val="0"/>
              <w:spacing w:line="360" w:lineRule="auto"/>
              <w:ind w:firstLine="482" w:firstLineChars="200"/>
              <w:jc w:val="left"/>
              <w:rPr>
                <w:b/>
                <w:bCs/>
                <w:color w:val="auto"/>
                <w:sz w:val="24"/>
              </w:rPr>
            </w:pPr>
            <w:r>
              <w:rPr>
                <w:b/>
                <w:bCs/>
                <w:color w:val="auto"/>
                <w:sz w:val="24"/>
              </w:rPr>
              <w:t>1、噪声源及源强</w:t>
            </w:r>
          </w:p>
          <w:p w14:paraId="6BB6E470">
            <w:pPr>
              <w:adjustRightInd w:val="0"/>
              <w:snapToGrid w:val="0"/>
              <w:spacing w:line="360" w:lineRule="auto"/>
              <w:ind w:firstLine="480" w:firstLineChars="200"/>
              <w:jc w:val="left"/>
              <w:rPr>
                <w:color w:val="auto"/>
                <w:sz w:val="24"/>
              </w:rPr>
            </w:pPr>
            <w:r>
              <w:rPr>
                <w:color w:val="auto"/>
                <w:sz w:val="24"/>
              </w:rPr>
              <w:t>项目生产设备主要为前处理线、</w:t>
            </w:r>
            <w:r>
              <w:rPr>
                <w:rFonts w:hint="eastAsia"/>
                <w:color w:val="auto"/>
                <w:sz w:val="24"/>
              </w:rPr>
              <w:t>喷粉线、喷涂线、返工检修</w:t>
            </w:r>
            <w:r>
              <w:rPr>
                <w:color w:val="auto"/>
                <w:sz w:val="24"/>
              </w:rPr>
              <w:t>等设备，生产过程中会产生噪声，噪声强度</w:t>
            </w:r>
            <w:r>
              <w:rPr>
                <w:rFonts w:hint="eastAsia"/>
                <w:color w:val="auto"/>
                <w:sz w:val="24"/>
              </w:rPr>
              <w:t>65</w:t>
            </w:r>
            <w:r>
              <w:rPr>
                <w:color w:val="auto"/>
                <w:sz w:val="24"/>
              </w:rPr>
              <w:t>~</w:t>
            </w:r>
            <w:r>
              <w:rPr>
                <w:rFonts w:hint="eastAsia"/>
                <w:color w:val="auto"/>
                <w:sz w:val="24"/>
              </w:rPr>
              <w:t>85</w:t>
            </w:r>
            <w:r>
              <w:rPr>
                <w:color w:val="auto"/>
                <w:sz w:val="24"/>
              </w:rPr>
              <w:t>dB(A)。主要产噪设备1m处噪声源及产生强度见下表：</w:t>
            </w:r>
          </w:p>
          <w:p w14:paraId="62669C4A">
            <w:pPr>
              <w:pStyle w:val="77"/>
              <w:numPr>
                <w:ilvl w:val="0"/>
                <w:numId w:val="18"/>
              </w:numPr>
              <w:adjustRightInd w:val="0"/>
              <w:snapToGrid w:val="0"/>
              <w:jc w:val="center"/>
              <w:rPr>
                <w:b/>
                <w:bCs/>
                <w:color w:val="auto"/>
                <w:szCs w:val="21"/>
              </w:rPr>
            </w:pPr>
            <w:r>
              <w:rPr>
                <w:rFonts w:hint="eastAsia"/>
                <w:b/>
                <w:bCs/>
                <w:color w:val="auto"/>
                <w:szCs w:val="21"/>
              </w:rPr>
              <w:t>项目主要声源及噪声源强一览表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1158"/>
              <w:gridCol w:w="2452"/>
              <w:gridCol w:w="997"/>
              <w:gridCol w:w="1427"/>
              <w:gridCol w:w="1791"/>
              <w:gridCol w:w="775"/>
              <w:gridCol w:w="1567"/>
            </w:tblGrid>
            <w:tr w14:paraId="33E7E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1586A99D">
                  <w:pPr>
                    <w:pStyle w:val="127"/>
                    <w:rPr>
                      <w:b/>
                      <w:bCs/>
                      <w:color w:val="auto"/>
                    </w:rPr>
                  </w:pPr>
                  <w:r>
                    <w:rPr>
                      <w:b/>
                      <w:bCs/>
                      <w:color w:val="auto"/>
                    </w:rPr>
                    <w:t>序号</w:t>
                  </w:r>
                </w:p>
              </w:tc>
              <w:tc>
                <w:tcPr>
                  <w:tcW w:w="541" w:type="pct"/>
                  <w:vAlign w:val="center"/>
                </w:tcPr>
                <w:p w14:paraId="6A25A0A2">
                  <w:pPr>
                    <w:pStyle w:val="127"/>
                    <w:rPr>
                      <w:b/>
                      <w:bCs/>
                      <w:color w:val="auto"/>
                    </w:rPr>
                  </w:pPr>
                  <w:r>
                    <w:rPr>
                      <w:b/>
                      <w:bCs/>
                      <w:color w:val="auto"/>
                    </w:rPr>
                    <w:t>位置</w:t>
                  </w:r>
                </w:p>
              </w:tc>
              <w:tc>
                <w:tcPr>
                  <w:tcW w:w="1146" w:type="pct"/>
                  <w:vAlign w:val="center"/>
                </w:tcPr>
                <w:p w14:paraId="40905452">
                  <w:pPr>
                    <w:pStyle w:val="127"/>
                    <w:rPr>
                      <w:b/>
                      <w:bCs/>
                      <w:color w:val="auto"/>
                    </w:rPr>
                  </w:pPr>
                  <w:r>
                    <w:rPr>
                      <w:b/>
                      <w:bCs/>
                      <w:color w:val="auto"/>
                    </w:rPr>
                    <w:t>设备名称</w:t>
                  </w:r>
                </w:p>
              </w:tc>
              <w:tc>
                <w:tcPr>
                  <w:tcW w:w="466" w:type="pct"/>
                  <w:vAlign w:val="center"/>
                </w:tcPr>
                <w:p w14:paraId="7BFFB616">
                  <w:pPr>
                    <w:pStyle w:val="127"/>
                    <w:rPr>
                      <w:b/>
                      <w:bCs/>
                      <w:color w:val="auto"/>
                    </w:rPr>
                  </w:pPr>
                  <w:r>
                    <w:rPr>
                      <w:b/>
                      <w:bCs/>
                      <w:color w:val="auto"/>
                    </w:rPr>
                    <w:t>数量</w:t>
                  </w:r>
                </w:p>
                <w:p w14:paraId="1BF96434">
                  <w:pPr>
                    <w:pStyle w:val="127"/>
                    <w:rPr>
                      <w:b/>
                      <w:bCs/>
                      <w:color w:val="auto"/>
                    </w:rPr>
                  </w:pPr>
                  <w:r>
                    <w:rPr>
                      <w:b/>
                      <w:bCs/>
                      <w:color w:val="auto"/>
                    </w:rPr>
                    <w:t>（台）</w:t>
                  </w:r>
                </w:p>
              </w:tc>
              <w:tc>
                <w:tcPr>
                  <w:tcW w:w="667" w:type="pct"/>
                  <w:vAlign w:val="center"/>
                </w:tcPr>
                <w:p w14:paraId="4985DC42">
                  <w:pPr>
                    <w:pStyle w:val="127"/>
                    <w:rPr>
                      <w:b/>
                      <w:bCs/>
                      <w:color w:val="auto"/>
                    </w:rPr>
                  </w:pPr>
                  <w:r>
                    <w:rPr>
                      <w:b/>
                      <w:bCs/>
                      <w:color w:val="auto"/>
                    </w:rPr>
                    <w:t>设备噪声源强（dB(A)）</w:t>
                  </w:r>
                </w:p>
              </w:tc>
              <w:tc>
                <w:tcPr>
                  <w:tcW w:w="837" w:type="pct"/>
                  <w:vAlign w:val="center"/>
                </w:tcPr>
                <w:p w14:paraId="2F5FA0C0">
                  <w:pPr>
                    <w:pStyle w:val="127"/>
                    <w:rPr>
                      <w:b/>
                      <w:bCs/>
                      <w:color w:val="auto"/>
                    </w:rPr>
                  </w:pPr>
                  <w:r>
                    <w:rPr>
                      <w:b/>
                      <w:bCs/>
                      <w:color w:val="auto"/>
                    </w:rPr>
                    <w:t>持续时间（h/d）</w:t>
                  </w:r>
                </w:p>
              </w:tc>
              <w:tc>
                <w:tcPr>
                  <w:tcW w:w="362" w:type="pct"/>
                  <w:vAlign w:val="center"/>
                </w:tcPr>
                <w:p w14:paraId="02A6B840">
                  <w:pPr>
                    <w:pStyle w:val="127"/>
                    <w:rPr>
                      <w:b/>
                      <w:bCs/>
                      <w:color w:val="auto"/>
                    </w:rPr>
                  </w:pPr>
                  <w:r>
                    <w:rPr>
                      <w:b/>
                      <w:bCs/>
                      <w:color w:val="auto"/>
                    </w:rPr>
                    <w:t>声源类型</w:t>
                  </w:r>
                </w:p>
              </w:tc>
              <w:tc>
                <w:tcPr>
                  <w:tcW w:w="732" w:type="pct"/>
                  <w:vAlign w:val="center"/>
                </w:tcPr>
                <w:p w14:paraId="50F72233">
                  <w:pPr>
                    <w:pStyle w:val="127"/>
                    <w:rPr>
                      <w:b/>
                      <w:bCs/>
                      <w:color w:val="auto"/>
                    </w:rPr>
                  </w:pPr>
                  <w:r>
                    <w:rPr>
                      <w:b/>
                      <w:bCs/>
                      <w:color w:val="auto"/>
                    </w:rPr>
                    <w:t>拟采取的防治措施</w:t>
                  </w:r>
                </w:p>
              </w:tc>
            </w:tr>
            <w:tr w14:paraId="61673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635B54AE">
                  <w:pPr>
                    <w:pStyle w:val="127"/>
                    <w:rPr>
                      <w:color w:val="auto"/>
                    </w:rPr>
                  </w:pPr>
                  <w:r>
                    <w:rPr>
                      <w:color w:val="auto"/>
                    </w:rPr>
                    <w:t>1</w:t>
                  </w:r>
                </w:p>
              </w:tc>
              <w:tc>
                <w:tcPr>
                  <w:tcW w:w="541" w:type="pct"/>
                  <w:vMerge w:val="restart"/>
                  <w:vAlign w:val="center"/>
                </w:tcPr>
                <w:p w14:paraId="41CC801C">
                  <w:pPr>
                    <w:pStyle w:val="127"/>
                    <w:rPr>
                      <w:color w:val="auto"/>
                    </w:rPr>
                  </w:pPr>
                  <w:r>
                    <w:rPr>
                      <w:rFonts w:hint="eastAsia"/>
                      <w:color w:val="auto"/>
                    </w:rPr>
                    <w:t>四楼</w:t>
                  </w:r>
                </w:p>
              </w:tc>
              <w:tc>
                <w:tcPr>
                  <w:tcW w:w="1146" w:type="pct"/>
                  <w:vAlign w:val="center"/>
                </w:tcPr>
                <w:p w14:paraId="5D5B9766">
                  <w:pPr>
                    <w:jc w:val="center"/>
                    <w:rPr>
                      <w:color w:val="auto"/>
                    </w:rPr>
                  </w:pPr>
                  <w:r>
                    <w:rPr>
                      <w:rFonts w:hint="eastAsia" w:ascii="宋体" w:hAnsi="宋体" w:cs="宋体"/>
                      <w:color w:val="auto"/>
                      <w:kern w:val="0"/>
                    </w:rPr>
                    <w:t>喷粉线</w:t>
                  </w:r>
                </w:p>
              </w:tc>
              <w:tc>
                <w:tcPr>
                  <w:tcW w:w="466" w:type="pct"/>
                  <w:vAlign w:val="center"/>
                </w:tcPr>
                <w:p w14:paraId="1DCC0D1B">
                  <w:pPr>
                    <w:jc w:val="center"/>
                    <w:rPr>
                      <w:color w:val="auto"/>
                      <w:szCs w:val="22"/>
                    </w:rPr>
                  </w:pPr>
                  <w:r>
                    <w:rPr>
                      <w:rFonts w:hint="eastAsia"/>
                      <w:color w:val="auto"/>
                      <w:szCs w:val="22"/>
                    </w:rPr>
                    <w:t>1</w:t>
                  </w:r>
                </w:p>
              </w:tc>
              <w:tc>
                <w:tcPr>
                  <w:tcW w:w="667" w:type="pct"/>
                  <w:vAlign w:val="center"/>
                </w:tcPr>
                <w:p w14:paraId="381F919C">
                  <w:pPr>
                    <w:pStyle w:val="127"/>
                    <w:rPr>
                      <w:color w:val="auto"/>
                    </w:rPr>
                  </w:pPr>
                  <w:r>
                    <w:rPr>
                      <w:rFonts w:hint="eastAsia"/>
                      <w:color w:val="auto"/>
                    </w:rPr>
                    <w:t>70</w:t>
                  </w:r>
                </w:p>
              </w:tc>
              <w:tc>
                <w:tcPr>
                  <w:tcW w:w="837" w:type="pct"/>
                  <w:vAlign w:val="center"/>
                </w:tcPr>
                <w:p w14:paraId="2E21EE7B">
                  <w:pPr>
                    <w:pStyle w:val="127"/>
                    <w:rPr>
                      <w:color w:val="auto"/>
                    </w:rPr>
                  </w:pPr>
                  <w:r>
                    <w:rPr>
                      <w:rFonts w:hint="eastAsia"/>
                      <w:color w:val="auto"/>
                    </w:rPr>
                    <w:t>10</w:t>
                  </w:r>
                  <w:r>
                    <w:rPr>
                      <w:color w:val="auto"/>
                    </w:rPr>
                    <w:t>（夜间不生产）</w:t>
                  </w:r>
                </w:p>
              </w:tc>
              <w:tc>
                <w:tcPr>
                  <w:tcW w:w="362" w:type="pct"/>
                  <w:vAlign w:val="center"/>
                </w:tcPr>
                <w:p w14:paraId="66C6B23B">
                  <w:pPr>
                    <w:pStyle w:val="127"/>
                    <w:rPr>
                      <w:color w:val="auto"/>
                    </w:rPr>
                  </w:pPr>
                  <w:r>
                    <w:rPr>
                      <w:color w:val="auto"/>
                    </w:rPr>
                    <w:t>频发</w:t>
                  </w:r>
                </w:p>
              </w:tc>
              <w:tc>
                <w:tcPr>
                  <w:tcW w:w="732" w:type="pct"/>
                  <w:vMerge w:val="restart"/>
                  <w:vAlign w:val="center"/>
                </w:tcPr>
                <w:p w14:paraId="6FB0818F">
                  <w:pPr>
                    <w:pStyle w:val="127"/>
                    <w:rPr>
                      <w:color w:val="auto"/>
                    </w:rPr>
                  </w:pPr>
                  <w:r>
                    <w:rPr>
                      <w:color w:val="auto"/>
                    </w:rPr>
                    <w:t>采购低噪声型设备源头降噪，置于生产车间内，车间墙体隔声，底座安装减振垫</w:t>
                  </w:r>
                </w:p>
              </w:tc>
            </w:tr>
            <w:tr w14:paraId="2607B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5076430A">
                  <w:pPr>
                    <w:pStyle w:val="127"/>
                    <w:rPr>
                      <w:color w:val="auto"/>
                    </w:rPr>
                  </w:pPr>
                  <w:r>
                    <w:rPr>
                      <w:color w:val="auto"/>
                    </w:rPr>
                    <w:t>2</w:t>
                  </w:r>
                </w:p>
              </w:tc>
              <w:tc>
                <w:tcPr>
                  <w:tcW w:w="541" w:type="pct"/>
                  <w:vMerge w:val="continue"/>
                  <w:vAlign w:val="center"/>
                </w:tcPr>
                <w:p w14:paraId="63F6AB73">
                  <w:pPr>
                    <w:pStyle w:val="127"/>
                    <w:rPr>
                      <w:color w:val="auto"/>
                    </w:rPr>
                  </w:pPr>
                </w:p>
              </w:tc>
              <w:tc>
                <w:tcPr>
                  <w:tcW w:w="1146" w:type="pct"/>
                  <w:vAlign w:val="center"/>
                </w:tcPr>
                <w:p w14:paraId="091C4C4C">
                  <w:pPr>
                    <w:jc w:val="center"/>
                    <w:rPr>
                      <w:color w:val="auto"/>
                    </w:rPr>
                  </w:pPr>
                  <w:r>
                    <w:rPr>
                      <w:rFonts w:hint="eastAsia" w:ascii="宋体" w:hAnsi="宋体" w:cs="宋体"/>
                      <w:color w:val="auto"/>
                      <w:kern w:val="0"/>
                    </w:rPr>
                    <w:t>底漆、面漆喷涂线</w:t>
                  </w:r>
                </w:p>
              </w:tc>
              <w:tc>
                <w:tcPr>
                  <w:tcW w:w="466" w:type="pct"/>
                  <w:vAlign w:val="center"/>
                </w:tcPr>
                <w:p w14:paraId="1DA7BA35">
                  <w:pPr>
                    <w:jc w:val="center"/>
                    <w:rPr>
                      <w:color w:val="auto"/>
                      <w:szCs w:val="22"/>
                    </w:rPr>
                  </w:pPr>
                  <w:r>
                    <w:rPr>
                      <w:rFonts w:hint="eastAsia"/>
                      <w:color w:val="auto"/>
                      <w:szCs w:val="22"/>
                    </w:rPr>
                    <w:t>1</w:t>
                  </w:r>
                </w:p>
              </w:tc>
              <w:tc>
                <w:tcPr>
                  <w:tcW w:w="667" w:type="pct"/>
                  <w:vAlign w:val="center"/>
                </w:tcPr>
                <w:p w14:paraId="469F3861">
                  <w:pPr>
                    <w:pStyle w:val="127"/>
                    <w:rPr>
                      <w:color w:val="auto"/>
                      <w:kern w:val="2"/>
                    </w:rPr>
                  </w:pPr>
                  <w:r>
                    <w:rPr>
                      <w:rFonts w:hint="eastAsia"/>
                      <w:color w:val="auto"/>
                      <w:kern w:val="2"/>
                    </w:rPr>
                    <w:t>70</w:t>
                  </w:r>
                </w:p>
              </w:tc>
              <w:tc>
                <w:tcPr>
                  <w:tcW w:w="837" w:type="pct"/>
                  <w:vAlign w:val="center"/>
                </w:tcPr>
                <w:p w14:paraId="6542B2C2">
                  <w:pPr>
                    <w:pStyle w:val="127"/>
                    <w:rPr>
                      <w:color w:val="auto"/>
                      <w:kern w:val="2"/>
                    </w:rPr>
                  </w:pPr>
                  <w:r>
                    <w:rPr>
                      <w:rFonts w:hint="eastAsia"/>
                      <w:color w:val="auto"/>
                    </w:rPr>
                    <w:t>10</w:t>
                  </w:r>
                  <w:r>
                    <w:rPr>
                      <w:color w:val="auto"/>
                    </w:rPr>
                    <w:t>（夜间不生产）</w:t>
                  </w:r>
                </w:p>
              </w:tc>
              <w:tc>
                <w:tcPr>
                  <w:tcW w:w="362" w:type="pct"/>
                  <w:vAlign w:val="center"/>
                </w:tcPr>
                <w:p w14:paraId="4AD0AE4B">
                  <w:pPr>
                    <w:pStyle w:val="127"/>
                    <w:rPr>
                      <w:color w:val="auto"/>
                      <w:kern w:val="2"/>
                    </w:rPr>
                  </w:pPr>
                  <w:r>
                    <w:rPr>
                      <w:color w:val="auto"/>
                    </w:rPr>
                    <w:t>频发</w:t>
                  </w:r>
                </w:p>
              </w:tc>
              <w:tc>
                <w:tcPr>
                  <w:tcW w:w="732" w:type="pct"/>
                  <w:vMerge w:val="continue"/>
                  <w:vAlign w:val="center"/>
                </w:tcPr>
                <w:p w14:paraId="42BB49B7">
                  <w:pPr>
                    <w:pStyle w:val="127"/>
                    <w:rPr>
                      <w:color w:val="auto"/>
                    </w:rPr>
                  </w:pPr>
                </w:p>
              </w:tc>
            </w:tr>
            <w:tr w14:paraId="38104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11D6B412">
                  <w:pPr>
                    <w:pStyle w:val="127"/>
                    <w:rPr>
                      <w:color w:val="auto"/>
                    </w:rPr>
                  </w:pPr>
                  <w:r>
                    <w:rPr>
                      <w:color w:val="auto"/>
                    </w:rPr>
                    <w:t>3</w:t>
                  </w:r>
                </w:p>
              </w:tc>
              <w:tc>
                <w:tcPr>
                  <w:tcW w:w="541" w:type="pct"/>
                  <w:vMerge w:val="continue"/>
                  <w:vAlign w:val="center"/>
                </w:tcPr>
                <w:p w14:paraId="74C6D3E7">
                  <w:pPr>
                    <w:pStyle w:val="127"/>
                    <w:rPr>
                      <w:color w:val="auto"/>
                    </w:rPr>
                  </w:pPr>
                </w:p>
              </w:tc>
              <w:tc>
                <w:tcPr>
                  <w:tcW w:w="1146" w:type="pct"/>
                  <w:vAlign w:val="center"/>
                </w:tcPr>
                <w:p w14:paraId="0ABC3C0F">
                  <w:pPr>
                    <w:jc w:val="center"/>
                    <w:rPr>
                      <w:color w:val="auto"/>
                    </w:rPr>
                  </w:pPr>
                  <w:r>
                    <w:rPr>
                      <w:rFonts w:hint="eastAsia" w:ascii="宋体" w:hAnsi="宋体" w:cs="宋体"/>
                      <w:color w:val="auto"/>
                      <w:kern w:val="0"/>
                    </w:rPr>
                    <w:t>清漆喷涂线</w:t>
                  </w:r>
                </w:p>
              </w:tc>
              <w:tc>
                <w:tcPr>
                  <w:tcW w:w="466" w:type="pct"/>
                  <w:vAlign w:val="center"/>
                </w:tcPr>
                <w:p w14:paraId="7258B7BB">
                  <w:pPr>
                    <w:jc w:val="center"/>
                    <w:rPr>
                      <w:color w:val="auto"/>
                      <w:szCs w:val="22"/>
                    </w:rPr>
                  </w:pPr>
                  <w:r>
                    <w:rPr>
                      <w:rFonts w:hint="eastAsia"/>
                      <w:color w:val="auto"/>
                      <w:szCs w:val="22"/>
                    </w:rPr>
                    <w:t>1</w:t>
                  </w:r>
                </w:p>
              </w:tc>
              <w:tc>
                <w:tcPr>
                  <w:tcW w:w="667" w:type="pct"/>
                  <w:vAlign w:val="center"/>
                </w:tcPr>
                <w:p w14:paraId="508D682F">
                  <w:pPr>
                    <w:pStyle w:val="127"/>
                    <w:rPr>
                      <w:color w:val="auto"/>
                      <w:kern w:val="2"/>
                    </w:rPr>
                  </w:pPr>
                  <w:r>
                    <w:rPr>
                      <w:rFonts w:hint="eastAsia"/>
                      <w:color w:val="auto"/>
                      <w:kern w:val="2"/>
                    </w:rPr>
                    <w:t>70</w:t>
                  </w:r>
                </w:p>
              </w:tc>
              <w:tc>
                <w:tcPr>
                  <w:tcW w:w="837" w:type="pct"/>
                  <w:vAlign w:val="center"/>
                </w:tcPr>
                <w:p w14:paraId="5BE2B89A">
                  <w:pPr>
                    <w:pStyle w:val="127"/>
                    <w:rPr>
                      <w:color w:val="auto"/>
                      <w:kern w:val="2"/>
                    </w:rPr>
                  </w:pPr>
                  <w:r>
                    <w:rPr>
                      <w:rFonts w:hint="eastAsia"/>
                      <w:color w:val="auto"/>
                    </w:rPr>
                    <w:t>10</w:t>
                  </w:r>
                  <w:r>
                    <w:rPr>
                      <w:color w:val="auto"/>
                    </w:rPr>
                    <w:t>（夜间不生产）</w:t>
                  </w:r>
                </w:p>
              </w:tc>
              <w:tc>
                <w:tcPr>
                  <w:tcW w:w="362" w:type="pct"/>
                  <w:vAlign w:val="center"/>
                </w:tcPr>
                <w:p w14:paraId="23D0CA82">
                  <w:pPr>
                    <w:pStyle w:val="127"/>
                    <w:rPr>
                      <w:color w:val="auto"/>
                      <w:kern w:val="2"/>
                    </w:rPr>
                  </w:pPr>
                  <w:r>
                    <w:rPr>
                      <w:color w:val="auto"/>
                    </w:rPr>
                    <w:t>频发</w:t>
                  </w:r>
                </w:p>
              </w:tc>
              <w:tc>
                <w:tcPr>
                  <w:tcW w:w="732" w:type="pct"/>
                  <w:vMerge w:val="continue"/>
                  <w:vAlign w:val="center"/>
                </w:tcPr>
                <w:p w14:paraId="1BF5998C">
                  <w:pPr>
                    <w:pStyle w:val="127"/>
                    <w:rPr>
                      <w:color w:val="auto"/>
                    </w:rPr>
                  </w:pPr>
                </w:p>
              </w:tc>
            </w:tr>
            <w:tr w14:paraId="5DA7C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6438DD4C">
                  <w:pPr>
                    <w:pStyle w:val="127"/>
                    <w:rPr>
                      <w:color w:val="auto"/>
                    </w:rPr>
                  </w:pPr>
                  <w:r>
                    <w:rPr>
                      <w:color w:val="auto"/>
                    </w:rPr>
                    <w:t>4</w:t>
                  </w:r>
                </w:p>
              </w:tc>
              <w:tc>
                <w:tcPr>
                  <w:tcW w:w="541" w:type="pct"/>
                  <w:vMerge w:val="continue"/>
                  <w:vAlign w:val="center"/>
                </w:tcPr>
                <w:p w14:paraId="748EA70A">
                  <w:pPr>
                    <w:pStyle w:val="127"/>
                    <w:rPr>
                      <w:color w:val="auto"/>
                    </w:rPr>
                  </w:pPr>
                </w:p>
              </w:tc>
              <w:tc>
                <w:tcPr>
                  <w:tcW w:w="1146" w:type="pct"/>
                  <w:vAlign w:val="center"/>
                </w:tcPr>
                <w:p w14:paraId="1FAB2332">
                  <w:pPr>
                    <w:adjustRightInd w:val="0"/>
                    <w:snapToGrid w:val="0"/>
                    <w:jc w:val="center"/>
                    <w:rPr>
                      <w:rFonts w:hint="eastAsia" w:ascii="宋体" w:hAnsi="宋体" w:cs="宋体"/>
                      <w:color w:val="auto"/>
                      <w:kern w:val="0"/>
                    </w:rPr>
                  </w:pPr>
                  <w:r>
                    <w:rPr>
                      <w:rFonts w:hint="eastAsia"/>
                      <w:color w:val="auto"/>
                      <w:szCs w:val="21"/>
                    </w:rPr>
                    <w:t>打砂机</w:t>
                  </w:r>
                </w:p>
              </w:tc>
              <w:tc>
                <w:tcPr>
                  <w:tcW w:w="466" w:type="pct"/>
                  <w:vAlign w:val="center"/>
                </w:tcPr>
                <w:p w14:paraId="0371F2AF">
                  <w:pPr>
                    <w:jc w:val="center"/>
                    <w:rPr>
                      <w:color w:val="auto"/>
                      <w:szCs w:val="22"/>
                    </w:rPr>
                  </w:pPr>
                  <w:r>
                    <w:rPr>
                      <w:rFonts w:hint="eastAsia"/>
                      <w:color w:val="auto"/>
                      <w:szCs w:val="22"/>
                    </w:rPr>
                    <w:t>3</w:t>
                  </w:r>
                </w:p>
              </w:tc>
              <w:tc>
                <w:tcPr>
                  <w:tcW w:w="667" w:type="pct"/>
                  <w:vAlign w:val="center"/>
                </w:tcPr>
                <w:p w14:paraId="4577DBEC">
                  <w:pPr>
                    <w:pStyle w:val="127"/>
                    <w:rPr>
                      <w:color w:val="auto"/>
                      <w:kern w:val="2"/>
                    </w:rPr>
                  </w:pPr>
                  <w:r>
                    <w:rPr>
                      <w:rFonts w:hint="eastAsia"/>
                      <w:color w:val="auto"/>
                      <w:kern w:val="2"/>
                    </w:rPr>
                    <w:t>75</w:t>
                  </w:r>
                </w:p>
              </w:tc>
              <w:tc>
                <w:tcPr>
                  <w:tcW w:w="837" w:type="pct"/>
                  <w:vAlign w:val="center"/>
                </w:tcPr>
                <w:p w14:paraId="223CB6FE">
                  <w:pPr>
                    <w:pStyle w:val="127"/>
                    <w:rPr>
                      <w:rFonts w:hint="eastAsia" w:ascii="宋体" w:hAnsi="宋体" w:cs="宋体"/>
                      <w:color w:val="auto"/>
                    </w:rPr>
                  </w:pPr>
                  <w:r>
                    <w:rPr>
                      <w:rFonts w:hint="eastAsia"/>
                      <w:color w:val="auto"/>
                    </w:rPr>
                    <w:t>10</w:t>
                  </w:r>
                  <w:r>
                    <w:rPr>
                      <w:color w:val="auto"/>
                    </w:rPr>
                    <w:t>（夜间不生产）</w:t>
                  </w:r>
                </w:p>
              </w:tc>
              <w:tc>
                <w:tcPr>
                  <w:tcW w:w="362" w:type="pct"/>
                  <w:vAlign w:val="center"/>
                </w:tcPr>
                <w:p w14:paraId="0E44E1FA">
                  <w:pPr>
                    <w:pStyle w:val="127"/>
                    <w:rPr>
                      <w:rFonts w:hint="eastAsia" w:ascii="宋体" w:hAnsi="宋体" w:cs="宋体"/>
                      <w:color w:val="auto"/>
                    </w:rPr>
                  </w:pPr>
                  <w:r>
                    <w:rPr>
                      <w:color w:val="auto"/>
                    </w:rPr>
                    <w:t>频发</w:t>
                  </w:r>
                </w:p>
              </w:tc>
              <w:tc>
                <w:tcPr>
                  <w:tcW w:w="732" w:type="pct"/>
                  <w:vMerge w:val="continue"/>
                  <w:vAlign w:val="center"/>
                </w:tcPr>
                <w:p w14:paraId="039DF40A">
                  <w:pPr>
                    <w:pStyle w:val="127"/>
                    <w:rPr>
                      <w:rFonts w:hint="eastAsia" w:ascii="宋体" w:hAnsi="宋体" w:cs="宋体"/>
                      <w:color w:val="auto"/>
                    </w:rPr>
                  </w:pPr>
                </w:p>
              </w:tc>
            </w:tr>
            <w:tr w14:paraId="6C2D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090894F6">
                  <w:pPr>
                    <w:pStyle w:val="127"/>
                    <w:rPr>
                      <w:color w:val="auto"/>
                    </w:rPr>
                  </w:pPr>
                  <w:r>
                    <w:rPr>
                      <w:color w:val="auto"/>
                    </w:rPr>
                    <w:t>5</w:t>
                  </w:r>
                </w:p>
              </w:tc>
              <w:tc>
                <w:tcPr>
                  <w:tcW w:w="541" w:type="pct"/>
                  <w:vMerge w:val="continue"/>
                  <w:vAlign w:val="center"/>
                </w:tcPr>
                <w:p w14:paraId="2947628E">
                  <w:pPr>
                    <w:pStyle w:val="127"/>
                    <w:rPr>
                      <w:rFonts w:hint="eastAsia" w:ascii="宋体" w:hAnsi="宋体" w:cs="宋体"/>
                      <w:color w:val="auto"/>
                    </w:rPr>
                  </w:pPr>
                </w:p>
              </w:tc>
              <w:tc>
                <w:tcPr>
                  <w:tcW w:w="1146" w:type="pct"/>
                  <w:vAlign w:val="center"/>
                </w:tcPr>
                <w:p w14:paraId="329CBC7A">
                  <w:pPr>
                    <w:adjustRightInd w:val="0"/>
                    <w:snapToGrid w:val="0"/>
                    <w:jc w:val="center"/>
                    <w:rPr>
                      <w:rFonts w:hint="eastAsia" w:ascii="宋体" w:hAnsi="宋体" w:cs="宋体"/>
                      <w:color w:val="auto"/>
                      <w:kern w:val="0"/>
                    </w:rPr>
                  </w:pPr>
                  <w:r>
                    <w:rPr>
                      <w:rFonts w:hint="eastAsia"/>
                      <w:color w:val="auto"/>
                      <w:szCs w:val="21"/>
                    </w:rPr>
                    <w:t>抛光机</w:t>
                  </w:r>
                </w:p>
              </w:tc>
              <w:tc>
                <w:tcPr>
                  <w:tcW w:w="466" w:type="pct"/>
                  <w:vAlign w:val="center"/>
                </w:tcPr>
                <w:p w14:paraId="41F75476">
                  <w:pPr>
                    <w:jc w:val="center"/>
                    <w:rPr>
                      <w:color w:val="auto"/>
                      <w:szCs w:val="22"/>
                    </w:rPr>
                  </w:pPr>
                  <w:r>
                    <w:rPr>
                      <w:rFonts w:hint="eastAsia"/>
                      <w:color w:val="auto"/>
                      <w:szCs w:val="22"/>
                    </w:rPr>
                    <w:t>1</w:t>
                  </w:r>
                </w:p>
              </w:tc>
              <w:tc>
                <w:tcPr>
                  <w:tcW w:w="667" w:type="pct"/>
                  <w:vAlign w:val="center"/>
                </w:tcPr>
                <w:p w14:paraId="486FF8ED">
                  <w:pPr>
                    <w:pStyle w:val="127"/>
                    <w:rPr>
                      <w:color w:val="auto"/>
                      <w:kern w:val="2"/>
                    </w:rPr>
                  </w:pPr>
                  <w:r>
                    <w:rPr>
                      <w:rFonts w:hint="eastAsia"/>
                      <w:color w:val="auto"/>
                      <w:kern w:val="2"/>
                    </w:rPr>
                    <w:t>75</w:t>
                  </w:r>
                </w:p>
              </w:tc>
              <w:tc>
                <w:tcPr>
                  <w:tcW w:w="837" w:type="pct"/>
                  <w:vAlign w:val="center"/>
                </w:tcPr>
                <w:p w14:paraId="0AAD6F92">
                  <w:pPr>
                    <w:pStyle w:val="127"/>
                    <w:rPr>
                      <w:rFonts w:hint="eastAsia" w:ascii="宋体" w:hAnsi="宋体" w:cs="宋体"/>
                      <w:color w:val="auto"/>
                    </w:rPr>
                  </w:pPr>
                  <w:r>
                    <w:rPr>
                      <w:rFonts w:hint="eastAsia"/>
                      <w:color w:val="auto"/>
                    </w:rPr>
                    <w:t>10</w:t>
                  </w:r>
                  <w:r>
                    <w:rPr>
                      <w:color w:val="auto"/>
                    </w:rPr>
                    <w:t>（夜间不生产）</w:t>
                  </w:r>
                </w:p>
              </w:tc>
              <w:tc>
                <w:tcPr>
                  <w:tcW w:w="362" w:type="pct"/>
                  <w:vAlign w:val="center"/>
                </w:tcPr>
                <w:p w14:paraId="3A9DF4DA">
                  <w:pPr>
                    <w:pStyle w:val="127"/>
                    <w:rPr>
                      <w:rFonts w:hint="eastAsia" w:ascii="宋体" w:hAnsi="宋体" w:cs="宋体"/>
                      <w:color w:val="auto"/>
                    </w:rPr>
                  </w:pPr>
                  <w:r>
                    <w:rPr>
                      <w:color w:val="auto"/>
                    </w:rPr>
                    <w:t>频发</w:t>
                  </w:r>
                </w:p>
              </w:tc>
              <w:tc>
                <w:tcPr>
                  <w:tcW w:w="732" w:type="pct"/>
                  <w:vMerge w:val="continue"/>
                  <w:vAlign w:val="center"/>
                </w:tcPr>
                <w:p w14:paraId="58C72D9B">
                  <w:pPr>
                    <w:pStyle w:val="127"/>
                    <w:rPr>
                      <w:rFonts w:hint="eastAsia" w:ascii="宋体" w:hAnsi="宋体" w:cs="宋体"/>
                      <w:color w:val="auto"/>
                    </w:rPr>
                  </w:pPr>
                </w:p>
              </w:tc>
            </w:tr>
            <w:tr w14:paraId="0DB4E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24FDA546">
                  <w:pPr>
                    <w:pStyle w:val="127"/>
                    <w:rPr>
                      <w:color w:val="auto"/>
                    </w:rPr>
                  </w:pPr>
                  <w:r>
                    <w:rPr>
                      <w:color w:val="auto"/>
                    </w:rPr>
                    <w:t>6</w:t>
                  </w:r>
                </w:p>
              </w:tc>
              <w:tc>
                <w:tcPr>
                  <w:tcW w:w="541" w:type="pct"/>
                  <w:vMerge w:val="continue"/>
                  <w:vAlign w:val="center"/>
                </w:tcPr>
                <w:p w14:paraId="31BA2D4C">
                  <w:pPr>
                    <w:pStyle w:val="127"/>
                    <w:rPr>
                      <w:color w:val="auto"/>
                    </w:rPr>
                  </w:pPr>
                </w:p>
              </w:tc>
              <w:tc>
                <w:tcPr>
                  <w:tcW w:w="1146" w:type="pct"/>
                  <w:vAlign w:val="center"/>
                </w:tcPr>
                <w:p w14:paraId="4E687F4C">
                  <w:pPr>
                    <w:jc w:val="center"/>
                    <w:rPr>
                      <w:rFonts w:hint="eastAsia" w:ascii="宋体" w:hAnsi="宋体" w:cs="宋体"/>
                      <w:color w:val="auto"/>
                      <w:kern w:val="0"/>
                    </w:rPr>
                  </w:pPr>
                  <w:r>
                    <w:rPr>
                      <w:rFonts w:hint="eastAsia" w:ascii="宋体" w:hAnsi="宋体" w:cs="宋体"/>
                      <w:color w:val="auto"/>
                      <w:kern w:val="0"/>
                    </w:rPr>
                    <w:t>水帘柜</w:t>
                  </w:r>
                </w:p>
              </w:tc>
              <w:tc>
                <w:tcPr>
                  <w:tcW w:w="466" w:type="pct"/>
                  <w:vAlign w:val="center"/>
                </w:tcPr>
                <w:p w14:paraId="19E8536A">
                  <w:pPr>
                    <w:jc w:val="center"/>
                    <w:rPr>
                      <w:color w:val="auto"/>
                      <w:szCs w:val="22"/>
                    </w:rPr>
                  </w:pPr>
                  <w:r>
                    <w:rPr>
                      <w:rFonts w:hint="eastAsia"/>
                      <w:color w:val="auto"/>
                      <w:szCs w:val="22"/>
                    </w:rPr>
                    <w:t>1</w:t>
                  </w:r>
                </w:p>
              </w:tc>
              <w:tc>
                <w:tcPr>
                  <w:tcW w:w="667" w:type="pct"/>
                  <w:vAlign w:val="center"/>
                </w:tcPr>
                <w:p w14:paraId="00D4C3F5">
                  <w:pPr>
                    <w:pStyle w:val="127"/>
                    <w:rPr>
                      <w:color w:val="auto"/>
                      <w:kern w:val="2"/>
                    </w:rPr>
                  </w:pPr>
                  <w:r>
                    <w:rPr>
                      <w:rFonts w:hint="eastAsia"/>
                      <w:color w:val="auto"/>
                      <w:kern w:val="2"/>
                    </w:rPr>
                    <w:t>65</w:t>
                  </w:r>
                </w:p>
              </w:tc>
              <w:tc>
                <w:tcPr>
                  <w:tcW w:w="837" w:type="pct"/>
                  <w:vAlign w:val="center"/>
                </w:tcPr>
                <w:p w14:paraId="7D6E3530">
                  <w:pPr>
                    <w:pStyle w:val="127"/>
                    <w:rPr>
                      <w:color w:val="auto"/>
                      <w:kern w:val="2"/>
                    </w:rPr>
                  </w:pPr>
                  <w:r>
                    <w:rPr>
                      <w:rFonts w:hint="eastAsia"/>
                      <w:color w:val="auto"/>
                    </w:rPr>
                    <w:t>10</w:t>
                  </w:r>
                  <w:r>
                    <w:rPr>
                      <w:color w:val="auto"/>
                    </w:rPr>
                    <w:t>（夜间不生产）</w:t>
                  </w:r>
                </w:p>
              </w:tc>
              <w:tc>
                <w:tcPr>
                  <w:tcW w:w="362" w:type="pct"/>
                  <w:vAlign w:val="center"/>
                </w:tcPr>
                <w:p w14:paraId="07FB7292">
                  <w:pPr>
                    <w:pStyle w:val="127"/>
                    <w:rPr>
                      <w:color w:val="auto"/>
                      <w:kern w:val="2"/>
                    </w:rPr>
                  </w:pPr>
                  <w:r>
                    <w:rPr>
                      <w:color w:val="auto"/>
                    </w:rPr>
                    <w:t>频发</w:t>
                  </w:r>
                </w:p>
              </w:tc>
              <w:tc>
                <w:tcPr>
                  <w:tcW w:w="732" w:type="pct"/>
                  <w:vMerge w:val="continue"/>
                  <w:vAlign w:val="center"/>
                </w:tcPr>
                <w:p w14:paraId="5466FAEB">
                  <w:pPr>
                    <w:pStyle w:val="127"/>
                    <w:rPr>
                      <w:color w:val="auto"/>
                    </w:rPr>
                  </w:pPr>
                </w:p>
              </w:tc>
            </w:tr>
            <w:tr w14:paraId="5F384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6FE1FBC3">
                  <w:pPr>
                    <w:pStyle w:val="127"/>
                    <w:rPr>
                      <w:color w:val="auto"/>
                    </w:rPr>
                  </w:pPr>
                  <w:r>
                    <w:rPr>
                      <w:rFonts w:hint="eastAsia"/>
                      <w:color w:val="auto"/>
                    </w:rPr>
                    <w:t>7</w:t>
                  </w:r>
                </w:p>
              </w:tc>
              <w:tc>
                <w:tcPr>
                  <w:tcW w:w="541" w:type="pct"/>
                  <w:vMerge w:val="continue"/>
                  <w:vAlign w:val="center"/>
                </w:tcPr>
                <w:p w14:paraId="4B844A72">
                  <w:pPr>
                    <w:pStyle w:val="127"/>
                    <w:rPr>
                      <w:color w:val="auto"/>
                    </w:rPr>
                  </w:pPr>
                </w:p>
              </w:tc>
              <w:tc>
                <w:tcPr>
                  <w:tcW w:w="1146" w:type="pct"/>
                  <w:vAlign w:val="center"/>
                </w:tcPr>
                <w:p w14:paraId="2D28D2C1">
                  <w:pPr>
                    <w:adjustRightInd w:val="0"/>
                    <w:snapToGrid w:val="0"/>
                    <w:jc w:val="center"/>
                    <w:rPr>
                      <w:color w:val="auto"/>
                      <w:szCs w:val="21"/>
                    </w:rPr>
                  </w:pPr>
                  <w:r>
                    <w:rPr>
                      <w:rFonts w:hint="eastAsia"/>
                      <w:color w:val="auto"/>
                      <w:szCs w:val="21"/>
                    </w:rPr>
                    <w:t>手工喷枪</w:t>
                  </w:r>
                </w:p>
              </w:tc>
              <w:tc>
                <w:tcPr>
                  <w:tcW w:w="466" w:type="pct"/>
                  <w:vAlign w:val="center"/>
                </w:tcPr>
                <w:p w14:paraId="1229F9B4">
                  <w:pPr>
                    <w:jc w:val="center"/>
                    <w:rPr>
                      <w:color w:val="auto"/>
                      <w:szCs w:val="22"/>
                    </w:rPr>
                  </w:pPr>
                  <w:r>
                    <w:rPr>
                      <w:rFonts w:hint="eastAsia"/>
                      <w:color w:val="auto"/>
                      <w:szCs w:val="22"/>
                    </w:rPr>
                    <w:t>2</w:t>
                  </w:r>
                </w:p>
              </w:tc>
              <w:tc>
                <w:tcPr>
                  <w:tcW w:w="667" w:type="pct"/>
                  <w:vAlign w:val="center"/>
                </w:tcPr>
                <w:p w14:paraId="6F5D1BB8">
                  <w:pPr>
                    <w:pStyle w:val="127"/>
                    <w:rPr>
                      <w:color w:val="auto"/>
                      <w:kern w:val="2"/>
                    </w:rPr>
                  </w:pPr>
                  <w:r>
                    <w:rPr>
                      <w:rFonts w:hint="eastAsia"/>
                      <w:color w:val="auto"/>
                      <w:kern w:val="2"/>
                    </w:rPr>
                    <w:t>65</w:t>
                  </w:r>
                </w:p>
              </w:tc>
              <w:tc>
                <w:tcPr>
                  <w:tcW w:w="837" w:type="pct"/>
                  <w:vAlign w:val="center"/>
                </w:tcPr>
                <w:p w14:paraId="61FD5DEC">
                  <w:pPr>
                    <w:pStyle w:val="127"/>
                    <w:rPr>
                      <w:color w:val="auto"/>
                      <w:kern w:val="2"/>
                    </w:rPr>
                  </w:pPr>
                  <w:r>
                    <w:rPr>
                      <w:rFonts w:hint="eastAsia"/>
                      <w:color w:val="auto"/>
                    </w:rPr>
                    <w:t>10</w:t>
                  </w:r>
                  <w:r>
                    <w:rPr>
                      <w:color w:val="auto"/>
                    </w:rPr>
                    <w:t>（夜间不生产）</w:t>
                  </w:r>
                </w:p>
              </w:tc>
              <w:tc>
                <w:tcPr>
                  <w:tcW w:w="362" w:type="pct"/>
                  <w:vAlign w:val="center"/>
                </w:tcPr>
                <w:p w14:paraId="50091F25">
                  <w:pPr>
                    <w:pStyle w:val="127"/>
                    <w:rPr>
                      <w:color w:val="auto"/>
                      <w:kern w:val="2"/>
                    </w:rPr>
                  </w:pPr>
                  <w:r>
                    <w:rPr>
                      <w:color w:val="auto"/>
                    </w:rPr>
                    <w:t>频发</w:t>
                  </w:r>
                </w:p>
              </w:tc>
              <w:tc>
                <w:tcPr>
                  <w:tcW w:w="732" w:type="pct"/>
                  <w:vMerge w:val="continue"/>
                  <w:vAlign w:val="center"/>
                </w:tcPr>
                <w:p w14:paraId="08FCA450">
                  <w:pPr>
                    <w:pStyle w:val="127"/>
                    <w:rPr>
                      <w:color w:val="auto"/>
                    </w:rPr>
                  </w:pPr>
                </w:p>
              </w:tc>
            </w:tr>
            <w:tr w14:paraId="251F3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0D95E934">
                  <w:pPr>
                    <w:pStyle w:val="127"/>
                    <w:rPr>
                      <w:color w:val="auto"/>
                    </w:rPr>
                  </w:pPr>
                  <w:r>
                    <w:rPr>
                      <w:rFonts w:hint="eastAsia"/>
                      <w:color w:val="auto"/>
                    </w:rPr>
                    <w:t>8</w:t>
                  </w:r>
                </w:p>
              </w:tc>
              <w:tc>
                <w:tcPr>
                  <w:tcW w:w="541" w:type="pct"/>
                  <w:vMerge w:val="continue"/>
                  <w:vAlign w:val="center"/>
                </w:tcPr>
                <w:p w14:paraId="4B202A42">
                  <w:pPr>
                    <w:pStyle w:val="127"/>
                    <w:rPr>
                      <w:color w:val="auto"/>
                    </w:rPr>
                  </w:pPr>
                </w:p>
              </w:tc>
              <w:tc>
                <w:tcPr>
                  <w:tcW w:w="1146" w:type="pct"/>
                  <w:vAlign w:val="center"/>
                </w:tcPr>
                <w:p w14:paraId="2C0212ED">
                  <w:pPr>
                    <w:adjustRightInd w:val="0"/>
                    <w:snapToGrid w:val="0"/>
                    <w:jc w:val="center"/>
                    <w:rPr>
                      <w:color w:val="auto"/>
                      <w:szCs w:val="21"/>
                    </w:rPr>
                  </w:pPr>
                  <w:r>
                    <w:rPr>
                      <w:rFonts w:hint="eastAsia"/>
                      <w:color w:val="auto"/>
                      <w:szCs w:val="21"/>
                    </w:rPr>
                    <w:t>烘烤柜炉</w:t>
                  </w:r>
                </w:p>
              </w:tc>
              <w:tc>
                <w:tcPr>
                  <w:tcW w:w="466" w:type="pct"/>
                  <w:vAlign w:val="center"/>
                </w:tcPr>
                <w:p w14:paraId="669CC59E">
                  <w:pPr>
                    <w:jc w:val="center"/>
                    <w:rPr>
                      <w:color w:val="auto"/>
                      <w:szCs w:val="22"/>
                    </w:rPr>
                  </w:pPr>
                  <w:r>
                    <w:rPr>
                      <w:rFonts w:hint="eastAsia"/>
                      <w:color w:val="auto"/>
                      <w:szCs w:val="22"/>
                    </w:rPr>
                    <w:t>1</w:t>
                  </w:r>
                </w:p>
              </w:tc>
              <w:tc>
                <w:tcPr>
                  <w:tcW w:w="667" w:type="pct"/>
                  <w:vAlign w:val="center"/>
                </w:tcPr>
                <w:p w14:paraId="27562F18">
                  <w:pPr>
                    <w:pStyle w:val="127"/>
                    <w:rPr>
                      <w:color w:val="auto"/>
                      <w:kern w:val="2"/>
                    </w:rPr>
                  </w:pPr>
                  <w:r>
                    <w:rPr>
                      <w:rFonts w:hint="eastAsia"/>
                      <w:color w:val="auto"/>
                      <w:kern w:val="2"/>
                    </w:rPr>
                    <w:t>65</w:t>
                  </w:r>
                </w:p>
              </w:tc>
              <w:tc>
                <w:tcPr>
                  <w:tcW w:w="837" w:type="pct"/>
                  <w:vAlign w:val="center"/>
                </w:tcPr>
                <w:p w14:paraId="30596664">
                  <w:pPr>
                    <w:pStyle w:val="127"/>
                    <w:rPr>
                      <w:color w:val="auto"/>
                      <w:kern w:val="2"/>
                    </w:rPr>
                  </w:pPr>
                  <w:r>
                    <w:rPr>
                      <w:rFonts w:hint="eastAsia"/>
                      <w:color w:val="auto"/>
                    </w:rPr>
                    <w:t>10</w:t>
                  </w:r>
                  <w:r>
                    <w:rPr>
                      <w:color w:val="auto"/>
                    </w:rPr>
                    <w:t>（夜间不生产）</w:t>
                  </w:r>
                </w:p>
              </w:tc>
              <w:tc>
                <w:tcPr>
                  <w:tcW w:w="362" w:type="pct"/>
                  <w:vAlign w:val="center"/>
                </w:tcPr>
                <w:p w14:paraId="70B9C66B">
                  <w:pPr>
                    <w:pStyle w:val="127"/>
                    <w:rPr>
                      <w:color w:val="auto"/>
                      <w:kern w:val="2"/>
                    </w:rPr>
                  </w:pPr>
                  <w:r>
                    <w:rPr>
                      <w:color w:val="auto"/>
                    </w:rPr>
                    <w:t>频发</w:t>
                  </w:r>
                </w:p>
              </w:tc>
              <w:tc>
                <w:tcPr>
                  <w:tcW w:w="732" w:type="pct"/>
                  <w:vMerge w:val="continue"/>
                  <w:vAlign w:val="center"/>
                </w:tcPr>
                <w:p w14:paraId="21FDEAA3">
                  <w:pPr>
                    <w:pStyle w:val="127"/>
                    <w:rPr>
                      <w:color w:val="auto"/>
                    </w:rPr>
                  </w:pPr>
                </w:p>
              </w:tc>
            </w:tr>
            <w:tr w14:paraId="66CD9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3A2BC7D0">
                  <w:pPr>
                    <w:pStyle w:val="127"/>
                    <w:rPr>
                      <w:color w:val="auto"/>
                    </w:rPr>
                  </w:pPr>
                  <w:r>
                    <w:rPr>
                      <w:color w:val="auto"/>
                    </w:rPr>
                    <w:t>9</w:t>
                  </w:r>
                </w:p>
              </w:tc>
              <w:tc>
                <w:tcPr>
                  <w:tcW w:w="541" w:type="pct"/>
                  <w:vMerge w:val="continue"/>
                  <w:vAlign w:val="center"/>
                </w:tcPr>
                <w:p w14:paraId="3C9D4F34">
                  <w:pPr>
                    <w:pStyle w:val="127"/>
                    <w:rPr>
                      <w:color w:val="auto"/>
                    </w:rPr>
                  </w:pPr>
                </w:p>
              </w:tc>
              <w:tc>
                <w:tcPr>
                  <w:tcW w:w="1146" w:type="pct"/>
                  <w:vAlign w:val="center"/>
                </w:tcPr>
                <w:p w14:paraId="79F45328">
                  <w:pPr>
                    <w:adjustRightInd w:val="0"/>
                    <w:snapToGrid w:val="0"/>
                    <w:jc w:val="center"/>
                    <w:rPr>
                      <w:color w:val="auto"/>
                      <w:szCs w:val="21"/>
                    </w:rPr>
                  </w:pPr>
                  <w:r>
                    <w:rPr>
                      <w:rFonts w:hint="eastAsia"/>
                      <w:color w:val="auto"/>
                      <w:szCs w:val="21"/>
                    </w:rPr>
                    <w:t>喷淋柜</w:t>
                  </w:r>
                </w:p>
              </w:tc>
              <w:tc>
                <w:tcPr>
                  <w:tcW w:w="466" w:type="pct"/>
                  <w:vAlign w:val="center"/>
                </w:tcPr>
                <w:p w14:paraId="2D271A7F">
                  <w:pPr>
                    <w:jc w:val="center"/>
                    <w:rPr>
                      <w:color w:val="auto"/>
                      <w:szCs w:val="22"/>
                    </w:rPr>
                  </w:pPr>
                  <w:r>
                    <w:rPr>
                      <w:rFonts w:hint="eastAsia"/>
                      <w:color w:val="auto"/>
                      <w:szCs w:val="22"/>
                    </w:rPr>
                    <w:t>1</w:t>
                  </w:r>
                </w:p>
              </w:tc>
              <w:tc>
                <w:tcPr>
                  <w:tcW w:w="667" w:type="pct"/>
                  <w:vAlign w:val="center"/>
                </w:tcPr>
                <w:p w14:paraId="50304271">
                  <w:pPr>
                    <w:pStyle w:val="127"/>
                    <w:rPr>
                      <w:color w:val="auto"/>
                      <w:kern w:val="2"/>
                    </w:rPr>
                  </w:pPr>
                  <w:r>
                    <w:rPr>
                      <w:rFonts w:hint="eastAsia"/>
                      <w:color w:val="auto"/>
                      <w:kern w:val="2"/>
                    </w:rPr>
                    <w:t>65</w:t>
                  </w:r>
                </w:p>
              </w:tc>
              <w:tc>
                <w:tcPr>
                  <w:tcW w:w="837" w:type="pct"/>
                  <w:vAlign w:val="center"/>
                </w:tcPr>
                <w:p w14:paraId="6671CDC1">
                  <w:pPr>
                    <w:pStyle w:val="127"/>
                    <w:rPr>
                      <w:color w:val="auto"/>
                      <w:kern w:val="2"/>
                    </w:rPr>
                  </w:pPr>
                  <w:r>
                    <w:rPr>
                      <w:rFonts w:hint="eastAsia"/>
                      <w:color w:val="auto"/>
                    </w:rPr>
                    <w:t>10</w:t>
                  </w:r>
                  <w:r>
                    <w:rPr>
                      <w:color w:val="auto"/>
                    </w:rPr>
                    <w:t>（夜间不生产）</w:t>
                  </w:r>
                </w:p>
              </w:tc>
              <w:tc>
                <w:tcPr>
                  <w:tcW w:w="362" w:type="pct"/>
                  <w:vAlign w:val="center"/>
                </w:tcPr>
                <w:p w14:paraId="36EF43C0">
                  <w:pPr>
                    <w:pStyle w:val="127"/>
                    <w:rPr>
                      <w:color w:val="auto"/>
                      <w:kern w:val="2"/>
                    </w:rPr>
                  </w:pPr>
                  <w:r>
                    <w:rPr>
                      <w:color w:val="auto"/>
                    </w:rPr>
                    <w:t>频发</w:t>
                  </w:r>
                </w:p>
              </w:tc>
              <w:tc>
                <w:tcPr>
                  <w:tcW w:w="732" w:type="pct"/>
                  <w:vMerge w:val="continue"/>
                  <w:vAlign w:val="center"/>
                </w:tcPr>
                <w:p w14:paraId="1406E00A">
                  <w:pPr>
                    <w:pStyle w:val="127"/>
                    <w:rPr>
                      <w:color w:val="auto"/>
                    </w:rPr>
                  </w:pPr>
                </w:p>
              </w:tc>
            </w:tr>
            <w:tr w14:paraId="6DECD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78382357">
                  <w:pPr>
                    <w:pStyle w:val="127"/>
                    <w:rPr>
                      <w:color w:val="auto"/>
                    </w:rPr>
                  </w:pPr>
                  <w:r>
                    <w:rPr>
                      <w:color w:val="auto"/>
                    </w:rPr>
                    <w:t>10</w:t>
                  </w:r>
                </w:p>
              </w:tc>
              <w:tc>
                <w:tcPr>
                  <w:tcW w:w="541" w:type="pct"/>
                  <w:vMerge w:val="restart"/>
                  <w:vAlign w:val="center"/>
                </w:tcPr>
                <w:p w14:paraId="1CB0B785">
                  <w:pPr>
                    <w:pStyle w:val="127"/>
                    <w:rPr>
                      <w:color w:val="auto"/>
                    </w:rPr>
                  </w:pPr>
                  <w:r>
                    <w:rPr>
                      <w:rFonts w:hint="eastAsia"/>
                      <w:color w:val="auto"/>
                    </w:rPr>
                    <w:t>五楼</w:t>
                  </w:r>
                </w:p>
              </w:tc>
              <w:tc>
                <w:tcPr>
                  <w:tcW w:w="1146" w:type="pct"/>
                  <w:vAlign w:val="center"/>
                </w:tcPr>
                <w:p w14:paraId="427D26FC">
                  <w:pPr>
                    <w:pStyle w:val="87"/>
                    <w:rPr>
                      <w:rFonts w:hint="eastAsia"/>
                      <w:b w:val="0"/>
                      <w:bCs/>
                      <w:color w:val="auto"/>
                    </w:rPr>
                  </w:pPr>
                  <w:r>
                    <w:rPr>
                      <w:rFonts w:hint="eastAsia"/>
                      <w:b w:val="0"/>
                      <w:bCs/>
                      <w:color w:val="auto"/>
                    </w:rPr>
                    <w:t>固化隧道炉</w:t>
                  </w:r>
                </w:p>
              </w:tc>
              <w:tc>
                <w:tcPr>
                  <w:tcW w:w="466" w:type="pct"/>
                  <w:vAlign w:val="center"/>
                </w:tcPr>
                <w:p w14:paraId="564D57D4">
                  <w:pPr>
                    <w:pStyle w:val="87"/>
                    <w:rPr>
                      <w:rFonts w:hint="eastAsia"/>
                      <w:b w:val="0"/>
                      <w:bCs/>
                      <w:color w:val="auto"/>
                      <w:kern w:val="11"/>
                    </w:rPr>
                  </w:pPr>
                  <w:r>
                    <w:rPr>
                      <w:rFonts w:hint="eastAsia"/>
                      <w:b w:val="0"/>
                      <w:bCs/>
                      <w:color w:val="auto"/>
                      <w:kern w:val="11"/>
                    </w:rPr>
                    <w:t>1</w:t>
                  </w:r>
                </w:p>
              </w:tc>
              <w:tc>
                <w:tcPr>
                  <w:tcW w:w="667" w:type="pct"/>
                  <w:vAlign w:val="center"/>
                </w:tcPr>
                <w:p w14:paraId="702F4863">
                  <w:pPr>
                    <w:pStyle w:val="127"/>
                    <w:rPr>
                      <w:bCs/>
                      <w:color w:val="auto"/>
                    </w:rPr>
                  </w:pPr>
                  <w:r>
                    <w:rPr>
                      <w:rFonts w:hint="eastAsia"/>
                      <w:bCs/>
                      <w:color w:val="auto"/>
                    </w:rPr>
                    <w:t>70</w:t>
                  </w:r>
                </w:p>
              </w:tc>
              <w:tc>
                <w:tcPr>
                  <w:tcW w:w="837" w:type="pct"/>
                  <w:vAlign w:val="center"/>
                </w:tcPr>
                <w:p w14:paraId="60F8FF24">
                  <w:pPr>
                    <w:pStyle w:val="127"/>
                    <w:rPr>
                      <w:color w:val="auto"/>
                    </w:rPr>
                  </w:pPr>
                  <w:r>
                    <w:rPr>
                      <w:rFonts w:hint="eastAsia"/>
                      <w:color w:val="auto"/>
                    </w:rPr>
                    <w:t>10</w:t>
                  </w:r>
                  <w:r>
                    <w:rPr>
                      <w:color w:val="auto"/>
                    </w:rPr>
                    <w:t>（夜间不生产）</w:t>
                  </w:r>
                </w:p>
              </w:tc>
              <w:tc>
                <w:tcPr>
                  <w:tcW w:w="362" w:type="pct"/>
                  <w:vAlign w:val="center"/>
                </w:tcPr>
                <w:p w14:paraId="4B60E79C">
                  <w:pPr>
                    <w:pStyle w:val="127"/>
                    <w:rPr>
                      <w:color w:val="auto"/>
                    </w:rPr>
                  </w:pPr>
                  <w:r>
                    <w:rPr>
                      <w:color w:val="auto"/>
                    </w:rPr>
                    <w:t>频发</w:t>
                  </w:r>
                </w:p>
              </w:tc>
              <w:tc>
                <w:tcPr>
                  <w:tcW w:w="732" w:type="pct"/>
                  <w:vMerge w:val="continue"/>
                  <w:vAlign w:val="center"/>
                </w:tcPr>
                <w:p w14:paraId="5FA23C36">
                  <w:pPr>
                    <w:pStyle w:val="127"/>
                    <w:rPr>
                      <w:color w:val="auto"/>
                    </w:rPr>
                  </w:pPr>
                </w:p>
              </w:tc>
            </w:tr>
            <w:tr w14:paraId="481ED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32EA0C9A">
                  <w:pPr>
                    <w:pStyle w:val="127"/>
                    <w:rPr>
                      <w:color w:val="auto"/>
                    </w:rPr>
                  </w:pPr>
                  <w:r>
                    <w:rPr>
                      <w:color w:val="auto"/>
                    </w:rPr>
                    <w:t>11</w:t>
                  </w:r>
                </w:p>
              </w:tc>
              <w:tc>
                <w:tcPr>
                  <w:tcW w:w="541" w:type="pct"/>
                  <w:vMerge w:val="continue"/>
                  <w:vAlign w:val="center"/>
                </w:tcPr>
                <w:p w14:paraId="57F23C99">
                  <w:pPr>
                    <w:pStyle w:val="127"/>
                    <w:rPr>
                      <w:color w:val="auto"/>
                    </w:rPr>
                  </w:pPr>
                </w:p>
              </w:tc>
              <w:tc>
                <w:tcPr>
                  <w:tcW w:w="1146" w:type="pct"/>
                  <w:vAlign w:val="center"/>
                </w:tcPr>
                <w:p w14:paraId="030B8C75">
                  <w:pPr>
                    <w:pStyle w:val="127"/>
                    <w:rPr>
                      <w:bCs/>
                      <w:color w:val="auto"/>
                      <w:kern w:val="11"/>
                      <w:szCs w:val="21"/>
                    </w:rPr>
                  </w:pPr>
                  <w:r>
                    <w:rPr>
                      <w:rFonts w:hint="eastAsia"/>
                      <w:bCs/>
                      <w:color w:val="auto"/>
                      <w:szCs w:val="21"/>
                    </w:rPr>
                    <w:t>烘烤隧道炉</w:t>
                  </w:r>
                </w:p>
              </w:tc>
              <w:tc>
                <w:tcPr>
                  <w:tcW w:w="466" w:type="pct"/>
                  <w:vAlign w:val="center"/>
                </w:tcPr>
                <w:p w14:paraId="6D1813EE">
                  <w:pPr>
                    <w:pStyle w:val="127"/>
                    <w:rPr>
                      <w:bCs/>
                      <w:color w:val="auto"/>
                      <w:kern w:val="11"/>
                      <w:szCs w:val="21"/>
                    </w:rPr>
                  </w:pPr>
                  <w:r>
                    <w:rPr>
                      <w:rFonts w:hint="eastAsia"/>
                      <w:bCs/>
                      <w:color w:val="auto"/>
                      <w:kern w:val="11"/>
                      <w:szCs w:val="21"/>
                    </w:rPr>
                    <w:t>2</w:t>
                  </w:r>
                </w:p>
              </w:tc>
              <w:tc>
                <w:tcPr>
                  <w:tcW w:w="667" w:type="pct"/>
                  <w:vAlign w:val="center"/>
                </w:tcPr>
                <w:p w14:paraId="4FC190D7">
                  <w:pPr>
                    <w:pStyle w:val="127"/>
                    <w:rPr>
                      <w:bCs/>
                      <w:color w:val="auto"/>
                      <w:kern w:val="11"/>
                      <w:szCs w:val="21"/>
                    </w:rPr>
                  </w:pPr>
                  <w:r>
                    <w:rPr>
                      <w:rFonts w:hint="eastAsia"/>
                      <w:bCs/>
                      <w:color w:val="auto"/>
                      <w:kern w:val="11"/>
                      <w:szCs w:val="21"/>
                    </w:rPr>
                    <w:t>70</w:t>
                  </w:r>
                </w:p>
              </w:tc>
              <w:tc>
                <w:tcPr>
                  <w:tcW w:w="837" w:type="pct"/>
                  <w:vAlign w:val="center"/>
                </w:tcPr>
                <w:p w14:paraId="4FDE70EE">
                  <w:pPr>
                    <w:pStyle w:val="127"/>
                    <w:rPr>
                      <w:bCs/>
                      <w:color w:val="auto"/>
                      <w:kern w:val="11"/>
                      <w:szCs w:val="21"/>
                    </w:rPr>
                  </w:pPr>
                  <w:r>
                    <w:rPr>
                      <w:rFonts w:hint="eastAsia"/>
                      <w:color w:val="auto"/>
                    </w:rPr>
                    <w:t>10</w:t>
                  </w:r>
                  <w:r>
                    <w:rPr>
                      <w:color w:val="auto"/>
                    </w:rPr>
                    <w:t>（夜间不生产）</w:t>
                  </w:r>
                </w:p>
              </w:tc>
              <w:tc>
                <w:tcPr>
                  <w:tcW w:w="362" w:type="pct"/>
                  <w:vAlign w:val="center"/>
                </w:tcPr>
                <w:p w14:paraId="239F38B9">
                  <w:pPr>
                    <w:pStyle w:val="127"/>
                    <w:rPr>
                      <w:bCs/>
                      <w:color w:val="auto"/>
                      <w:kern w:val="11"/>
                      <w:szCs w:val="21"/>
                    </w:rPr>
                  </w:pPr>
                  <w:r>
                    <w:rPr>
                      <w:color w:val="auto"/>
                    </w:rPr>
                    <w:t>频发</w:t>
                  </w:r>
                </w:p>
              </w:tc>
              <w:tc>
                <w:tcPr>
                  <w:tcW w:w="732" w:type="pct"/>
                  <w:vMerge w:val="continue"/>
                  <w:vAlign w:val="center"/>
                </w:tcPr>
                <w:p w14:paraId="2E4FD804">
                  <w:pPr>
                    <w:pStyle w:val="127"/>
                    <w:rPr>
                      <w:bCs/>
                      <w:color w:val="auto"/>
                      <w:kern w:val="11"/>
                      <w:szCs w:val="21"/>
                    </w:rPr>
                  </w:pPr>
                </w:p>
              </w:tc>
            </w:tr>
            <w:tr w14:paraId="75B4C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6332E511">
                  <w:pPr>
                    <w:pStyle w:val="127"/>
                    <w:rPr>
                      <w:color w:val="auto"/>
                    </w:rPr>
                  </w:pPr>
                  <w:r>
                    <w:rPr>
                      <w:color w:val="auto"/>
                    </w:rPr>
                    <w:t>12</w:t>
                  </w:r>
                </w:p>
              </w:tc>
              <w:tc>
                <w:tcPr>
                  <w:tcW w:w="541" w:type="pct"/>
                  <w:vMerge w:val="restart"/>
                  <w:vAlign w:val="center"/>
                </w:tcPr>
                <w:p w14:paraId="328A9F55">
                  <w:pPr>
                    <w:pStyle w:val="127"/>
                    <w:rPr>
                      <w:color w:val="auto"/>
                    </w:rPr>
                  </w:pPr>
                  <w:r>
                    <w:rPr>
                      <w:rFonts w:hint="eastAsia"/>
                      <w:color w:val="auto"/>
                    </w:rPr>
                    <w:t>六楼</w:t>
                  </w:r>
                </w:p>
              </w:tc>
              <w:tc>
                <w:tcPr>
                  <w:tcW w:w="1146" w:type="pct"/>
                  <w:vAlign w:val="center"/>
                </w:tcPr>
                <w:p w14:paraId="0B0F57C6">
                  <w:pPr>
                    <w:adjustRightInd w:val="0"/>
                    <w:snapToGrid w:val="0"/>
                    <w:jc w:val="center"/>
                    <w:rPr>
                      <w:color w:val="auto"/>
                      <w:szCs w:val="21"/>
                    </w:rPr>
                  </w:pPr>
                  <w:r>
                    <w:rPr>
                      <w:rFonts w:hint="eastAsia"/>
                      <w:color w:val="auto"/>
                      <w:szCs w:val="21"/>
                    </w:rPr>
                    <w:t>台钻</w:t>
                  </w:r>
                </w:p>
              </w:tc>
              <w:tc>
                <w:tcPr>
                  <w:tcW w:w="466" w:type="pct"/>
                  <w:vAlign w:val="center"/>
                </w:tcPr>
                <w:p w14:paraId="66A6FCE0">
                  <w:pPr>
                    <w:pStyle w:val="87"/>
                    <w:rPr>
                      <w:rFonts w:hint="eastAsia"/>
                      <w:b w:val="0"/>
                      <w:bCs/>
                      <w:color w:val="auto"/>
                      <w:kern w:val="11"/>
                    </w:rPr>
                  </w:pPr>
                  <w:r>
                    <w:rPr>
                      <w:rFonts w:hint="eastAsia"/>
                      <w:b w:val="0"/>
                      <w:bCs/>
                      <w:color w:val="auto"/>
                      <w:kern w:val="11"/>
                    </w:rPr>
                    <w:t>1</w:t>
                  </w:r>
                </w:p>
              </w:tc>
              <w:tc>
                <w:tcPr>
                  <w:tcW w:w="667" w:type="pct"/>
                  <w:vAlign w:val="center"/>
                </w:tcPr>
                <w:p w14:paraId="2F401530">
                  <w:pPr>
                    <w:pStyle w:val="127"/>
                    <w:rPr>
                      <w:color w:val="auto"/>
                    </w:rPr>
                  </w:pPr>
                  <w:r>
                    <w:rPr>
                      <w:rFonts w:hint="eastAsia"/>
                      <w:color w:val="auto"/>
                    </w:rPr>
                    <w:t>75</w:t>
                  </w:r>
                </w:p>
              </w:tc>
              <w:tc>
                <w:tcPr>
                  <w:tcW w:w="837" w:type="pct"/>
                  <w:vAlign w:val="center"/>
                </w:tcPr>
                <w:p w14:paraId="487996EC">
                  <w:pPr>
                    <w:pStyle w:val="127"/>
                    <w:rPr>
                      <w:color w:val="auto"/>
                    </w:rPr>
                  </w:pPr>
                  <w:r>
                    <w:rPr>
                      <w:rFonts w:hint="eastAsia"/>
                      <w:color w:val="auto"/>
                    </w:rPr>
                    <w:t>10</w:t>
                  </w:r>
                  <w:r>
                    <w:rPr>
                      <w:color w:val="auto"/>
                    </w:rPr>
                    <w:t>（夜间不生产）</w:t>
                  </w:r>
                </w:p>
              </w:tc>
              <w:tc>
                <w:tcPr>
                  <w:tcW w:w="362" w:type="pct"/>
                  <w:vAlign w:val="center"/>
                </w:tcPr>
                <w:p w14:paraId="7B9FB652">
                  <w:pPr>
                    <w:pStyle w:val="127"/>
                    <w:rPr>
                      <w:color w:val="auto"/>
                    </w:rPr>
                  </w:pPr>
                  <w:r>
                    <w:rPr>
                      <w:color w:val="auto"/>
                    </w:rPr>
                    <w:t>频发</w:t>
                  </w:r>
                </w:p>
              </w:tc>
              <w:tc>
                <w:tcPr>
                  <w:tcW w:w="732" w:type="pct"/>
                  <w:vMerge w:val="continue"/>
                  <w:vAlign w:val="center"/>
                </w:tcPr>
                <w:p w14:paraId="392258C8">
                  <w:pPr>
                    <w:pStyle w:val="127"/>
                    <w:rPr>
                      <w:color w:val="auto"/>
                    </w:rPr>
                  </w:pPr>
                </w:p>
              </w:tc>
            </w:tr>
            <w:tr w14:paraId="45ADD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334AC180">
                  <w:pPr>
                    <w:pStyle w:val="127"/>
                    <w:rPr>
                      <w:color w:val="auto"/>
                    </w:rPr>
                  </w:pPr>
                  <w:r>
                    <w:rPr>
                      <w:rFonts w:hint="eastAsia"/>
                      <w:color w:val="auto"/>
                    </w:rPr>
                    <w:t>13</w:t>
                  </w:r>
                </w:p>
              </w:tc>
              <w:tc>
                <w:tcPr>
                  <w:tcW w:w="541" w:type="pct"/>
                  <w:vMerge w:val="continue"/>
                  <w:vAlign w:val="center"/>
                </w:tcPr>
                <w:p w14:paraId="55EE1A8C">
                  <w:pPr>
                    <w:pStyle w:val="127"/>
                    <w:rPr>
                      <w:color w:val="auto"/>
                    </w:rPr>
                  </w:pPr>
                </w:p>
              </w:tc>
              <w:tc>
                <w:tcPr>
                  <w:tcW w:w="1146" w:type="pct"/>
                  <w:vAlign w:val="center"/>
                </w:tcPr>
                <w:p w14:paraId="2A7D5EE7">
                  <w:pPr>
                    <w:adjustRightInd w:val="0"/>
                    <w:snapToGrid w:val="0"/>
                    <w:jc w:val="center"/>
                    <w:rPr>
                      <w:color w:val="auto"/>
                      <w:szCs w:val="21"/>
                    </w:rPr>
                  </w:pPr>
                  <w:r>
                    <w:rPr>
                      <w:color w:val="auto"/>
                      <w:szCs w:val="21"/>
                    </w:rPr>
                    <w:t>抛丸清理机</w:t>
                  </w:r>
                </w:p>
              </w:tc>
              <w:tc>
                <w:tcPr>
                  <w:tcW w:w="466" w:type="pct"/>
                  <w:vAlign w:val="center"/>
                </w:tcPr>
                <w:p w14:paraId="26AE88EE">
                  <w:pPr>
                    <w:jc w:val="center"/>
                    <w:rPr>
                      <w:bCs/>
                      <w:color w:val="auto"/>
                      <w:szCs w:val="21"/>
                    </w:rPr>
                  </w:pPr>
                  <w:r>
                    <w:rPr>
                      <w:rFonts w:hint="eastAsia"/>
                      <w:bCs/>
                      <w:color w:val="auto"/>
                      <w:szCs w:val="21"/>
                    </w:rPr>
                    <w:t>1</w:t>
                  </w:r>
                </w:p>
              </w:tc>
              <w:tc>
                <w:tcPr>
                  <w:tcW w:w="667" w:type="pct"/>
                  <w:vAlign w:val="center"/>
                </w:tcPr>
                <w:p w14:paraId="10C7D11B">
                  <w:pPr>
                    <w:pStyle w:val="127"/>
                    <w:rPr>
                      <w:color w:val="auto"/>
                    </w:rPr>
                  </w:pPr>
                  <w:r>
                    <w:rPr>
                      <w:rFonts w:hint="eastAsia"/>
                      <w:color w:val="auto"/>
                    </w:rPr>
                    <w:t>80</w:t>
                  </w:r>
                </w:p>
              </w:tc>
              <w:tc>
                <w:tcPr>
                  <w:tcW w:w="837" w:type="pct"/>
                  <w:vAlign w:val="center"/>
                </w:tcPr>
                <w:p w14:paraId="5CADA697">
                  <w:pPr>
                    <w:pStyle w:val="127"/>
                    <w:rPr>
                      <w:color w:val="auto"/>
                    </w:rPr>
                  </w:pPr>
                  <w:r>
                    <w:rPr>
                      <w:rFonts w:hint="eastAsia"/>
                      <w:color w:val="auto"/>
                    </w:rPr>
                    <w:t>10</w:t>
                  </w:r>
                  <w:r>
                    <w:rPr>
                      <w:color w:val="auto"/>
                    </w:rPr>
                    <w:t>（夜间不生产）</w:t>
                  </w:r>
                </w:p>
              </w:tc>
              <w:tc>
                <w:tcPr>
                  <w:tcW w:w="362" w:type="pct"/>
                  <w:vAlign w:val="center"/>
                </w:tcPr>
                <w:p w14:paraId="0CDCC806">
                  <w:pPr>
                    <w:pStyle w:val="127"/>
                    <w:rPr>
                      <w:color w:val="auto"/>
                    </w:rPr>
                  </w:pPr>
                  <w:r>
                    <w:rPr>
                      <w:color w:val="auto"/>
                    </w:rPr>
                    <w:t>频发</w:t>
                  </w:r>
                </w:p>
              </w:tc>
              <w:tc>
                <w:tcPr>
                  <w:tcW w:w="732" w:type="pct"/>
                  <w:vMerge w:val="continue"/>
                  <w:vAlign w:val="center"/>
                </w:tcPr>
                <w:p w14:paraId="0CF24781">
                  <w:pPr>
                    <w:pStyle w:val="127"/>
                    <w:rPr>
                      <w:color w:val="auto"/>
                    </w:rPr>
                  </w:pPr>
                </w:p>
              </w:tc>
            </w:tr>
            <w:tr w14:paraId="25B7C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384F6541">
                  <w:pPr>
                    <w:pStyle w:val="127"/>
                    <w:rPr>
                      <w:color w:val="auto"/>
                    </w:rPr>
                  </w:pPr>
                  <w:r>
                    <w:rPr>
                      <w:rFonts w:hint="eastAsia"/>
                      <w:color w:val="auto"/>
                    </w:rPr>
                    <w:t>14</w:t>
                  </w:r>
                </w:p>
              </w:tc>
              <w:tc>
                <w:tcPr>
                  <w:tcW w:w="541" w:type="pct"/>
                  <w:vMerge w:val="continue"/>
                  <w:vAlign w:val="center"/>
                </w:tcPr>
                <w:p w14:paraId="58EC33B2">
                  <w:pPr>
                    <w:pStyle w:val="127"/>
                    <w:rPr>
                      <w:color w:val="auto"/>
                    </w:rPr>
                  </w:pPr>
                </w:p>
              </w:tc>
              <w:tc>
                <w:tcPr>
                  <w:tcW w:w="1146" w:type="pct"/>
                  <w:vAlign w:val="center"/>
                </w:tcPr>
                <w:p w14:paraId="78881FA2">
                  <w:pPr>
                    <w:widowControl/>
                    <w:jc w:val="center"/>
                    <w:rPr>
                      <w:color w:val="auto"/>
                      <w:kern w:val="0"/>
                      <w:szCs w:val="22"/>
                    </w:rPr>
                  </w:pPr>
                  <w:r>
                    <w:rPr>
                      <w:rFonts w:hint="eastAsia"/>
                      <w:color w:val="auto"/>
                      <w:kern w:val="0"/>
                      <w:szCs w:val="22"/>
                    </w:rPr>
                    <w:t>前处理线</w:t>
                  </w:r>
                </w:p>
              </w:tc>
              <w:tc>
                <w:tcPr>
                  <w:tcW w:w="466" w:type="pct"/>
                  <w:vAlign w:val="center"/>
                </w:tcPr>
                <w:p w14:paraId="1932803E">
                  <w:pPr>
                    <w:jc w:val="center"/>
                    <w:rPr>
                      <w:bCs/>
                      <w:color w:val="auto"/>
                      <w:szCs w:val="21"/>
                    </w:rPr>
                  </w:pPr>
                  <w:r>
                    <w:rPr>
                      <w:rFonts w:hint="eastAsia"/>
                      <w:bCs/>
                      <w:color w:val="auto"/>
                      <w:szCs w:val="21"/>
                    </w:rPr>
                    <w:t>1</w:t>
                  </w:r>
                </w:p>
              </w:tc>
              <w:tc>
                <w:tcPr>
                  <w:tcW w:w="667" w:type="pct"/>
                  <w:vAlign w:val="center"/>
                </w:tcPr>
                <w:p w14:paraId="416E7DB3">
                  <w:pPr>
                    <w:pStyle w:val="127"/>
                    <w:rPr>
                      <w:color w:val="auto"/>
                    </w:rPr>
                  </w:pPr>
                  <w:r>
                    <w:rPr>
                      <w:rFonts w:hint="eastAsia"/>
                      <w:color w:val="auto"/>
                    </w:rPr>
                    <w:t>70</w:t>
                  </w:r>
                </w:p>
              </w:tc>
              <w:tc>
                <w:tcPr>
                  <w:tcW w:w="837" w:type="pct"/>
                  <w:vAlign w:val="center"/>
                </w:tcPr>
                <w:p w14:paraId="46D91830">
                  <w:pPr>
                    <w:pStyle w:val="127"/>
                    <w:rPr>
                      <w:color w:val="auto"/>
                    </w:rPr>
                  </w:pPr>
                  <w:r>
                    <w:rPr>
                      <w:rFonts w:hint="eastAsia"/>
                      <w:color w:val="auto"/>
                    </w:rPr>
                    <w:t>10</w:t>
                  </w:r>
                  <w:r>
                    <w:rPr>
                      <w:color w:val="auto"/>
                    </w:rPr>
                    <w:t>（夜间不生产）</w:t>
                  </w:r>
                </w:p>
              </w:tc>
              <w:tc>
                <w:tcPr>
                  <w:tcW w:w="362" w:type="pct"/>
                  <w:vAlign w:val="center"/>
                </w:tcPr>
                <w:p w14:paraId="1181D350">
                  <w:pPr>
                    <w:pStyle w:val="127"/>
                    <w:rPr>
                      <w:color w:val="auto"/>
                    </w:rPr>
                  </w:pPr>
                  <w:r>
                    <w:rPr>
                      <w:color w:val="auto"/>
                    </w:rPr>
                    <w:t>频发</w:t>
                  </w:r>
                </w:p>
              </w:tc>
              <w:tc>
                <w:tcPr>
                  <w:tcW w:w="732" w:type="pct"/>
                  <w:vMerge w:val="continue"/>
                  <w:vAlign w:val="center"/>
                </w:tcPr>
                <w:p w14:paraId="3C9470CA">
                  <w:pPr>
                    <w:pStyle w:val="127"/>
                    <w:rPr>
                      <w:color w:val="auto"/>
                    </w:rPr>
                  </w:pPr>
                </w:p>
              </w:tc>
            </w:tr>
            <w:tr w14:paraId="3F1B5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17958F62">
                  <w:pPr>
                    <w:pStyle w:val="127"/>
                    <w:rPr>
                      <w:color w:val="auto"/>
                    </w:rPr>
                  </w:pPr>
                  <w:r>
                    <w:rPr>
                      <w:rFonts w:hint="eastAsia"/>
                      <w:color w:val="auto"/>
                    </w:rPr>
                    <w:t>15</w:t>
                  </w:r>
                </w:p>
              </w:tc>
              <w:tc>
                <w:tcPr>
                  <w:tcW w:w="541" w:type="pct"/>
                  <w:vMerge w:val="restart"/>
                  <w:vAlign w:val="center"/>
                </w:tcPr>
                <w:p w14:paraId="5FAA55A0">
                  <w:pPr>
                    <w:pStyle w:val="127"/>
                    <w:rPr>
                      <w:color w:val="auto"/>
                    </w:rPr>
                  </w:pPr>
                  <w:r>
                    <w:rPr>
                      <w:color w:val="auto"/>
                    </w:rPr>
                    <w:t>顶楼</w:t>
                  </w:r>
                </w:p>
              </w:tc>
              <w:tc>
                <w:tcPr>
                  <w:tcW w:w="1146" w:type="pct"/>
                  <w:vAlign w:val="center"/>
                </w:tcPr>
                <w:p w14:paraId="24A3CFB7">
                  <w:pPr>
                    <w:pStyle w:val="127"/>
                    <w:rPr>
                      <w:color w:val="auto"/>
                    </w:rPr>
                  </w:pPr>
                  <w:r>
                    <w:rPr>
                      <w:color w:val="auto"/>
                    </w:rPr>
                    <w:t>废气处理设施风机</w:t>
                  </w:r>
                </w:p>
              </w:tc>
              <w:tc>
                <w:tcPr>
                  <w:tcW w:w="466" w:type="pct"/>
                  <w:vAlign w:val="center"/>
                </w:tcPr>
                <w:p w14:paraId="3B646B3C">
                  <w:pPr>
                    <w:pStyle w:val="127"/>
                    <w:rPr>
                      <w:color w:val="auto"/>
                    </w:rPr>
                  </w:pPr>
                  <w:r>
                    <w:rPr>
                      <w:rFonts w:hint="eastAsia"/>
                      <w:color w:val="auto"/>
                    </w:rPr>
                    <w:t>6</w:t>
                  </w:r>
                </w:p>
              </w:tc>
              <w:tc>
                <w:tcPr>
                  <w:tcW w:w="667" w:type="pct"/>
                  <w:vAlign w:val="center"/>
                </w:tcPr>
                <w:p w14:paraId="1672A8C7">
                  <w:pPr>
                    <w:pStyle w:val="127"/>
                    <w:rPr>
                      <w:color w:val="auto"/>
                    </w:rPr>
                  </w:pPr>
                  <w:r>
                    <w:rPr>
                      <w:rFonts w:hint="eastAsia"/>
                      <w:color w:val="auto"/>
                    </w:rPr>
                    <w:t>85</w:t>
                  </w:r>
                </w:p>
              </w:tc>
              <w:tc>
                <w:tcPr>
                  <w:tcW w:w="837" w:type="pct"/>
                  <w:vAlign w:val="center"/>
                </w:tcPr>
                <w:p w14:paraId="47C194D0">
                  <w:pPr>
                    <w:pStyle w:val="127"/>
                    <w:rPr>
                      <w:color w:val="auto"/>
                    </w:rPr>
                  </w:pPr>
                  <w:r>
                    <w:rPr>
                      <w:rFonts w:hint="eastAsia"/>
                      <w:color w:val="auto"/>
                    </w:rPr>
                    <w:t>10</w:t>
                  </w:r>
                  <w:r>
                    <w:rPr>
                      <w:color w:val="auto"/>
                    </w:rPr>
                    <w:t>（夜间不生产）</w:t>
                  </w:r>
                </w:p>
              </w:tc>
              <w:tc>
                <w:tcPr>
                  <w:tcW w:w="362" w:type="pct"/>
                  <w:vAlign w:val="center"/>
                </w:tcPr>
                <w:p w14:paraId="6876C414">
                  <w:pPr>
                    <w:pStyle w:val="127"/>
                    <w:rPr>
                      <w:color w:val="auto"/>
                    </w:rPr>
                  </w:pPr>
                  <w:r>
                    <w:rPr>
                      <w:color w:val="auto"/>
                    </w:rPr>
                    <w:t>频发</w:t>
                  </w:r>
                </w:p>
              </w:tc>
              <w:tc>
                <w:tcPr>
                  <w:tcW w:w="732" w:type="pct"/>
                  <w:vMerge w:val="continue"/>
                  <w:vAlign w:val="center"/>
                </w:tcPr>
                <w:p w14:paraId="2F4D2F46">
                  <w:pPr>
                    <w:pStyle w:val="127"/>
                    <w:rPr>
                      <w:color w:val="auto"/>
                    </w:rPr>
                  </w:pPr>
                </w:p>
              </w:tc>
            </w:tr>
            <w:tr w14:paraId="40BF9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vAlign w:val="center"/>
                </w:tcPr>
                <w:p w14:paraId="17926438">
                  <w:pPr>
                    <w:pStyle w:val="127"/>
                    <w:rPr>
                      <w:color w:val="auto"/>
                    </w:rPr>
                  </w:pPr>
                  <w:r>
                    <w:rPr>
                      <w:rFonts w:hint="eastAsia"/>
                      <w:color w:val="auto"/>
                    </w:rPr>
                    <w:t>16</w:t>
                  </w:r>
                </w:p>
              </w:tc>
              <w:tc>
                <w:tcPr>
                  <w:tcW w:w="541" w:type="pct"/>
                  <w:vMerge w:val="continue"/>
                  <w:vAlign w:val="center"/>
                </w:tcPr>
                <w:p w14:paraId="661B7196">
                  <w:pPr>
                    <w:pStyle w:val="127"/>
                    <w:rPr>
                      <w:color w:val="auto"/>
                    </w:rPr>
                  </w:pPr>
                </w:p>
              </w:tc>
              <w:tc>
                <w:tcPr>
                  <w:tcW w:w="1146" w:type="pct"/>
                  <w:vAlign w:val="center"/>
                </w:tcPr>
                <w:p w14:paraId="45E17F01">
                  <w:pPr>
                    <w:pStyle w:val="127"/>
                    <w:rPr>
                      <w:color w:val="auto"/>
                    </w:rPr>
                  </w:pPr>
                  <w:r>
                    <w:rPr>
                      <w:rFonts w:hint="eastAsia"/>
                      <w:color w:val="auto"/>
                    </w:rPr>
                    <w:t>空压机</w:t>
                  </w:r>
                </w:p>
              </w:tc>
              <w:tc>
                <w:tcPr>
                  <w:tcW w:w="466" w:type="pct"/>
                  <w:vAlign w:val="center"/>
                </w:tcPr>
                <w:p w14:paraId="76D21856">
                  <w:pPr>
                    <w:pStyle w:val="127"/>
                    <w:rPr>
                      <w:color w:val="auto"/>
                    </w:rPr>
                  </w:pPr>
                  <w:r>
                    <w:rPr>
                      <w:rFonts w:hint="eastAsia"/>
                      <w:color w:val="auto"/>
                    </w:rPr>
                    <w:t>2</w:t>
                  </w:r>
                </w:p>
              </w:tc>
              <w:tc>
                <w:tcPr>
                  <w:tcW w:w="667" w:type="pct"/>
                  <w:vAlign w:val="center"/>
                </w:tcPr>
                <w:p w14:paraId="74FC8650">
                  <w:pPr>
                    <w:pStyle w:val="127"/>
                    <w:rPr>
                      <w:color w:val="auto"/>
                    </w:rPr>
                  </w:pPr>
                  <w:r>
                    <w:rPr>
                      <w:rFonts w:hint="eastAsia"/>
                      <w:color w:val="auto"/>
                    </w:rPr>
                    <w:t>85</w:t>
                  </w:r>
                </w:p>
              </w:tc>
              <w:tc>
                <w:tcPr>
                  <w:tcW w:w="837" w:type="pct"/>
                  <w:vAlign w:val="center"/>
                </w:tcPr>
                <w:p w14:paraId="16B99AA2">
                  <w:pPr>
                    <w:pStyle w:val="127"/>
                    <w:rPr>
                      <w:color w:val="auto"/>
                    </w:rPr>
                  </w:pPr>
                  <w:r>
                    <w:rPr>
                      <w:rFonts w:hint="eastAsia"/>
                      <w:color w:val="auto"/>
                    </w:rPr>
                    <w:t>10</w:t>
                  </w:r>
                  <w:r>
                    <w:rPr>
                      <w:color w:val="auto"/>
                    </w:rPr>
                    <w:t>（夜间不生产）</w:t>
                  </w:r>
                </w:p>
              </w:tc>
              <w:tc>
                <w:tcPr>
                  <w:tcW w:w="362" w:type="pct"/>
                  <w:vAlign w:val="center"/>
                </w:tcPr>
                <w:p w14:paraId="696DFE28">
                  <w:pPr>
                    <w:pStyle w:val="127"/>
                    <w:rPr>
                      <w:color w:val="auto"/>
                    </w:rPr>
                  </w:pPr>
                  <w:r>
                    <w:rPr>
                      <w:color w:val="auto"/>
                    </w:rPr>
                    <w:t>频发</w:t>
                  </w:r>
                </w:p>
              </w:tc>
              <w:tc>
                <w:tcPr>
                  <w:tcW w:w="732" w:type="pct"/>
                  <w:vMerge w:val="continue"/>
                  <w:vAlign w:val="center"/>
                </w:tcPr>
                <w:p w14:paraId="3BBC4569">
                  <w:pPr>
                    <w:pStyle w:val="127"/>
                    <w:rPr>
                      <w:color w:val="auto"/>
                    </w:rPr>
                  </w:pPr>
                </w:p>
              </w:tc>
            </w:tr>
          </w:tbl>
          <w:p w14:paraId="10230981">
            <w:pPr>
              <w:pStyle w:val="15"/>
              <w:spacing w:line="360" w:lineRule="auto"/>
              <w:ind w:firstLine="482"/>
              <w:rPr>
                <w:b/>
                <w:bCs/>
                <w:color w:val="auto"/>
                <w:sz w:val="24"/>
                <w:szCs w:val="24"/>
              </w:rPr>
            </w:pPr>
            <w:r>
              <w:rPr>
                <w:rFonts w:hint="eastAsia"/>
                <w:b/>
                <w:bCs/>
                <w:color w:val="auto"/>
                <w:sz w:val="24"/>
                <w:szCs w:val="24"/>
              </w:rPr>
              <w:t>2、噪声环境影响分析</w:t>
            </w:r>
          </w:p>
          <w:p w14:paraId="2B304519">
            <w:pPr>
              <w:spacing w:line="360" w:lineRule="auto"/>
              <w:ind w:firstLine="480" w:firstLineChars="200"/>
              <w:rPr>
                <w:color w:val="auto"/>
                <w:sz w:val="24"/>
              </w:rPr>
            </w:pPr>
            <w:r>
              <w:rPr>
                <w:rFonts w:hint="eastAsia"/>
                <w:color w:val="auto"/>
                <w:sz w:val="24"/>
              </w:rPr>
              <w:t>根据《环境影响评价技术导则——声环境》（HJ2.4-2021）的要求，可选择点声源预测模式，来模拟预测项目主要声源排放噪声随距离的衰减变化规律。</w:t>
            </w:r>
          </w:p>
          <w:p w14:paraId="75D7A280">
            <w:pPr>
              <w:spacing w:line="360" w:lineRule="auto"/>
              <w:ind w:firstLine="482" w:firstLineChars="200"/>
              <w:rPr>
                <w:b/>
                <w:bCs/>
                <w:color w:val="auto"/>
                <w:sz w:val="24"/>
              </w:rPr>
            </w:pPr>
            <w:r>
              <w:rPr>
                <w:rFonts w:hint="eastAsia"/>
                <w:b/>
                <w:bCs/>
                <w:color w:val="auto"/>
                <w:sz w:val="24"/>
              </w:rPr>
              <w:t>①室内声源等效室外声源声功率级计算方法</w:t>
            </w:r>
          </w:p>
          <w:p w14:paraId="6C820135">
            <w:pPr>
              <w:spacing w:line="360" w:lineRule="auto"/>
              <w:jc w:val="center"/>
              <w:rPr>
                <w:color w:val="auto"/>
                <w:sz w:val="24"/>
              </w:rPr>
            </w:pPr>
            <w:r>
              <w:rPr>
                <w:rFonts w:hint="eastAsia"/>
                <w:color w:val="auto"/>
                <w:position w:val="-10"/>
                <w:szCs w:val="22"/>
              </w:rPr>
              <w:object>
                <v:shape id="_x0000_i1033" o:spt="75" type="#_x0000_t75" style="height:17.3pt;width:96.25pt;" o:ole="t" filled="f" o:preferrelative="t" stroked="f" coordsize="21600,21600">
                  <v:path/>
                  <v:fill on="f" focussize="0,0"/>
                  <v:stroke on="f" joinstyle="miter"/>
                  <v:imagedata r:id="rId42" o:title=""/>
                  <o:lock v:ext="edit" aspectratio="t"/>
                  <w10:wrap type="none"/>
                  <w10:anchorlock/>
                </v:shape>
                <o:OLEObject Type="Embed" ProgID="Equation.KSEE3" ShapeID="_x0000_i1033" DrawAspect="Content" ObjectID="_1468075733" r:id="rId41">
                  <o:LockedField>false</o:LockedField>
                </o:OLEObject>
              </w:object>
            </w:r>
          </w:p>
          <w:p w14:paraId="52754012">
            <w:pPr>
              <w:spacing w:line="360" w:lineRule="auto"/>
              <w:ind w:firstLine="480" w:firstLineChars="200"/>
              <w:rPr>
                <w:color w:val="auto"/>
                <w:sz w:val="24"/>
              </w:rPr>
            </w:pPr>
            <w:r>
              <w:rPr>
                <w:rFonts w:hint="eastAsia"/>
                <w:color w:val="auto"/>
                <w:sz w:val="24"/>
              </w:rPr>
              <w:t>式中：</w:t>
            </w:r>
            <w:r>
              <w:rPr>
                <w:rFonts w:hint="eastAsia"/>
                <w:i/>
                <w:iCs/>
                <w:color w:val="auto"/>
                <w:sz w:val="24"/>
              </w:rPr>
              <w:t>L</w:t>
            </w:r>
            <w:r>
              <w:rPr>
                <w:rFonts w:hint="eastAsia"/>
                <w:i/>
                <w:iCs/>
                <w:color w:val="auto"/>
                <w:sz w:val="24"/>
                <w:vertAlign w:val="subscript"/>
              </w:rPr>
              <w:t>p1</w:t>
            </w:r>
            <w:r>
              <w:rPr>
                <w:rFonts w:hint="eastAsia"/>
                <w:color w:val="auto"/>
                <w:sz w:val="24"/>
              </w:rPr>
              <w:t>——靠近开口处（或窗户）室内某倍频带的声压级或 A 声级，dB；</w:t>
            </w:r>
          </w:p>
          <w:p w14:paraId="7727C914">
            <w:pPr>
              <w:spacing w:line="360" w:lineRule="auto"/>
              <w:ind w:firstLine="480" w:firstLineChars="200"/>
              <w:rPr>
                <w:i/>
                <w:iCs/>
                <w:color w:val="auto"/>
                <w:sz w:val="24"/>
              </w:rPr>
            </w:pPr>
            <w:r>
              <w:rPr>
                <w:rFonts w:hint="eastAsia"/>
                <w:i/>
                <w:iCs/>
                <w:color w:val="auto"/>
                <w:sz w:val="24"/>
              </w:rPr>
              <w:t>L</w:t>
            </w:r>
            <w:r>
              <w:rPr>
                <w:rFonts w:hint="eastAsia"/>
                <w:i/>
                <w:iCs/>
                <w:color w:val="auto"/>
                <w:sz w:val="24"/>
                <w:vertAlign w:val="subscript"/>
              </w:rPr>
              <w:t>p2</w:t>
            </w:r>
            <w:r>
              <w:rPr>
                <w:rFonts w:hint="eastAsia"/>
                <w:color w:val="auto"/>
                <w:sz w:val="24"/>
              </w:rPr>
              <w:t>——靠近开口处（或窗户）室外某倍频带的声压级或 A 声级，dB；</w:t>
            </w:r>
          </w:p>
          <w:p w14:paraId="4C59FC9A">
            <w:pPr>
              <w:spacing w:line="360" w:lineRule="auto"/>
              <w:ind w:firstLine="480" w:firstLineChars="200"/>
              <w:rPr>
                <w:color w:val="auto"/>
                <w:sz w:val="24"/>
              </w:rPr>
            </w:pPr>
            <w:r>
              <w:rPr>
                <w:rFonts w:hint="eastAsia"/>
                <w:i/>
                <w:iCs/>
                <w:color w:val="auto"/>
                <w:sz w:val="24"/>
              </w:rPr>
              <w:t>TL</w:t>
            </w:r>
            <w:r>
              <w:rPr>
                <w:rFonts w:hint="eastAsia"/>
                <w:color w:val="auto"/>
                <w:sz w:val="24"/>
              </w:rPr>
              <w:t>—隔墙（或窗户）倍频带的隔声量，dB（A）；</w:t>
            </w:r>
          </w:p>
          <w:p w14:paraId="333C6EFF">
            <w:pPr>
              <w:spacing w:line="360" w:lineRule="auto"/>
              <w:jc w:val="center"/>
              <w:rPr>
                <w:color w:val="auto"/>
              </w:rPr>
            </w:pPr>
            <w:r>
              <w:rPr>
                <w:color w:val="auto"/>
              </w:rPr>
              <w:drawing>
                <wp:inline distT="0" distB="0" distL="114300" distR="114300">
                  <wp:extent cx="2414270" cy="1025525"/>
                  <wp:effectExtent l="0" t="0" r="11430" b="3175"/>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1"/>
                          </pic:cNvPicPr>
                        </pic:nvPicPr>
                        <pic:blipFill>
                          <a:blip r:embed="rId43"/>
                          <a:stretch>
                            <a:fillRect/>
                          </a:stretch>
                        </pic:blipFill>
                        <pic:spPr>
                          <a:xfrm>
                            <a:off x="0" y="0"/>
                            <a:ext cx="2414270" cy="1025525"/>
                          </a:xfrm>
                          <a:prstGeom prst="rect">
                            <a:avLst/>
                          </a:prstGeom>
                          <a:noFill/>
                          <a:ln>
                            <a:noFill/>
                          </a:ln>
                        </pic:spPr>
                      </pic:pic>
                    </a:graphicData>
                  </a:graphic>
                </wp:inline>
              </w:drawing>
            </w:r>
          </w:p>
          <w:p w14:paraId="307AF851">
            <w:pPr>
              <w:pStyle w:val="144"/>
              <w:rPr>
                <w:rFonts w:hint="default"/>
                <w:color w:val="auto"/>
                <w:sz w:val="21"/>
                <w:szCs w:val="21"/>
              </w:rPr>
            </w:pPr>
            <w:r>
              <w:rPr>
                <w:color w:val="auto"/>
                <w:sz w:val="21"/>
                <w:szCs w:val="21"/>
              </w:rPr>
              <w:t>图4-2 室内声源等效为室外声源图例</w:t>
            </w:r>
          </w:p>
          <w:p w14:paraId="7895006E">
            <w:pPr>
              <w:spacing w:line="360" w:lineRule="auto"/>
              <w:ind w:firstLine="480" w:firstLineChars="200"/>
              <w:rPr>
                <w:color w:val="auto"/>
                <w:sz w:val="24"/>
              </w:rPr>
            </w:pPr>
            <w:r>
              <w:rPr>
                <w:rFonts w:hint="eastAsia"/>
                <w:color w:val="auto"/>
                <w:sz w:val="24"/>
              </w:rPr>
              <w:t>也可以按下列公式计算某一室内声源靠近围护结构处产生的倍频带声压级：</w:t>
            </w:r>
          </w:p>
          <w:p w14:paraId="073E8755">
            <w:pPr>
              <w:spacing w:line="360" w:lineRule="auto"/>
              <w:jc w:val="center"/>
              <w:rPr>
                <w:color w:val="auto"/>
              </w:rPr>
            </w:pPr>
            <w:r>
              <w:rPr>
                <w:rFonts w:hint="eastAsia"/>
                <w:color w:val="auto"/>
                <w:position w:val="-36"/>
                <w:szCs w:val="22"/>
              </w:rPr>
              <w:object>
                <v:shape id="_x0000_i1034" o:spt="75" type="#_x0000_t75" style="height:42.2pt;width:134.75pt;" o:ole="t" filled="f" o:preferrelative="t" stroked="f" coordsize="21600,21600">
                  <v:path/>
                  <v:fill on="f" focussize="0,0"/>
                  <v:stroke on="f" joinstyle="miter"/>
                  <v:imagedata r:id="rId45" o:title=""/>
                  <o:lock v:ext="edit" aspectratio="t"/>
                  <w10:wrap type="none"/>
                  <w10:anchorlock/>
                </v:shape>
                <o:OLEObject Type="Embed" ProgID="Equation.KSEE3" ShapeID="_x0000_i1034" DrawAspect="Content" ObjectID="_1468075734" r:id="rId44">
                  <o:LockedField>false</o:LockedField>
                </o:OLEObject>
              </w:object>
            </w:r>
          </w:p>
          <w:p w14:paraId="04DA75AA">
            <w:pPr>
              <w:spacing w:line="360" w:lineRule="auto"/>
              <w:ind w:firstLine="480" w:firstLineChars="200"/>
              <w:rPr>
                <w:color w:val="auto"/>
                <w:sz w:val="24"/>
              </w:rPr>
            </w:pPr>
            <w:r>
              <w:rPr>
                <w:rFonts w:hint="eastAsia"/>
                <w:color w:val="auto"/>
                <w:sz w:val="24"/>
              </w:rPr>
              <w:t>式中：</w:t>
            </w:r>
            <w:r>
              <w:rPr>
                <w:rFonts w:hint="eastAsia"/>
                <w:i/>
                <w:iCs/>
                <w:color w:val="auto"/>
                <w:sz w:val="24"/>
              </w:rPr>
              <w:t>L</w:t>
            </w:r>
            <w:r>
              <w:rPr>
                <w:rFonts w:hint="eastAsia"/>
                <w:i/>
                <w:iCs/>
                <w:color w:val="auto"/>
                <w:sz w:val="24"/>
                <w:vertAlign w:val="subscript"/>
              </w:rPr>
              <w:t>p1</w:t>
            </w:r>
            <w:r>
              <w:rPr>
                <w:rFonts w:hint="eastAsia"/>
                <w:color w:val="auto"/>
                <w:sz w:val="24"/>
              </w:rPr>
              <w:t>——靠近开口处（或窗户）室内某倍频带的声压级或 A 声级，dB；</w:t>
            </w:r>
          </w:p>
          <w:p w14:paraId="4BE0AD8F">
            <w:pPr>
              <w:spacing w:line="360" w:lineRule="auto"/>
              <w:ind w:firstLine="480" w:firstLineChars="200"/>
              <w:rPr>
                <w:color w:val="auto"/>
                <w:sz w:val="24"/>
              </w:rPr>
            </w:pPr>
            <w:r>
              <w:rPr>
                <w:rFonts w:hint="eastAsia"/>
                <w:i/>
                <w:iCs/>
                <w:color w:val="auto"/>
                <w:sz w:val="24"/>
              </w:rPr>
              <w:t>L</w:t>
            </w:r>
            <w:r>
              <w:rPr>
                <w:rFonts w:hint="eastAsia"/>
                <w:i/>
                <w:iCs/>
                <w:color w:val="auto"/>
                <w:sz w:val="24"/>
                <w:vertAlign w:val="subscript"/>
              </w:rPr>
              <w:t>w</w:t>
            </w:r>
            <w:r>
              <w:rPr>
                <w:rFonts w:hint="eastAsia"/>
                <w:i/>
                <w:iCs/>
                <w:color w:val="auto"/>
                <w:sz w:val="24"/>
              </w:rPr>
              <w:t xml:space="preserve"> </w:t>
            </w:r>
            <w:r>
              <w:rPr>
                <w:rFonts w:hint="eastAsia"/>
                <w:color w:val="auto"/>
                <w:sz w:val="24"/>
              </w:rPr>
              <w:t>——点声源声功率级（A 计权或倍频带），dB；</w:t>
            </w:r>
          </w:p>
          <w:p w14:paraId="056F26A3">
            <w:pPr>
              <w:spacing w:line="360" w:lineRule="auto"/>
              <w:ind w:firstLine="480" w:firstLineChars="200"/>
              <w:rPr>
                <w:color w:val="auto"/>
                <w:sz w:val="24"/>
              </w:rPr>
            </w:pPr>
            <w:r>
              <w:rPr>
                <w:rFonts w:hint="eastAsia"/>
                <w:color w:val="auto"/>
                <w:sz w:val="24"/>
              </w:rPr>
              <w:t>Q—指向性因数；通常对无指向性声源，当声源放在房间中心时，Q=1；当放在一面墙的中心时，Q=2；当放在两面墙夹角处时，Q=4；当放在三面墙夹角处时，Q=8；</w:t>
            </w:r>
          </w:p>
          <w:p w14:paraId="1429ECF8">
            <w:pPr>
              <w:spacing w:line="360" w:lineRule="auto"/>
              <w:ind w:firstLine="480" w:firstLineChars="200"/>
              <w:rPr>
                <w:color w:val="auto"/>
                <w:sz w:val="24"/>
              </w:rPr>
            </w:pPr>
            <w:r>
              <w:rPr>
                <w:rFonts w:hint="eastAsia"/>
                <w:color w:val="auto"/>
                <w:sz w:val="24"/>
              </w:rPr>
              <w:t>R—房间常数；R=Sα/（1-α），S为房间内表面面积，m</w:t>
            </w:r>
            <w:r>
              <w:rPr>
                <w:rFonts w:hint="eastAsia"/>
                <w:color w:val="auto"/>
                <w:sz w:val="24"/>
                <w:vertAlign w:val="superscript"/>
              </w:rPr>
              <w:t>2</w:t>
            </w:r>
            <w:r>
              <w:rPr>
                <w:rFonts w:hint="eastAsia"/>
                <w:color w:val="auto"/>
                <w:sz w:val="24"/>
              </w:rPr>
              <w:t>；α为平均吸声系数；</w:t>
            </w:r>
          </w:p>
          <w:p w14:paraId="2774B0F3">
            <w:pPr>
              <w:spacing w:line="360" w:lineRule="auto"/>
              <w:ind w:firstLine="480" w:firstLineChars="200"/>
              <w:rPr>
                <w:color w:val="auto"/>
                <w:sz w:val="24"/>
              </w:rPr>
            </w:pPr>
            <w:r>
              <w:rPr>
                <w:rFonts w:hint="eastAsia"/>
                <w:color w:val="auto"/>
                <w:sz w:val="24"/>
              </w:rPr>
              <w:t>r—声源到靠近围护结构某点处的距离，m。</w:t>
            </w:r>
          </w:p>
          <w:p w14:paraId="42B51F5D">
            <w:pPr>
              <w:spacing w:line="360" w:lineRule="auto"/>
              <w:ind w:firstLine="480" w:firstLineChars="200"/>
              <w:rPr>
                <w:color w:val="auto"/>
                <w:sz w:val="24"/>
              </w:rPr>
            </w:pPr>
            <w:r>
              <w:rPr>
                <w:rFonts w:hint="eastAsia"/>
                <w:color w:val="auto"/>
                <w:sz w:val="24"/>
              </w:rPr>
              <w:t>然后按下列公式计算出所有室内声源在围护结构处产生的i倍频带叠加声压级：</w:t>
            </w:r>
          </w:p>
          <w:p w14:paraId="3980F865">
            <w:pPr>
              <w:spacing w:line="360" w:lineRule="auto"/>
              <w:jc w:val="center"/>
              <w:rPr>
                <w:b/>
                <w:bCs/>
                <w:color w:val="auto"/>
                <w:sz w:val="24"/>
              </w:rPr>
            </w:pPr>
            <w:r>
              <w:rPr>
                <w:rFonts w:hint="eastAsia"/>
                <w:color w:val="auto"/>
                <w:position w:val="-30"/>
                <w:szCs w:val="22"/>
              </w:rPr>
              <w:object>
                <v:shape id="_x0000_i1035" o:spt="75" type="#_x0000_t75" style="height:36pt;width:132.25pt;" o:ole="t" filled="f" o:preferrelative="t" stroked="f" coordsize="21600,21600">
                  <v:path/>
                  <v:fill on="f" focussize="0,0"/>
                  <v:stroke on="f" joinstyle="miter"/>
                  <v:imagedata r:id="rId47" o:title=""/>
                  <o:lock v:ext="edit" aspectratio="t"/>
                  <w10:wrap type="none"/>
                  <w10:anchorlock/>
                </v:shape>
                <o:OLEObject Type="Embed" ProgID="Equation.KSEE3" ShapeID="_x0000_i1035" DrawAspect="Content" ObjectID="_1468075735" r:id="rId46">
                  <o:LockedField>false</o:LockedField>
                </o:OLEObject>
              </w:object>
            </w:r>
          </w:p>
          <w:p w14:paraId="23C60AB8">
            <w:pPr>
              <w:spacing w:line="360" w:lineRule="auto"/>
              <w:ind w:firstLine="480" w:firstLineChars="200"/>
              <w:rPr>
                <w:color w:val="auto"/>
                <w:sz w:val="24"/>
              </w:rPr>
            </w:pPr>
            <w:r>
              <w:rPr>
                <w:rFonts w:hint="eastAsia"/>
                <w:color w:val="auto"/>
                <w:sz w:val="24"/>
              </w:rPr>
              <w:t>式中：</w:t>
            </w:r>
            <w:r>
              <w:rPr>
                <w:rFonts w:hint="eastAsia"/>
                <w:i/>
                <w:iCs/>
                <w:color w:val="auto"/>
                <w:sz w:val="24"/>
              </w:rPr>
              <w:t>L</w:t>
            </w:r>
            <w:r>
              <w:rPr>
                <w:rFonts w:hint="eastAsia"/>
                <w:i/>
                <w:iCs/>
                <w:color w:val="auto"/>
                <w:sz w:val="24"/>
                <w:vertAlign w:val="subscript"/>
              </w:rPr>
              <w:t>P1i</w:t>
            </w:r>
            <w:r>
              <w:rPr>
                <w:rFonts w:hint="eastAsia"/>
                <w:i/>
                <w:iCs/>
                <w:color w:val="auto"/>
                <w:sz w:val="24"/>
              </w:rPr>
              <w:t>(T)</w:t>
            </w:r>
            <w:r>
              <w:rPr>
                <w:rFonts w:hint="eastAsia"/>
                <w:color w:val="auto"/>
                <w:sz w:val="24"/>
              </w:rPr>
              <w:t>—靠近围护结构处室内N个声源i倍频带的叠加声压级，dB；</w:t>
            </w:r>
          </w:p>
          <w:p w14:paraId="7F95E804">
            <w:pPr>
              <w:spacing w:line="360" w:lineRule="auto"/>
              <w:ind w:firstLine="480" w:firstLineChars="200"/>
              <w:rPr>
                <w:color w:val="auto"/>
                <w:sz w:val="24"/>
              </w:rPr>
            </w:pPr>
            <w:r>
              <w:rPr>
                <w:rFonts w:hint="eastAsia"/>
                <w:i/>
                <w:iCs/>
                <w:color w:val="auto"/>
                <w:sz w:val="24"/>
              </w:rPr>
              <w:t>L</w:t>
            </w:r>
            <w:r>
              <w:rPr>
                <w:rFonts w:hint="eastAsia"/>
                <w:i/>
                <w:iCs/>
                <w:color w:val="auto"/>
                <w:sz w:val="24"/>
                <w:vertAlign w:val="subscript"/>
              </w:rPr>
              <w:t>P1i,j</w:t>
            </w:r>
            <w:r>
              <w:rPr>
                <w:rFonts w:hint="eastAsia"/>
                <w:color w:val="auto"/>
                <w:sz w:val="24"/>
              </w:rPr>
              <w:t>—室内j声源i倍频带的声压级，dB；</w:t>
            </w:r>
          </w:p>
          <w:p w14:paraId="34F2E3FB">
            <w:pPr>
              <w:spacing w:line="360" w:lineRule="auto"/>
              <w:ind w:firstLine="480" w:firstLineChars="200"/>
              <w:rPr>
                <w:color w:val="auto"/>
                <w:sz w:val="24"/>
              </w:rPr>
            </w:pPr>
            <w:r>
              <w:rPr>
                <w:rFonts w:hint="eastAsia"/>
                <w:i/>
                <w:iCs/>
                <w:color w:val="auto"/>
                <w:sz w:val="24"/>
              </w:rPr>
              <w:t>N</w:t>
            </w:r>
            <w:r>
              <w:rPr>
                <w:rFonts w:hint="eastAsia"/>
                <w:color w:val="auto"/>
                <w:sz w:val="24"/>
              </w:rPr>
              <w:t>—室内声源总数；</w:t>
            </w:r>
          </w:p>
          <w:p w14:paraId="6520D7D8">
            <w:pPr>
              <w:spacing w:line="360" w:lineRule="auto"/>
              <w:ind w:firstLine="480" w:firstLineChars="200"/>
              <w:rPr>
                <w:color w:val="auto"/>
                <w:sz w:val="24"/>
              </w:rPr>
            </w:pPr>
            <w:r>
              <w:rPr>
                <w:rFonts w:hint="eastAsia"/>
                <w:color w:val="auto"/>
                <w:sz w:val="24"/>
              </w:rPr>
              <w:t>在室内近似为扩散声场时，按下列公式计算出靠近室外围护结构处的声压级：</w:t>
            </w:r>
          </w:p>
          <w:p w14:paraId="38055422">
            <w:pPr>
              <w:spacing w:line="360" w:lineRule="auto"/>
              <w:jc w:val="center"/>
              <w:rPr>
                <w:color w:val="auto"/>
                <w:sz w:val="24"/>
              </w:rPr>
            </w:pPr>
            <w:r>
              <w:rPr>
                <w:rFonts w:hint="eastAsia"/>
                <w:color w:val="auto"/>
                <w:position w:val="-12"/>
                <w:szCs w:val="22"/>
              </w:rPr>
              <w:object>
                <v:shape id="_x0000_i1036" o:spt="75" type="#_x0000_t75" style="height:18pt;width:135pt;" o:ole="t" filled="f" o:preferrelative="t" stroked="f" coordsize="21600,21600">
                  <v:path/>
                  <v:fill on="f" focussize="0,0"/>
                  <v:stroke on="f" joinstyle="miter"/>
                  <v:imagedata r:id="rId49" o:title=""/>
                  <o:lock v:ext="edit" aspectratio="t"/>
                  <w10:wrap type="none"/>
                  <w10:anchorlock/>
                </v:shape>
                <o:OLEObject Type="Embed" ProgID="Equation.KSEE3" ShapeID="_x0000_i1036" DrawAspect="Content" ObjectID="_1468075736" r:id="rId48">
                  <o:LockedField>false</o:LockedField>
                </o:OLEObject>
              </w:object>
            </w:r>
          </w:p>
          <w:p w14:paraId="3F796DF3">
            <w:pPr>
              <w:spacing w:line="360" w:lineRule="auto"/>
              <w:ind w:firstLine="480" w:firstLineChars="200"/>
              <w:rPr>
                <w:color w:val="auto"/>
                <w:sz w:val="24"/>
              </w:rPr>
            </w:pPr>
            <w:r>
              <w:rPr>
                <w:rFonts w:hint="eastAsia"/>
                <w:color w:val="auto"/>
                <w:sz w:val="24"/>
              </w:rPr>
              <w:t>式中：</w:t>
            </w:r>
            <w:r>
              <w:rPr>
                <w:rFonts w:hint="eastAsia"/>
                <w:i/>
                <w:iCs/>
                <w:color w:val="auto"/>
                <w:sz w:val="24"/>
              </w:rPr>
              <w:t>L</w:t>
            </w:r>
            <w:r>
              <w:rPr>
                <w:rFonts w:hint="eastAsia"/>
                <w:i/>
                <w:iCs/>
                <w:color w:val="auto"/>
                <w:sz w:val="24"/>
                <w:vertAlign w:val="subscript"/>
              </w:rPr>
              <w:t>P2i</w:t>
            </w:r>
            <w:r>
              <w:rPr>
                <w:rFonts w:hint="eastAsia"/>
                <w:i/>
                <w:iCs/>
                <w:color w:val="auto"/>
                <w:sz w:val="24"/>
              </w:rPr>
              <w:t>(T)</w:t>
            </w:r>
            <w:r>
              <w:rPr>
                <w:rFonts w:hint="eastAsia"/>
                <w:color w:val="auto"/>
                <w:sz w:val="24"/>
              </w:rPr>
              <w:t>—靠近围护结构处室外N个声源i倍频带的叠加声压级，dB；</w:t>
            </w:r>
          </w:p>
          <w:p w14:paraId="307BD5B3">
            <w:pPr>
              <w:spacing w:line="360" w:lineRule="auto"/>
              <w:ind w:firstLine="480" w:firstLineChars="200"/>
              <w:rPr>
                <w:color w:val="auto"/>
                <w:sz w:val="24"/>
              </w:rPr>
            </w:pPr>
            <w:r>
              <w:rPr>
                <w:rFonts w:hint="eastAsia"/>
                <w:i/>
                <w:iCs/>
                <w:color w:val="auto"/>
                <w:sz w:val="24"/>
              </w:rPr>
              <w:t>TL</w:t>
            </w:r>
            <w:r>
              <w:rPr>
                <w:rFonts w:hint="eastAsia"/>
                <w:i/>
                <w:iCs/>
                <w:color w:val="auto"/>
                <w:sz w:val="24"/>
                <w:vertAlign w:val="subscript"/>
              </w:rPr>
              <w:t>i</w:t>
            </w:r>
            <w:r>
              <w:rPr>
                <w:rFonts w:hint="eastAsia"/>
                <w:color w:val="auto"/>
                <w:sz w:val="24"/>
              </w:rPr>
              <w:t>—围护结构i倍频带的隔声量，dB，根据刘惠玲主编《噪声控制技术》（2002年10月第1版），采用隔声间（室）技术措施，降噪效果可达20~40dB(A)（本项目按照20dB（A进行计算分析），6为围护结构简化后的吸声效果，则TL</w:t>
            </w:r>
            <w:r>
              <w:rPr>
                <w:rFonts w:hint="eastAsia"/>
                <w:color w:val="auto"/>
                <w:sz w:val="24"/>
                <w:vertAlign w:val="subscript"/>
              </w:rPr>
              <w:t>i</w:t>
            </w:r>
            <w:r>
              <w:rPr>
                <w:rFonts w:hint="eastAsia"/>
                <w:color w:val="auto"/>
                <w:sz w:val="24"/>
              </w:rPr>
              <w:t>+6为建筑插入损失，即26dB；</w:t>
            </w:r>
          </w:p>
          <w:p w14:paraId="19C20660">
            <w:pPr>
              <w:spacing w:line="360" w:lineRule="auto"/>
              <w:ind w:firstLine="480" w:firstLineChars="200"/>
              <w:rPr>
                <w:color w:val="auto"/>
                <w:sz w:val="24"/>
              </w:rPr>
            </w:pPr>
            <w:r>
              <w:rPr>
                <w:rFonts w:hint="eastAsia"/>
                <w:color w:val="auto"/>
                <w:sz w:val="24"/>
              </w:rPr>
              <w:t>然后按下列公式将室外声源的声压级和透过面积换算成等效的室外声源，计算出中心位置于透声面积（S）处的等效声源的倍频带声功率级。</w:t>
            </w:r>
          </w:p>
          <w:p w14:paraId="437B5C41">
            <w:pPr>
              <w:spacing w:line="360" w:lineRule="auto"/>
              <w:jc w:val="center"/>
              <w:rPr>
                <w:color w:val="auto"/>
                <w:sz w:val="24"/>
              </w:rPr>
            </w:pPr>
            <w:r>
              <w:rPr>
                <w:rFonts w:hint="eastAsia"/>
                <w:color w:val="auto"/>
                <w:position w:val="-12"/>
                <w:szCs w:val="22"/>
              </w:rPr>
              <w:object>
                <v:shape id="_x0000_i1037" o:spt="75" type="#_x0000_t75" style="height:18pt;width:103.85pt;" o:ole="t" filled="f" o:preferrelative="t" stroked="f" coordsize="21600,21600">
                  <v:path/>
                  <v:fill on="f" focussize="0,0"/>
                  <v:stroke on="f" joinstyle="miter"/>
                  <v:imagedata r:id="rId51" o:title=""/>
                  <o:lock v:ext="edit" aspectratio="t"/>
                  <w10:wrap type="none"/>
                  <w10:anchorlock/>
                </v:shape>
                <o:OLEObject Type="Embed" ProgID="Equation.KSEE3" ShapeID="_x0000_i1037" DrawAspect="Content" ObjectID="_1468075737" r:id="rId50">
                  <o:LockedField>false</o:LockedField>
                </o:OLEObject>
              </w:object>
            </w:r>
          </w:p>
          <w:p w14:paraId="6E8EF91C">
            <w:pPr>
              <w:spacing w:line="360" w:lineRule="auto"/>
              <w:ind w:firstLine="480" w:firstLineChars="200"/>
              <w:rPr>
                <w:color w:val="auto"/>
                <w:sz w:val="24"/>
              </w:rPr>
            </w:pPr>
            <w:r>
              <w:rPr>
                <w:rFonts w:hint="eastAsia"/>
                <w:color w:val="auto"/>
                <w:sz w:val="24"/>
              </w:rPr>
              <w:t>然后按室外声源预测方法计算预测点处的A声级。</w:t>
            </w:r>
          </w:p>
          <w:p w14:paraId="7DF79CA8">
            <w:pPr>
              <w:spacing w:line="360" w:lineRule="auto"/>
              <w:ind w:firstLine="482" w:firstLineChars="200"/>
              <w:rPr>
                <w:b/>
                <w:bCs/>
                <w:color w:val="auto"/>
                <w:sz w:val="24"/>
              </w:rPr>
            </w:pPr>
            <w:r>
              <w:rPr>
                <w:rFonts w:hint="eastAsia"/>
                <w:b/>
                <w:bCs/>
                <w:color w:val="auto"/>
                <w:sz w:val="24"/>
              </w:rPr>
              <w:t>②室外声源在预测点的声级计算模型</w:t>
            </w:r>
          </w:p>
          <w:p w14:paraId="1F41D20B">
            <w:pPr>
              <w:spacing w:line="360" w:lineRule="auto"/>
              <w:ind w:firstLine="480" w:firstLineChars="200"/>
              <w:rPr>
                <w:color w:val="auto"/>
                <w:sz w:val="24"/>
              </w:rPr>
            </w:pPr>
            <w:r>
              <w:rPr>
                <w:rFonts w:hint="eastAsia"/>
                <w:color w:val="auto"/>
                <w:sz w:val="24"/>
              </w:rPr>
              <w:t>某个声源在预测点的倍频带声压级</w:t>
            </w:r>
          </w:p>
          <w:p w14:paraId="3B23B0F6">
            <w:pPr>
              <w:spacing w:line="360" w:lineRule="auto"/>
              <w:ind w:firstLine="480" w:firstLineChars="200"/>
              <w:jc w:val="center"/>
              <w:rPr>
                <w:color w:val="auto"/>
                <w:sz w:val="24"/>
              </w:rPr>
            </w:pPr>
            <w:r>
              <w:rPr>
                <w:rFonts w:hint="eastAsia"/>
                <w:color w:val="auto"/>
                <w:position w:val="-30"/>
                <w:sz w:val="24"/>
              </w:rPr>
              <w:object>
                <v:shape id="_x0000_i1038" o:spt="75" type="#_x0000_t75" style="height:33.9pt;width:113.85pt;" o:ole="t" filled="f" o:preferrelative="t" stroked="f" coordsize="21600,21600">
                  <v:path/>
                  <v:fill on="f" focussize="0,0"/>
                  <v:stroke on="f" joinstyle="miter"/>
                  <v:imagedata r:id="rId53" o:title=""/>
                  <o:lock v:ext="edit" aspectratio="t"/>
                  <w10:wrap type="none"/>
                  <w10:anchorlock/>
                </v:shape>
                <o:OLEObject Type="Embed" ProgID="Equation.KSEE3" ShapeID="_x0000_i1038" DrawAspect="Content" ObjectID="_1468075738" r:id="rId52">
                  <o:LockedField>false</o:LockedField>
                </o:OLEObject>
              </w:object>
            </w:r>
          </w:p>
          <w:p w14:paraId="63489359">
            <w:pPr>
              <w:spacing w:line="360" w:lineRule="auto"/>
              <w:ind w:firstLine="480" w:firstLineChars="200"/>
              <w:rPr>
                <w:color w:val="auto"/>
                <w:sz w:val="24"/>
              </w:rPr>
            </w:pPr>
            <w:r>
              <w:rPr>
                <w:rFonts w:hint="eastAsia"/>
                <w:color w:val="auto"/>
                <w:sz w:val="24"/>
              </w:rPr>
              <w:t>式中：</w:t>
            </w:r>
            <w:r>
              <w:rPr>
                <w:rFonts w:hint="eastAsia"/>
                <w:i/>
                <w:iCs/>
                <w:color w:val="auto"/>
                <w:sz w:val="24"/>
              </w:rPr>
              <w:t>L</w:t>
            </w:r>
            <w:r>
              <w:rPr>
                <w:rFonts w:hint="eastAsia"/>
                <w:i/>
                <w:iCs/>
                <w:color w:val="auto"/>
                <w:sz w:val="24"/>
                <w:vertAlign w:val="subscript"/>
              </w:rPr>
              <w:t>2</w:t>
            </w:r>
            <w:r>
              <w:rPr>
                <w:rFonts w:hint="eastAsia"/>
                <w:color w:val="auto"/>
                <w:sz w:val="24"/>
              </w:rPr>
              <w:t>—点声源在预测点产生的声压级，dB（A）；</w:t>
            </w:r>
          </w:p>
          <w:p w14:paraId="7249B032">
            <w:pPr>
              <w:spacing w:line="360" w:lineRule="auto"/>
              <w:ind w:firstLine="480" w:firstLineChars="200"/>
              <w:rPr>
                <w:color w:val="auto"/>
                <w:sz w:val="24"/>
              </w:rPr>
            </w:pPr>
            <w:r>
              <w:rPr>
                <w:rFonts w:hint="eastAsia"/>
                <w:i/>
                <w:iCs/>
                <w:color w:val="auto"/>
                <w:sz w:val="24"/>
              </w:rPr>
              <w:t>L</w:t>
            </w:r>
            <w:r>
              <w:rPr>
                <w:rFonts w:hint="eastAsia"/>
                <w:i/>
                <w:iCs/>
                <w:color w:val="auto"/>
                <w:sz w:val="24"/>
                <w:vertAlign w:val="subscript"/>
              </w:rPr>
              <w:t>1</w:t>
            </w:r>
            <w:r>
              <w:rPr>
                <w:rFonts w:hint="eastAsia"/>
                <w:color w:val="auto"/>
                <w:sz w:val="24"/>
              </w:rPr>
              <w:t>—点声源在参考点产生的声压级，dB（A）；</w:t>
            </w:r>
          </w:p>
          <w:p w14:paraId="0FF95977">
            <w:pPr>
              <w:spacing w:line="360" w:lineRule="auto"/>
              <w:ind w:firstLine="480" w:firstLineChars="200"/>
              <w:rPr>
                <w:color w:val="auto"/>
                <w:sz w:val="24"/>
              </w:rPr>
            </w:pPr>
            <w:r>
              <w:rPr>
                <w:rFonts w:hint="eastAsia"/>
                <w:i/>
                <w:iCs/>
                <w:color w:val="auto"/>
                <w:sz w:val="24"/>
              </w:rPr>
              <w:t>r</w:t>
            </w:r>
            <w:r>
              <w:rPr>
                <w:rFonts w:hint="eastAsia"/>
                <w:i/>
                <w:iCs/>
                <w:color w:val="auto"/>
                <w:sz w:val="24"/>
                <w:vertAlign w:val="subscript"/>
              </w:rPr>
              <w:t>2</w:t>
            </w:r>
            <w:r>
              <w:rPr>
                <w:rFonts w:hint="eastAsia"/>
                <w:color w:val="auto"/>
                <w:sz w:val="24"/>
              </w:rPr>
              <w:t>—预测点距声源的距离，m；</w:t>
            </w:r>
          </w:p>
          <w:p w14:paraId="6BE9E1E6">
            <w:pPr>
              <w:spacing w:line="360" w:lineRule="auto"/>
              <w:ind w:firstLine="480" w:firstLineChars="200"/>
              <w:rPr>
                <w:color w:val="auto"/>
                <w:sz w:val="24"/>
              </w:rPr>
            </w:pPr>
            <w:r>
              <w:rPr>
                <w:rFonts w:hint="eastAsia"/>
                <w:i/>
                <w:iCs/>
                <w:color w:val="auto"/>
                <w:sz w:val="24"/>
              </w:rPr>
              <w:t>r</w:t>
            </w:r>
            <w:r>
              <w:rPr>
                <w:rFonts w:hint="eastAsia"/>
                <w:i/>
                <w:iCs/>
                <w:color w:val="auto"/>
                <w:sz w:val="24"/>
                <w:vertAlign w:val="subscript"/>
              </w:rPr>
              <w:t>1</w:t>
            </w:r>
            <w:r>
              <w:rPr>
                <w:rFonts w:hint="eastAsia"/>
                <w:color w:val="auto"/>
                <w:sz w:val="24"/>
              </w:rPr>
              <w:t>—参考点距声源的距离，m；</w:t>
            </w:r>
          </w:p>
          <w:p w14:paraId="068C3330">
            <w:pPr>
              <w:spacing w:line="360" w:lineRule="auto"/>
              <w:ind w:firstLine="480" w:firstLineChars="200"/>
              <w:rPr>
                <w:color w:val="auto"/>
                <w:sz w:val="24"/>
              </w:rPr>
            </w:pPr>
            <w:r>
              <w:rPr>
                <w:rFonts w:hint="eastAsia"/>
                <w:color w:val="auto"/>
                <w:sz w:val="24"/>
              </w:rPr>
              <w:t>ΔL—各种因素引起的衰减量(包括声屏障、空气吸收等引起的衰减量)，dB(A)。考虑设备采取减震、吸声等处理，效果取5dB(A)，车间及厂房隔声效果取 15dB(A)，故ΔL取值为20dB(A)。</w:t>
            </w:r>
          </w:p>
          <w:p w14:paraId="4B946B04">
            <w:pPr>
              <w:spacing w:line="360" w:lineRule="auto"/>
              <w:ind w:firstLine="480" w:firstLineChars="200"/>
              <w:rPr>
                <w:color w:val="auto"/>
                <w:sz w:val="24"/>
              </w:rPr>
            </w:pPr>
            <w:r>
              <w:rPr>
                <w:rFonts w:hint="eastAsia" w:ascii="宋体" w:hAnsi="宋体" w:cs="宋体"/>
                <w:color w:val="auto"/>
                <w:sz w:val="24"/>
              </w:rPr>
              <w:t>③</w:t>
            </w:r>
            <w:r>
              <w:rPr>
                <w:rFonts w:hint="eastAsia"/>
                <w:color w:val="auto"/>
                <w:sz w:val="24"/>
              </w:rPr>
              <w:t>工业企业噪声计算</w:t>
            </w:r>
          </w:p>
          <w:p w14:paraId="17DA433C">
            <w:pPr>
              <w:spacing w:line="360" w:lineRule="auto"/>
              <w:ind w:firstLine="480" w:firstLineChars="200"/>
              <w:rPr>
                <w:color w:val="auto"/>
                <w:sz w:val="24"/>
              </w:rPr>
            </w:pPr>
            <w:r>
              <w:rPr>
                <w:rFonts w:hint="eastAsia"/>
                <w:color w:val="auto"/>
                <w:sz w:val="24"/>
              </w:rPr>
              <w:t>设第</w:t>
            </w:r>
            <w:r>
              <w:rPr>
                <w:rFonts w:hint="eastAsia"/>
                <w:i/>
                <w:iCs/>
                <w:color w:val="auto"/>
                <w:sz w:val="24"/>
              </w:rPr>
              <w:t>i</w:t>
            </w:r>
            <w:r>
              <w:rPr>
                <w:rFonts w:hint="eastAsia"/>
                <w:color w:val="auto"/>
                <w:sz w:val="24"/>
              </w:rPr>
              <w:t>个室外声源在预测点产生的 A 声级为</w:t>
            </w:r>
            <w:r>
              <w:rPr>
                <w:rFonts w:hint="eastAsia"/>
                <w:i/>
                <w:iCs/>
                <w:color w:val="auto"/>
                <w:sz w:val="24"/>
              </w:rPr>
              <w:t>L</w:t>
            </w:r>
            <w:r>
              <w:rPr>
                <w:rFonts w:hint="eastAsia"/>
                <w:i/>
                <w:iCs/>
                <w:color w:val="auto"/>
                <w:sz w:val="24"/>
                <w:vertAlign w:val="subscript"/>
              </w:rPr>
              <w:t>Ai</w:t>
            </w:r>
            <w:r>
              <w:rPr>
                <w:rFonts w:hint="eastAsia"/>
                <w:color w:val="auto"/>
                <w:sz w:val="24"/>
              </w:rPr>
              <w:t>，在</w:t>
            </w:r>
            <w:r>
              <w:rPr>
                <w:rFonts w:hint="eastAsia"/>
                <w:i/>
                <w:iCs/>
                <w:color w:val="auto"/>
                <w:sz w:val="24"/>
              </w:rPr>
              <w:t>T</w:t>
            </w:r>
            <w:r>
              <w:rPr>
                <w:rFonts w:hint="eastAsia"/>
                <w:color w:val="auto"/>
                <w:sz w:val="24"/>
              </w:rPr>
              <w:t>时间内该声源工作时间为</w:t>
            </w:r>
            <w:r>
              <w:rPr>
                <w:rFonts w:hint="eastAsia"/>
                <w:i/>
                <w:iCs/>
                <w:color w:val="auto"/>
                <w:sz w:val="24"/>
              </w:rPr>
              <w:t>t</w:t>
            </w:r>
            <w:r>
              <w:rPr>
                <w:rFonts w:hint="eastAsia"/>
                <w:i/>
                <w:iCs/>
                <w:color w:val="auto"/>
                <w:sz w:val="24"/>
                <w:vertAlign w:val="subscript"/>
              </w:rPr>
              <w:t>i</w:t>
            </w:r>
            <w:r>
              <w:rPr>
                <w:rFonts w:hint="eastAsia"/>
                <w:color w:val="auto"/>
                <w:sz w:val="24"/>
              </w:rPr>
              <w:t>；第</w:t>
            </w:r>
            <w:r>
              <w:rPr>
                <w:rFonts w:hint="eastAsia"/>
                <w:i/>
                <w:iCs/>
                <w:color w:val="auto"/>
                <w:sz w:val="24"/>
              </w:rPr>
              <w:t>j</w:t>
            </w:r>
            <w:r>
              <w:rPr>
                <w:rFonts w:hint="eastAsia"/>
                <w:color w:val="auto"/>
                <w:sz w:val="24"/>
              </w:rPr>
              <w:t>个等效室外声源在预测点产生的A声级为</w:t>
            </w:r>
            <w:r>
              <w:rPr>
                <w:rFonts w:hint="eastAsia"/>
                <w:i/>
                <w:iCs/>
                <w:color w:val="auto"/>
                <w:sz w:val="24"/>
              </w:rPr>
              <w:t>L</w:t>
            </w:r>
            <w:r>
              <w:rPr>
                <w:rFonts w:hint="eastAsia"/>
                <w:i/>
                <w:iCs/>
                <w:color w:val="auto"/>
                <w:sz w:val="24"/>
                <w:vertAlign w:val="subscript"/>
              </w:rPr>
              <w:t>Aj</w:t>
            </w:r>
            <w:r>
              <w:rPr>
                <w:rFonts w:hint="eastAsia"/>
                <w:color w:val="auto"/>
                <w:sz w:val="24"/>
              </w:rPr>
              <w:t>，在</w:t>
            </w:r>
            <w:r>
              <w:rPr>
                <w:rFonts w:hint="eastAsia"/>
                <w:i/>
                <w:iCs/>
                <w:color w:val="auto"/>
                <w:sz w:val="24"/>
              </w:rPr>
              <w:t>T</w:t>
            </w:r>
            <w:r>
              <w:rPr>
                <w:rFonts w:hint="eastAsia"/>
                <w:color w:val="auto"/>
                <w:sz w:val="24"/>
              </w:rPr>
              <w:t>时间内该声源工作时间为</w:t>
            </w:r>
            <w:r>
              <w:rPr>
                <w:rFonts w:hint="eastAsia"/>
                <w:i/>
                <w:iCs/>
                <w:color w:val="auto"/>
                <w:sz w:val="24"/>
              </w:rPr>
              <w:t>t</w:t>
            </w:r>
            <w:r>
              <w:rPr>
                <w:rFonts w:hint="eastAsia"/>
                <w:i/>
                <w:iCs/>
                <w:color w:val="auto"/>
                <w:sz w:val="24"/>
                <w:vertAlign w:val="subscript"/>
              </w:rPr>
              <w:t>j</w:t>
            </w:r>
            <w:r>
              <w:rPr>
                <w:rFonts w:hint="eastAsia"/>
                <w:color w:val="auto"/>
                <w:sz w:val="24"/>
              </w:rPr>
              <w:t>，则拟建工程声源对预测点产生的贡献值（</w:t>
            </w:r>
            <w:r>
              <w:rPr>
                <w:rFonts w:hint="eastAsia"/>
                <w:i/>
                <w:iCs/>
                <w:color w:val="auto"/>
                <w:sz w:val="24"/>
              </w:rPr>
              <w:t>L</w:t>
            </w:r>
            <w:r>
              <w:rPr>
                <w:rFonts w:hint="eastAsia"/>
                <w:i/>
                <w:iCs/>
                <w:color w:val="auto"/>
                <w:sz w:val="24"/>
                <w:vertAlign w:val="subscript"/>
              </w:rPr>
              <w:t>eqg</w:t>
            </w:r>
            <w:r>
              <w:rPr>
                <w:rFonts w:hint="eastAsia"/>
                <w:color w:val="auto"/>
                <w:sz w:val="24"/>
              </w:rPr>
              <w:t>）为：</w:t>
            </w:r>
          </w:p>
          <w:p w14:paraId="2B5212EA">
            <w:pPr>
              <w:spacing w:line="360" w:lineRule="auto"/>
              <w:ind w:firstLine="420" w:firstLineChars="200"/>
              <w:jc w:val="center"/>
              <w:rPr>
                <w:color w:val="auto"/>
                <w:sz w:val="24"/>
              </w:rPr>
            </w:pPr>
            <w:r>
              <w:rPr>
                <w:rFonts w:hint="eastAsia"/>
                <w:color w:val="auto"/>
                <w:position w:val="-34"/>
                <w:szCs w:val="22"/>
              </w:rPr>
              <w:object>
                <v:shape id="_x0000_i1039" o:spt="75" type="#_x0000_t75" style="height:40.3pt;width:206.25pt;" o:ole="t" filled="f" o:preferrelative="t" stroked="f" coordsize="21600,21600">
                  <v:path/>
                  <v:fill on="f" focussize="0,0"/>
                  <v:stroke on="f" joinstyle="miter"/>
                  <v:imagedata r:id="rId55" o:title=""/>
                  <o:lock v:ext="edit" aspectratio="t"/>
                  <w10:wrap type="none"/>
                  <w10:anchorlock/>
                </v:shape>
                <o:OLEObject Type="Embed" ProgID="Equation.KSEE3" ShapeID="_x0000_i1039" DrawAspect="Content" ObjectID="_1468075739" r:id="rId54">
                  <o:LockedField>false</o:LockedField>
                </o:OLEObject>
              </w:object>
            </w:r>
          </w:p>
          <w:p w14:paraId="06AC64BE">
            <w:pPr>
              <w:spacing w:line="360" w:lineRule="auto"/>
              <w:ind w:firstLine="480" w:firstLineChars="200"/>
              <w:rPr>
                <w:color w:val="auto"/>
                <w:sz w:val="24"/>
              </w:rPr>
            </w:pPr>
            <w:r>
              <w:rPr>
                <w:rFonts w:hint="eastAsia"/>
                <w:color w:val="auto"/>
                <w:sz w:val="24"/>
              </w:rPr>
              <w:t>式中：</w:t>
            </w:r>
            <w:r>
              <w:rPr>
                <w:rFonts w:hint="eastAsia"/>
                <w:i/>
                <w:iCs/>
                <w:color w:val="auto"/>
                <w:sz w:val="24"/>
              </w:rPr>
              <w:t>L</w:t>
            </w:r>
            <w:r>
              <w:rPr>
                <w:rFonts w:hint="eastAsia"/>
                <w:i/>
                <w:iCs/>
                <w:color w:val="auto"/>
                <w:sz w:val="24"/>
                <w:vertAlign w:val="subscript"/>
              </w:rPr>
              <w:t>eqg</w:t>
            </w:r>
            <w:r>
              <w:rPr>
                <w:rFonts w:hint="eastAsia"/>
                <w:color w:val="auto"/>
                <w:sz w:val="24"/>
              </w:rPr>
              <w:t xml:space="preserve">——建设项目声源在预测点产生的噪声贡献值，dB； </w:t>
            </w:r>
          </w:p>
          <w:p w14:paraId="1EA17650">
            <w:pPr>
              <w:spacing w:line="360" w:lineRule="auto"/>
              <w:ind w:firstLine="480" w:firstLineChars="200"/>
              <w:rPr>
                <w:color w:val="auto"/>
                <w:sz w:val="24"/>
              </w:rPr>
            </w:pPr>
            <w:r>
              <w:rPr>
                <w:rFonts w:hint="eastAsia"/>
                <w:i/>
                <w:iCs/>
                <w:color w:val="auto"/>
                <w:sz w:val="24"/>
              </w:rPr>
              <w:t>T</w:t>
            </w:r>
            <w:r>
              <w:rPr>
                <w:rFonts w:hint="eastAsia"/>
                <w:color w:val="auto"/>
                <w:sz w:val="24"/>
              </w:rPr>
              <w:t xml:space="preserve"> ——用于计算等效声级的时间，s； </w:t>
            </w:r>
          </w:p>
          <w:p w14:paraId="334491C3">
            <w:pPr>
              <w:spacing w:line="360" w:lineRule="auto"/>
              <w:ind w:firstLine="480" w:firstLineChars="200"/>
              <w:rPr>
                <w:color w:val="auto"/>
                <w:sz w:val="24"/>
              </w:rPr>
            </w:pPr>
            <w:r>
              <w:rPr>
                <w:rFonts w:hint="eastAsia"/>
                <w:i/>
                <w:iCs/>
                <w:color w:val="auto"/>
                <w:sz w:val="24"/>
              </w:rPr>
              <w:t>N</w:t>
            </w:r>
            <w:r>
              <w:rPr>
                <w:rFonts w:hint="eastAsia"/>
                <w:color w:val="auto"/>
                <w:sz w:val="24"/>
              </w:rPr>
              <w:t xml:space="preserve"> ——室外声源个数； </w:t>
            </w:r>
          </w:p>
          <w:p w14:paraId="6898B03E">
            <w:pPr>
              <w:spacing w:line="360" w:lineRule="auto"/>
              <w:ind w:firstLine="480" w:firstLineChars="200"/>
              <w:rPr>
                <w:color w:val="auto"/>
                <w:sz w:val="24"/>
              </w:rPr>
            </w:pPr>
            <w:r>
              <w:rPr>
                <w:rFonts w:hint="eastAsia"/>
                <w:i/>
                <w:iCs/>
                <w:color w:val="auto"/>
                <w:sz w:val="24"/>
              </w:rPr>
              <w:t>t</w:t>
            </w:r>
            <w:r>
              <w:rPr>
                <w:rFonts w:hint="eastAsia"/>
                <w:i/>
                <w:iCs/>
                <w:color w:val="auto"/>
                <w:sz w:val="24"/>
                <w:vertAlign w:val="subscript"/>
              </w:rPr>
              <w:t>i</w:t>
            </w:r>
            <w:r>
              <w:rPr>
                <w:rFonts w:hint="eastAsia"/>
                <w:color w:val="auto"/>
                <w:sz w:val="24"/>
              </w:rPr>
              <w:t xml:space="preserve"> ——在 </w:t>
            </w:r>
            <w:r>
              <w:rPr>
                <w:rFonts w:hint="eastAsia"/>
                <w:i/>
                <w:iCs/>
                <w:color w:val="auto"/>
                <w:sz w:val="24"/>
              </w:rPr>
              <w:t>T</w:t>
            </w:r>
            <w:r>
              <w:rPr>
                <w:rFonts w:hint="eastAsia"/>
                <w:color w:val="auto"/>
                <w:sz w:val="24"/>
              </w:rPr>
              <w:t xml:space="preserve"> 时间内 </w:t>
            </w:r>
            <w:r>
              <w:rPr>
                <w:rFonts w:hint="eastAsia"/>
                <w:i/>
                <w:iCs/>
                <w:color w:val="auto"/>
                <w:sz w:val="24"/>
              </w:rPr>
              <w:t>i</w:t>
            </w:r>
            <w:r>
              <w:rPr>
                <w:rFonts w:hint="eastAsia"/>
                <w:color w:val="auto"/>
                <w:sz w:val="24"/>
              </w:rPr>
              <w:t xml:space="preserve"> 声源工作时间，s； </w:t>
            </w:r>
          </w:p>
          <w:p w14:paraId="44AE2286">
            <w:pPr>
              <w:spacing w:line="360" w:lineRule="auto"/>
              <w:ind w:firstLine="480" w:firstLineChars="200"/>
              <w:rPr>
                <w:color w:val="auto"/>
                <w:sz w:val="24"/>
              </w:rPr>
            </w:pPr>
            <w:r>
              <w:rPr>
                <w:rFonts w:hint="eastAsia"/>
                <w:i/>
                <w:iCs/>
                <w:color w:val="auto"/>
                <w:sz w:val="24"/>
              </w:rPr>
              <w:t>M</w:t>
            </w:r>
            <w:r>
              <w:rPr>
                <w:rFonts w:hint="eastAsia"/>
                <w:color w:val="auto"/>
                <w:sz w:val="24"/>
              </w:rPr>
              <w:t xml:space="preserve"> ——等效室外声源个数； </w:t>
            </w:r>
          </w:p>
          <w:p w14:paraId="676F4D03">
            <w:pPr>
              <w:spacing w:line="360" w:lineRule="auto"/>
              <w:ind w:firstLine="480" w:firstLineChars="200"/>
              <w:rPr>
                <w:color w:val="auto"/>
                <w:sz w:val="24"/>
              </w:rPr>
            </w:pPr>
            <w:r>
              <w:rPr>
                <w:rFonts w:hint="eastAsia"/>
                <w:i/>
                <w:iCs/>
                <w:color w:val="auto"/>
                <w:sz w:val="24"/>
              </w:rPr>
              <w:t>t</w:t>
            </w:r>
            <w:r>
              <w:rPr>
                <w:rFonts w:hint="eastAsia"/>
                <w:i/>
                <w:iCs/>
                <w:color w:val="auto"/>
                <w:sz w:val="24"/>
                <w:vertAlign w:val="subscript"/>
              </w:rPr>
              <w:t>j</w:t>
            </w:r>
            <w:r>
              <w:rPr>
                <w:rFonts w:hint="eastAsia"/>
                <w:color w:val="auto"/>
                <w:sz w:val="24"/>
              </w:rPr>
              <w:t xml:space="preserve"> ——在 </w:t>
            </w:r>
            <w:r>
              <w:rPr>
                <w:rFonts w:hint="eastAsia"/>
                <w:i/>
                <w:iCs/>
                <w:color w:val="auto"/>
                <w:sz w:val="24"/>
              </w:rPr>
              <w:t>T</w:t>
            </w:r>
            <w:r>
              <w:rPr>
                <w:rFonts w:hint="eastAsia"/>
                <w:color w:val="auto"/>
                <w:sz w:val="24"/>
              </w:rPr>
              <w:t xml:space="preserve"> 时间内 </w:t>
            </w:r>
            <w:r>
              <w:rPr>
                <w:rFonts w:hint="eastAsia"/>
                <w:i/>
                <w:iCs/>
                <w:color w:val="auto"/>
                <w:sz w:val="24"/>
              </w:rPr>
              <w:t>j</w:t>
            </w:r>
            <w:r>
              <w:rPr>
                <w:rFonts w:hint="eastAsia"/>
                <w:color w:val="auto"/>
                <w:sz w:val="24"/>
              </w:rPr>
              <w:t xml:space="preserve"> 声源工作时间，s。</w:t>
            </w:r>
          </w:p>
          <w:p w14:paraId="33EA603B">
            <w:pPr>
              <w:spacing w:line="360" w:lineRule="auto"/>
              <w:ind w:firstLine="480" w:firstLineChars="200"/>
              <w:rPr>
                <w:color w:val="auto"/>
                <w:sz w:val="24"/>
              </w:rPr>
            </w:pPr>
            <w:r>
              <w:rPr>
                <w:rFonts w:hint="eastAsia"/>
                <w:color w:val="auto"/>
                <w:sz w:val="24"/>
              </w:rPr>
              <w:t>将主要产生噪声的设备噪声源强进行叠加，可近似看成1个点声源，根据《环境影响评价技术导则·声环境》（HJ2.4-2021）的要求，可选择点声源预测模式，来模拟预测项目主要声源排放噪声随距离的衰减变化规律。噪声源强调查情况如下：</w:t>
            </w:r>
          </w:p>
          <w:p w14:paraId="417A7FBD">
            <w:pPr>
              <w:adjustRightInd w:val="0"/>
              <w:snapToGrid w:val="0"/>
              <w:spacing w:line="360" w:lineRule="auto"/>
              <w:ind w:firstLine="480" w:firstLineChars="200"/>
              <w:jc w:val="left"/>
              <w:rPr>
                <w:color w:val="auto"/>
                <w:kern w:val="0"/>
                <w:sz w:val="24"/>
              </w:rPr>
            </w:pPr>
          </w:p>
        </w:tc>
      </w:tr>
    </w:tbl>
    <w:p w14:paraId="312E806C">
      <w:pPr>
        <w:adjustRightInd w:val="0"/>
        <w:snapToGrid w:val="0"/>
        <w:jc w:val="center"/>
        <w:rPr>
          <w:bCs/>
          <w:sz w:val="24"/>
        </w:rPr>
        <w:sectPr>
          <w:pgSz w:w="11907" w:h="16840"/>
          <w:pgMar w:top="1440" w:right="1080" w:bottom="1440" w:left="1080" w:header="851" w:footer="851" w:gutter="0"/>
          <w:cols w:space="720" w:num="1"/>
          <w:docGrid w:linePitch="312" w:charSpace="0"/>
        </w:sectPr>
      </w:pPr>
    </w:p>
    <w:tbl>
      <w:tblPr>
        <w:tblStyle w:val="36"/>
        <w:tblW w:w="5295" w:type="pct"/>
        <w:tblInd w:w="-4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95"/>
      </w:tblGrid>
      <w:tr w14:paraId="02710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9" w:hRule="atLeast"/>
        </w:trPr>
        <w:tc>
          <w:tcPr>
            <w:tcW w:w="5000" w:type="pct"/>
            <w:tcBorders>
              <w:top w:val="single" w:color="auto" w:sz="8" w:space="0"/>
              <w:left w:val="single" w:color="auto" w:sz="8" w:space="0"/>
              <w:bottom w:val="single" w:color="auto" w:sz="8" w:space="0"/>
              <w:right w:val="single" w:color="auto" w:sz="8" w:space="0"/>
            </w:tcBorders>
          </w:tcPr>
          <w:p w14:paraId="60017285">
            <w:pPr>
              <w:pStyle w:val="77"/>
              <w:numPr>
                <w:ilvl w:val="0"/>
                <w:numId w:val="18"/>
              </w:numPr>
              <w:adjustRightInd w:val="0"/>
              <w:snapToGrid w:val="0"/>
              <w:jc w:val="center"/>
              <w:rPr>
                <w:color w:val="auto"/>
              </w:rPr>
            </w:pPr>
            <w:r>
              <w:rPr>
                <w:rFonts w:asciiTheme="minorEastAsia" w:hAnsiTheme="minorEastAsia" w:eastAsiaTheme="minorEastAsia"/>
                <w:b/>
                <w:bCs/>
                <w:color w:val="auto"/>
              </w:rPr>
              <w:t>工业企业噪声源强调查清单（室外声源）</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578"/>
              <w:gridCol w:w="820"/>
              <w:gridCol w:w="864"/>
              <w:gridCol w:w="864"/>
              <w:gridCol w:w="642"/>
              <w:gridCol w:w="4650"/>
              <w:gridCol w:w="2132"/>
              <w:gridCol w:w="1907"/>
              <w:gridCol w:w="1382"/>
            </w:tblGrid>
            <w:tr w14:paraId="6A0A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trPr>
              <w:tc>
                <w:tcPr>
                  <w:tcW w:w="261" w:type="pct"/>
                  <w:vMerge w:val="restart"/>
                  <w:vAlign w:val="center"/>
                </w:tcPr>
                <w:p w14:paraId="32933681">
                  <w:pPr>
                    <w:jc w:val="center"/>
                    <w:rPr>
                      <w:rFonts w:eastAsiaTheme="minorEastAsia"/>
                      <w:color w:val="auto"/>
                      <w:szCs w:val="21"/>
                    </w:rPr>
                  </w:pPr>
                  <w:r>
                    <w:rPr>
                      <w:rFonts w:eastAsiaTheme="minorEastAsia"/>
                      <w:b/>
                      <w:color w:val="auto"/>
                      <w:szCs w:val="21"/>
                    </w:rPr>
                    <w:t>序号</w:t>
                  </w:r>
                </w:p>
              </w:tc>
              <w:tc>
                <w:tcPr>
                  <w:tcW w:w="504" w:type="pct"/>
                  <w:vMerge w:val="restart"/>
                  <w:vAlign w:val="center"/>
                </w:tcPr>
                <w:p w14:paraId="549EB2B4">
                  <w:pPr>
                    <w:jc w:val="center"/>
                    <w:rPr>
                      <w:rFonts w:eastAsiaTheme="minorEastAsia"/>
                      <w:color w:val="auto"/>
                      <w:szCs w:val="21"/>
                    </w:rPr>
                  </w:pPr>
                  <w:r>
                    <w:rPr>
                      <w:rFonts w:eastAsiaTheme="minorEastAsia"/>
                      <w:b/>
                      <w:color w:val="auto"/>
                      <w:szCs w:val="21"/>
                    </w:rPr>
                    <w:t>声源名称</w:t>
                  </w:r>
                </w:p>
              </w:tc>
              <w:tc>
                <w:tcPr>
                  <w:tcW w:w="262" w:type="pct"/>
                  <w:vMerge w:val="restart"/>
                  <w:vAlign w:val="center"/>
                </w:tcPr>
                <w:p w14:paraId="673A73F0">
                  <w:pPr>
                    <w:jc w:val="center"/>
                    <w:rPr>
                      <w:rFonts w:eastAsiaTheme="minorEastAsia"/>
                      <w:color w:val="auto"/>
                      <w:szCs w:val="21"/>
                    </w:rPr>
                  </w:pPr>
                  <w:r>
                    <w:rPr>
                      <w:rFonts w:eastAsiaTheme="minorEastAsia"/>
                      <w:b/>
                      <w:color w:val="auto"/>
                      <w:szCs w:val="21"/>
                    </w:rPr>
                    <w:t>型号</w:t>
                  </w:r>
                </w:p>
              </w:tc>
              <w:tc>
                <w:tcPr>
                  <w:tcW w:w="757" w:type="pct"/>
                  <w:gridSpan w:val="3"/>
                  <w:vAlign w:val="center"/>
                </w:tcPr>
                <w:p w14:paraId="487EA224">
                  <w:pPr>
                    <w:jc w:val="center"/>
                    <w:rPr>
                      <w:rFonts w:eastAsiaTheme="minorEastAsia"/>
                      <w:color w:val="auto"/>
                      <w:szCs w:val="21"/>
                    </w:rPr>
                  </w:pPr>
                  <w:r>
                    <w:rPr>
                      <w:rFonts w:eastAsiaTheme="minorEastAsia"/>
                      <w:b/>
                      <w:color w:val="auto"/>
                      <w:szCs w:val="21"/>
                    </w:rPr>
                    <w:t>空间相对位置/m</w:t>
                  </w:r>
                </w:p>
              </w:tc>
              <w:tc>
                <w:tcPr>
                  <w:tcW w:w="2166" w:type="pct"/>
                  <w:gridSpan w:val="2"/>
                  <w:vAlign w:val="center"/>
                </w:tcPr>
                <w:p w14:paraId="3D1F24C2">
                  <w:pPr>
                    <w:jc w:val="center"/>
                    <w:rPr>
                      <w:rFonts w:eastAsiaTheme="minorEastAsia"/>
                      <w:color w:val="auto"/>
                      <w:szCs w:val="21"/>
                    </w:rPr>
                  </w:pPr>
                  <w:r>
                    <w:rPr>
                      <w:rFonts w:eastAsiaTheme="minorEastAsia"/>
                      <w:b/>
                      <w:color w:val="auto"/>
                      <w:szCs w:val="21"/>
                    </w:rPr>
                    <w:t>声源源强（任选一种）</w:t>
                  </w:r>
                </w:p>
              </w:tc>
              <w:tc>
                <w:tcPr>
                  <w:tcW w:w="609" w:type="pct"/>
                  <w:vMerge w:val="restart"/>
                  <w:vAlign w:val="center"/>
                </w:tcPr>
                <w:p w14:paraId="6ED1EC9B">
                  <w:pPr>
                    <w:jc w:val="center"/>
                    <w:rPr>
                      <w:rFonts w:eastAsiaTheme="minorEastAsia"/>
                      <w:color w:val="auto"/>
                      <w:szCs w:val="21"/>
                    </w:rPr>
                  </w:pPr>
                  <w:r>
                    <w:rPr>
                      <w:rFonts w:eastAsiaTheme="minorEastAsia"/>
                      <w:b/>
                      <w:color w:val="auto"/>
                      <w:szCs w:val="21"/>
                    </w:rPr>
                    <w:t>声源控制措施</w:t>
                  </w:r>
                </w:p>
              </w:tc>
              <w:tc>
                <w:tcPr>
                  <w:tcW w:w="439" w:type="pct"/>
                  <w:vMerge w:val="restart"/>
                  <w:vAlign w:val="center"/>
                </w:tcPr>
                <w:p w14:paraId="066EF71D">
                  <w:pPr>
                    <w:jc w:val="center"/>
                    <w:rPr>
                      <w:rFonts w:eastAsiaTheme="minorEastAsia"/>
                      <w:color w:val="auto"/>
                      <w:szCs w:val="21"/>
                    </w:rPr>
                  </w:pPr>
                  <w:r>
                    <w:rPr>
                      <w:rFonts w:eastAsiaTheme="minorEastAsia"/>
                      <w:b/>
                      <w:color w:val="auto"/>
                      <w:szCs w:val="21"/>
                    </w:rPr>
                    <w:t>运行时段</w:t>
                  </w:r>
                </w:p>
              </w:tc>
            </w:tr>
            <w:tr w14:paraId="29851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61" w:type="pct"/>
                  <w:vMerge w:val="continue"/>
                  <w:vAlign w:val="center"/>
                </w:tcPr>
                <w:p w14:paraId="3BE5FFBA">
                  <w:pPr>
                    <w:jc w:val="center"/>
                    <w:rPr>
                      <w:rFonts w:eastAsiaTheme="minorEastAsia"/>
                      <w:color w:val="auto"/>
                      <w:szCs w:val="21"/>
                    </w:rPr>
                  </w:pPr>
                </w:p>
              </w:tc>
              <w:tc>
                <w:tcPr>
                  <w:tcW w:w="504" w:type="pct"/>
                  <w:vMerge w:val="continue"/>
                  <w:vAlign w:val="center"/>
                </w:tcPr>
                <w:p w14:paraId="01904FAD">
                  <w:pPr>
                    <w:jc w:val="center"/>
                    <w:rPr>
                      <w:rFonts w:eastAsiaTheme="minorEastAsia"/>
                      <w:color w:val="auto"/>
                      <w:szCs w:val="21"/>
                    </w:rPr>
                  </w:pPr>
                </w:p>
              </w:tc>
              <w:tc>
                <w:tcPr>
                  <w:tcW w:w="262" w:type="pct"/>
                  <w:vMerge w:val="continue"/>
                  <w:vAlign w:val="center"/>
                </w:tcPr>
                <w:p w14:paraId="184D4FCE">
                  <w:pPr>
                    <w:jc w:val="center"/>
                    <w:rPr>
                      <w:rFonts w:eastAsiaTheme="minorEastAsia"/>
                      <w:color w:val="auto"/>
                      <w:szCs w:val="21"/>
                    </w:rPr>
                  </w:pPr>
                </w:p>
              </w:tc>
              <w:tc>
                <w:tcPr>
                  <w:tcW w:w="276" w:type="pct"/>
                  <w:vAlign w:val="center"/>
                </w:tcPr>
                <w:p w14:paraId="68FB4EE7">
                  <w:pPr>
                    <w:jc w:val="center"/>
                    <w:rPr>
                      <w:rFonts w:eastAsiaTheme="minorEastAsia"/>
                      <w:b/>
                      <w:bCs/>
                      <w:color w:val="auto"/>
                      <w:szCs w:val="21"/>
                    </w:rPr>
                  </w:pPr>
                  <w:r>
                    <w:rPr>
                      <w:rFonts w:eastAsiaTheme="minorEastAsia"/>
                      <w:b/>
                      <w:bCs/>
                      <w:color w:val="auto"/>
                      <w:szCs w:val="21"/>
                    </w:rPr>
                    <w:t>X</w:t>
                  </w:r>
                </w:p>
              </w:tc>
              <w:tc>
                <w:tcPr>
                  <w:tcW w:w="276" w:type="pct"/>
                  <w:vAlign w:val="center"/>
                </w:tcPr>
                <w:p w14:paraId="0C0EDAB0">
                  <w:pPr>
                    <w:jc w:val="center"/>
                    <w:rPr>
                      <w:rFonts w:eastAsiaTheme="minorEastAsia"/>
                      <w:b/>
                      <w:bCs/>
                      <w:color w:val="auto"/>
                      <w:szCs w:val="21"/>
                    </w:rPr>
                  </w:pPr>
                  <w:r>
                    <w:rPr>
                      <w:rFonts w:eastAsiaTheme="minorEastAsia"/>
                      <w:b/>
                      <w:bCs/>
                      <w:color w:val="auto"/>
                      <w:szCs w:val="21"/>
                    </w:rPr>
                    <w:t>Y</w:t>
                  </w:r>
                </w:p>
              </w:tc>
              <w:tc>
                <w:tcPr>
                  <w:tcW w:w="205" w:type="pct"/>
                  <w:vAlign w:val="center"/>
                </w:tcPr>
                <w:p w14:paraId="30E836CE">
                  <w:pPr>
                    <w:jc w:val="center"/>
                    <w:rPr>
                      <w:rFonts w:eastAsiaTheme="minorEastAsia"/>
                      <w:b/>
                      <w:bCs/>
                      <w:color w:val="auto"/>
                      <w:szCs w:val="21"/>
                    </w:rPr>
                  </w:pPr>
                  <w:r>
                    <w:rPr>
                      <w:rFonts w:eastAsiaTheme="minorEastAsia"/>
                      <w:b/>
                      <w:bCs/>
                      <w:color w:val="auto"/>
                      <w:szCs w:val="21"/>
                    </w:rPr>
                    <w:t>Z</w:t>
                  </w:r>
                </w:p>
              </w:tc>
              <w:tc>
                <w:tcPr>
                  <w:tcW w:w="1485" w:type="pct"/>
                  <w:vAlign w:val="center"/>
                </w:tcPr>
                <w:p w14:paraId="578B3E66">
                  <w:pPr>
                    <w:jc w:val="center"/>
                    <w:rPr>
                      <w:rFonts w:eastAsiaTheme="minorEastAsia"/>
                      <w:b/>
                      <w:bCs/>
                      <w:color w:val="auto"/>
                      <w:szCs w:val="21"/>
                    </w:rPr>
                  </w:pPr>
                  <w:r>
                    <w:rPr>
                      <w:rFonts w:eastAsiaTheme="minorEastAsia"/>
                      <w:b/>
                      <w:bCs/>
                      <w:color w:val="auto"/>
                      <w:szCs w:val="21"/>
                    </w:rPr>
                    <w:t>（声压级/距声源距离）/（dB(A)/m）</w:t>
                  </w:r>
                </w:p>
              </w:tc>
              <w:tc>
                <w:tcPr>
                  <w:tcW w:w="680" w:type="pct"/>
                  <w:vAlign w:val="center"/>
                </w:tcPr>
                <w:p w14:paraId="13E5A66D">
                  <w:pPr>
                    <w:jc w:val="center"/>
                    <w:rPr>
                      <w:rFonts w:eastAsiaTheme="minorEastAsia"/>
                      <w:b/>
                      <w:bCs/>
                      <w:color w:val="auto"/>
                      <w:szCs w:val="21"/>
                    </w:rPr>
                  </w:pPr>
                  <w:r>
                    <w:rPr>
                      <w:rFonts w:eastAsiaTheme="minorEastAsia"/>
                      <w:b/>
                      <w:bCs/>
                      <w:color w:val="auto"/>
                      <w:szCs w:val="21"/>
                    </w:rPr>
                    <w:t>声功率级/dB(A)</w:t>
                  </w:r>
                </w:p>
              </w:tc>
              <w:tc>
                <w:tcPr>
                  <w:tcW w:w="609" w:type="pct"/>
                  <w:vMerge w:val="continue"/>
                  <w:vAlign w:val="center"/>
                </w:tcPr>
                <w:p w14:paraId="6C2E4F21">
                  <w:pPr>
                    <w:jc w:val="center"/>
                    <w:rPr>
                      <w:rFonts w:eastAsiaTheme="minorEastAsia"/>
                      <w:color w:val="auto"/>
                      <w:szCs w:val="21"/>
                    </w:rPr>
                  </w:pPr>
                </w:p>
              </w:tc>
              <w:tc>
                <w:tcPr>
                  <w:tcW w:w="439" w:type="pct"/>
                  <w:vMerge w:val="continue"/>
                  <w:vAlign w:val="center"/>
                </w:tcPr>
                <w:p w14:paraId="479E9348">
                  <w:pPr>
                    <w:jc w:val="center"/>
                    <w:rPr>
                      <w:rFonts w:eastAsiaTheme="minorEastAsia"/>
                      <w:color w:val="auto"/>
                      <w:szCs w:val="21"/>
                    </w:rPr>
                  </w:pPr>
                </w:p>
              </w:tc>
            </w:tr>
            <w:tr w14:paraId="767CC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261" w:type="pct"/>
                  <w:shd w:val="clear" w:color="auto" w:fill="FFFFFF"/>
                  <w:vAlign w:val="center"/>
                </w:tcPr>
                <w:p w14:paraId="722B917A">
                  <w:pPr>
                    <w:jc w:val="center"/>
                    <w:rPr>
                      <w:color w:val="auto"/>
                    </w:rPr>
                  </w:pPr>
                  <w:r>
                    <w:rPr>
                      <w:rFonts w:eastAsia="Arial"/>
                      <w:color w:val="auto"/>
                      <w:sz w:val="20"/>
                    </w:rPr>
                    <w:t>1</w:t>
                  </w:r>
                </w:p>
              </w:tc>
              <w:tc>
                <w:tcPr>
                  <w:tcW w:w="504" w:type="pct"/>
                  <w:shd w:val="clear" w:color="auto" w:fill="FFFFFF"/>
                  <w:vAlign w:val="center"/>
                </w:tcPr>
                <w:p w14:paraId="0C78DD19">
                  <w:pPr>
                    <w:jc w:val="center"/>
                    <w:rPr>
                      <w:color w:val="auto"/>
                    </w:rPr>
                  </w:pPr>
                  <w:r>
                    <w:rPr>
                      <w:rFonts w:eastAsia="Arial"/>
                      <w:color w:val="auto"/>
                      <w:sz w:val="20"/>
                    </w:rPr>
                    <w:t>DA001风机</w:t>
                  </w:r>
                </w:p>
              </w:tc>
              <w:tc>
                <w:tcPr>
                  <w:tcW w:w="262" w:type="pct"/>
                  <w:shd w:val="clear" w:color="auto" w:fill="FFFFFF"/>
                  <w:vAlign w:val="center"/>
                </w:tcPr>
                <w:p w14:paraId="13C6D197">
                  <w:pPr>
                    <w:jc w:val="center"/>
                    <w:rPr>
                      <w:color w:val="auto"/>
                    </w:rPr>
                  </w:pPr>
                  <w:r>
                    <w:rPr>
                      <w:rFonts w:hint="eastAsia"/>
                      <w:color w:val="auto"/>
                    </w:rPr>
                    <w:t>/</w:t>
                  </w:r>
                </w:p>
              </w:tc>
              <w:tc>
                <w:tcPr>
                  <w:tcW w:w="276" w:type="pct"/>
                  <w:shd w:val="clear" w:color="auto" w:fill="FFFFFF"/>
                  <w:vAlign w:val="center"/>
                </w:tcPr>
                <w:p w14:paraId="4D634899">
                  <w:pPr>
                    <w:jc w:val="center"/>
                    <w:rPr>
                      <w:color w:val="auto"/>
                    </w:rPr>
                  </w:pPr>
                  <w:r>
                    <w:rPr>
                      <w:rFonts w:eastAsia="Arial"/>
                      <w:color w:val="auto"/>
                      <w:sz w:val="20"/>
                    </w:rPr>
                    <w:t>-35.4</w:t>
                  </w:r>
                </w:p>
              </w:tc>
              <w:tc>
                <w:tcPr>
                  <w:tcW w:w="276" w:type="pct"/>
                  <w:shd w:val="clear" w:color="auto" w:fill="FFFFFF"/>
                  <w:vAlign w:val="center"/>
                </w:tcPr>
                <w:p w14:paraId="74E4FF01">
                  <w:pPr>
                    <w:jc w:val="center"/>
                    <w:rPr>
                      <w:color w:val="auto"/>
                    </w:rPr>
                  </w:pPr>
                  <w:r>
                    <w:rPr>
                      <w:rFonts w:eastAsia="Arial"/>
                      <w:color w:val="auto"/>
                      <w:sz w:val="20"/>
                    </w:rPr>
                    <w:t>-44.4</w:t>
                  </w:r>
                </w:p>
              </w:tc>
              <w:tc>
                <w:tcPr>
                  <w:tcW w:w="205" w:type="pct"/>
                  <w:shd w:val="clear" w:color="auto" w:fill="FFFFFF"/>
                  <w:vAlign w:val="center"/>
                </w:tcPr>
                <w:p w14:paraId="1017B902">
                  <w:pPr>
                    <w:jc w:val="center"/>
                    <w:rPr>
                      <w:color w:val="auto"/>
                    </w:rPr>
                  </w:pPr>
                  <w:r>
                    <w:rPr>
                      <w:rFonts w:eastAsia="Arial"/>
                      <w:color w:val="auto"/>
                      <w:sz w:val="20"/>
                    </w:rPr>
                    <w:t>42</w:t>
                  </w:r>
                </w:p>
              </w:tc>
              <w:tc>
                <w:tcPr>
                  <w:tcW w:w="1485" w:type="pct"/>
                  <w:shd w:val="clear" w:color="auto" w:fill="FFFFFF"/>
                  <w:vAlign w:val="center"/>
                </w:tcPr>
                <w:p w14:paraId="79214E13">
                  <w:pPr>
                    <w:jc w:val="center"/>
                    <w:rPr>
                      <w:color w:val="auto"/>
                    </w:rPr>
                  </w:pPr>
                  <w:r>
                    <w:rPr>
                      <w:rFonts w:hint="eastAsia"/>
                      <w:color w:val="auto"/>
                    </w:rPr>
                    <w:t>/</w:t>
                  </w:r>
                </w:p>
              </w:tc>
              <w:tc>
                <w:tcPr>
                  <w:tcW w:w="680" w:type="pct"/>
                  <w:shd w:val="clear" w:color="auto" w:fill="FFFFFF"/>
                  <w:vAlign w:val="center"/>
                </w:tcPr>
                <w:p w14:paraId="0DBD32A1">
                  <w:pPr>
                    <w:jc w:val="center"/>
                    <w:rPr>
                      <w:color w:val="auto"/>
                    </w:rPr>
                  </w:pPr>
                  <w:r>
                    <w:rPr>
                      <w:rFonts w:eastAsia="Arial"/>
                      <w:color w:val="auto"/>
                      <w:sz w:val="20"/>
                    </w:rPr>
                    <w:t>85</w:t>
                  </w:r>
                </w:p>
              </w:tc>
              <w:tc>
                <w:tcPr>
                  <w:tcW w:w="609" w:type="pct"/>
                  <w:shd w:val="clear" w:color="auto" w:fill="FFFFFF"/>
                  <w:vAlign w:val="center"/>
                </w:tcPr>
                <w:p w14:paraId="2E4C0A8E">
                  <w:pPr>
                    <w:jc w:val="center"/>
                    <w:rPr>
                      <w:color w:val="auto"/>
                    </w:rPr>
                  </w:pPr>
                  <w:r>
                    <w:rPr>
                      <w:rFonts w:hint="eastAsia"/>
                      <w:color w:val="auto"/>
                    </w:rPr>
                    <w:t>设备减振</w:t>
                  </w:r>
                </w:p>
              </w:tc>
              <w:tc>
                <w:tcPr>
                  <w:tcW w:w="439" w:type="pct"/>
                  <w:shd w:val="clear" w:color="auto" w:fill="FFFFFF"/>
                  <w:vAlign w:val="center"/>
                </w:tcPr>
                <w:p w14:paraId="363DA8AD">
                  <w:pPr>
                    <w:jc w:val="center"/>
                    <w:rPr>
                      <w:color w:val="auto"/>
                    </w:rPr>
                  </w:pPr>
                  <w:r>
                    <w:rPr>
                      <w:rFonts w:hint="eastAsia"/>
                      <w:color w:val="auto"/>
                    </w:rPr>
                    <w:t>上班期间</w:t>
                  </w:r>
                </w:p>
              </w:tc>
            </w:tr>
            <w:tr w14:paraId="0A59B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261" w:type="pct"/>
                  <w:shd w:val="clear" w:color="auto" w:fill="FFFFFF"/>
                  <w:vAlign w:val="center"/>
                </w:tcPr>
                <w:p w14:paraId="2CBBCB7E">
                  <w:pPr>
                    <w:jc w:val="center"/>
                    <w:rPr>
                      <w:color w:val="auto"/>
                    </w:rPr>
                  </w:pPr>
                  <w:r>
                    <w:rPr>
                      <w:rFonts w:eastAsia="Arial"/>
                      <w:color w:val="auto"/>
                      <w:sz w:val="20"/>
                    </w:rPr>
                    <w:t>2</w:t>
                  </w:r>
                </w:p>
              </w:tc>
              <w:tc>
                <w:tcPr>
                  <w:tcW w:w="504" w:type="pct"/>
                  <w:shd w:val="clear" w:color="auto" w:fill="FFFFFF"/>
                  <w:vAlign w:val="center"/>
                </w:tcPr>
                <w:p w14:paraId="3B7A5C58">
                  <w:pPr>
                    <w:jc w:val="center"/>
                    <w:rPr>
                      <w:color w:val="auto"/>
                    </w:rPr>
                  </w:pPr>
                  <w:r>
                    <w:rPr>
                      <w:rFonts w:eastAsia="Arial"/>
                      <w:color w:val="auto"/>
                      <w:sz w:val="20"/>
                    </w:rPr>
                    <w:t>DA002风机</w:t>
                  </w:r>
                </w:p>
              </w:tc>
              <w:tc>
                <w:tcPr>
                  <w:tcW w:w="262" w:type="pct"/>
                  <w:shd w:val="clear" w:color="auto" w:fill="FFFFFF"/>
                  <w:vAlign w:val="center"/>
                </w:tcPr>
                <w:p w14:paraId="60355EF4">
                  <w:pPr>
                    <w:jc w:val="center"/>
                    <w:rPr>
                      <w:color w:val="auto"/>
                    </w:rPr>
                  </w:pPr>
                  <w:r>
                    <w:rPr>
                      <w:rFonts w:hint="eastAsia"/>
                      <w:color w:val="auto"/>
                    </w:rPr>
                    <w:t>/</w:t>
                  </w:r>
                </w:p>
              </w:tc>
              <w:tc>
                <w:tcPr>
                  <w:tcW w:w="276" w:type="pct"/>
                  <w:shd w:val="clear" w:color="auto" w:fill="FFFFFF"/>
                  <w:vAlign w:val="center"/>
                </w:tcPr>
                <w:p w14:paraId="7A889F50">
                  <w:pPr>
                    <w:jc w:val="center"/>
                    <w:rPr>
                      <w:color w:val="auto"/>
                    </w:rPr>
                  </w:pPr>
                  <w:r>
                    <w:rPr>
                      <w:rFonts w:eastAsia="Arial"/>
                      <w:color w:val="auto"/>
                      <w:sz w:val="20"/>
                    </w:rPr>
                    <w:t>-30.6</w:t>
                  </w:r>
                </w:p>
              </w:tc>
              <w:tc>
                <w:tcPr>
                  <w:tcW w:w="276" w:type="pct"/>
                  <w:shd w:val="clear" w:color="auto" w:fill="FFFFFF"/>
                  <w:vAlign w:val="center"/>
                </w:tcPr>
                <w:p w14:paraId="6654B6BF">
                  <w:pPr>
                    <w:jc w:val="center"/>
                    <w:rPr>
                      <w:color w:val="auto"/>
                    </w:rPr>
                  </w:pPr>
                  <w:r>
                    <w:rPr>
                      <w:rFonts w:eastAsia="Arial"/>
                      <w:color w:val="auto"/>
                      <w:sz w:val="20"/>
                    </w:rPr>
                    <w:t>-35.2</w:t>
                  </w:r>
                </w:p>
              </w:tc>
              <w:tc>
                <w:tcPr>
                  <w:tcW w:w="205" w:type="pct"/>
                  <w:shd w:val="clear" w:color="auto" w:fill="FFFFFF"/>
                  <w:vAlign w:val="center"/>
                </w:tcPr>
                <w:p w14:paraId="5AF3B2CC">
                  <w:pPr>
                    <w:jc w:val="center"/>
                    <w:rPr>
                      <w:color w:val="auto"/>
                    </w:rPr>
                  </w:pPr>
                  <w:r>
                    <w:rPr>
                      <w:rFonts w:eastAsia="Arial"/>
                      <w:color w:val="auto"/>
                      <w:sz w:val="20"/>
                    </w:rPr>
                    <w:t>42</w:t>
                  </w:r>
                </w:p>
              </w:tc>
              <w:tc>
                <w:tcPr>
                  <w:tcW w:w="1485" w:type="pct"/>
                  <w:shd w:val="clear" w:color="auto" w:fill="FFFFFF"/>
                  <w:vAlign w:val="center"/>
                </w:tcPr>
                <w:p w14:paraId="521F2E26">
                  <w:pPr>
                    <w:jc w:val="center"/>
                    <w:rPr>
                      <w:color w:val="auto"/>
                    </w:rPr>
                  </w:pPr>
                  <w:r>
                    <w:rPr>
                      <w:rFonts w:hint="eastAsia"/>
                      <w:color w:val="auto"/>
                    </w:rPr>
                    <w:t>/</w:t>
                  </w:r>
                </w:p>
              </w:tc>
              <w:tc>
                <w:tcPr>
                  <w:tcW w:w="680" w:type="pct"/>
                  <w:shd w:val="clear" w:color="auto" w:fill="FFFFFF"/>
                  <w:vAlign w:val="center"/>
                </w:tcPr>
                <w:p w14:paraId="113A532E">
                  <w:pPr>
                    <w:jc w:val="center"/>
                    <w:rPr>
                      <w:color w:val="auto"/>
                    </w:rPr>
                  </w:pPr>
                  <w:r>
                    <w:rPr>
                      <w:rFonts w:eastAsia="Arial"/>
                      <w:color w:val="auto"/>
                      <w:sz w:val="20"/>
                    </w:rPr>
                    <w:t>85</w:t>
                  </w:r>
                </w:p>
              </w:tc>
              <w:tc>
                <w:tcPr>
                  <w:tcW w:w="609" w:type="pct"/>
                  <w:shd w:val="clear" w:color="auto" w:fill="FFFFFF"/>
                  <w:vAlign w:val="center"/>
                </w:tcPr>
                <w:p w14:paraId="0595CA5B">
                  <w:pPr>
                    <w:jc w:val="center"/>
                    <w:rPr>
                      <w:color w:val="auto"/>
                    </w:rPr>
                  </w:pPr>
                  <w:r>
                    <w:rPr>
                      <w:rFonts w:hint="eastAsia"/>
                      <w:color w:val="auto"/>
                    </w:rPr>
                    <w:t>设备减振</w:t>
                  </w:r>
                </w:p>
              </w:tc>
              <w:tc>
                <w:tcPr>
                  <w:tcW w:w="439" w:type="pct"/>
                  <w:shd w:val="clear" w:color="auto" w:fill="FFFFFF"/>
                  <w:vAlign w:val="center"/>
                </w:tcPr>
                <w:p w14:paraId="5E80B2D7">
                  <w:pPr>
                    <w:jc w:val="center"/>
                    <w:rPr>
                      <w:color w:val="auto"/>
                    </w:rPr>
                  </w:pPr>
                  <w:r>
                    <w:rPr>
                      <w:rFonts w:hint="eastAsia"/>
                      <w:color w:val="auto"/>
                    </w:rPr>
                    <w:t>上班期间</w:t>
                  </w:r>
                </w:p>
              </w:tc>
            </w:tr>
            <w:tr w14:paraId="3EB06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261" w:type="pct"/>
                  <w:shd w:val="clear" w:color="auto" w:fill="FFFFFF"/>
                  <w:vAlign w:val="center"/>
                </w:tcPr>
                <w:p w14:paraId="2F7225C0">
                  <w:pPr>
                    <w:jc w:val="center"/>
                    <w:rPr>
                      <w:color w:val="auto"/>
                    </w:rPr>
                  </w:pPr>
                  <w:r>
                    <w:rPr>
                      <w:rFonts w:eastAsia="Arial"/>
                      <w:color w:val="auto"/>
                      <w:sz w:val="20"/>
                    </w:rPr>
                    <w:t>3</w:t>
                  </w:r>
                </w:p>
              </w:tc>
              <w:tc>
                <w:tcPr>
                  <w:tcW w:w="504" w:type="pct"/>
                  <w:shd w:val="clear" w:color="auto" w:fill="FFFFFF"/>
                  <w:vAlign w:val="center"/>
                </w:tcPr>
                <w:p w14:paraId="491F0EDE">
                  <w:pPr>
                    <w:jc w:val="center"/>
                    <w:rPr>
                      <w:color w:val="auto"/>
                    </w:rPr>
                  </w:pPr>
                  <w:r>
                    <w:rPr>
                      <w:rFonts w:eastAsia="Arial"/>
                      <w:color w:val="auto"/>
                      <w:sz w:val="20"/>
                    </w:rPr>
                    <w:t>DA003风机</w:t>
                  </w:r>
                </w:p>
              </w:tc>
              <w:tc>
                <w:tcPr>
                  <w:tcW w:w="262" w:type="pct"/>
                  <w:shd w:val="clear" w:color="auto" w:fill="FFFFFF"/>
                  <w:vAlign w:val="center"/>
                </w:tcPr>
                <w:p w14:paraId="478A2580">
                  <w:pPr>
                    <w:jc w:val="center"/>
                    <w:rPr>
                      <w:color w:val="auto"/>
                    </w:rPr>
                  </w:pPr>
                  <w:r>
                    <w:rPr>
                      <w:rFonts w:hint="eastAsia"/>
                      <w:color w:val="auto"/>
                    </w:rPr>
                    <w:t>/</w:t>
                  </w:r>
                </w:p>
              </w:tc>
              <w:tc>
                <w:tcPr>
                  <w:tcW w:w="276" w:type="pct"/>
                  <w:shd w:val="clear" w:color="auto" w:fill="FFFFFF"/>
                  <w:vAlign w:val="center"/>
                </w:tcPr>
                <w:p w14:paraId="19CD8AF3">
                  <w:pPr>
                    <w:jc w:val="center"/>
                    <w:rPr>
                      <w:color w:val="auto"/>
                    </w:rPr>
                  </w:pPr>
                  <w:r>
                    <w:rPr>
                      <w:rFonts w:eastAsia="Arial"/>
                      <w:color w:val="auto"/>
                      <w:sz w:val="20"/>
                    </w:rPr>
                    <w:t>-19.7</w:t>
                  </w:r>
                </w:p>
              </w:tc>
              <w:tc>
                <w:tcPr>
                  <w:tcW w:w="276" w:type="pct"/>
                  <w:shd w:val="clear" w:color="auto" w:fill="FFFFFF"/>
                  <w:vAlign w:val="center"/>
                </w:tcPr>
                <w:p w14:paraId="7D5851E2">
                  <w:pPr>
                    <w:jc w:val="center"/>
                    <w:rPr>
                      <w:color w:val="auto"/>
                    </w:rPr>
                  </w:pPr>
                  <w:r>
                    <w:rPr>
                      <w:rFonts w:eastAsia="Arial"/>
                      <w:color w:val="auto"/>
                      <w:sz w:val="20"/>
                    </w:rPr>
                    <w:t>-8.1</w:t>
                  </w:r>
                </w:p>
              </w:tc>
              <w:tc>
                <w:tcPr>
                  <w:tcW w:w="205" w:type="pct"/>
                  <w:shd w:val="clear" w:color="auto" w:fill="FFFFFF"/>
                  <w:vAlign w:val="center"/>
                </w:tcPr>
                <w:p w14:paraId="404A417D">
                  <w:pPr>
                    <w:jc w:val="center"/>
                    <w:rPr>
                      <w:color w:val="auto"/>
                    </w:rPr>
                  </w:pPr>
                  <w:r>
                    <w:rPr>
                      <w:rFonts w:eastAsia="Arial"/>
                      <w:color w:val="auto"/>
                      <w:sz w:val="20"/>
                    </w:rPr>
                    <w:t>42</w:t>
                  </w:r>
                </w:p>
              </w:tc>
              <w:tc>
                <w:tcPr>
                  <w:tcW w:w="1485" w:type="pct"/>
                  <w:shd w:val="clear" w:color="auto" w:fill="FFFFFF"/>
                  <w:vAlign w:val="center"/>
                </w:tcPr>
                <w:p w14:paraId="7BBF31F2">
                  <w:pPr>
                    <w:jc w:val="center"/>
                    <w:rPr>
                      <w:color w:val="auto"/>
                    </w:rPr>
                  </w:pPr>
                  <w:r>
                    <w:rPr>
                      <w:rFonts w:hint="eastAsia"/>
                      <w:color w:val="auto"/>
                    </w:rPr>
                    <w:t>/</w:t>
                  </w:r>
                </w:p>
              </w:tc>
              <w:tc>
                <w:tcPr>
                  <w:tcW w:w="680" w:type="pct"/>
                  <w:shd w:val="clear" w:color="auto" w:fill="FFFFFF"/>
                  <w:vAlign w:val="center"/>
                </w:tcPr>
                <w:p w14:paraId="70EC1370">
                  <w:pPr>
                    <w:jc w:val="center"/>
                    <w:rPr>
                      <w:color w:val="auto"/>
                    </w:rPr>
                  </w:pPr>
                  <w:r>
                    <w:rPr>
                      <w:rFonts w:eastAsia="Arial"/>
                      <w:color w:val="auto"/>
                      <w:sz w:val="20"/>
                    </w:rPr>
                    <w:t>85</w:t>
                  </w:r>
                </w:p>
              </w:tc>
              <w:tc>
                <w:tcPr>
                  <w:tcW w:w="609" w:type="pct"/>
                  <w:shd w:val="clear" w:color="auto" w:fill="FFFFFF"/>
                  <w:vAlign w:val="center"/>
                </w:tcPr>
                <w:p w14:paraId="2BB299B6">
                  <w:pPr>
                    <w:jc w:val="center"/>
                    <w:rPr>
                      <w:color w:val="auto"/>
                    </w:rPr>
                  </w:pPr>
                  <w:r>
                    <w:rPr>
                      <w:rFonts w:hint="eastAsia"/>
                      <w:color w:val="auto"/>
                    </w:rPr>
                    <w:t>设备减振</w:t>
                  </w:r>
                </w:p>
              </w:tc>
              <w:tc>
                <w:tcPr>
                  <w:tcW w:w="439" w:type="pct"/>
                  <w:shd w:val="clear" w:color="auto" w:fill="FFFFFF"/>
                  <w:vAlign w:val="center"/>
                </w:tcPr>
                <w:p w14:paraId="7DBFB5DA">
                  <w:pPr>
                    <w:jc w:val="center"/>
                    <w:rPr>
                      <w:color w:val="auto"/>
                    </w:rPr>
                  </w:pPr>
                  <w:r>
                    <w:rPr>
                      <w:rFonts w:hint="eastAsia"/>
                      <w:color w:val="auto"/>
                    </w:rPr>
                    <w:t>上班期间</w:t>
                  </w:r>
                </w:p>
              </w:tc>
            </w:tr>
            <w:tr w14:paraId="46DBB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261" w:type="pct"/>
                  <w:shd w:val="clear" w:color="auto" w:fill="FFFFFF"/>
                  <w:vAlign w:val="center"/>
                </w:tcPr>
                <w:p w14:paraId="110A7914">
                  <w:pPr>
                    <w:jc w:val="center"/>
                    <w:rPr>
                      <w:color w:val="auto"/>
                    </w:rPr>
                  </w:pPr>
                  <w:r>
                    <w:rPr>
                      <w:rFonts w:eastAsia="Arial"/>
                      <w:color w:val="auto"/>
                      <w:sz w:val="20"/>
                    </w:rPr>
                    <w:t>4</w:t>
                  </w:r>
                </w:p>
              </w:tc>
              <w:tc>
                <w:tcPr>
                  <w:tcW w:w="504" w:type="pct"/>
                  <w:shd w:val="clear" w:color="auto" w:fill="FFFFFF"/>
                  <w:vAlign w:val="center"/>
                </w:tcPr>
                <w:p w14:paraId="59D3AE8F">
                  <w:pPr>
                    <w:jc w:val="center"/>
                    <w:rPr>
                      <w:color w:val="auto"/>
                    </w:rPr>
                  </w:pPr>
                  <w:r>
                    <w:rPr>
                      <w:rFonts w:eastAsia="Arial"/>
                      <w:color w:val="auto"/>
                      <w:sz w:val="20"/>
                    </w:rPr>
                    <w:t>DA004风机</w:t>
                  </w:r>
                </w:p>
              </w:tc>
              <w:tc>
                <w:tcPr>
                  <w:tcW w:w="262" w:type="pct"/>
                  <w:shd w:val="clear" w:color="auto" w:fill="FFFFFF"/>
                  <w:vAlign w:val="center"/>
                </w:tcPr>
                <w:p w14:paraId="28DC89EE">
                  <w:pPr>
                    <w:jc w:val="center"/>
                    <w:rPr>
                      <w:color w:val="auto"/>
                    </w:rPr>
                  </w:pPr>
                  <w:r>
                    <w:rPr>
                      <w:rFonts w:hint="eastAsia"/>
                      <w:color w:val="auto"/>
                    </w:rPr>
                    <w:t>/</w:t>
                  </w:r>
                </w:p>
              </w:tc>
              <w:tc>
                <w:tcPr>
                  <w:tcW w:w="276" w:type="pct"/>
                  <w:shd w:val="clear" w:color="auto" w:fill="FFFFFF"/>
                  <w:vAlign w:val="center"/>
                </w:tcPr>
                <w:p w14:paraId="2FA42B1B">
                  <w:pPr>
                    <w:jc w:val="center"/>
                    <w:rPr>
                      <w:color w:val="auto"/>
                    </w:rPr>
                  </w:pPr>
                  <w:r>
                    <w:rPr>
                      <w:rFonts w:eastAsia="Arial"/>
                      <w:color w:val="auto"/>
                      <w:sz w:val="20"/>
                    </w:rPr>
                    <w:t>-13.1</w:t>
                  </w:r>
                </w:p>
              </w:tc>
              <w:tc>
                <w:tcPr>
                  <w:tcW w:w="276" w:type="pct"/>
                  <w:shd w:val="clear" w:color="auto" w:fill="FFFFFF"/>
                  <w:vAlign w:val="center"/>
                </w:tcPr>
                <w:p w14:paraId="481674C3">
                  <w:pPr>
                    <w:jc w:val="center"/>
                    <w:rPr>
                      <w:color w:val="auto"/>
                    </w:rPr>
                  </w:pPr>
                  <w:r>
                    <w:rPr>
                      <w:rFonts w:eastAsia="Arial"/>
                      <w:color w:val="auto"/>
                      <w:sz w:val="20"/>
                    </w:rPr>
                    <w:t>4.3</w:t>
                  </w:r>
                </w:p>
              </w:tc>
              <w:tc>
                <w:tcPr>
                  <w:tcW w:w="205" w:type="pct"/>
                  <w:shd w:val="clear" w:color="auto" w:fill="FFFFFF"/>
                  <w:vAlign w:val="center"/>
                </w:tcPr>
                <w:p w14:paraId="208A4165">
                  <w:pPr>
                    <w:jc w:val="center"/>
                    <w:rPr>
                      <w:color w:val="auto"/>
                    </w:rPr>
                  </w:pPr>
                  <w:r>
                    <w:rPr>
                      <w:rFonts w:eastAsia="Arial"/>
                      <w:color w:val="auto"/>
                      <w:sz w:val="20"/>
                    </w:rPr>
                    <w:t>42</w:t>
                  </w:r>
                </w:p>
              </w:tc>
              <w:tc>
                <w:tcPr>
                  <w:tcW w:w="1485" w:type="pct"/>
                  <w:shd w:val="clear" w:color="auto" w:fill="FFFFFF"/>
                  <w:vAlign w:val="center"/>
                </w:tcPr>
                <w:p w14:paraId="72FB9063">
                  <w:pPr>
                    <w:jc w:val="center"/>
                    <w:rPr>
                      <w:color w:val="auto"/>
                    </w:rPr>
                  </w:pPr>
                  <w:r>
                    <w:rPr>
                      <w:rFonts w:hint="eastAsia"/>
                      <w:color w:val="auto"/>
                    </w:rPr>
                    <w:t>/</w:t>
                  </w:r>
                </w:p>
              </w:tc>
              <w:tc>
                <w:tcPr>
                  <w:tcW w:w="680" w:type="pct"/>
                  <w:shd w:val="clear" w:color="auto" w:fill="FFFFFF"/>
                  <w:vAlign w:val="center"/>
                </w:tcPr>
                <w:p w14:paraId="37DF17DB">
                  <w:pPr>
                    <w:jc w:val="center"/>
                    <w:rPr>
                      <w:color w:val="auto"/>
                    </w:rPr>
                  </w:pPr>
                  <w:r>
                    <w:rPr>
                      <w:rFonts w:eastAsia="Arial"/>
                      <w:color w:val="auto"/>
                      <w:sz w:val="20"/>
                    </w:rPr>
                    <w:t>85</w:t>
                  </w:r>
                </w:p>
              </w:tc>
              <w:tc>
                <w:tcPr>
                  <w:tcW w:w="609" w:type="pct"/>
                  <w:shd w:val="clear" w:color="auto" w:fill="FFFFFF"/>
                  <w:vAlign w:val="center"/>
                </w:tcPr>
                <w:p w14:paraId="04A30A00">
                  <w:pPr>
                    <w:jc w:val="center"/>
                    <w:rPr>
                      <w:color w:val="auto"/>
                    </w:rPr>
                  </w:pPr>
                  <w:r>
                    <w:rPr>
                      <w:rFonts w:hint="eastAsia"/>
                      <w:color w:val="auto"/>
                    </w:rPr>
                    <w:t>设备减振</w:t>
                  </w:r>
                </w:p>
              </w:tc>
              <w:tc>
                <w:tcPr>
                  <w:tcW w:w="439" w:type="pct"/>
                  <w:shd w:val="clear" w:color="auto" w:fill="FFFFFF"/>
                  <w:vAlign w:val="center"/>
                </w:tcPr>
                <w:p w14:paraId="7DC34284">
                  <w:pPr>
                    <w:jc w:val="center"/>
                    <w:rPr>
                      <w:color w:val="auto"/>
                    </w:rPr>
                  </w:pPr>
                  <w:r>
                    <w:rPr>
                      <w:rFonts w:hint="eastAsia"/>
                      <w:color w:val="auto"/>
                    </w:rPr>
                    <w:t>上班期间</w:t>
                  </w:r>
                </w:p>
              </w:tc>
            </w:tr>
            <w:tr w14:paraId="3518E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261" w:type="pct"/>
                  <w:shd w:val="clear" w:color="auto" w:fill="FFFFFF"/>
                  <w:vAlign w:val="center"/>
                </w:tcPr>
                <w:p w14:paraId="76BD1566">
                  <w:pPr>
                    <w:jc w:val="center"/>
                    <w:rPr>
                      <w:color w:val="auto"/>
                    </w:rPr>
                  </w:pPr>
                  <w:r>
                    <w:rPr>
                      <w:rFonts w:eastAsia="Arial"/>
                      <w:color w:val="auto"/>
                      <w:sz w:val="20"/>
                    </w:rPr>
                    <w:t>5</w:t>
                  </w:r>
                </w:p>
              </w:tc>
              <w:tc>
                <w:tcPr>
                  <w:tcW w:w="504" w:type="pct"/>
                  <w:shd w:val="clear" w:color="auto" w:fill="FFFFFF"/>
                  <w:vAlign w:val="center"/>
                </w:tcPr>
                <w:p w14:paraId="4EEAD38E">
                  <w:pPr>
                    <w:jc w:val="center"/>
                    <w:rPr>
                      <w:color w:val="auto"/>
                    </w:rPr>
                  </w:pPr>
                  <w:r>
                    <w:rPr>
                      <w:rFonts w:eastAsia="Arial"/>
                      <w:color w:val="auto"/>
                      <w:sz w:val="20"/>
                    </w:rPr>
                    <w:t>DA005风机</w:t>
                  </w:r>
                </w:p>
              </w:tc>
              <w:tc>
                <w:tcPr>
                  <w:tcW w:w="262" w:type="pct"/>
                  <w:shd w:val="clear" w:color="auto" w:fill="FFFFFF"/>
                  <w:vAlign w:val="center"/>
                </w:tcPr>
                <w:p w14:paraId="21C2BED6">
                  <w:pPr>
                    <w:jc w:val="center"/>
                    <w:rPr>
                      <w:color w:val="auto"/>
                    </w:rPr>
                  </w:pPr>
                  <w:r>
                    <w:rPr>
                      <w:rFonts w:hint="eastAsia"/>
                      <w:color w:val="auto"/>
                    </w:rPr>
                    <w:t>/</w:t>
                  </w:r>
                </w:p>
              </w:tc>
              <w:tc>
                <w:tcPr>
                  <w:tcW w:w="276" w:type="pct"/>
                  <w:shd w:val="clear" w:color="auto" w:fill="FFFFFF"/>
                  <w:vAlign w:val="center"/>
                </w:tcPr>
                <w:p w14:paraId="471FDFD3">
                  <w:pPr>
                    <w:jc w:val="center"/>
                    <w:rPr>
                      <w:color w:val="auto"/>
                    </w:rPr>
                  </w:pPr>
                  <w:r>
                    <w:rPr>
                      <w:rFonts w:eastAsia="Arial"/>
                      <w:color w:val="auto"/>
                      <w:sz w:val="20"/>
                    </w:rPr>
                    <w:t>6.7</w:t>
                  </w:r>
                </w:p>
              </w:tc>
              <w:tc>
                <w:tcPr>
                  <w:tcW w:w="276" w:type="pct"/>
                  <w:shd w:val="clear" w:color="auto" w:fill="FFFFFF"/>
                  <w:vAlign w:val="center"/>
                </w:tcPr>
                <w:p w14:paraId="2CDA7174">
                  <w:pPr>
                    <w:jc w:val="center"/>
                    <w:rPr>
                      <w:color w:val="auto"/>
                    </w:rPr>
                  </w:pPr>
                  <w:r>
                    <w:rPr>
                      <w:rFonts w:eastAsia="Arial"/>
                      <w:color w:val="auto"/>
                      <w:sz w:val="20"/>
                    </w:rPr>
                    <w:t>52.6</w:t>
                  </w:r>
                </w:p>
              </w:tc>
              <w:tc>
                <w:tcPr>
                  <w:tcW w:w="205" w:type="pct"/>
                  <w:shd w:val="clear" w:color="auto" w:fill="FFFFFF"/>
                  <w:vAlign w:val="center"/>
                </w:tcPr>
                <w:p w14:paraId="533F33C6">
                  <w:pPr>
                    <w:jc w:val="center"/>
                    <w:rPr>
                      <w:color w:val="auto"/>
                    </w:rPr>
                  </w:pPr>
                  <w:r>
                    <w:rPr>
                      <w:rFonts w:eastAsia="Arial"/>
                      <w:color w:val="auto"/>
                      <w:sz w:val="20"/>
                    </w:rPr>
                    <w:t>42</w:t>
                  </w:r>
                </w:p>
              </w:tc>
              <w:tc>
                <w:tcPr>
                  <w:tcW w:w="1485" w:type="pct"/>
                  <w:shd w:val="clear" w:color="auto" w:fill="FFFFFF"/>
                  <w:vAlign w:val="center"/>
                </w:tcPr>
                <w:p w14:paraId="3AB21B75">
                  <w:pPr>
                    <w:jc w:val="center"/>
                    <w:rPr>
                      <w:color w:val="auto"/>
                    </w:rPr>
                  </w:pPr>
                  <w:r>
                    <w:rPr>
                      <w:rFonts w:hint="eastAsia"/>
                      <w:color w:val="auto"/>
                    </w:rPr>
                    <w:t>/</w:t>
                  </w:r>
                </w:p>
              </w:tc>
              <w:tc>
                <w:tcPr>
                  <w:tcW w:w="680" w:type="pct"/>
                  <w:shd w:val="clear" w:color="auto" w:fill="FFFFFF"/>
                  <w:vAlign w:val="center"/>
                </w:tcPr>
                <w:p w14:paraId="5DD419E4">
                  <w:pPr>
                    <w:jc w:val="center"/>
                    <w:rPr>
                      <w:color w:val="auto"/>
                    </w:rPr>
                  </w:pPr>
                  <w:r>
                    <w:rPr>
                      <w:rFonts w:eastAsia="Arial"/>
                      <w:color w:val="auto"/>
                      <w:sz w:val="20"/>
                    </w:rPr>
                    <w:t>85</w:t>
                  </w:r>
                </w:p>
              </w:tc>
              <w:tc>
                <w:tcPr>
                  <w:tcW w:w="609" w:type="pct"/>
                  <w:shd w:val="clear" w:color="auto" w:fill="FFFFFF"/>
                  <w:vAlign w:val="center"/>
                </w:tcPr>
                <w:p w14:paraId="2CF2171F">
                  <w:pPr>
                    <w:jc w:val="center"/>
                    <w:rPr>
                      <w:color w:val="auto"/>
                    </w:rPr>
                  </w:pPr>
                  <w:r>
                    <w:rPr>
                      <w:rFonts w:hint="eastAsia"/>
                      <w:color w:val="auto"/>
                    </w:rPr>
                    <w:t>设备减振</w:t>
                  </w:r>
                </w:p>
              </w:tc>
              <w:tc>
                <w:tcPr>
                  <w:tcW w:w="439" w:type="pct"/>
                  <w:shd w:val="clear" w:color="auto" w:fill="FFFFFF"/>
                  <w:vAlign w:val="center"/>
                </w:tcPr>
                <w:p w14:paraId="5E6DCB30">
                  <w:pPr>
                    <w:jc w:val="center"/>
                    <w:rPr>
                      <w:color w:val="auto"/>
                    </w:rPr>
                  </w:pPr>
                  <w:r>
                    <w:rPr>
                      <w:rFonts w:hint="eastAsia"/>
                      <w:color w:val="auto"/>
                    </w:rPr>
                    <w:t>上班期间</w:t>
                  </w:r>
                </w:p>
              </w:tc>
            </w:tr>
            <w:tr w14:paraId="5AEB3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261" w:type="pct"/>
                  <w:shd w:val="clear" w:color="auto" w:fill="FFFFFF"/>
                  <w:vAlign w:val="center"/>
                </w:tcPr>
                <w:p w14:paraId="16C3AD0C">
                  <w:pPr>
                    <w:jc w:val="center"/>
                    <w:rPr>
                      <w:color w:val="auto"/>
                    </w:rPr>
                  </w:pPr>
                  <w:r>
                    <w:rPr>
                      <w:rFonts w:eastAsia="Arial"/>
                      <w:color w:val="auto"/>
                      <w:sz w:val="20"/>
                    </w:rPr>
                    <w:t>6</w:t>
                  </w:r>
                </w:p>
              </w:tc>
              <w:tc>
                <w:tcPr>
                  <w:tcW w:w="504" w:type="pct"/>
                  <w:shd w:val="clear" w:color="auto" w:fill="FFFFFF"/>
                  <w:vAlign w:val="center"/>
                </w:tcPr>
                <w:p w14:paraId="6BD275C1">
                  <w:pPr>
                    <w:jc w:val="center"/>
                    <w:rPr>
                      <w:color w:val="auto"/>
                    </w:rPr>
                  </w:pPr>
                  <w:r>
                    <w:rPr>
                      <w:rFonts w:eastAsia="Arial"/>
                      <w:color w:val="auto"/>
                      <w:sz w:val="20"/>
                    </w:rPr>
                    <w:t>DA006风机</w:t>
                  </w:r>
                </w:p>
              </w:tc>
              <w:tc>
                <w:tcPr>
                  <w:tcW w:w="262" w:type="pct"/>
                  <w:shd w:val="clear" w:color="auto" w:fill="FFFFFF"/>
                  <w:vAlign w:val="center"/>
                </w:tcPr>
                <w:p w14:paraId="03FC6980">
                  <w:pPr>
                    <w:jc w:val="center"/>
                    <w:rPr>
                      <w:color w:val="auto"/>
                    </w:rPr>
                  </w:pPr>
                  <w:r>
                    <w:rPr>
                      <w:rFonts w:hint="eastAsia"/>
                      <w:color w:val="auto"/>
                    </w:rPr>
                    <w:t>/</w:t>
                  </w:r>
                </w:p>
              </w:tc>
              <w:tc>
                <w:tcPr>
                  <w:tcW w:w="276" w:type="pct"/>
                  <w:shd w:val="clear" w:color="auto" w:fill="FFFFFF"/>
                  <w:vAlign w:val="center"/>
                </w:tcPr>
                <w:p w14:paraId="0567F4B2">
                  <w:pPr>
                    <w:jc w:val="center"/>
                    <w:rPr>
                      <w:color w:val="auto"/>
                    </w:rPr>
                  </w:pPr>
                  <w:r>
                    <w:rPr>
                      <w:rFonts w:eastAsia="Arial"/>
                      <w:color w:val="auto"/>
                      <w:sz w:val="20"/>
                    </w:rPr>
                    <w:t>-5</w:t>
                  </w:r>
                </w:p>
              </w:tc>
              <w:tc>
                <w:tcPr>
                  <w:tcW w:w="276" w:type="pct"/>
                  <w:shd w:val="clear" w:color="auto" w:fill="FFFFFF"/>
                  <w:vAlign w:val="center"/>
                </w:tcPr>
                <w:p w14:paraId="0023160D">
                  <w:pPr>
                    <w:jc w:val="center"/>
                    <w:rPr>
                      <w:color w:val="auto"/>
                    </w:rPr>
                  </w:pPr>
                  <w:r>
                    <w:rPr>
                      <w:rFonts w:eastAsia="Arial"/>
                      <w:color w:val="auto"/>
                      <w:sz w:val="20"/>
                    </w:rPr>
                    <w:t>21.9</w:t>
                  </w:r>
                </w:p>
              </w:tc>
              <w:tc>
                <w:tcPr>
                  <w:tcW w:w="205" w:type="pct"/>
                  <w:shd w:val="clear" w:color="auto" w:fill="FFFFFF"/>
                  <w:vAlign w:val="center"/>
                </w:tcPr>
                <w:p w14:paraId="5D11ABD7">
                  <w:pPr>
                    <w:jc w:val="center"/>
                    <w:rPr>
                      <w:color w:val="auto"/>
                    </w:rPr>
                  </w:pPr>
                  <w:r>
                    <w:rPr>
                      <w:rFonts w:eastAsia="Arial"/>
                      <w:color w:val="auto"/>
                      <w:sz w:val="20"/>
                    </w:rPr>
                    <w:t>42</w:t>
                  </w:r>
                </w:p>
              </w:tc>
              <w:tc>
                <w:tcPr>
                  <w:tcW w:w="1485" w:type="pct"/>
                  <w:shd w:val="clear" w:color="auto" w:fill="FFFFFF"/>
                  <w:vAlign w:val="center"/>
                </w:tcPr>
                <w:p w14:paraId="09FA3D03">
                  <w:pPr>
                    <w:jc w:val="center"/>
                    <w:rPr>
                      <w:color w:val="auto"/>
                    </w:rPr>
                  </w:pPr>
                  <w:r>
                    <w:rPr>
                      <w:rFonts w:hint="eastAsia"/>
                      <w:color w:val="auto"/>
                    </w:rPr>
                    <w:t>/</w:t>
                  </w:r>
                </w:p>
              </w:tc>
              <w:tc>
                <w:tcPr>
                  <w:tcW w:w="680" w:type="pct"/>
                  <w:shd w:val="clear" w:color="auto" w:fill="FFFFFF"/>
                  <w:vAlign w:val="center"/>
                </w:tcPr>
                <w:p w14:paraId="60035F26">
                  <w:pPr>
                    <w:jc w:val="center"/>
                    <w:rPr>
                      <w:color w:val="auto"/>
                    </w:rPr>
                  </w:pPr>
                  <w:r>
                    <w:rPr>
                      <w:rFonts w:eastAsia="Arial"/>
                      <w:color w:val="auto"/>
                      <w:sz w:val="20"/>
                    </w:rPr>
                    <w:t>85</w:t>
                  </w:r>
                </w:p>
              </w:tc>
              <w:tc>
                <w:tcPr>
                  <w:tcW w:w="609" w:type="pct"/>
                  <w:shd w:val="clear" w:color="auto" w:fill="FFFFFF"/>
                  <w:vAlign w:val="center"/>
                </w:tcPr>
                <w:p w14:paraId="7C662472">
                  <w:pPr>
                    <w:jc w:val="center"/>
                    <w:rPr>
                      <w:color w:val="auto"/>
                    </w:rPr>
                  </w:pPr>
                  <w:r>
                    <w:rPr>
                      <w:rFonts w:hint="eastAsia"/>
                      <w:color w:val="auto"/>
                    </w:rPr>
                    <w:t>设备减振</w:t>
                  </w:r>
                </w:p>
              </w:tc>
              <w:tc>
                <w:tcPr>
                  <w:tcW w:w="439" w:type="pct"/>
                  <w:shd w:val="clear" w:color="auto" w:fill="FFFFFF"/>
                  <w:vAlign w:val="center"/>
                </w:tcPr>
                <w:p w14:paraId="75911BFA">
                  <w:pPr>
                    <w:jc w:val="center"/>
                    <w:rPr>
                      <w:color w:val="auto"/>
                    </w:rPr>
                  </w:pPr>
                  <w:r>
                    <w:rPr>
                      <w:rFonts w:hint="eastAsia"/>
                      <w:color w:val="auto"/>
                    </w:rPr>
                    <w:t>上班期间</w:t>
                  </w:r>
                </w:p>
              </w:tc>
            </w:tr>
            <w:tr w14:paraId="113D0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261" w:type="pct"/>
                  <w:shd w:val="clear" w:color="auto" w:fill="FFFFFF"/>
                  <w:vAlign w:val="center"/>
                </w:tcPr>
                <w:p w14:paraId="0D5D77C7">
                  <w:pPr>
                    <w:jc w:val="center"/>
                    <w:rPr>
                      <w:color w:val="auto"/>
                    </w:rPr>
                  </w:pPr>
                  <w:r>
                    <w:rPr>
                      <w:rFonts w:eastAsia="Arial"/>
                      <w:color w:val="auto"/>
                      <w:sz w:val="20"/>
                    </w:rPr>
                    <w:t>7</w:t>
                  </w:r>
                </w:p>
              </w:tc>
              <w:tc>
                <w:tcPr>
                  <w:tcW w:w="504" w:type="pct"/>
                  <w:shd w:val="clear" w:color="auto" w:fill="FFFFFF"/>
                  <w:vAlign w:val="center"/>
                </w:tcPr>
                <w:p w14:paraId="55C8C08B">
                  <w:pPr>
                    <w:jc w:val="center"/>
                    <w:rPr>
                      <w:color w:val="auto"/>
                    </w:rPr>
                  </w:pPr>
                  <w:r>
                    <w:rPr>
                      <w:rFonts w:eastAsia="Arial"/>
                      <w:color w:val="auto"/>
                      <w:sz w:val="20"/>
                    </w:rPr>
                    <w:t>空压机</w:t>
                  </w:r>
                </w:p>
              </w:tc>
              <w:tc>
                <w:tcPr>
                  <w:tcW w:w="262" w:type="pct"/>
                  <w:shd w:val="clear" w:color="auto" w:fill="FFFFFF"/>
                  <w:vAlign w:val="center"/>
                </w:tcPr>
                <w:p w14:paraId="118F77A1">
                  <w:pPr>
                    <w:jc w:val="center"/>
                    <w:rPr>
                      <w:color w:val="auto"/>
                    </w:rPr>
                  </w:pPr>
                  <w:r>
                    <w:rPr>
                      <w:rFonts w:hint="eastAsia"/>
                      <w:color w:val="auto"/>
                    </w:rPr>
                    <w:t>/</w:t>
                  </w:r>
                </w:p>
              </w:tc>
              <w:tc>
                <w:tcPr>
                  <w:tcW w:w="864" w:type="dxa"/>
                  <w:shd w:val="clear" w:color="auto" w:fill="FFFFFF"/>
                  <w:vAlign w:val="center"/>
                </w:tcPr>
                <w:p w14:paraId="47ED1AE1">
                  <w:pPr>
                    <w:jc w:val="center"/>
                    <w:rPr>
                      <w:rFonts w:eastAsia="Arial"/>
                      <w:color w:val="auto"/>
                      <w:sz w:val="20"/>
                    </w:rPr>
                  </w:pPr>
                  <w:r>
                    <w:rPr>
                      <w:rFonts w:eastAsia="Arial"/>
                      <w:color w:val="auto"/>
                      <w:sz w:val="20"/>
                    </w:rPr>
                    <w:t>-30.3</w:t>
                  </w:r>
                </w:p>
              </w:tc>
              <w:tc>
                <w:tcPr>
                  <w:tcW w:w="864" w:type="dxa"/>
                  <w:shd w:val="clear" w:color="auto" w:fill="FFFFFF"/>
                  <w:vAlign w:val="center"/>
                </w:tcPr>
                <w:p w14:paraId="6E2CF6D6">
                  <w:pPr>
                    <w:jc w:val="center"/>
                    <w:rPr>
                      <w:rFonts w:eastAsia="Arial"/>
                      <w:color w:val="auto"/>
                      <w:sz w:val="20"/>
                    </w:rPr>
                  </w:pPr>
                  <w:r>
                    <w:rPr>
                      <w:rFonts w:eastAsia="Arial"/>
                      <w:color w:val="auto"/>
                      <w:sz w:val="20"/>
                    </w:rPr>
                    <w:t>-50.9</w:t>
                  </w:r>
                </w:p>
              </w:tc>
              <w:tc>
                <w:tcPr>
                  <w:tcW w:w="642" w:type="dxa"/>
                  <w:shd w:val="clear" w:color="auto" w:fill="FFFFFF"/>
                  <w:vAlign w:val="center"/>
                </w:tcPr>
                <w:p w14:paraId="4E066C6C">
                  <w:pPr>
                    <w:jc w:val="center"/>
                    <w:rPr>
                      <w:rFonts w:eastAsia="Arial"/>
                      <w:color w:val="auto"/>
                      <w:sz w:val="20"/>
                    </w:rPr>
                  </w:pPr>
                  <w:r>
                    <w:rPr>
                      <w:rFonts w:hint="eastAsia"/>
                      <w:color w:val="auto"/>
                      <w:sz w:val="20"/>
                    </w:rPr>
                    <w:t>42</w:t>
                  </w:r>
                </w:p>
              </w:tc>
              <w:tc>
                <w:tcPr>
                  <w:tcW w:w="1485" w:type="pct"/>
                  <w:shd w:val="clear" w:color="auto" w:fill="FFFFFF"/>
                  <w:vAlign w:val="center"/>
                </w:tcPr>
                <w:p w14:paraId="677A4EAA">
                  <w:pPr>
                    <w:jc w:val="center"/>
                    <w:rPr>
                      <w:color w:val="auto"/>
                    </w:rPr>
                  </w:pPr>
                  <w:r>
                    <w:rPr>
                      <w:rFonts w:hint="eastAsia"/>
                      <w:color w:val="auto"/>
                    </w:rPr>
                    <w:t>/</w:t>
                  </w:r>
                </w:p>
              </w:tc>
              <w:tc>
                <w:tcPr>
                  <w:tcW w:w="680" w:type="pct"/>
                  <w:shd w:val="clear" w:color="auto" w:fill="FFFFFF"/>
                  <w:vAlign w:val="center"/>
                </w:tcPr>
                <w:p w14:paraId="5A28AB05">
                  <w:pPr>
                    <w:jc w:val="center"/>
                    <w:rPr>
                      <w:color w:val="auto"/>
                    </w:rPr>
                  </w:pPr>
                  <w:r>
                    <w:rPr>
                      <w:rFonts w:eastAsia="Arial"/>
                      <w:color w:val="auto"/>
                      <w:sz w:val="20"/>
                    </w:rPr>
                    <w:t>88</w:t>
                  </w:r>
                </w:p>
              </w:tc>
              <w:tc>
                <w:tcPr>
                  <w:tcW w:w="609" w:type="pct"/>
                  <w:shd w:val="clear" w:color="auto" w:fill="FFFFFF"/>
                  <w:vAlign w:val="center"/>
                </w:tcPr>
                <w:p w14:paraId="6535C1CB">
                  <w:pPr>
                    <w:jc w:val="center"/>
                    <w:rPr>
                      <w:color w:val="auto"/>
                    </w:rPr>
                  </w:pPr>
                  <w:r>
                    <w:rPr>
                      <w:rFonts w:hint="eastAsia"/>
                      <w:color w:val="auto"/>
                    </w:rPr>
                    <w:t>设备减振</w:t>
                  </w:r>
                </w:p>
              </w:tc>
              <w:tc>
                <w:tcPr>
                  <w:tcW w:w="439" w:type="pct"/>
                  <w:shd w:val="clear" w:color="auto" w:fill="FFFFFF"/>
                  <w:vAlign w:val="center"/>
                </w:tcPr>
                <w:p w14:paraId="5A5886ED">
                  <w:pPr>
                    <w:jc w:val="center"/>
                    <w:rPr>
                      <w:color w:val="auto"/>
                    </w:rPr>
                  </w:pPr>
                  <w:r>
                    <w:rPr>
                      <w:rFonts w:hint="eastAsia"/>
                      <w:color w:val="auto"/>
                    </w:rPr>
                    <w:t>上班期间</w:t>
                  </w:r>
                </w:p>
              </w:tc>
            </w:tr>
            <w:tr w14:paraId="30224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82" w:hRule="exact"/>
              </w:trPr>
              <w:tc>
                <w:tcPr>
                  <w:tcW w:w="5000" w:type="pct"/>
                  <w:gridSpan w:val="10"/>
                  <w:shd w:val="clear" w:color="auto" w:fill="FFFFFF"/>
                  <w:vAlign w:val="center"/>
                </w:tcPr>
                <w:p w14:paraId="6D534F9E">
                  <w:pPr>
                    <w:rPr>
                      <w:rFonts w:eastAsia="Arial"/>
                      <w:color w:val="auto"/>
                      <w:sz w:val="20"/>
                    </w:rPr>
                  </w:pPr>
                  <w:r>
                    <w:rPr>
                      <w:rFonts w:hint="eastAsia" w:eastAsiaTheme="minorEastAsia"/>
                      <w:bCs/>
                      <w:color w:val="auto"/>
                      <w:szCs w:val="21"/>
                    </w:rPr>
                    <w:t>注：</w:t>
                  </w:r>
                  <w:r>
                    <w:rPr>
                      <w:rFonts w:eastAsiaTheme="minorEastAsia"/>
                      <w:bCs/>
                      <w:color w:val="auto"/>
                      <w:szCs w:val="21"/>
                    </w:rPr>
                    <w:t>表中坐标以厂界中心（</w:t>
                  </w:r>
                  <w:bookmarkStart w:id="3" w:name="PO_6"/>
                  <w:r>
                    <w:rPr>
                      <w:rFonts w:eastAsiaTheme="minorEastAsia"/>
                      <w:bCs/>
                      <w:color w:val="auto"/>
                      <w:szCs w:val="21"/>
                    </w:rPr>
                    <w:t>113.884140,23.188154</w:t>
                  </w:r>
                  <w:bookmarkEnd w:id="3"/>
                  <w:r>
                    <w:rPr>
                      <w:rFonts w:eastAsiaTheme="minorEastAsia"/>
                      <w:bCs/>
                      <w:color w:val="auto"/>
                      <w:szCs w:val="21"/>
                    </w:rPr>
                    <w:t>）为坐标原点，正东向为X轴正方向，正北向为Y轴正方向</w:t>
                  </w:r>
                </w:p>
              </w:tc>
            </w:tr>
          </w:tbl>
          <w:p w14:paraId="2E9F2B33">
            <w:pPr>
              <w:adjustRightInd w:val="0"/>
              <w:snapToGrid w:val="0"/>
              <w:jc w:val="center"/>
              <w:rPr>
                <w:bCs/>
                <w:color w:val="auto"/>
                <w:sz w:val="24"/>
              </w:rPr>
            </w:pPr>
          </w:p>
          <w:p w14:paraId="2B49035E">
            <w:pPr>
              <w:pStyle w:val="77"/>
              <w:numPr>
                <w:ilvl w:val="0"/>
                <w:numId w:val="18"/>
              </w:numPr>
              <w:adjustRightInd w:val="0"/>
              <w:snapToGrid w:val="0"/>
              <w:jc w:val="center"/>
              <w:rPr>
                <w:color w:val="auto"/>
              </w:rPr>
            </w:pPr>
            <w:r>
              <w:rPr>
                <w:rFonts w:asciiTheme="minorEastAsia" w:hAnsiTheme="minorEastAsia" w:eastAsiaTheme="minorEastAsia"/>
                <w:b/>
                <w:bCs/>
                <w:color w:val="auto"/>
              </w:rPr>
              <w:t>工业企业噪声源强调查清单（</w:t>
            </w:r>
            <w:r>
              <w:rPr>
                <w:rFonts w:hint="eastAsia" w:asciiTheme="minorEastAsia" w:hAnsiTheme="minorEastAsia" w:eastAsiaTheme="minorEastAsia"/>
                <w:b/>
                <w:bCs/>
                <w:color w:val="auto"/>
              </w:rPr>
              <w:t>室内</w:t>
            </w:r>
            <w:r>
              <w:rPr>
                <w:rFonts w:asciiTheme="minorEastAsia" w:hAnsiTheme="minorEastAsia" w:eastAsiaTheme="minorEastAsia"/>
                <w:b/>
                <w:bCs/>
                <w:color w:val="auto"/>
              </w:rPr>
              <w:t>声源）</w:t>
            </w:r>
          </w:p>
          <w:tbl>
            <w:tblPr>
              <w:tblStyle w:val="35"/>
              <w:tblpPr w:leftFromText="180" w:rightFromText="180" w:vertAnchor="text" w:horzAnchor="page" w:tblpX="204" w:tblpY="323"/>
              <w:tblOverlap w:val="never"/>
              <w:tblW w:w="156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
              <w:gridCol w:w="560"/>
              <w:gridCol w:w="696"/>
              <w:gridCol w:w="427"/>
              <w:gridCol w:w="793"/>
              <w:gridCol w:w="586"/>
              <w:gridCol w:w="655"/>
              <w:gridCol w:w="655"/>
              <w:gridCol w:w="693"/>
              <w:gridCol w:w="542"/>
              <w:gridCol w:w="542"/>
              <w:gridCol w:w="552"/>
              <w:gridCol w:w="583"/>
              <w:gridCol w:w="539"/>
              <w:gridCol w:w="539"/>
              <w:gridCol w:w="539"/>
              <w:gridCol w:w="577"/>
              <w:gridCol w:w="467"/>
              <w:gridCol w:w="520"/>
              <w:gridCol w:w="520"/>
              <w:gridCol w:w="520"/>
              <w:gridCol w:w="564"/>
              <w:gridCol w:w="561"/>
              <w:gridCol w:w="561"/>
              <w:gridCol w:w="561"/>
              <w:gridCol w:w="561"/>
              <w:gridCol w:w="890"/>
            </w:tblGrid>
            <w:tr w14:paraId="68CA1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exact"/>
              </w:trPr>
              <w:tc>
                <w:tcPr>
                  <w:tcW w:w="149" w:type="pct"/>
                  <w:vMerge w:val="restart"/>
                  <w:vAlign w:val="center"/>
                </w:tcPr>
                <w:p w14:paraId="2B12FDB3">
                  <w:pPr>
                    <w:jc w:val="center"/>
                    <w:rPr>
                      <w:rFonts w:eastAsiaTheme="minorEastAsia"/>
                      <w:color w:val="auto"/>
                      <w:szCs w:val="21"/>
                    </w:rPr>
                  </w:pPr>
                  <w:bookmarkStart w:id="4" w:name="PT_6"/>
                  <w:r>
                    <w:rPr>
                      <w:rFonts w:eastAsiaTheme="minorEastAsia"/>
                      <w:b/>
                      <w:color w:val="auto"/>
                      <w:szCs w:val="21"/>
                    </w:rPr>
                    <w:t>序号</w:t>
                  </w:r>
                </w:p>
              </w:tc>
              <w:tc>
                <w:tcPr>
                  <w:tcW w:w="179" w:type="pct"/>
                  <w:vMerge w:val="restart"/>
                  <w:vAlign w:val="center"/>
                </w:tcPr>
                <w:p w14:paraId="129B799F">
                  <w:pPr>
                    <w:jc w:val="center"/>
                    <w:rPr>
                      <w:rFonts w:eastAsiaTheme="minorEastAsia"/>
                      <w:color w:val="auto"/>
                      <w:szCs w:val="21"/>
                    </w:rPr>
                  </w:pPr>
                  <w:r>
                    <w:rPr>
                      <w:rFonts w:eastAsiaTheme="minorEastAsia"/>
                      <w:b/>
                      <w:color w:val="auto"/>
                      <w:szCs w:val="21"/>
                    </w:rPr>
                    <w:t>建筑物名称</w:t>
                  </w:r>
                </w:p>
              </w:tc>
              <w:tc>
                <w:tcPr>
                  <w:tcW w:w="222" w:type="pct"/>
                  <w:vMerge w:val="restart"/>
                  <w:vAlign w:val="center"/>
                </w:tcPr>
                <w:p w14:paraId="71958813">
                  <w:pPr>
                    <w:jc w:val="center"/>
                    <w:rPr>
                      <w:rFonts w:eastAsiaTheme="minorEastAsia"/>
                      <w:color w:val="auto"/>
                      <w:szCs w:val="21"/>
                    </w:rPr>
                  </w:pPr>
                  <w:r>
                    <w:rPr>
                      <w:rFonts w:eastAsiaTheme="minorEastAsia"/>
                      <w:b/>
                      <w:color w:val="auto"/>
                      <w:szCs w:val="21"/>
                    </w:rPr>
                    <w:t>声源名称</w:t>
                  </w:r>
                </w:p>
              </w:tc>
              <w:tc>
                <w:tcPr>
                  <w:tcW w:w="136" w:type="pct"/>
                  <w:vMerge w:val="restart"/>
                  <w:vAlign w:val="center"/>
                </w:tcPr>
                <w:p w14:paraId="10922D67">
                  <w:pPr>
                    <w:jc w:val="center"/>
                    <w:rPr>
                      <w:rFonts w:eastAsiaTheme="minorEastAsia"/>
                      <w:color w:val="auto"/>
                      <w:szCs w:val="21"/>
                    </w:rPr>
                  </w:pPr>
                  <w:r>
                    <w:rPr>
                      <w:rFonts w:eastAsiaTheme="minorEastAsia"/>
                      <w:b/>
                      <w:color w:val="auto"/>
                      <w:szCs w:val="21"/>
                    </w:rPr>
                    <w:t>型号</w:t>
                  </w:r>
                </w:p>
              </w:tc>
              <w:tc>
                <w:tcPr>
                  <w:tcW w:w="253" w:type="pct"/>
                  <w:vAlign w:val="center"/>
                </w:tcPr>
                <w:p w14:paraId="52E47C7E">
                  <w:pPr>
                    <w:jc w:val="center"/>
                    <w:rPr>
                      <w:rFonts w:eastAsiaTheme="minorEastAsia"/>
                      <w:color w:val="auto"/>
                      <w:szCs w:val="21"/>
                    </w:rPr>
                  </w:pPr>
                  <w:r>
                    <w:rPr>
                      <w:rFonts w:eastAsiaTheme="minorEastAsia"/>
                      <w:b/>
                      <w:color w:val="auto"/>
                      <w:szCs w:val="21"/>
                    </w:rPr>
                    <w:t>声源源强</w:t>
                  </w:r>
                </w:p>
              </w:tc>
              <w:tc>
                <w:tcPr>
                  <w:tcW w:w="187" w:type="pct"/>
                  <w:vMerge w:val="restart"/>
                  <w:vAlign w:val="center"/>
                </w:tcPr>
                <w:p w14:paraId="2288D0D5">
                  <w:pPr>
                    <w:jc w:val="center"/>
                    <w:rPr>
                      <w:rFonts w:eastAsiaTheme="minorEastAsia"/>
                      <w:color w:val="auto"/>
                      <w:szCs w:val="21"/>
                    </w:rPr>
                  </w:pPr>
                  <w:r>
                    <w:rPr>
                      <w:rFonts w:eastAsiaTheme="minorEastAsia"/>
                      <w:b/>
                      <w:color w:val="auto"/>
                      <w:szCs w:val="21"/>
                    </w:rPr>
                    <w:t>声源控制措施</w:t>
                  </w:r>
                </w:p>
              </w:tc>
              <w:tc>
                <w:tcPr>
                  <w:tcW w:w="639" w:type="pct"/>
                  <w:gridSpan w:val="3"/>
                  <w:vAlign w:val="center"/>
                </w:tcPr>
                <w:p w14:paraId="75C033CC">
                  <w:pPr>
                    <w:jc w:val="center"/>
                    <w:rPr>
                      <w:rFonts w:eastAsiaTheme="minorEastAsia"/>
                      <w:color w:val="auto"/>
                      <w:szCs w:val="21"/>
                    </w:rPr>
                  </w:pPr>
                  <w:r>
                    <w:rPr>
                      <w:rFonts w:eastAsiaTheme="minorEastAsia"/>
                      <w:b/>
                      <w:color w:val="auto"/>
                      <w:szCs w:val="21"/>
                    </w:rPr>
                    <w:t>空间相对位置/m</w:t>
                  </w:r>
                </w:p>
              </w:tc>
              <w:tc>
                <w:tcPr>
                  <w:tcW w:w="708" w:type="pct"/>
                  <w:gridSpan w:val="4"/>
                  <w:vAlign w:val="center"/>
                </w:tcPr>
                <w:p w14:paraId="699010B1">
                  <w:pPr>
                    <w:jc w:val="center"/>
                    <w:rPr>
                      <w:rFonts w:eastAsiaTheme="minorEastAsia"/>
                      <w:b/>
                      <w:color w:val="auto"/>
                      <w:szCs w:val="21"/>
                    </w:rPr>
                  </w:pPr>
                  <w:r>
                    <w:rPr>
                      <w:rFonts w:eastAsiaTheme="minorEastAsia"/>
                      <w:b/>
                      <w:color w:val="auto"/>
                      <w:szCs w:val="21"/>
                    </w:rPr>
                    <w:t>距室内边界距离/m</w:t>
                  </w:r>
                </w:p>
              </w:tc>
              <w:tc>
                <w:tcPr>
                  <w:tcW w:w="700" w:type="pct"/>
                  <w:gridSpan w:val="4"/>
                  <w:vAlign w:val="center"/>
                </w:tcPr>
                <w:p w14:paraId="56DD529B">
                  <w:pPr>
                    <w:jc w:val="center"/>
                    <w:rPr>
                      <w:rFonts w:eastAsiaTheme="minorEastAsia"/>
                      <w:b/>
                      <w:color w:val="auto"/>
                      <w:szCs w:val="21"/>
                    </w:rPr>
                  </w:pPr>
                  <w:r>
                    <w:rPr>
                      <w:rFonts w:eastAsiaTheme="minorEastAsia"/>
                      <w:b/>
                      <w:color w:val="auto"/>
                      <w:szCs w:val="21"/>
                    </w:rPr>
                    <w:t>室内边界声级/dB(A)</w:t>
                  </w:r>
                </w:p>
              </w:tc>
              <w:tc>
                <w:tcPr>
                  <w:tcW w:w="149" w:type="pct"/>
                  <w:vMerge w:val="restart"/>
                  <w:vAlign w:val="center"/>
                </w:tcPr>
                <w:p w14:paraId="03B6EB44">
                  <w:pPr>
                    <w:jc w:val="center"/>
                    <w:rPr>
                      <w:rFonts w:eastAsiaTheme="minorEastAsia"/>
                      <w:color w:val="auto"/>
                      <w:szCs w:val="21"/>
                    </w:rPr>
                  </w:pPr>
                  <w:r>
                    <w:rPr>
                      <w:rFonts w:eastAsiaTheme="minorEastAsia"/>
                      <w:b/>
                      <w:color w:val="auto"/>
                      <w:szCs w:val="21"/>
                    </w:rPr>
                    <w:t>运行时段</w:t>
                  </w:r>
                </w:p>
              </w:tc>
              <w:tc>
                <w:tcPr>
                  <w:tcW w:w="678" w:type="pct"/>
                  <w:gridSpan w:val="4"/>
                  <w:vAlign w:val="center"/>
                </w:tcPr>
                <w:p w14:paraId="1B6C32D9">
                  <w:pPr>
                    <w:jc w:val="center"/>
                    <w:rPr>
                      <w:rFonts w:eastAsiaTheme="minorEastAsia"/>
                      <w:b/>
                      <w:color w:val="auto"/>
                      <w:szCs w:val="21"/>
                    </w:rPr>
                  </w:pPr>
                  <w:r>
                    <w:rPr>
                      <w:rFonts w:eastAsiaTheme="minorEastAsia"/>
                      <w:b/>
                      <w:color w:val="auto"/>
                      <w:szCs w:val="21"/>
                    </w:rPr>
                    <w:t>建筑物插入损失 / dB(A)</w:t>
                  </w:r>
                  <w:bookmarkStart w:id="5" w:name="PT_10"/>
                  <w:bookmarkEnd w:id="5"/>
                </w:p>
              </w:tc>
              <w:tc>
                <w:tcPr>
                  <w:tcW w:w="995" w:type="pct"/>
                  <w:gridSpan w:val="5"/>
                  <w:vAlign w:val="center"/>
                </w:tcPr>
                <w:p w14:paraId="20E76994">
                  <w:pPr>
                    <w:jc w:val="center"/>
                    <w:rPr>
                      <w:rFonts w:eastAsiaTheme="minorEastAsia"/>
                      <w:b/>
                      <w:color w:val="auto"/>
                      <w:szCs w:val="21"/>
                    </w:rPr>
                  </w:pPr>
                  <w:r>
                    <w:rPr>
                      <w:rFonts w:eastAsiaTheme="minorEastAsia"/>
                      <w:b/>
                      <w:color w:val="auto"/>
                      <w:szCs w:val="21"/>
                    </w:rPr>
                    <w:t>建筑物外噪声声压级/dB(A)</w:t>
                  </w:r>
                </w:p>
              </w:tc>
            </w:tr>
            <w:tr w14:paraId="3EB3A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vMerge w:val="continue"/>
                  <w:shd w:val="clear" w:color="auto" w:fill="FFFFFF"/>
                  <w:tcMar>
                    <w:top w:w="0" w:type="dxa"/>
                    <w:left w:w="0" w:type="dxa"/>
                    <w:bottom w:w="0" w:type="dxa"/>
                    <w:right w:w="0" w:type="dxa"/>
                  </w:tcMar>
                  <w:vAlign w:val="center"/>
                </w:tcPr>
                <w:p w14:paraId="2BB42F4C">
                  <w:pPr>
                    <w:jc w:val="center"/>
                    <w:rPr>
                      <w:rFonts w:eastAsiaTheme="minorEastAsia"/>
                      <w:color w:val="auto"/>
                      <w:szCs w:val="21"/>
                    </w:rPr>
                  </w:pPr>
                </w:p>
              </w:tc>
              <w:tc>
                <w:tcPr>
                  <w:tcW w:w="179" w:type="pct"/>
                  <w:vMerge w:val="continue"/>
                  <w:shd w:val="clear" w:color="auto" w:fill="FFFFFF"/>
                  <w:tcMar>
                    <w:top w:w="0" w:type="dxa"/>
                    <w:left w:w="0" w:type="dxa"/>
                    <w:bottom w:w="0" w:type="dxa"/>
                    <w:right w:w="0" w:type="dxa"/>
                  </w:tcMar>
                  <w:vAlign w:val="center"/>
                </w:tcPr>
                <w:p w14:paraId="3A8742D0">
                  <w:pPr>
                    <w:jc w:val="center"/>
                    <w:rPr>
                      <w:rFonts w:eastAsiaTheme="minorEastAsia"/>
                      <w:color w:val="auto"/>
                      <w:szCs w:val="21"/>
                    </w:rPr>
                  </w:pPr>
                </w:p>
              </w:tc>
              <w:tc>
                <w:tcPr>
                  <w:tcW w:w="222" w:type="pct"/>
                  <w:vMerge w:val="continue"/>
                  <w:shd w:val="clear" w:color="auto" w:fill="FFFFFF"/>
                  <w:tcMar>
                    <w:top w:w="0" w:type="dxa"/>
                    <w:left w:w="0" w:type="dxa"/>
                    <w:bottom w:w="0" w:type="dxa"/>
                    <w:right w:w="0" w:type="dxa"/>
                  </w:tcMar>
                  <w:vAlign w:val="center"/>
                </w:tcPr>
                <w:p w14:paraId="721AF4FC">
                  <w:pPr>
                    <w:jc w:val="center"/>
                    <w:rPr>
                      <w:rFonts w:eastAsiaTheme="minorEastAsia"/>
                      <w:color w:val="auto"/>
                      <w:szCs w:val="21"/>
                    </w:rPr>
                  </w:pPr>
                </w:p>
              </w:tc>
              <w:tc>
                <w:tcPr>
                  <w:tcW w:w="136" w:type="pct"/>
                  <w:vMerge w:val="continue"/>
                  <w:shd w:val="clear" w:color="auto" w:fill="FFFFFF"/>
                  <w:tcMar>
                    <w:top w:w="0" w:type="dxa"/>
                    <w:left w:w="0" w:type="dxa"/>
                    <w:bottom w:w="0" w:type="dxa"/>
                    <w:right w:w="0" w:type="dxa"/>
                  </w:tcMar>
                  <w:vAlign w:val="center"/>
                </w:tcPr>
                <w:p w14:paraId="0F355612">
                  <w:pPr>
                    <w:jc w:val="center"/>
                    <w:rPr>
                      <w:rFonts w:eastAsiaTheme="minorEastAsia"/>
                      <w:color w:val="auto"/>
                      <w:szCs w:val="21"/>
                    </w:rPr>
                  </w:pPr>
                </w:p>
              </w:tc>
              <w:tc>
                <w:tcPr>
                  <w:tcW w:w="253" w:type="pct"/>
                  <w:shd w:val="clear" w:color="auto" w:fill="FFFFFF"/>
                  <w:tcMar>
                    <w:top w:w="0" w:type="dxa"/>
                    <w:left w:w="0" w:type="dxa"/>
                    <w:bottom w:w="0" w:type="dxa"/>
                    <w:right w:w="0" w:type="dxa"/>
                  </w:tcMar>
                  <w:vAlign w:val="center"/>
                </w:tcPr>
                <w:p w14:paraId="0C33A105">
                  <w:pPr>
                    <w:jc w:val="center"/>
                    <w:rPr>
                      <w:rFonts w:eastAsiaTheme="minorEastAsia"/>
                      <w:b/>
                      <w:bCs/>
                      <w:color w:val="auto"/>
                      <w:szCs w:val="21"/>
                    </w:rPr>
                  </w:pPr>
                  <w:r>
                    <w:rPr>
                      <w:rFonts w:eastAsiaTheme="minorEastAsia"/>
                      <w:b/>
                      <w:bCs/>
                      <w:color w:val="auto"/>
                      <w:szCs w:val="21"/>
                    </w:rPr>
                    <w:t>声功率级/dB(A)</w:t>
                  </w:r>
                </w:p>
              </w:tc>
              <w:tc>
                <w:tcPr>
                  <w:tcW w:w="187" w:type="pct"/>
                  <w:vMerge w:val="continue"/>
                  <w:shd w:val="clear" w:color="auto" w:fill="FFFFFF"/>
                  <w:tcMar>
                    <w:top w:w="0" w:type="dxa"/>
                    <w:left w:w="0" w:type="dxa"/>
                    <w:bottom w:w="0" w:type="dxa"/>
                    <w:right w:w="0" w:type="dxa"/>
                  </w:tcMar>
                  <w:vAlign w:val="center"/>
                </w:tcPr>
                <w:p w14:paraId="33B5044D">
                  <w:pPr>
                    <w:jc w:val="center"/>
                    <w:rPr>
                      <w:rFonts w:eastAsiaTheme="minorEastAsia"/>
                      <w:b/>
                      <w:bCs/>
                      <w:color w:val="auto"/>
                      <w:szCs w:val="21"/>
                    </w:rPr>
                  </w:pPr>
                </w:p>
              </w:tc>
              <w:tc>
                <w:tcPr>
                  <w:tcW w:w="209" w:type="pct"/>
                  <w:shd w:val="clear" w:color="auto" w:fill="FFFFFF"/>
                  <w:tcMar>
                    <w:top w:w="0" w:type="dxa"/>
                    <w:left w:w="0" w:type="dxa"/>
                    <w:bottom w:w="0" w:type="dxa"/>
                    <w:right w:w="0" w:type="dxa"/>
                  </w:tcMar>
                  <w:vAlign w:val="center"/>
                </w:tcPr>
                <w:p w14:paraId="4272BC63">
                  <w:pPr>
                    <w:jc w:val="center"/>
                    <w:rPr>
                      <w:rFonts w:eastAsiaTheme="minorEastAsia"/>
                      <w:b/>
                      <w:bCs/>
                      <w:color w:val="auto"/>
                      <w:szCs w:val="21"/>
                    </w:rPr>
                  </w:pPr>
                  <w:r>
                    <w:rPr>
                      <w:rFonts w:eastAsiaTheme="minorEastAsia"/>
                      <w:b/>
                      <w:bCs/>
                      <w:color w:val="auto"/>
                      <w:szCs w:val="21"/>
                    </w:rPr>
                    <w:t>X</w:t>
                  </w:r>
                </w:p>
              </w:tc>
              <w:tc>
                <w:tcPr>
                  <w:tcW w:w="209" w:type="pct"/>
                  <w:shd w:val="clear" w:color="auto" w:fill="FFFFFF"/>
                  <w:tcMar>
                    <w:top w:w="0" w:type="dxa"/>
                    <w:left w:w="0" w:type="dxa"/>
                    <w:bottom w:w="0" w:type="dxa"/>
                    <w:right w:w="0" w:type="dxa"/>
                  </w:tcMar>
                  <w:vAlign w:val="center"/>
                </w:tcPr>
                <w:p w14:paraId="46B20791">
                  <w:pPr>
                    <w:jc w:val="center"/>
                    <w:rPr>
                      <w:rFonts w:eastAsiaTheme="minorEastAsia"/>
                      <w:b/>
                      <w:bCs/>
                      <w:color w:val="auto"/>
                      <w:szCs w:val="21"/>
                    </w:rPr>
                  </w:pPr>
                  <w:r>
                    <w:rPr>
                      <w:rFonts w:eastAsiaTheme="minorEastAsia"/>
                      <w:b/>
                      <w:bCs/>
                      <w:color w:val="auto"/>
                      <w:szCs w:val="21"/>
                    </w:rPr>
                    <w:t>Y</w:t>
                  </w:r>
                </w:p>
              </w:tc>
              <w:tc>
                <w:tcPr>
                  <w:tcW w:w="219" w:type="pct"/>
                  <w:shd w:val="clear" w:color="auto" w:fill="FFFFFF"/>
                  <w:tcMar>
                    <w:top w:w="0" w:type="dxa"/>
                    <w:left w:w="0" w:type="dxa"/>
                    <w:bottom w:w="0" w:type="dxa"/>
                    <w:right w:w="0" w:type="dxa"/>
                  </w:tcMar>
                  <w:vAlign w:val="center"/>
                </w:tcPr>
                <w:p w14:paraId="36D92B34">
                  <w:pPr>
                    <w:jc w:val="center"/>
                    <w:rPr>
                      <w:rFonts w:eastAsiaTheme="minorEastAsia"/>
                      <w:b/>
                      <w:bCs/>
                      <w:color w:val="auto"/>
                      <w:szCs w:val="21"/>
                    </w:rPr>
                  </w:pPr>
                  <w:r>
                    <w:rPr>
                      <w:rFonts w:eastAsiaTheme="minorEastAsia"/>
                      <w:b/>
                      <w:bCs/>
                      <w:color w:val="auto"/>
                      <w:szCs w:val="21"/>
                    </w:rPr>
                    <w:t>Z</w:t>
                  </w:r>
                </w:p>
              </w:tc>
              <w:tc>
                <w:tcPr>
                  <w:tcW w:w="173" w:type="pct"/>
                  <w:shd w:val="clear" w:color="auto" w:fill="FFFFFF"/>
                  <w:tcMar>
                    <w:top w:w="0" w:type="dxa"/>
                    <w:left w:w="0" w:type="dxa"/>
                    <w:bottom w:w="0" w:type="dxa"/>
                    <w:right w:w="0" w:type="dxa"/>
                  </w:tcMar>
                  <w:vAlign w:val="center"/>
                </w:tcPr>
                <w:p w14:paraId="445B4873">
                  <w:pPr>
                    <w:jc w:val="center"/>
                    <w:rPr>
                      <w:rFonts w:eastAsiaTheme="minorEastAsia"/>
                      <w:b/>
                      <w:bCs/>
                      <w:color w:val="auto"/>
                      <w:szCs w:val="21"/>
                    </w:rPr>
                  </w:pPr>
                  <w:r>
                    <w:rPr>
                      <w:rFonts w:eastAsiaTheme="minorEastAsia"/>
                      <w:b/>
                      <w:bCs/>
                      <w:color w:val="auto"/>
                      <w:szCs w:val="21"/>
                    </w:rPr>
                    <w:t>东</w:t>
                  </w:r>
                </w:p>
              </w:tc>
              <w:tc>
                <w:tcPr>
                  <w:tcW w:w="173" w:type="pct"/>
                  <w:shd w:val="clear" w:color="auto" w:fill="FFFFFF"/>
                  <w:tcMar>
                    <w:top w:w="0" w:type="dxa"/>
                    <w:left w:w="0" w:type="dxa"/>
                    <w:bottom w:w="0" w:type="dxa"/>
                    <w:right w:w="0" w:type="dxa"/>
                  </w:tcMar>
                  <w:vAlign w:val="center"/>
                </w:tcPr>
                <w:p w14:paraId="7CF74674">
                  <w:pPr>
                    <w:jc w:val="center"/>
                    <w:rPr>
                      <w:rFonts w:eastAsiaTheme="minorEastAsia"/>
                      <w:b/>
                      <w:bCs/>
                      <w:color w:val="auto"/>
                      <w:szCs w:val="21"/>
                    </w:rPr>
                  </w:pPr>
                  <w:r>
                    <w:rPr>
                      <w:rFonts w:eastAsiaTheme="minorEastAsia"/>
                      <w:b/>
                      <w:bCs/>
                      <w:color w:val="auto"/>
                      <w:szCs w:val="21"/>
                    </w:rPr>
                    <w:t>南</w:t>
                  </w:r>
                </w:p>
              </w:tc>
              <w:tc>
                <w:tcPr>
                  <w:tcW w:w="176" w:type="pct"/>
                  <w:shd w:val="clear" w:color="auto" w:fill="FFFFFF"/>
                  <w:tcMar>
                    <w:top w:w="0" w:type="dxa"/>
                    <w:left w:w="0" w:type="dxa"/>
                    <w:bottom w:w="0" w:type="dxa"/>
                    <w:right w:w="0" w:type="dxa"/>
                  </w:tcMar>
                  <w:vAlign w:val="center"/>
                </w:tcPr>
                <w:p w14:paraId="3556D8D0">
                  <w:pPr>
                    <w:jc w:val="center"/>
                    <w:rPr>
                      <w:rFonts w:eastAsiaTheme="minorEastAsia"/>
                      <w:b/>
                      <w:bCs/>
                      <w:color w:val="auto"/>
                      <w:szCs w:val="21"/>
                    </w:rPr>
                  </w:pPr>
                  <w:r>
                    <w:rPr>
                      <w:rFonts w:eastAsiaTheme="minorEastAsia"/>
                      <w:b/>
                      <w:bCs/>
                      <w:color w:val="auto"/>
                      <w:szCs w:val="21"/>
                    </w:rPr>
                    <w:t>西</w:t>
                  </w:r>
                </w:p>
              </w:tc>
              <w:tc>
                <w:tcPr>
                  <w:tcW w:w="184" w:type="pct"/>
                  <w:shd w:val="clear" w:color="auto" w:fill="FFFFFF"/>
                  <w:tcMar>
                    <w:top w:w="0" w:type="dxa"/>
                    <w:left w:w="0" w:type="dxa"/>
                    <w:bottom w:w="0" w:type="dxa"/>
                    <w:right w:w="0" w:type="dxa"/>
                  </w:tcMar>
                  <w:vAlign w:val="center"/>
                </w:tcPr>
                <w:p w14:paraId="5FC86306">
                  <w:pPr>
                    <w:jc w:val="center"/>
                    <w:rPr>
                      <w:rFonts w:eastAsiaTheme="minorEastAsia"/>
                      <w:b/>
                      <w:bCs/>
                      <w:color w:val="auto"/>
                      <w:szCs w:val="21"/>
                    </w:rPr>
                  </w:pPr>
                  <w:r>
                    <w:rPr>
                      <w:rFonts w:eastAsiaTheme="minorEastAsia"/>
                      <w:b/>
                      <w:bCs/>
                      <w:color w:val="auto"/>
                      <w:szCs w:val="21"/>
                    </w:rPr>
                    <w:t>北</w:t>
                  </w:r>
                </w:p>
              </w:tc>
              <w:tc>
                <w:tcPr>
                  <w:tcW w:w="172" w:type="pct"/>
                  <w:shd w:val="clear" w:color="auto" w:fill="FFFFFF"/>
                  <w:tcMar>
                    <w:top w:w="0" w:type="dxa"/>
                    <w:left w:w="0" w:type="dxa"/>
                    <w:bottom w:w="0" w:type="dxa"/>
                    <w:right w:w="0" w:type="dxa"/>
                  </w:tcMar>
                  <w:vAlign w:val="center"/>
                </w:tcPr>
                <w:p w14:paraId="258BD79D">
                  <w:pPr>
                    <w:jc w:val="center"/>
                    <w:rPr>
                      <w:rFonts w:eastAsiaTheme="minorEastAsia"/>
                      <w:b/>
                      <w:bCs/>
                      <w:color w:val="auto"/>
                      <w:szCs w:val="21"/>
                    </w:rPr>
                  </w:pPr>
                  <w:r>
                    <w:rPr>
                      <w:rFonts w:eastAsiaTheme="minorEastAsia"/>
                      <w:b/>
                      <w:bCs/>
                      <w:color w:val="auto"/>
                      <w:szCs w:val="21"/>
                    </w:rPr>
                    <w:t>东</w:t>
                  </w:r>
                </w:p>
              </w:tc>
              <w:tc>
                <w:tcPr>
                  <w:tcW w:w="172" w:type="pct"/>
                  <w:shd w:val="clear" w:color="auto" w:fill="FFFFFF"/>
                  <w:tcMar>
                    <w:top w:w="0" w:type="dxa"/>
                    <w:left w:w="0" w:type="dxa"/>
                    <w:bottom w:w="0" w:type="dxa"/>
                    <w:right w:w="0" w:type="dxa"/>
                  </w:tcMar>
                  <w:vAlign w:val="center"/>
                </w:tcPr>
                <w:p w14:paraId="00DB743C">
                  <w:pPr>
                    <w:jc w:val="center"/>
                    <w:rPr>
                      <w:rFonts w:eastAsiaTheme="minorEastAsia"/>
                      <w:b/>
                      <w:bCs/>
                      <w:color w:val="auto"/>
                      <w:szCs w:val="21"/>
                    </w:rPr>
                  </w:pPr>
                  <w:r>
                    <w:rPr>
                      <w:rFonts w:eastAsiaTheme="minorEastAsia"/>
                      <w:b/>
                      <w:bCs/>
                      <w:color w:val="auto"/>
                      <w:szCs w:val="21"/>
                    </w:rPr>
                    <w:t>南</w:t>
                  </w:r>
                </w:p>
              </w:tc>
              <w:tc>
                <w:tcPr>
                  <w:tcW w:w="172" w:type="pct"/>
                  <w:shd w:val="clear" w:color="auto" w:fill="FFFFFF"/>
                  <w:tcMar>
                    <w:top w:w="0" w:type="dxa"/>
                    <w:left w:w="0" w:type="dxa"/>
                    <w:bottom w:w="0" w:type="dxa"/>
                    <w:right w:w="0" w:type="dxa"/>
                  </w:tcMar>
                  <w:vAlign w:val="center"/>
                </w:tcPr>
                <w:p w14:paraId="7E06DF3C">
                  <w:pPr>
                    <w:jc w:val="center"/>
                    <w:rPr>
                      <w:rFonts w:eastAsiaTheme="minorEastAsia"/>
                      <w:b/>
                      <w:bCs/>
                      <w:color w:val="auto"/>
                      <w:szCs w:val="21"/>
                    </w:rPr>
                  </w:pPr>
                  <w:r>
                    <w:rPr>
                      <w:rFonts w:eastAsiaTheme="minorEastAsia"/>
                      <w:b/>
                      <w:bCs/>
                      <w:color w:val="auto"/>
                      <w:szCs w:val="21"/>
                    </w:rPr>
                    <w:t>西</w:t>
                  </w:r>
                </w:p>
              </w:tc>
              <w:tc>
                <w:tcPr>
                  <w:tcW w:w="181" w:type="pct"/>
                  <w:shd w:val="clear" w:color="auto" w:fill="FFFFFF"/>
                  <w:tcMar>
                    <w:top w:w="0" w:type="dxa"/>
                    <w:left w:w="0" w:type="dxa"/>
                    <w:bottom w:w="0" w:type="dxa"/>
                    <w:right w:w="0" w:type="dxa"/>
                  </w:tcMar>
                  <w:vAlign w:val="center"/>
                </w:tcPr>
                <w:p w14:paraId="68AEFEE6">
                  <w:pPr>
                    <w:jc w:val="center"/>
                    <w:rPr>
                      <w:rFonts w:eastAsiaTheme="minorEastAsia"/>
                      <w:b/>
                      <w:bCs/>
                      <w:color w:val="auto"/>
                      <w:szCs w:val="21"/>
                    </w:rPr>
                  </w:pPr>
                  <w:r>
                    <w:rPr>
                      <w:rFonts w:eastAsiaTheme="minorEastAsia"/>
                      <w:b/>
                      <w:bCs/>
                      <w:color w:val="auto"/>
                      <w:szCs w:val="21"/>
                    </w:rPr>
                    <w:t>北</w:t>
                  </w:r>
                </w:p>
              </w:tc>
              <w:tc>
                <w:tcPr>
                  <w:tcW w:w="149" w:type="pct"/>
                  <w:vMerge w:val="continue"/>
                  <w:shd w:val="clear" w:color="auto" w:fill="FFFFFF"/>
                  <w:tcMar>
                    <w:top w:w="0" w:type="dxa"/>
                    <w:left w:w="0" w:type="dxa"/>
                    <w:bottom w:w="0" w:type="dxa"/>
                    <w:right w:w="0" w:type="dxa"/>
                  </w:tcMar>
                  <w:vAlign w:val="center"/>
                </w:tcPr>
                <w:p w14:paraId="1C75BDE9">
                  <w:pPr>
                    <w:jc w:val="center"/>
                    <w:rPr>
                      <w:rFonts w:eastAsiaTheme="minorEastAsia"/>
                      <w:b/>
                      <w:bCs/>
                      <w:color w:val="auto"/>
                      <w:szCs w:val="21"/>
                    </w:rPr>
                  </w:pPr>
                </w:p>
              </w:tc>
              <w:tc>
                <w:tcPr>
                  <w:tcW w:w="166" w:type="pct"/>
                  <w:shd w:val="clear" w:color="auto" w:fill="FFFFFF"/>
                  <w:tcMar>
                    <w:top w:w="0" w:type="dxa"/>
                    <w:left w:w="0" w:type="dxa"/>
                    <w:bottom w:w="0" w:type="dxa"/>
                    <w:right w:w="0" w:type="dxa"/>
                  </w:tcMar>
                  <w:vAlign w:val="center"/>
                </w:tcPr>
                <w:p w14:paraId="6C034CE3">
                  <w:pPr>
                    <w:jc w:val="center"/>
                    <w:rPr>
                      <w:rFonts w:eastAsiaTheme="minorEastAsia"/>
                      <w:b/>
                      <w:bCs/>
                      <w:color w:val="auto"/>
                      <w:szCs w:val="21"/>
                    </w:rPr>
                  </w:pPr>
                  <w:r>
                    <w:rPr>
                      <w:rFonts w:eastAsiaTheme="minorEastAsia"/>
                      <w:b/>
                      <w:bCs/>
                      <w:color w:val="auto"/>
                      <w:szCs w:val="21"/>
                    </w:rPr>
                    <w:t>东</w:t>
                  </w:r>
                </w:p>
              </w:tc>
              <w:tc>
                <w:tcPr>
                  <w:tcW w:w="166" w:type="pct"/>
                  <w:shd w:val="clear" w:color="auto" w:fill="FFFFFF"/>
                  <w:tcMar>
                    <w:top w:w="0" w:type="dxa"/>
                    <w:left w:w="0" w:type="dxa"/>
                    <w:bottom w:w="0" w:type="dxa"/>
                    <w:right w:w="0" w:type="dxa"/>
                  </w:tcMar>
                  <w:vAlign w:val="center"/>
                </w:tcPr>
                <w:p w14:paraId="55A997F9">
                  <w:pPr>
                    <w:jc w:val="center"/>
                    <w:rPr>
                      <w:rFonts w:eastAsiaTheme="minorEastAsia"/>
                      <w:b/>
                      <w:bCs/>
                      <w:color w:val="auto"/>
                      <w:szCs w:val="21"/>
                    </w:rPr>
                  </w:pPr>
                  <w:r>
                    <w:rPr>
                      <w:rFonts w:eastAsiaTheme="minorEastAsia"/>
                      <w:b/>
                      <w:bCs/>
                      <w:color w:val="auto"/>
                      <w:szCs w:val="21"/>
                    </w:rPr>
                    <w:t>南</w:t>
                  </w:r>
                </w:p>
              </w:tc>
              <w:tc>
                <w:tcPr>
                  <w:tcW w:w="166" w:type="pct"/>
                  <w:shd w:val="clear" w:color="auto" w:fill="FFFFFF"/>
                  <w:tcMar>
                    <w:top w:w="0" w:type="dxa"/>
                    <w:left w:w="0" w:type="dxa"/>
                    <w:bottom w:w="0" w:type="dxa"/>
                    <w:right w:w="0" w:type="dxa"/>
                  </w:tcMar>
                  <w:vAlign w:val="center"/>
                </w:tcPr>
                <w:p w14:paraId="663820DE">
                  <w:pPr>
                    <w:jc w:val="center"/>
                    <w:rPr>
                      <w:rFonts w:eastAsiaTheme="minorEastAsia"/>
                      <w:b/>
                      <w:bCs/>
                      <w:color w:val="auto"/>
                      <w:szCs w:val="21"/>
                    </w:rPr>
                  </w:pPr>
                  <w:r>
                    <w:rPr>
                      <w:rFonts w:eastAsiaTheme="minorEastAsia"/>
                      <w:b/>
                      <w:bCs/>
                      <w:color w:val="auto"/>
                      <w:szCs w:val="21"/>
                    </w:rPr>
                    <w:t>西</w:t>
                  </w:r>
                </w:p>
              </w:tc>
              <w:tc>
                <w:tcPr>
                  <w:tcW w:w="178" w:type="pct"/>
                  <w:shd w:val="clear" w:color="auto" w:fill="FFFFFF"/>
                  <w:tcMar>
                    <w:top w:w="0" w:type="dxa"/>
                    <w:left w:w="0" w:type="dxa"/>
                    <w:bottom w:w="0" w:type="dxa"/>
                    <w:right w:w="0" w:type="dxa"/>
                  </w:tcMar>
                  <w:vAlign w:val="center"/>
                </w:tcPr>
                <w:p w14:paraId="1251D6B1">
                  <w:pPr>
                    <w:jc w:val="center"/>
                    <w:rPr>
                      <w:rFonts w:eastAsiaTheme="minorEastAsia"/>
                      <w:b/>
                      <w:bCs/>
                      <w:color w:val="auto"/>
                      <w:szCs w:val="21"/>
                    </w:rPr>
                  </w:pPr>
                  <w:r>
                    <w:rPr>
                      <w:rFonts w:eastAsiaTheme="minorEastAsia"/>
                      <w:b/>
                      <w:bCs/>
                      <w:color w:val="auto"/>
                      <w:szCs w:val="21"/>
                    </w:rPr>
                    <w:t>北</w:t>
                  </w:r>
                </w:p>
              </w:tc>
              <w:tc>
                <w:tcPr>
                  <w:tcW w:w="179" w:type="pct"/>
                  <w:shd w:val="clear" w:color="auto" w:fill="FFFFFF"/>
                  <w:tcMar>
                    <w:top w:w="0" w:type="dxa"/>
                    <w:left w:w="0" w:type="dxa"/>
                    <w:bottom w:w="0" w:type="dxa"/>
                    <w:right w:w="0" w:type="dxa"/>
                  </w:tcMar>
                  <w:vAlign w:val="center"/>
                </w:tcPr>
                <w:p w14:paraId="68A6094F">
                  <w:pPr>
                    <w:jc w:val="center"/>
                    <w:rPr>
                      <w:rFonts w:eastAsiaTheme="minorEastAsia"/>
                      <w:b/>
                      <w:bCs/>
                      <w:color w:val="auto"/>
                      <w:szCs w:val="21"/>
                    </w:rPr>
                  </w:pPr>
                  <w:r>
                    <w:rPr>
                      <w:rFonts w:eastAsiaTheme="minorEastAsia"/>
                      <w:b/>
                      <w:bCs/>
                      <w:color w:val="auto"/>
                      <w:szCs w:val="21"/>
                    </w:rPr>
                    <w:t>东</w:t>
                  </w:r>
                </w:p>
              </w:tc>
              <w:tc>
                <w:tcPr>
                  <w:tcW w:w="179" w:type="pct"/>
                  <w:shd w:val="clear" w:color="auto" w:fill="FFFFFF"/>
                  <w:tcMar>
                    <w:top w:w="0" w:type="dxa"/>
                    <w:left w:w="0" w:type="dxa"/>
                    <w:bottom w:w="0" w:type="dxa"/>
                    <w:right w:w="0" w:type="dxa"/>
                  </w:tcMar>
                  <w:vAlign w:val="center"/>
                </w:tcPr>
                <w:p w14:paraId="44C000B4">
                  <w:pPr>
                    <w:jc w:val="center"/>
                    <w:rPr>
                      <w:rFonts w:eastAsiaTheme="minorEastAsia"/>
                      <w:b/>
                      <w:bCs/>
                      <w:color w:val="auto"/>
                      <w:szCs w:val="21"/>
                    </w:rPr>
                  </w:pPr>
                  <w:r>
                    <w:rPr>
                      <w:rFonts w:eastAsiaTheme="minorEastAsia"/>
                      <w:b/>
                      <w:bCs/>
                      <w:color w:val="auto"/>
                      <w:szCs w:val="21"/>
                    </w:rPr>
                    <w:t>南</w:t>
                  </w:r>
                </w:p>
              </w:tc>
              <w:tc>
                <w:tcPr>
                  <w:tcW w:w="179" w:type="pct"/>
                  <w:shd w:val="clear" w:color="auto" w:fill="FFFFFF"/>
                  <w:tcMar>
                    <w:top w:w="0" w:type="dxa"/>
                    <w:left w:w="0" w:type="dxa"/>
                    <w:bottom w:w="0" w:type="dxa"/>
                    <w:right w:w="0" w:type="dxa"/>
                  </w:tcMar>
                  <w:vAlign w:val="center"/>
                </w:tcPr>
                <w:p w14:paraId="14E7CD8A">
                  <w:pPr>
                    <w:jc w:val="center"/>
                    <w:rPr>
                      <w:rFonts w:eastAsiaTheme="minorEastAsia"/>
                      <w:b/>
                      <w:bCs/>
                      <w:color w:val="auto"/>
                      <w:szCs w:val="21"/>
                    </w:rPr>
                  </w:pPr>
                  <w:r>
                    <w:rPr>
                      <w:rFonts w:eastAsiaTheme="minorEastAsia"/>
                      <w:b/>
                      <w:bCs/>
                      <w:color w:val="auto"/>
                      <w:szCs w:val="21"/>
                    </w:rPr>
                    <w:t>西</w:t>
                  </w:r>
                </w:p>
              </w:tc>
              <w:tc>
                <w:tcPr>
                  <w:tcW w:w="179" w:type="pct"/>
                  <w:shd w:val="clear" w:color="auto" w:fill="FFFFFF"/>
                  <w:tcMar>
                    <w:top w:w="0" w:type="dxa"/>
                    <w:left w:w="0" w:type="dxa"/>
                    <w:bottom w:w="0" w:type="dxa"/>
                    <w:right w:w="0" w:type="dxa"/>
                  </w:tcMar>
                  <w:vAlign w:val="center"/>
                </w:tcPr>
                <w:p w14:paraId="1BC4D9F0">
                  <w:pPr>
                    <w:jc w:val="center"/>
                    <w:rPr>
                      <w:rFonts w:eastAsiaTheme="minorEastAsia"/>
                      <w:b/>
                      <w:bCs/>
                      <w:color w:val="auto"/>
                      <w:szCs w:val="21"/>
                    </w:rPr>
                  </w:pPr>
                  <w:r>
                    <w:rPr>
                      <w:rFonts w:eastAsiaTheme="minorEastAsia"/>
                      <w:b/>
                      <w:bCs/>
                      <w:color w:val="auto"/>
                      <w:szCs w:val="21"/>
                    </w:rPr>
                    <w:t>北</w:t>
                  </w:r>
                </w:p>
              </w:tc>
              <w:tc>
                <w:tcPr>
                  <w:tcW w:w="279" w:type="pct"/>
                  <w:shd w:val="clear" w:color="auto" w:fill="FFFFFF"/>
                  <w:tcMar>
                    <w:top w:w="0" w:type="dxa"/>
                    <w:left w:w="0" w:type="dxa"/>
                    <w:bottom w:w="0" w:type="dxa"/>
                    <w:right w:w="0" w:type="dxa"/>
                  </w:tcMar>
                  <w:vAlign w:val="center"/>
                </w:tcPr>
                <w:p w14:paraId="69E98581">
                  <w:pPr>
                    <w:jc w:val="center"/>
                    <w:rPr>
                      <w:rFonts w:eastAsiaTheme="minorEastAsia"/>
                      <w:b/>
                      <w:bCs/>
                      <w:color w:val="auto"/>
                      <w:szCs w:val="21"/>
                    </w:rPr>
                  </w:pPr>
                  <w:r>
                    <w:rPr>
                      <w:rFonts w:eastAsiaTheme="minorEastAsia"/>
                      <w:b/>
                      <w:bCs/>
                      <w:color w:val="auto"/>
                      <w:szCs w:val="21"/>
                    </w:rPr>
                    <w:t>建筑物外距离m</w:t>
                  </w:r>
                </w:p>
              </w:tc>
            </w:tr>
            <w:tr w14:paraId="1691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0CB48ED3">
                  <w:pPr>
                    <w:jc w:val="center"/>
                    <w:rPr>
                      <w:color w:val="auto"/>
                      <w:szCs w:val="21"/>
                    </w:rPr>
                  </w:pPr>
                  <w:r>
                    <w:rPr>
                      <w:rFonts w:eastAsia="Arial"/>
                      <w:color w:val="auto"/>
                      <w:szCs w:val="21"/>
                    </w:rPr>
                    <w:t>1</w:t>
                  </w:r>
                </w:p>
              </w:tc>
              <w:tc>
                <w:tcPr>
                  <w:tcW w:w="179" w:type="pct"/>
                  <w:vMerge w:val="restart"/>
                  <w:shd w:val="clear" w:color="auto" w:fill="FFFFFF"/>
                  <w:tcMar>
                    <w:top w:w="0" w:type="dxa"/>
                    <w:left w:w="0" w:type="dxa"/>
                    <w:bottom w:w="0" w:type="dxa"/>
                    <w:right w:w="0" w:type="dxa"/>
                  </w:tcMar>
                  <w:vAlign w:val="center"/>
                </w:tcPr>
                <w:p w14:paraId="05D7F9BD">
                  <w:pPr>
                    <w:jc w:val="center"/>
                    <w:rPr>
                      <w:color w:val="auto"/>
                      <w:szCs w:val="21"/>
                    </w:rPr>
                  </w:pPr>
                  <w:r>
                    <w:rPr>
                      <w:rFonts w:eastAsia="Arial"/>
                      <w:color w:val="auto"/>
                      <w:szCs w:val="21"/>
                    </w:rPr>
                    <w:t>源意-四楼声屏障</w:t>
                  </w:r>
                </w:p>
              </w:tc>
              <w:tc>
                <w:tcPr>
                  <w:tcW w:w="222" w:type="pct"/>
                  <w:shd w:val="clear" w:color="auto" w:fill="FFFFFF"/>
                  <w:tcMar>
                    <w:top w:w="0" w:type="dxa"/>
                    <w:left w:w="0" w:type="dxa"/>
                    <w:bottom w:w="0" w:type="dxa"/>
                    <w:right w:w="0" w:type="dxa"/>
                  </w:tcMar>
                  <w:vAlign w:val="center"/>
                </w:tcPr>
                <w:p w14:paraId="49948D45">
                  <w:pPr>
                    <w:jc w:val="center"/>
                    <w:rPr>
                      <w:color w:val="auto"/>
                      <w:szCs w:val="21"/>
                    </w:rPr>
                  </w:pPr>
                  <w:r>
                    <w:rPr>
                      <w:rFonts w:eastAsia="Arial"/>
                      <w:color w:val="auto"/>
                      <w:szCs w:val="21"/>
                    </w:rPr>
                    <w:t>喷粉线</w:t>
                  </w:r>
                </w:p>
              </w:tc>
              <w:tc>
                <w:tcPr>
                  <w:tcW w:w="136" w:type="pct"/>
                  <w:shd w:val="clear" w:color="auto" w:fill="FFFFFF"/>
                  <w:tcMar>
                    <w:top w:w="0" w:type="dxa"/>
                    <w:left w:w="0" w:type="dxa"/>
                    <w:bottom w:w="0" w:type="dxa"/>
                    <w:right w:w="0" w:type="dxa"/>
                  </w:tcMar>
                  <w:vAlign w:val="center"/>
                </w:tcPr>
                <w:p w14:paraId="62FC6017">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06FF2BE6">
                  <w:pPr>
                    <w:jc w:val="center"/>
                    <w:rPr>
                      <w:color w:val="auto"/>
                      <w:szCs w:val="21"/>
                    </w:rPr>
                  </w:pPr>
                  <w:r>
                    <w:rPr>
                      <w:rFonts w:eastAsia="Arial"/>
                      <w:color w:val="auto"/>
                      <w:szCs w:val="21"/>
                    </w:rPr>
                    <w:t>70</w:t>
                  </w:r>
                </w:p>
              </w:tc>
              <w:tc>
                <w:tcPr>
                  <w:tcW w:w="187" w:type="pct"/>
                  <w:vMerge w:val="restart"/>
                  <w:shd w:val="clear" w:color="auto" w:fill="FFFFFF"/>
                  <w:tcMar>
                    <w:top w:w="0" w:type="dxa"/>
                    <w:left w:w="0" w:type="dxa"/>
                    <w:bottom w:w="0" w:type="dxa"/>
                    <w:right w:w="0" w:type="dxa"/>
                  </w:tcMar>
                  <w:vAlign w:val="center"/>
                </w:tcPr>
                <w:p w14:paraId="0643CC5B">
                  <w:pPr>
                    <w:jc w:val="center"/>
                    <w:rPr>
                      <w:color w:val="auto"/>
                      <w:szCs w:val="21"/>
                    </w:rPr>
                  </w:pPr>
                  <w:r>
                    <w:rPr>
                      <w:color w:val="auto"/>
                      <w:szCs w:val="21"/>
                    </w:rPr>
                    <w:t>设备减震、隔声屏障</w:t>
                  </w:r>
                </w:p>
              </w:tc>
              <w:tc>
                <w:tcPr>
                  <w:tcW w:w="655" w:type="dxa"/>
                  <w:shd w:val="clear" w:color="auto" w:fill="FFFFFF"/>
                  <w:tcMar>
                    <w:top w:w="0" w:type="dxa"/>
                    <w:left w:w="0" w:type="dxa"/>
                    <w:bottom w:w="0" w:type="dxa"/>
                    <w:right w:w="0" w:type="dxa"/>
                  </w:tcMar>
                  <w:vAlign w:val="center"/>
                </w:tcPr>
                <w:p w14:paraId="72038291">
                  <w:pPr>
                    <w:jc w:val="center"/>
                    <w:rPr>
                      <w:color w:val="auto"/>
                      <w:szCs w:val="21"/>
                    </w:rPr>
                  </w:pPr>
                  <w:r>
                    <w:rPr>
                      <w:rFonts w:eastAsia="Arial"/>
                      <w:color w:val="auto"/>
                      <w:sz w:val="20"/>
                    </w:rPr>
                    <w:t>-34.8</w:t>
                  </w:r>
                </w:p>
              </w:tc>
              <w:tc>
                <w:tcPr>
                  <w:tcW w:w="655" w:type="dxa"/>
                  <w:shd w:val="clear" w:color="auto" w:fill="FFFFFF"/>
                  <w:tcMar>
                    <w:top w:w="0" w:type="dxa"/>
                    <w:left w:w="0" w:type="dxa"/>
                    <w:bottom w:w="0" w:type="dxa"/>
                    <w:right w:w="0" w:type="dxa"/>
                  </w:tcMar>
                  <w:vAlign w:val="center"/>
                </w:tcPr>
                <w:p w14:paraId="0BB4E7C5">
                  <w:pPr>
                    <w:jc w:val="center"/>
                    <w:rPr>
                      <w:color w:val="auto"/>
                      <w:szCs w:val="21"/>
                    </w:rPr>
                  </w:pPr>
                  <w:r>
                    <w:rPr>
                      <w:rFonts w:eastAsia="Arial"/>
                      <w:color w:val="auto"/>
                      <w:sz w:val="20"/>
                    </w:rPr>
                    <w:t>-39.8</w:t>
                  </w:r>
                </w:p>
              </w:tc>
              <w:tc>
                <w:tcPr>
                  <w:tcW w:w="693" w:type="dxa"/>
                  <w:shd w:val="clear" w:color="auto" w:fill="FFFFFF"/>
                  <w:tcMar>
                    <w:top w:w="0" w:type="dxa"/>
                    <w:left w:w="0" w:type="dxa"/>
                    <w:bottom w:w="0" w:type="dxa"/>
                    <w:right w:w="0" w:type="dxa"/>
                  </w:tcMar>
                  <w:vAlign w:val="center"/>
                </w:tcPr>
                <w:p w14:paraId="362C240B">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566F8BAB">
                  <w:pPr>
                    <w:jc w:val="center"/>
                    <w:rPr>
                      <w:color w:val="auto"/>
                      <w:szCs w:val="21"/>
                    </w:rPr>
                  </w:pPr>
                  <w:r>
                    <w:rPr>
                      <w:rFonts w:eastAsia="Arial"/>
                      <w:color w:val="auto"/>
                      <w:sz w:val="20"/>
                    </w:rPr>
                    <w:t>35.8</w:t>
                  </w:r>
                </w:p>
              </w:tc>
              <w:tc>
                <w:tcPr>
                  <w:tcW w:w="542" w:type="dxa"/>
                  <w:shd w:val="clear" w:color="auto" w:fill="FFFFFF"/>
                  <w:tcMar>
                    <w:top w:w="0" w:type="dxa"/>
                    <w:left w:w="0" w:type="dxa"/>
                    <w:bottom w:w="0" w:type="dxa"/>
                    <w:right w:w="0" w:type="dxa"/>
                  </w:tcMar>
                  <w:vAlign w:val="center"/>
                </w:tcPr>
                <w:p w14:paraId="104DF884">
                  <w:pPr>
                    <w:jc w:val="center"/>
                    <w:rPr>
                      <w:color w:val="auto"/>
                      <w:szCs w:val="21"/>
                    </w:rPr>
                  </w:pPr>
                  <w:r>
                    <w:rPr>
                      <w:rFonts w:eastAsia="Arial"/>
                      <w:color w:val="auto"/>
                      <w:sz w:val="20"/>
                    </w:rPr>
                    <w:t>14.6</w:t>
                  </w:r>
                </w:p>
              </w:tc>
              <w:tc>
                <w:tcPr>
                  <w:tcW w:w="552" w:type="dxa"/>
                  <w:shd w:val="clear" w:color="auto" w:fill="FFFFFF"/>
                  <w:tcMar>
                    <w:top w:w="0" w:type="dxa"/>
                    <w:left w:w="0" w:type="dxa"/>
                    <w:bottom w:w="0" w:type="dxa"/>
                    <w:right w:w="0" w:type="dxa"/>
                  </w:tcMar>
                  <w:vAlign w:val="center"/>
                </w:tcPr>
                <w:p w14:paraId="1A4387D1">
                  <w:pPr>
                    <w:jc w:val="center"/>
                    <w:rPr>
                      <w:color w:val="auto"/>
                      <w:szCs w:val="21"/>
                    </w:rPr>
                  </w:pPr>
                  <w:r>
                    <w:rPr>
                      <w:rFonts w:eastAsia="Arial"/>
                      <w:color w:val="auto"/>
                      <w:sz w:val="20"/>
                    </w:rPr>
                    <w:t>6.3</w:t>
                  </w:r>
                </w:p>
              </w:tc>
              <w:tc>
                <w:tcPr>
                  <w:tcW w:w="583" w:type="dxa"/>
                  <w:shd w:val="clear" w:color="auto" w:fill="FFFFFF"/>
                  <w:tcMar>
                    <w:top w:w="0" w:type="dxa"/>
                    <w:left w:w="0" w:type="dxa"/>
                    <w:bottom w:w="0" w:type="dxa"/>
                    <w:right w:w="0" w:type="dxa"/>
                  </w:tcMar>
                  <w:vAlign w:val="center"/>
                </w:tcPr>
                <w:p w14:paraId="2BBE28AE">
                  <w:pPr>
                    <w:jc w:val="center"/>
                    <w:rPr>
                      <w:color w:val="auto"/>
                      <w:szCs w:val="21"/>
                    </w:rPr>
                  </w:pPr>
                  <w:r>
                    <w:rPr>
                      <w:rFonts w:eastAsia="Arial"/>
                      <w:color w:val="auto"/>
                      <w:sz w:val="20"/>
                    </w:rPr>
                    <w:t>113.7</w:t>
                  </w:r>
                </w:p>
              </w:tc>
              <w:tc>
                <w:tcPr>
                  <w:tcW w:w="539" w:type="dxa"/>
                  <w:shd w:val="clear" w:color="auto" w:fill="FFFFFF"/>
                  <w:tcMar>
                    <w:top w:w="0" w:type="dxa"/>
                    <w:left w:w="0" w:type="dxa"/>
                    <w:bottom w:w="0" w:type="dxa"/>
                    <w:right w:w="0" w:type="dxa"/>
                  </w:tcMar>
                  <w:vAlign w:val="center"/>
                </w:tcPr>
                <w:p w14:paraId="392B6730">
                  <w:pPr>
                    <w:jc w:val="center"/>
                    <w:rPr>
                      <w:color w:val="auto"/>
                      <w:szCs w:val="21"/>
                    </w:rPr>
                  </w:pPr>
                  <w:r>
                    <w:rPr>
                      <w:rFonts w:eastAsia="Arial"/>
                      <w:color w:val="auto"/>
                      <w:sz w:val="20"/>
                    </w:rPr>
                    <w:t>49.3</w:t>
                  </w:r>
                </w:p>
              </w:tc>
              <w:tc>
                <w:tcPr>
                  <w:tcW w:w="539" w:type="dxa"/>
                  <w:shd w:val="clear" w:color="auto" w:fill="FFFFFF"/>
                  <w:tcMar>
                    <w:top w:w="0" w:type="dxa"/>
                    <w:left w:w="0" w:type="dxa"/>
                    <w:bottom w:w="0" w:type="dxa"/>
                    <w:right w:w="0" w:type="dxa"/>
                  </w:tcMar>
                  <w:vAlign w:val="center"/>
                </w:tcPr>
                <w:p w14:paraId="51227D52">
                  <w:pPr>
                    <w:jc w:val="center"/>
                    <w:rPr>
                      <w:color w:val="auto"/>
                      <w:szCs w:val="21"/>
                    </w:rPr>
                  </w:pPr>
                  <w:r>
                    <w:rPr>
                      <w:rFonts w:eastAsia="Arial"/>
                      <w:color w:val="auto"/>
                      <w:sz w:val="20"/>
                    </w:rPr>
                    <w:t>49.5</w:t>
                  </w:r>
                </w:p>
              </w:tc>
              <w:tc>
                <w:tcPr>
                  <w:tcW w:w="539" w:type="dxa"/>
                  <w:shd w:val="clear" w:color="auto" w:fill="FFFFFF"/>
                  <w:tcMar>
                    <w:top w:w="0" w:type="dxa"/>
                    <w:left w:w="0" w:type="dxa"/>
                    <w:bottom w:w="0" w:type="dxa"/>
                    <w:right w:w="0" w:type="dxa"/>
                  </w:tcMar>
                  <w:vAlign w:val="center"/>
                </w:tcPr>
                <w:p w14:paraId="332E874F">
                  <w:pPr>
                    <w:jc w:val="center"/>
                    <w:rPr>
                      <w:color w:val="auto"/>
                      <w:szCs w:val="21"/>
                    </w:rPr>
                  </w:pPr>
                  <w:r>
                    <w:rPr>
                      <w:rFonts w:eastAsia="Arial"/>
                      <w:color w:val="auto"/>
                      <w:sz w:val="20"/>
                    </w:rPr>
                    <w:t>50.2</w:t>
                  </w:r>
                </w:p>
              </w:tc>
              <w:tc>
                <w:tcPr>
                  <w:tcW w:w="577" w:type="dxa"/>
                  <w:shd w:val="clear" w:color="auto" w:fill="FFFFFF"/>
                  <w:tcMar>
                    <w:top w:w="0" w:type="dxa"/>
                    <w:left w:w="0" w:type="dxa"/>
                    <w:bottom w:w="0" w:type="dxa"/>
                    <w:right w:w="0" w:type="dxa"/>
                  </w:tcMar>
                  <w:vAlign w:val="center"/>
                </w:tcPr>
                <w:p w14:paraId="1B09B758">
                  <w:pPr>
                    <w:jc w:val="center"/>
                    <w:rPr>
                      <w:color w:val="auto"/>
                      <w:szCs w:val="21"/>
                    </w:rPr>
                  </w:pPr>
                  <w:r>
                    <w:rPr>
                      <w:rFonts w:eastAsia="Arial"/>
                      <w:color w:val="auto"/>
                      <w:sz w:val="20"/>
                    </w:rPr>
                    <w:t>49.3</w:t>
                  </w:r>
                </w:p>
              </w:tc>
              <w:tc>
                <w:tcPr>
                  <w:tcW w:w="149" w:type="pct"/>
                  <w:vMerge w:val="restart"/>
                  <w:shd w:val="clear" w:color="auto" w:fill="FFFFFF"/>
                  <w:tcMar>
                    <w:top w:w="0" w:type="dxa"/>
                    <w:left w:w="0" w:type="dxa"/>
                    <w:bottom w:w="0" w:type="dxa"/>
                    <w:right w:w="0" w:type="dxa"/>
                  </w:tcMar>
                  <w:vAlign w:val="center"/>
                </w:tcPr>
                <w:p w14:paraId="5ECB760C">
                  <w:pPr>
                    <w:jc w:val="center"/>
                    <w:rPr>
                      <w:color w:val="auto"/>
                      <w:szCs w:val="21"/>
                    </w:rPr>
                  </w:pPr>
                  <w:r>
                    <w:rPr>
                      <w:color w:val="auto"/>
                      <w:szCs w:val="21"/>
                    </w:rPr>
                    <w:t>上班期间</w:t>
                  </w:r>
                </w:p>
              </w:tc>
              <w:tc>
                <w:tcPr>
                  <w:tcW w:w="520" w:type="dxa"/>
                  <w:shd w:val="clear" w:color="auto" w:fill="FFFFFF"/>
                  <w:tcMar>
                    <w:top w:w="0" w:type="dxa"/>
                    <w:left w:w="0" w:type="dxa"/>
                    <w:bottom w:w="0" w:type="dxa"/>
                    <w:right w:w="0" w:type="dxa"/>
                  </w:tcMar>
                  <w:vAlign w:val="center"/>
                </w:tcPr>
                <w:p w14:paraId="3E7C8459">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49EE29F1">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50CBD3B3">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36854901">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324E7013">
                  <w:pPr>
                    <w:jc w:val="center"/>
                    <w:rPr>
                      <w:color w:val="auto"/>
                      <w:szCs w:val="21"/>
                    </w:rPr>
                  </w:pPr>
                  <w:r>
                    <w:rPr>
                      <w:rFonts w:eastAsia="Arial"/>
                      <w:color w:val="auto"/>
                      <w:sz w:val="20"/>
                    </w:rPr>
                    <w:t>23.3</w:t>
                  </w:r>
                </w:p>
              </w:tc>
              <w:tc>
                <w:tcPr>
                  <w:tcW w:w="561" w:type="dxa"/>
                  <w:shd w:val="clear" w:color="auto" w:fill="FFFFFF"/>
                  <w:tcMar>
                    <w:top w:w="0" w:type="dxa"/>
                    <w:left w:w="0" w:type="dxa"/>
                    <w:bottom w:w="0" w:type="dxa"/>
                    <w:right w:w="0" w:type="dxa"/>
                  </w:tcMar>
                  <w:vAlign w:val="center"/>
                </w:tcPr>
                <w:p w14:paraId="062E5209">
                  <w:pPr>
                    <w:jc w:val="center"/>
                    <w:rPr>
                      <w:color w:val="auto"/>
                      <w:szCs w:val="21"/>
                    </w:rPr>
                  </w:pPr>
                  <w:r>
                    <w:rPr>
                      <w:rFonts w:eastAsia="Arial"/>
                      <w:color w:val="auto"/>
                      <w:sz w:val="20"/>
                    </w:rPr>
                    <w:t>23.5</w:t>
                  </w:r>
                </w:p>
              </w:tc>
              <w:tc>
                <w:tcPr>
                  <w:tcW w:w="561" w:type="dxa"/>
                  <w:shd w:val="clear" w:color="auto" w:fill="FFFFFF"/>
                  <w:tcMar>
                    <w:top w:w="0" w:type="dxa"/>
                    <w:left w:w="0" w:type="dxa"/>
                    <w:bottom w:w="0" w:type="dxa"/>
                    <w:right w:w="0" w:type="dxa"/>
                  </w:tcMar>
                  <w:vAlign w:val="center"/>
                </w:tcPr>
                <w:p w14:paraId="3A0DE189">
                  <w:pPr>
                    <w:jc w:val="center"/>
                    <w:rPr>
                      <w:color w:val="auto"/>
                      <w:szCs w:val="21"/>
                    </w:rPr>
                  </w:pPr>
                  <w:r>
                    <w:rPr>
                      <w:rFonts w:eastAsia="Arial"/>
                      <w:color w:val="auto"/>
                      <w:sz w:val="20"/>
                    </w:rPr>
                    <w:t>24.2</w:t>
                  </w:r>
                </w:p>
              </w:tc>
              <w:tc>
                <w:tcPr>
                  <w:tcW w:w="561" w:type="dxa"/>
                  <w:shd w:val="clear" w:color="auto" w:fill="FFFFFF"/>
                  <w:tcMar>
                    <w:top w:w="0" w:type="dxa"/>
                    <w:left w:w="0" w:type="dxa"/>
                    <w:bottom w:w="0" w:type="dxa"/>
                    <w:right w:w="0" w:type="dxa"/>
                  </w:tcMar>
                  <w:vAlign w:val="center"/>
                </w:tcPr>
                <w:p w14:paraId="41921C70">
                  <w:pPr>
                    <w:jc w:val="center"/>
                    <w:rPr>
                      <w:color w:val="auto"/>
                      <w:szCs w:val="21"/>
                    </w:rPr>
                  </w:pPr>
                  <w:r>
                    <w:rPr>
                      <w:rFonts w:eastAsia="Arial"/>
                      <w:color w:val="auto"/>
                      <w:sz w:val="20"/>
                    </w:rPr>
                    <w:t>23.3</w:t>
                  </w:r>
                </w:p>
              </w:tc>
              <w:tc>
                <w:tcPr>
                  <w:tcW w:w="279" w:type="pct"/>
                  <w:shd w:val="clear" w:color="auto" w:fill="FFFFFF"/>
                  <w:tcMar>
                    <w:top w:w="0" w:type="dxa"/>
                    <w:left w:w="0" w:type="dxa"/>
                    <w:bottom w:w="0" w:type="dxa"/>
                    <w:right w:w="0" w:type="dxa"/>
                  </w:tcMar>
                  <w:vAlign w:val="center"/>
                </w:tcPr>
                <w:p w14:paraId="1D59BC19">
                  <w:pPr>
                    <w:jc w:val="center"/>
                    <w:rPr>
                      <w:color w:val="auto"/>
                      <w:szCs w:val="21"/>
                    </w:rPr>
                  </w:pPr>
                  <w:r>
                    <w:rPr>
                      <w:rFonts w:eastAsia="Arial"/>
                      <w:color w:val="auto"/>
                      <w:szCs w:val="21"/>
                    </w:rPr>
                    <w:t>1</w:t>
                  </w:r>
                </w:p>
              </w:tc>
            </w:tr>
            <w:tr w14:paraId="023CE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70E09EC4">
                  <w:pPr>
                    <w:jc w:val="center"/>
                    <w:rPr>
                      <w:color w:val="auto"/>
                      <w:szCs w:val="21"/>
                    </w:rPr>
                  </w:pPr>
                  <w:r>
                    <w:rPr>
                      <w:rFonts w:eastAsia="Arial"/>
                      <w:color w:val="auto"/>
                      <w:szCs w:val="21"/>
                    </w:rPr>
                    <w:t>2</w:t>
                  </w:r>
                </w:p>
              </w:tc>
              <w:tc>
                <w:tcPr>
                  <w:tcW w:w="179" w:type="pct"/>
                  <w:vMerge w:val="continue"/>
                  <w:shd w:val="clear" w:color="auto" w:fill="FFFFFF"/>
                  <w:tcMar>
                    <w:top w:w="0" w:type="dxa"/>
                    <w:left w:w="0" w:type="dxa"/>
                    <w:bottom w:w="0" w:type="dxa"/>
                    <w:right w:w="0" w:type="dxa"/>
                  </w:tcMar>
                  <w:vAlign w:val="center"/>
                </w:tcPr>
                <w:p w14:paraId="7437AA5A">
                  <w:pPr>
                    <w:jc w:val="center"/>
                    <w:rPr>
                      <w:color w:val="auto"/>
                      <w:szCs w:val="21"/>
                    </w:rPr>
                  </w:pPr>
                </w:p>
              </w:tc>
              <w:tc>
                <w:tcPr>
                  <w:tcW w:w="222" w:type="pct"/>
                  <w:shd w:val="clear" w:color="auto" w:fill="FFFFFF"/>
                  <w:tcMar>
                    <w:top w:w="0" w:type="dxa"/>
                    <w:left w:w="0" w:type="dxa"/>
                    <w:bottom w:w="0" w:type="dxa"/>
                    <w:right w:w="0" w:type="dxa"/>
                  </w:tcMar>
                  <w:vAlign w:val="center"/>
                </w:tcPr>
                <w:p w14:paraId="168F474B">
                  <w:pPr>
                    <w:jc w:val="center"/>
                    <w:rPr>
                      <w:color w:val="auto"/>
                      <w:szCs w:val="21"/>
                    </w:rPr>
                  </w:pPr>
                  <w:r>
                    <w:rPr>
                      <w:rFonts w:eastAsia="Arial"/>
                      <w:color w:val="auto"/>
                      <w:szCs w:val="21"/>
                    </w:rPr>
                    <w:t>底漆、面漆喷涂线</w:t>
                  </w:r>
                </w:p>
              </w:tc>
              <w:tc>
                <w:tcPr>
                  <w:tcW w:w="136" w:type="pct"/>
                  <w:shd w:val="clear" w:color="auto" w:fill="FFFFFF"/>
                  <w:tcMar>
                    <w:top w:w="0" w:type="dxa"/>
                    <w:left w:w="0" w:type="dxa"/>
                    <w:bottom w:w="0" w:type="dxa"/>
                    <w:right w:w="0" w:type="dxa"/>
                  </w:tcMar>
                  <w:vAlign w:val="center"/>
                </w:tcPr>
                <w:p w14:paraId="11AEC0D2">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7827F115">
                  <w:pPr>
                    <w:jc w:val="center"/>
                    <w:rPr>
                      <w:color w:val="auto"/>
                      <w:szCs w:val="21"/>
                    </w:rPr>
                  </w:pPr>
                  <w:r>
                    <w:rPr>
                      <w:rFonts w:eastAsia="Arial"/>
                      <w:color w:val="auto"/>
                      <w:szCs w:val="21"/>
                    </w:rPr>
                    <w:t>70</w:t>
                  </w:r>
                </w:p>
              </w:tc>
              <w:tc>
                <w:tcPr>
                  <w:tcW w:w="187" w:type="pct"/>
                  <w:vMerge w:val="continue"/>
                  <w:shd w:val="clear" w:color="auto" w:fill="FFFFFF"/>
                  <w:tcMar>
                    <w:top w:w="0" w:type="dxa"/>
                    <w:left w:w="0" w:type="dxa"/>
                    <w:bottom w:w="0" w:type="dxa"/>
                    <w:right w:w="0" w:type="dxa"/>
                  </w:tcMar>
                  <w:vAlign w:val="center"/>
                </w:tcPr>
                <w:p w14:paraId="2F58A6B2">
                  <w:pPr>
                    <w:jc w:val="center"/>
                    <w:rPr>
                      <w:color w:val="auto"/>
                      <w:szCs w:val="21"/>
                    </w:rPr>
                  </w:pPr>
                </w:p>
              </w:tc>
              <w:tc>
                <w:tcPr>
                  <w:tcW w:w="655" w:type="dxa"/>
                  <w:shd w:val="clear" w:color="auto" w:fill="FFFFFF"/>
                  <w:tcMar>
                    <w:top w:w="0" w:type="dxa"/>
                    <w:left w:w="0" w:type="dxa"/>
                    <w:bottom w:w="0" w:type="dxa"/>
                    <w:right w:w="0" w:type="dxa"/>
                  </w:tcMar>
                  <w:vAlign w:val="center"/>
                </w:tcPr>
                <w:p w14:paraId="76FFBC13">
                  <w:pPr>
                    <w:jc w:val="center"/>
                    <w:rPr>
                      <w:color w:val="auto"/>
                      <w:szCs w:val="21"/>
                    </w:rPr>
                  </w:pPr>
                  <w:r>
                    <w:rPr>
                      <w:rFonts w:eastAsia="Arial"/>
                      <w:color w:val="auto"/>
                      <w:sz w:val="20"/>
                    </w:rPr>
                    <w:t>-19.8</w:t>
                  </w:r>
                </w:p>
              </w:tc>
              <w:tc>
                <w:tcPr>
                  <w:tcW w:w="655" w:type="dxa"/>
                  <w:shd w:val="clear" w:color="auto" w:fill="FFFFFF"/>
                  <w:tcMar>
                    <w:top w:w="0" w:type="dxa"/>
                    <w:left w:w="0" w:type="dxa"/>
                    <w:bottom w:w="0" w:type="dxa"/>
                    <w:right w:w="0" w:type="dxa"/>
                  </w:tcMar>
                  <w:vAlign w:val="center"/>
                </w:tcPr>
                <w:p w14:paraId="4BDF14B2">
                  <w:pPr>
                    <w:jc w:val="center"/>
                    <w:rPr>
                      <w:color w:val="auto"/>
                      <w:szCs w:val="21"/>
                    </w:rPr>
                  </w:pPr>
                  <w:r>
                    <w:rPr>
                      <w:rFonts w:eastAsia="Arial"/>
                      <w:color w:val="auto"/>
                      <w:sz w:val="20"/>
                    </w:rPr>
                    <w:t>-14.5</w:t>
                  </w:r>
                </w:p>
              </w:tc>
              <w:tc>
                <w:tcPr>
                  <w:tcW w:w="693" w:type="dxa"/>
                  <w:shd w:val="clear" w:color="auto" w:fill="FFFFFF"/>
                  <w:tcMar>
                    <w:top w:w="0" w:type="dxa"/>
                    <w:left w:w="0" w:type="dxa"/>
                    <w:bottom w:w="0" w:type="dxa"/>
                    <w:right w:w="0" w:type="dxa"/>
                  </w:tcMar>
                  <w:vAlign w:val="center"/>
                </w:tcPr>
                <w:p w14:paraId="4829CACD">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06560806">
                  <w:pPr>
                    <w:jc w:val="center"/>
                    <w:rPr>
                      <w:color w:val="auto"/>
                      <w:szCs w:val="21"/>
                    </w:rPr>
                  </w:pPr>
                  <w:r>
                    <w:rPr>
                      <w:rFonts w:eastAsia="Arial"/>
                      <w:color w:val="auto"/>
                      <w:sz w:val="20"/>
                    </w:rPr>
                    <w:t>33.5</w:t>
                  </w:r>
                </w:p>
              </w:tc>
              <w:tc>
                <w:tcPr>
                  <w:tcW w:w="542" w:type="dxa"/>
                  <w:shd w:val="clear" w:color="auto" w:fill="FFFFFF"/>
                  <w:tcMar>
                    <w:top w:w="0" w:type="dxa"/>
                    <w:left w:w="0" w:type="dxa"/>
                    <w:bottom w:w="0" w:type="dxa"/>
                    <w:right w:w="0" w:type="dxa"/>
                  </w:tcMar>
                  <w:vAlign w:val="center"/>
                </w:tcPr>
                <w:p w14:paraId="2D7E70B9">
                  <w:pPr>
                    <w:jc w:val="center"/>
                    <w:rPr>
                      <w:color w:val="auto"/>
                      <w:szCs w:val="21"/>
                    </w:rPr>
                  </w:pPr>
                  <w:r>
                    <w:rPr>
                      <w:rFonts w:eastAsia="Arial"/>
                      <w:color w:val="auto"/>
                      <w:sz w:val="20"/>
                    </w:rPr>
                    <w:t>43.9</w:t>
                  </w:r>
                </w:p>
              </w:tc>
              <w:tc>
                <w:tcPr>
                  <w:tcW w:w="552" w:type="dxa"/>
                  <w:shd w:val="clear" w:color="auto" w:fill="FFFFFF"/>
                  <w:tcMar>
                    <w:top w:w="0" w:type="dxa"/>
                    <w:left w:w="0" w:type="dxa"/>
                    <w:bottom w:w="0" w:type="dxa"/>
                    <w:right w:w="0" w:type="dxa"/>
                  </w:tcMar>
                  <w:vAlign w:val="center"/>
                </w:tcPr>
                <w:p w14:paraId="66B738EE">
                  <w:pPr>
                    <w:jc w:val="center"/>
                    <w:rPr>
                      <w:color w:val="auto"/>
                      <w:szCs w:val="21"/>
                    </w:rPr>
                  </w:pPr>
                  <w:r>
                    <w:rPr>
                      <w:rFonts w:eastAsia="Arial"/>
                      <w:color w:val="auto"/>
                      <w:sz w:val="20"/>
                    </w:rPr>
                    <w:t>9.9</w:t>
                  </w:r>
                </w:p>
              </w:tc>
              <w:tc>
                <w:tcPr>
                  <w:tcW w:w="583" w:type="dxa"/>
                  <w:shd w:val="clear" w:color="auto" w:fill="FFFFFF"/>
                  <w:tcMar>
                    <w:top w:w="0" w:type="dxa"/>
                    <w:left w:w="0" w:type="dxa"/>
                    <w:bottom w:w="0" w:type="dxa"/>
                    <w:right w:w="0" w:type="dxa"/>
                  </w:tcMar>
                  <w:vAlign w:val="center"/>
                </w:tcPr>
                <w:p w14:paraId="1E0FE67E">
                  <w:pPr>
                    <w:jc w:val="center"/>
                    <w:rPr>
                      <w:color w:val="auto"/>
                      <w:szCs w:val="21"/>
                    </w:rPr>
                  </w:pPr>
                  <w:r>
                    <w:rPr>
                      <w:rFonts w:eastAsia="Arial"/>
                      <w:color w:val="auto"/>
                      <w:sz w:val="20"/>
                    </w:rPr>
                    <w:t>84.6</w:t>
                  </w:r>
                </w:p>
              </w:tc>
              <w:tc>
                <w:tcPr>
                  <w:tcW w:w="539" w:type="dxa"/>
                  <w:shd w:val="clear" w:color="auto" w:fill="FFFFFF"/>
                  <w:tcMar>
                    <w:top w:w="0" w:type="dxa"/>
                    <w:left w:w="0" w:type="dxa"/>
                    <w:bottom w:w="0" w:type="dxa"/>
                    <w:right w:w="0" w:type="dxa"/>
                  </w:tcMar>
                  <w:vAlign w:val="center"/>
                </w:tcPr>
                <w:p w14:paraId="630A360E">
                  <w:pPr>
                    <w:jc w:val="center"/>
                    <w:rPr>
                      <w:color w:val="auto"/>
                      <w:szCs w:val="21"/>
                    </w:rPr>
                  </w:pPr>
                  <w:r>
                    <w:rPr>
                      <w:rFonts w:eastAsia="Arial"/>
                      <w:color w:val="auto"/>
                      <w:sz w:val="20"/>
                    </w:rPr>
                    <w:t>49.3</w:t>
                  </w:r>
                </w:p>
              </w:tc>
              <w:tc>
                <w:tcPr>
                  <w:tcW w:w="539" w:type="dxa"/>
                  <w:shd w:val="clear" w:color="auto" w:fill="FFFFFF"/>
                  <w:tcMar>
                    <w:top w:w="0" w:type="dxa"/>
                    <w:left w:w="0" w:type="dxa"/>
                    <w:bottom w:w="0" w:type="dxa"/>
                    <w:right w:w="0" w:type="dxa"/>
                  </w:tcMar>
                  <w:vAlign w:val="center"/>
                </w:tcPr>
                <w:p w14:paraId="19C89F77">
                  <w:pPr>
                    <w:jc w:val="center"/>
                    <w:rPr>
                      <w:color w:val="auto"/>
                      <w:szCs w:val="21"/>
                    </w:rPr>
                  </w:pPr>
                  <w:r>
                    <w:rPr>
                      <w:rFonts w:eastAsia="Arial"/>
                      <w:color w:val="auto"/>
                      <w:sz w:val="20"/>
                    </w:rPr>
                    <w:t>49.3</w:t>
                  </w:r>
                </w:p>
              </w:tc>
              <w:tc>
                <w:tcPr>
                  <w:tcW w:w="539" w:type="dxa"/>
                  <w:shd w:val="clear" w:color="auto" w:fill="FFFFFF"/>
                  <w:tcMar>
                    <w:top w:w="0" w:type="dxa"/>
                    <w:left w:w="0" w:type="dxa"/>
                    <w:bottom w:w="0" w:type="dxa"/>
                    <w:right w:w="0" w:type="dxa"/>
                  </w:tcMar>
                  <w:vAlign w:val="center"/>
                </w:tcPr>
                <w:p w14:paraId="409A4CAE">
                  <w:pPr>
                    <w:jc w:val="center"/>
                    <w:rPr>
                      <w:color w:val="auto"/>
                      <w:szCs w:val="21"/>
                    </w:rPr>
                  </w:pPr>
                  <w:r>
                    <w:rPr>
                      <w:rFonts w:eastAsia="Arial"/>
                      <w:color w:val="auto"/>
                      <w:sz w:val="20"/>
                    </w:rPr>
                    <w:t>49.7</w:t>
                  </w:r>
                </w:p>
              </w:tc>
              <w:tc>
                <w:tcPr>
                  <w:tcW w:w="577" w:type="dxa"/>
                  <w:shd w:val="clear" w:color="auto" w:fill="FFFFFF"/>
                  <w:tcMar>
                    <w:top w:w="0" w:type="dxa"/>
                    <w:left w:w="0" w:type="dxa"/>
                    <w:bottom w:w="0" w:type="dxa"/>
                    <w:right w:w="0" w:type="dxa"/>
                  </w:tcMar>
                  <w:vAlign w:val="center"/>
                </w:tcPr>
                <w:p w14:paraId="7A7C8EBE">
                  <w:pPr>
                    <w:jc w:val="center"/>
                    <w:rPr>
                      <w:color w:val="auto"/>
                      <w:szCs w:val="21"/>
                    </w:rPr>
                  </w:pPr>
                  <w:r>
                    <w:rPr>
                      <w:rFonts w:eastAsia="Arial"/>
                      <w:color w:val="auto"/>
                      <w:sz w:val="20"/>
                    </w:rPr>
                    <w:t>49.3</w:t>
                  </w:r>
                </w:p>
              </w:tc>
              <w:tc>
                <w:tcPr>
                  <w:tcW w:w="149" w:type="pct"/>
                  <w:vMerge w:val="continue"/>
                  <w:shd w:val="clear" w:color="auto" w:fill="FFFFFF"/>
                  <w:tcMar>
                    <w:top w:w="0" w:type="dxa"/>
                    <w:left w:w="0" w:type="dxa"/>
                    <w:bottom w:w="0" w:type="dxa"/>
                    <w:right w:w="0" w:type="dxa"/>
                  </w:tcMar>
                  <w:vAlign w:val="center"/>
                </w:tcPr>
                <w:p w14:paraId="177CFF92">
                  <w:pPr>
                    <w:jc w:val="center"/>
                    <w:rPr>
                      <w:color w:val="auto"/>
                      <w:szCs w:val="21"/>
                    </w:rPr>
                  </w:pPr>
                </w:p>
              </w:tc>
              <w:tc>
                <w:tcPr>
                  <w:tcW w:w="520" w:type="dxa"/>
                  <w:shd w:val="clear" w:color="auto" w:fill="FFFFFF"/>
                  <w:tcMar>
                    <w:top w:w="0" w:type="dxa"/>
                    <w:left w:w="0" w:type="dxa"/>
                    <w:bottom w:w="0" w:type="dxa"/>
                    <w:right w:w="0" w:type="dxa"/>
                  </w:tcMar>
                  <w:vAlign w:val="center"/>
                </w:tcPr>
                <w:p w14:paraId="316530EC">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1212A002">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6F913122">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3016DF56">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7882B4FD">
                  <w:pPr>
                    <w:jc w:val="center"/>
                    <w:rPr>
                      <w:color w:val="auto"/>
                      <w:szCs w:val="21"/>
                    </w:rPr>
                  </w:pPr>
                  <w:r>
                    <w:rPr>
                      <w:rFonts w:eastAsia="Arial"/>
                      <w:color w:val="auto"/>
                      <w:sz w:val="20"/>
                    </w:rPr>
                    <w:t>23.3</w:t>
                  </w:r>
                </w:p>
              </w:tc>
              <w:tc>
                <w:tcPr>
                  <w:tcW w:w="561" w:type="dxa"/>
                  <w:shd w:val="clear" w:color="auto" w:fill="FFFFFF"/>
                  <w:tcMar>
                    <w:top w:w="0" w:type="dxa"/>
                    <w:left w:w="0" w:type="dxa"/>
                    <w:bottom w:w="0" w:type="dxa"/>
                    <w:right w:w="0" w:type="dxa"/>
                  </w:tcMar>
                  <w:vAlign w:val="center"/>
                </w:tcPr>
                <w:p w14:paraId="49664A71">
                  <w:pPr>
                    <w:jc w:val="center"/>
                    <w:rPr>
                      <w:color w:val="auto"/>
                      <w:szCs w:val="21"/>
                    </w:rPr>
                  </w:pPr>
                  <w:r>
                    <w:rPr>
                      <w:rFonts w:eastAsia="Arial"/>
                      <w:color w:val="auto"/>
                      <w:sz w:val="20"/>
                    </w:rPr>
                    <w:t>23.3</w:t>
                  </w:r>
                </w:p>
              </w:tc>
              <w:tc>
                <w:tcPr>
                  <w:tcW w:w="561" w:type="dxa"/>
                  <w:shd w:val="clear" w:color="auto" w:fill="FFFFFF"/>
                  <w:tcMar>
                    <w:top w:w="0" w:type="dxa"/>
                    <w:left w:w="0" w:type="dxa"/>
                    <w:bottom w:w="0" w:type="dxa"/>
                    <w:right w:w="0" w:type="dxa"/>
                  </w:tcMar>
                  <w:vAlign w:val="center"/>
                </w:tcPr>
                <w:p w14:paraId="7442A6B1">
                  <w:pPr>
                    <w:jc w:val="center"/>
                    <w:rPr>
                      <w:color w:val="auto"/>
                      <w:szCs w:val="21"/>
                    </w:rPr>
                  </w:pPr>
                  <w:r>
                    <w:rPr>
                      <w:rFonts w:eastAsia="Arial"/>
                      <w:color w:val="auto"/>
                      <w:sz w:val="20"/>
                    </w:rPr>
                    <w:t>23.7</w:t>
                  </w:r>
                </w:p>
              </w:tc>
              <w:tc>
                <w:tcPr>
                  <w:tcW w:w="561" w:type="dxa"/>
                  <w:shd w:val="clear" w:color="auto" w:fill="FFFFFF"/>
                  <w:tcMar>
                    <w:top w:w="0" w:type="dxa"/>
                    <w:left w:w="0" w:type="dxa"/>
                    <w:bottom w:w="0" w:type="dxa"/>
                    <w:right w:w="0" w:type="dxa"/>
                  </w:tcMar>
                  <w:vAlign w:val="center"/>
                </w:tcPr>
                <w:p w14:paraId="3C01C5BE">
                  <w:pPr>
                    <w:jc w:val="center"/>
                    <w:rPr>
                      <w:color w:val="auto"/>
                      <w:szCs w:val="21"/>
                    </w:rPr>
                  </w:pPr>
                  <w:r>
                    <w:rPr>
                      <w:rFonts w:eastAsia="Arial"/>
                      <w:color w:val="auto"/>
                      <w:sz w:val="20"/>
                    </w:rPr>
                    <w:t>23.3</w:t>
                  </w:r>
                </w:p>
              </w:tc>
              <w:tc>
                <w:tcPr>
                  <w:tcW w:w="279" w:type="pct"/>
                  <w:shd w:val="clear" w:color="auto" w:fill="FFFFFF"/>
                  <w:tcMar>
                    <w:top w:w="0" w:type="dxa"/>
                    <w:left w:w="0" w:type="dxa"/>
                    <w:bottom w:w="0" w:type="dxa"/>
                    <w:right w:w="0" w:type="dxa"/>
                  </w:tcMar>
                  <w:vAlign w:val="center"/>
                </w:tcPr>
                <w:p w14:paraId="2B0BE42A">
                  <w:pPr>
                    <w:jc w:val="center"/>
                    <w:rPr>
                      <w:color w:val="auto"/>
                      <w:szCs w:val="21"/>
                    </w:rPr>
                  </w:pPr>
                  <w:r>
                    <w:rPr>
                      <w:rFonts w:eastAsia="Arial"/>
                      <w:color w:val="auto"/>
                      <w:szCs w:val="21"/>
                    </w:rPr>
                    <w:t>1</w:t>
                  </w:r>
                </w:p>
              </w:tc>
            </w:tr>
            <w:tr w14:paraId="42D64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756145F4">
                  <w:pPr>
                    <w:jc w:val="center"/>
                    <w:rPr>
                      <w:color w:val="auto"/>
                      <w:szCs w:val="21"/>
                    </w:rPr>
                  </w:pPr>
                  <w:r>
                    <w:rPr>
                      <w:rFonts w:eastAsia="Arial"/>
                      <w:color w:val="auto"/>
                      <w:szCs w:val="21"/>
                    </w:rPr>
                    <w:t>3</w:t>
                  </w:r>
                </w:p>
              </w:tc>
              <w:tc>
                <w:tcPr>
                  <w:tcW w:w="179" w:type="pct"/>
                  <w:vMerge w:val="continue"/>
                  <w:shd w:val="clear" w:color="auto" w:fill="FFFFFF"/>
                  <w:tcMar>
                    <w:top w:w="0" w:type="dxa"/>
                    <w:left w:w="0" w:type="dxa"/>
                    <w:bottom w:w="0" w:type="dxa"/>
                    <w:right w:w="0" w:type="dxa"/>
                  </w:tcMar>
                  <w:vAlign w:val="center"/>
                </w:tcPr>
                <w:p w14:paraId="2FC597BB">
                  <w:pPr>
                    <w:jc w:val="center"/>
                    <w:rPr>
                      <w:color w:val="auto"/>
                      <w:szCs w:val="21"/>
                    </w:rPr>
                  </w:pPr>
                </w:p>
              </w:tc>
              <w:tc>
                <w:tcPr>
                  <w:tcW w:w="222" w:type="pct"/>
                  <w:shd w:val="clear" w:color="auto" w:fill="FFFFFF"/>
                  <w:tcMar>
                    <w:top w:w="0" w:type="dxa"/>
                    <w:left w:w="0" w:type="dxa"/>
                    <w:bottom w:w="0" w:type="dxa"/>
                    <w:right w:w="0" w:type="dxa"/>
                  </w:tcMar>
                  <w:vAlign w:val="center"/>
                </w:tcPr>
                <w:p w14:paraId="4A5AB5AD">
                  <w:pPr>
                    <w:jc w:val="center"/>
                    <w:rPr>
                      <w:color w:val="auto"/>
                      <w:szCs w:val="21"/>
                    </w:rPr>
                  </w:pPr>
                  <w:r>
                    <w:rPr>
                      <w:rFonts w:eastAsia="Arial"/>
                      <w:color w:val="auto"/>
                      <w:szCs w:val="21"/>
                    </w:rPr>
                    <w:t>清漆喷涂线</w:t>
                  </w:r>
                </w:p>
              </w:tc>
              <w:tc>
                <w:tcPr>
                  <w:tcW w:w="136" w:type="pct"/>
                  <w:shd w:val="clear" w:color="auto" w:fill="FFFFFF"/>
                  <w:tcMar>
                    <w:top w:w="0" w:type="dxa"/>
                    <w:left w:w="0" w:type="dxa"/>
                    <w:bottom w:w="0" w:type="dxa"/>
                    <w:right w:w="0" w:type="dxa"/>
                  </w:tcMar>
                  <w:vAlign w:val="center"/>
                </w:tcPr>
                <w:p w14:paraId="14F89866">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1FFB3FC6">
                  <w:pPr>
                    <w:jc w:val="center"/>
                    <w:rPr>
                      <w:color w:val="auto"/>
                      <w:szCs w:val="21"/>
                    </w:rPr>
                  </w:pPr>
                  <w:r>
                    <w:rPr>
                      <w:rFonts w:eastAsia="Arial"/>
                      <w:color w:val="auto"/>
                      <w:szCs w:val="21"/>
                    </w:rPr>
                    <w:t>70</w:t>
                  </w:r>
                </w:p>
              </w:tc>
              <w:tc>
                <w:tcPr>
                  <w:tcW w:w="187" w:type="pct"/>
                  <w:vMerge w:val="continue"/>
                  <w:shd w:val="clear" w:color="auto" w:fill="FFFFFF"/>
                  <w:tcMar>
                    <w:top w:w="0" w:type="dxa"/>
                    <w:left w:w="0" w:type="dxa"/>
                    <w:bottom w:w="0" w:type="dxa"/>
                    <w:right w:w="0" w:type="dxa"/>
                  </w:tcMar>
                  <w:vAlign w:val="center"/>
                </w:tcPr>
                <w:p w14:paraId="04CA43AF">
                  <w:pPr>
                    <w:jc w:val="center"/>
                    <w:rPr>
                      <w:color w:val="auto"/>
                      <w:szCs w:val="21"/>
                    </w:rPr>
                  </w:pPr>
                </w:p>
              </w:tc>
              <w:tc>
                <w:tcPr>
                  <w:tcW w:w="655" w:type="dxa"/>
                  <w:shd w:val="clear" w:color="auto" w:fill="FFFFFF"/>
                  <w:tcMar>
                    <w:top w:w="0" w:type="dxa"/>
                    <w:left w:w="0" w:type="dxa"/>
                    <w:bottom w:w="0" w:type="dxa"/>
                    <w:right w:w="0" w:type="dxa"/>
                  </w:tcMar>
                  <w:vAlign w:val="center"/>
                </w:tcPr>
                <w:p w14:paraId="5E933F41">
                  <w:pPr>
                    <w:jc w:val="center"/>
                    <w:rPr>
                      <w:color w:val="auto"/>
                      <w:szCs w:val="21"/>
                    </w:rPr>
                  </w:pPr>
                  <w:r>
                    <w:rPr>
                      <w:rFonts w:eastAsia="Arial"/>
                      <w:color w:val="auto"/>
                      <w:sz w:val="20"/>
                    </w:rPr>
                    <w:t>-5.9</w:t>
                  </w:r>
                </w:p>
              </w:tc>
              <w:tc>
                <w:tcPr>
                  <w:tcW w:w="655" w:type="dxa"/>
                  <w:shd w:val="clear" w:color="auto" w:fill="FFFFFF"/>
                  <w:tcMar>
                    <w:top w:w="0" w:type="dxa"/>
                    <w:left w:w="0" w:type="dxa"/>
                    <w:bottom w:w="0" w:type="dxa"/>
                    <w:right w:w="0" w:type="dxa"/>
                  </w:tcMar>
                  <w:vAlign w:val="center"/>
                </w:tcPr>
                <w:p w14:paraId="51EE80AC">
                  <w:pPr>
                    <w:jc w:val="center"/>
                    <w:rPr>
                      <w:color w:val="auto"/>
                      <w:szCs w:val="21"/>
                    </w:rPr>
                  </w:pPr>
                  <w:r>
                    <w:rPr>
                      <w:rFonts w:eastAsia="Arial"/>
                      <w:color w:val="auto"/>
                      <w:sz w:val="20"/>
                    </w:rPr>
                    <w:t>10.3</w:t>
                  </w:r>
                </w:p>
              </w:tc>
              <w:tc>
                <w:tcPr>
                  <w:tcW w:w="693" w:type="dxa"/>
                  <w:shd w:val="clear" w:color="auto" w:fill="FFFFFF"/>
                  <w:tcMar>
                    <w:top w:w="0" w:type="dxa"/>
                    <w:left w:w="0" w:type="dxa"/>
                    <w:bottom w:w="0" w:type="dxa"/>
                    <w:right w:w="0" w:type="dxa"/>
                  </w:tcMar>
                  <w:vAlign w:val="center"/>
                </w:tcPr>
                <w:p w14:paraId="45CB1B14">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1BDAAAE1">
                  <w:pPr>
                    <w:jc w:val="center"/>
                    <w:rPr>
                      <w:color w:val="auto"/>
                      <w:szCs w:val="21"/>
                    </w:rPr>
                  </w:pPr>
                  <w:r>
                    <w:rPr>
                      <w:rFonts w:eastAsia="Arial"/>
                      <w:color w:val="auto"/>
                      <w:sz w:val="20"/>
                    </w:rPr>
                    <w:t>32.0</w:t>
                  </w:r>
                </w:p>
              </w:tc>
              <w:tc>
                <w:tcPr>
                  <w:tcW w:w="542" w:type="dxa"/>
                  <w:shd w:val="clear" w:color="auto" w:fill="FFFFFF"/>
                  <w:tcMar>
                    <w:top w:w="0" w:type="dxa"/>
                    <w:left w:w="0" w:type="dxa"/>
                    <w:bottom w:w="0" w:type="dxa"/>
                    <w:right w:w="0" w:type="dxa"/>
                  </w:tcMar>
                  <w:vAlign w:val="center"/>
                </w:tcPr>
                <w:p w14:paraId="2EDA40B2">
                  <w:pPr>
                    <w:jc w:val="center"/>
                    <w:rPr>
                      <w:color w:val="auto"/>
                      <w:szCs w:val="21"/>
                    </w:rPr>
                  </w:pPr>
                  <w:r>
                    <w:rPr>
                      <w:rFonts w:eastAsia="Arial"/>
                      <w:color w:val="auto"/>
                      <w:sz w:val="20"/>
                    </w:rPr>
                    <w:t>72.3</w:t>
                  </w:r>
                </w:p>
              </w:tc>
              <w:tc>
                <w:tcPr>
                  <w:tcW w:w="552" w:type="dxa"/>
                  <w:shd w:val="clear" w:color="auto" w:fill="FFFFFF"/>
                  <w:tcMar>
                    <w:top w:w="0" w:type="dxa"/>
                    <w:left w:w="0" w:type="dxa"/>
                    <w:bottom w:w="0" w:type="dxa"/>
                    <w:right w:w="0" w:type="dxa"/>
                  </w:tcMar>
                  <w:vAlign w:val="center"/>
                </w:tcPr>
                <w:p w14:paraId="05F0C708">
                  <w:pPr>
                    <w:jc w:val="center"/>
                    <w:rPr>
                      <w:color w:val="auto"/>
                      <w:szCs w:val="21"/>
                    </w:rPr>
                  </w:pPr>
                  <w:r>
                    <w:rPr>
                      <w:rFonts w:eastAsia="Arial"/>
                      <w:color w:val="auto"/>
                      <w:sz w:val="20"/>
                    </w:rPr>
                    <w:t>12.6</w:t>
                  </w:r>
                </w:p>
              </w:tc>
              <w:tc>
                <w:tcPr>
                  <w:tcW w:w="583" w:type="dxa"/>
                  <w:shd w:val="clear" w:color="auto" w:fill="FFFFFF"/>
                  <w:tcMar>
                    <w:top w:w="0" w:type="dxa"/>
                    <w:left w:w="0" w:type="dxa"/>
                    <w:bottom w:w="0" w:type="dxa"/>
                    <w:right w:w="0" w:type="dxa"/>
                  </w:tcMar>
                  <w:vAlign w:val="center"/>
                </w:tcPr>
                <w:p w14:paraId="011033A2">
                  <w:pPr>
                    <w:jc w:val="center"/>
                    <w:rPr>
                      <w:color w:val="auto"/>
                      <w:szCs w:val="21"/>
                    </w:rPr>
                  </w:pPr>
                  <w:r>
                    <w:rPr>
                      <w:rFonts w:eastAsia="Arial"/>
                      <w:color w:val="auto"/>
                      <w:sz w:val="20"/>
                    </w:rPr>
                    <w:t>56.4</w:t>
                  </w:r>
                </w:p>
              </w:tc>
              <w:tc>
                <w:tcPr>
                  <w:tcW w:w="539" w:type="dxa"/>
                  <w:shd w:val="clear" w:color="auto" w:fill="FFFFFF"/>
                  <w:tcMar>
                    <w:top w:w="0" w:type="dxa"/>
                    <w:left w:w="0" w:type="dxa"/>
                    <w:bottom w:w="0" w:type="dxa"/>
                    <w:right w:w="0" w:type="dxa"/>
                  </w:tcMar>
                  <w:vAlign w:val="center"/>
                </w:tcPr>
                <w:p w14:paraId="65998A64">
                  <w:pPr>
                    <w:jc w:val="center"/>
                    <w:rPr>
                      <w:color w:val="auto"/>
                      <w:szCs w:val="21"/>
                    </w:rPr>
                  </w:pPr>
                  <w:r>
                    <w:rPr>
                      <w:rFonts w:eastAsia="Arial"/>
                      <w:color w:val="auto"/>
                      <w:sz w:val="20"/>
                    </w:rPr>
                    <w:t>49.3</w:t>
                  </w:r>
                </w:p>
              </w:tc>
              <w:tc>
                <w:tcPr>
                  <w:tcW w:w="539" w:type="dxa"/>
                  <w:shd w:val="clear" w:color="auto" w:fill="FFFFFF"/>
                  <w:tcMar>
                    <w:top w:w="0" w:type="dxa"/>
                    <w:left w:w="0" w:type="dxa"/>
                    <w:bottom w:w="0" w:type="dxa"/>
                    <w:right w:w="0" w:type="dxa"/>
                  </w:tcMar>
                  <w:vAlign w:val="center"/>
                </w:tcPr>
                <w:p w14:paraId="4E5F158A">
                  <w:pPr>
                    <w:jc w:val="center"/>
                    <w:rPr>
                      <w:color w:val="auto"/>
                      <w:szCs w:val="21"/>
                    </w:rPr>
                  </w:pPr>
                  <w:r>
                    <w:rPr>
                      <w:rFonts w:eastAsia="Arial"/>
                      <w:color w:val="auto"/>
                      <w:sz w:val="20"/>
                    </w:rPr>
                    <w:t>49.3</w:t>
                  </w:r>
                </w:p>
              </w:tc>
              <w:tc>
                <w:tcPr>
                  <w:tcW w:w="539" w:type="dxa"/>
                  <w:shd w:val="clear" w:color="auto" w:fill="FFFFFF"/>
                  <w:tcMar>
                    <w:top w:w="0" w:type="dxa"/>
                    <w:left w:w="0" w:type="dxa"/>
                    <w:bottom w:w="0" w:type="dxa"/>
                    <w:right w:w="0" w:type="dxa"/>
                  </w:tcMar>
                  <w:vAlign w:val="center"/>
                </w:tcPr>
                <w:p w14:paraId="30CA3410">
                  <w:pPr>
                    <w:jc w:val="center"/>
                    <w:rPr>
                      <w:color w:val="auto"/>
                      <w:szCs w:val="21"/>
                    </w:rPr>
                  </w:pPr>
                  <w:r>
                    <w:rPr>
                      <w:rFonts w:eastAsia="Arial"/>
                      <w:color w:val="auto"/>
                      <w:sz w:val="20"/>
                    </w:rPr>
                    <w:t>49.5</w:t>
                  </w:r>
                </w:p>
              </w:tc>
              <w:tc>
                <w:tcPr>
                  <w:tcW w:w="577" w:type="dxa"/>
                  <w:shd w:val="clear" w:color="auto" w:fill="FFFFFF"/>
                  <w:tcMar>
                    <w:top w:w="0" w:type="dxa"/>
                    <w:left w:w="0" w:type="dxa"/>
                    <w:bottom w:w="0" w:type="dxa"/>
                    <w:right w:w="0" w:type="dxa"/>
                  </w:tcMar>
                  <w:vAlign w:val="center"/>
                </w:tcPr>
                <w:p w14:paraId="583C16FD">
                  <w:pPr>
                    <w:jc w:val="center"/>
                    <w:rPr>
                      <w:color w:val="auto"/>
                      <w:szCs w:val="21"/>
                    </w:rPr>
                  </w:pPr>
                  <w:r>
                    <w:rPr>
                      <w:rFonts w:eastAsia="Arial"/>
                      <w:color w:val="auto"/>
                      <w:sz w:val="20"/>
                    </w:rPr>
                    <w:t>49.3</w:t>
                  </w:r>
                </w:p>
              </w:tc>
              <w:tc>
                <w:tcPr>
                  <w:tcW w:w="149" w:type="pct"/>
                  <w:vMerge w:val="continue"/>
                  <w:shd w:val="clear" w:color="auto" w:fill="FFFFFF"/>
                  <w:tcMar>
                    <w:top w:w="0" w:type="dxa"/>
                    <w:left w:w="0" w:type="dxa"/>
                    <w:bottom w:w="0" w:type="dxa"/>
                    <w:right w:w="0" w:type="dxa"/>
                  </w:tcMar>
                  <w:vAlign w:val="center"/>
                </w:tcPr>
                <w:p w14:paraId="144AC533">
                  <w:pPr>
                    <w:jc w:val="center"/>
                    <w:rPr>
                      <w:color w:val="auto"/>
                      <w:szCs w:val="21"/>
                    </w:rPr>
                  </w:pPr>
                </w:p>
              </w:tc>
              <w:tc>
                <w:tcPr>
                  <w:tcW w:w="520" w:type="dxa"/>
                  <w:shd w:val="clear" w:color="auto" w:fill="FFFFFF"/>
                  <w:tcMar>
                    <w:top w:w="0" w:type="dxa"/>
                    <w:left w:w="0" w:type="dxa"/>
                    <w:bottom w:w="0" w:type="dxa"/>
                    <w:right w:w="0" w:type="dxa"/>
                  </w:tcMar>
                  <w:vAlign w:val="center"/>
                </w:tcPr>
                <w:p w14:paraId="137BEE7A">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14787399">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6BF76DAD">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0E376F6D">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7FBA5986">
                  <w:pPr>
                    <w:jc w:val="center"/>
                    <w:rPr>
                      <w:color w:val="auto"/>
                      <w:szCs w:val="21"/>
                    </w:rPr>
                  </w:pPr>
                  <w:r>
                    <w:rPr>
                      <w:rFonts w:eastAsia="Arial"/>
                      <w:color w:val="auto"/>
                      <w:sz w:val="20"/>
                    </w:rPr>
                    <w:t>23.3</w:t>
                  </w:r>
                </w:p>
              </w:tc>
              <w:tc>
                <w:tcPr>
                  <w:tcW w:w="561" w:type="dxa"/>
                  <w:shd w:val="clear" w:color="auto" w:fill="FFFFFF"/>
                  <w:tcMar>
                    <w:top w:w="0" w:type="dxa"/>
                    <w:left w:w="0" w:type="dxa"/>
                    <w:bottom w:w="0" w:type="dxa"/>
                    <w:right w:w="0" w:type="dxa"/>
                  </w:tcMar>
                  <w:vAlign w:val="center"/>
                </w:tcPr>
                <w:p w14:paraId="2B095AF9">
                  <w:pPr>
                    <w:jc w:val="center"/>
                    <w:rPr>
                      <w:color w:val="auto"/>
                      <w:szCs w:val="21"/>
                    </w:rPr>
                  </w:pPr>
                  <w:r>
                    <w:rPr>
                      <w:rFonts w:eastAsia="Arial"/>
                      <w:color w:val="auto"/>
                      <w:sz w:val="20"/>
                    </w:rPr>
                    <w:t>23.3</w:t>
                  </w:r>
                </w:p>
              </w:tc>
              <w:tc>
                <w:tcPr>
                  <w:tcW w:w="561" w:type="dxa"/>
                  <w:shd w:val="clear" w:color="auto" w:fill="FFFFFF"/>
                  <w:tcMar>
                    <w:top w:w="0" w:type="dxa"/>
                    <w:left w:w="0" w:type="dxa"/>
                    <w:bottom w:w="0" w:type="dxa"/>
                    <w:right w:w="0" w:type="dxa"/>
                  </w:tcMar>
                  <w:vAlign w:val="center"/>
                </w:tcPr>
                <w:p w14:paraId="20F3CE83">
                  <w:pPr>
                    <w:jc w:val="center"/>
                    <w:rPr>
                      <w:color w:val="auto"/>
                      <w:szCs w:val="21"/>
                    </w:rPr>
                  </w:pPr>
                  <w:r>
                    <w:rPr>
                      <w:rFonts w:eastAsia="Arial"/>
                      <w:color w:val="auto"/>
                      <w:sz w:val="20"/>
                    </w:rPr>
                    <w:t>23.5</w:t>
                  </w:r>
                </w:p>
              </w:tc>
              <w:tc>
                <w:tcPr>
                  <w:tcW w:w="561" w:type="dxa"/>
                  <w:shd w:val="clear" w:color="auto" w:fill="FFFFFF"/>
                  <w:tcMar>
                    <w:top w:w="0" w:type="dxa"/>
                    <w:left w:w="0" w:type="dxa"/>
                    <w:bottom w:w="0" w:type="dxa"/>
                    <w:right w:w="0" w:type="dxa"/>
                  </w:tcMar>
                  <w:vAlign w:val="center"/>
                </w:tcPr>
                <w:p w14:paraId="44463914">
                  <w:pPr>
                    <w:jc w:val="center"/>
                    <w:rPr>
                      <w:color w:val="auto"/>
                      <w:szCs w:val="21"/>
                    </w:rPr>
                  </w:pPr>
                  <w:r>
                    <w:rPr>
                      <w:rFonts w:eastAsia="Arial"/>
                      <w:color w:val="auto"/>
                      <w:sz w:val="20"/>
                    </w:rPr>
                    <w:t>23.3</w:t>
                  </w:r>
                </w:p>
              </w:tc>
              <w:tc>
                <w:tcPr>
                  <w:tcW w:w="279" w:type="pct"/>
                  <w:shd w:val="clear" w:color="auto" w:fill="FFFFFF"/>
                  <w:tcMar>
                    <w:top w:w="0" w:type="dxa"/>
                    <w:left w:w="0" w:type="dxa"/>
                    <w:bottom w:w="0" w:type="dxa"/>
                    <w:right w:w="0" w:type="dxa"/>
                  </w:tcMar>
                  <w:vAlign w:val="center"/>
                </w:tcPr>
                <w:p w14:paraId="550884AA">
                  <w:pPr>
                    <w:jc w:val="center"/>
                    <w:rPr>
                      <w:color w:val="auto"/>
                      <w:szCs w:val="21"/>
                    </w:rPr>
                  </w:pPr>
                  <w:r>
                    <w:rPr>
                      <w:rFonts w:eastAsia="Arial"/>
                      <w:color w:val="auto"/>
                      <w:szCs w:val="21"/>
                    </w:rPr>
                    <w:t>1</w:t>
                  </w:r>
                </w:p>
              </w:tc>
            </w:tr>
            <w:tr w14:paraId="08E14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30F2F0DA">
                  <w:pPr>
                    <w:jc w:val="center"/>
                    <w:rPr>
                      <w:color w:val="auto"/>
                      <w:szCs w:val="21"/>
                    </w:rPr>
                  </w:pPr>
                  <w:r>
                    <w:rPr>
                      <w:rFonts w:eastAsia="Arial"/>
                      <w:color w:val="auto"/>
                      <w:szCs w:val="21"/>
                    </w:rPr>
                    <w:t>4</w:t>
                  </w:r>
                </w:p>
              </w:tc>
              <w:tc>
                <w:tcPr>
                  <w:tcW w:w="179" w:type="pct"/>
                  <w:vMerge w:val="continue"/>
                  <w:shd w:val="clear" w:color="auto" w:fill="FFFFFF"/>
                  <w:tcMar>
                    <w:top w:w="0" w:type="dxa"/>
                    <w:left w:w="0" w:type="dxa"/>
                    <w:bottom w:w="0" w:type="dxa"/>
                    <w:right w:w="0" w:type="dxa"/>
                  </w:tcMar>
                  <w:vAlign w:val="center"/>
                </w:tcPr>
                <w:p w14:paraId="730EA093">
                  <w:pPr>
                    <w:jc w:val="center"/>
                    <w:rPr>
                      <w:color w:val="auto"/>
                      <w:szCs w:val="21"/>
                    </w:rPr>
                  </w:pPr>
                </w:p>
              </w:tc>
              <w:tc>
                <w:tcPr>
                  <w:tcW w:w="222" w:type="pct"/>
                  <w:shd w:val="clear" w:color="auto" w:fill="FFFFFF"/>
                  <w:tcMar>
                    <w:top w:w="0" w:type="dxa"/>
                    <w:left w:w="0" w:type="dxa"/>
                    <w:bottom w:w="0" w:type="dxa"/>
                    <w:right w:w="0" w:type="dxa"/>
                  </w:tcMar>
                  <w:vAlign w:val="center"/>
                </w:tcPr>
                <w:p w14:paraId="13332F40">
                  <w:pPr>
                    <w:jc w:val="center"/>
                    <w:rPr>
                      <w:color w:val="auto"/>
                      <w:szCs w:val="21"/>
                    </w:rPr>
                  </w:pPr>
                  <w:r>
                    <w:rPr>
                      <w:rFonts w:eastAsia="Arial"/>
                      <w:color w:val="auto"/>
                      <w:szCs w:val="21"/>
                    </w:rPr>
                    <w:t>打砂机</w:t>
                  </w:r>
                </w:p>
              </w:tc>
              <w:tc>
                <w:tcPr>
                  <w:tcW w:w="136" w:type="pct"/>
                  <w:shd w:val="clear" w:color="auto" w:fill="FFFFFF"/>
                  <w:tcMar>
                    <w:top w:w="0" w:type="dxa"/>
                    <w:left w:w="0" w:type="dxa"/>
                    <w:bottom w:w="0" w:type="dxa"/>
                    <w:right w:w="0" w:type="dxa"/>
                  </w:tcMar>
                  <w:vAlign w:val="center"/>
                </w:tcPr>
                <w:p w14:paraId="2DA869DE">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30F2254B">
                  <w:pPr>
                    <w:jc w:val="center"/>
                    <w:rPr>
                      <w:color w:val="auto"/>
                      <w:szCs w:val="21"/>
                    </w:rPr>
                  </w:pPr>
                  <w:r>
                    <w:rPr>
                      <w:rFonts w:eastAsia="Arial"/>
                      <w:color w:val="auto"/>
                      <w:szCs w:val="21"/>
                    </w:rPr>
                    <w:t>79.8</w:t>
                  </w:r>
                </w:p>
              </w:tc>
              <w:tc>
                <w:tcPr>
                  <w:tcW w:w="187" w:type="pct"/>
                  <w:vMerge w:val="continue"/>
                  <w:shd w:val="clear" w:color="auto" w:fill="FFFFFF"/>
                  <w:tcMar>
                    <w:top w:w="0" w:type="dxa"/>
                    <w:left w:w="0" w:type="dxa"/>
                    <w:bottom w:w="0" w:type="dxa"/>
                    <w:right w:w="0" w:type="dxa"/>
                  </w:tcMar>
                  <w:vAlign w:val="center"/>
                </w:tcPr>
                <w:p w14:paraId="548D7833">
                  <w:pPr>
                    <w:jc w:val="center"/>
                    <w:rPr>
                      <w:color w:val="auto"/>
                      <w:szCs w:val="21"/>
                    </w:rPr>
                  </w:pPr>
                </w:p>
              </w:tc>
              <w:tc>
                <w:tcPr>
                  <w:tcW w:w="655" w:type="dxa"/>
                  <w:shd w:val="clear" w:color="auto" w:fill="FFFFFF"/>
                  <w:tcMar>
                    <w:top w:w="0" w:type="dxa"/>
                    <w:left w:w="0" w:type="dxa"/>
                    <w:bottom w:w="0" w:type="dxa"/>
                    <w:right w:w="0" w:type="dxa"/>
                  </w:tcMar>
                  <w:vAlign w:val="center"/>
                </w:tcPr>
                <w:p w14:paraId="52492115">
                  <w:pPr>
                    <w:jc w:val="center"/>
                    <w:rPr>
                      <w:color w:val="auto"/>
                      <w:szCs w:val="21"/>
                    </w:rPr>
                  </w:pPr>
                  <w:r>
                    <w:rPr>
                      <w:rFonts w:eastAsia="Arial"/>
                      <w:color w:val="auto"/>
                      <w:sz w:val="20"/>
                    </w:rPr>
                    <w:t>17.7</w:t>
                  </w:r>
                </w:p>
              </w:tc>
              <w:tc>
                <w:tcPr>
                  <w:tcW w:w="655" w:type="dxa"/>
                  <w:shd w:val="clear" w:color="auto" w:fill="FFFFFF"/>
                  <w:tcMar>
                    <w:top w:w="0" w:type="dxa"/>
                    <w:left w:w="0" w:type="dxa"/>
                    <w:bottom w:w="0" w:type="dxa"/>
                    <w:right w:w="0" w:type="dxa"/>
                  </w:tcMar>
                  <w:vAlign w:val="center"/>
                </w:tcPr>
                <w:p w14:paraId="5A86F353">
                  <w:pPr>
                    <w:jc w:val="center"/>
                    <w:rPr>
                      <w:color w:val="auto"/>
                      <w:szCs w:val="21"/>
                    </w:rPr>
                  </w:pPr>
                  <w:r>
                    <w:rPr>
                      <w:rFonts w:eastAsia="Arial"/>
                      <w:color w:val="auto"/>
                      <w:sz w:val="20"/>
                    </w:rPr>
                    <w:t>-0.5</w:t>
                  </w:r>
                </w:p>
              </w:tc>
              <w:tc>
                <w:tcPr>
                  <w:tcW w:w="693" w:type="dxa"/>
                  <w:shd w:val="clear" w:color="auto" w:fill="FFFFFF"/>
                  <w:tcMar>
                    <w:top w:w="0" w:type="dxa"/>
                    <w:left w:w="0" w:type="dxa"/>
                    <w:bottom w:w="0" w:type="dxa"/>
                    <w:right w:w="0" w:type="dxa"/>
                  </w:tcMar>
                  <w:vAlign w:val="center"/>
                </w:tcPr>
                <w:p w14:paraId="0631A90C">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3A2EE86F">
                  <w:pPr>
                    <w:jc w:val="center"/>
                    <w:rPr>
                      <w:color w:val="auto"/>
                      <w:szCs w:val="21"/>
                    </w:rPr>
                  </w:pPr>
                  <w:r>
                    <w:rPr>
                      <w:rFonts w:eastAsia="Arial"/>
                      <w:color w:val="auto"/>
                      <w:sz w:val="20"/>
                    </w:rPr>
                    <w:t>6.1</w:t>
                  </w:r>
                </w:p>
              </w:tc>
              <w:tc>
                <w:tcPr>
                  <w:tcW w:w="542" w:type="dxa"/>
                  <w:shd w:val="clear" w:color="auto" w:fill="FFFFFF"/>
                  <w:tcMar>
                    <w:top w:w="0" w:type="dxa"/>
                    <w:left w:w="0" w:type="dxa"/>
                    <w:bottom w:w="0" w:type="dxa"/>
                    <w:right w:w="0" w:type="dxa"/>
                  </w:tcMar>
                  <w:vAlign w:val="center"/>
                </w:tcPr>
                <w:p w14:paraId="3497B135">
                  <w:pPr>
                    <w:jc w:val="center"/>
                    <w:rPr>
                      <w:color w:val="auto"/>
                      <w:szCs w:val="21"/>
                    </w:rPr>
                  </w:pPr>
                  <w:r>
                    <w:rPr>
                      <w:rFonts w:eastAsia="Arial"/>
                      <w:color w:val="auto"/>
                      <w:sz w:val="20"/>
                    </w:rPr>
                    <w:t>74.0</w:t>
                  </w:r>
                </w:p>
              </w:tc>
              <w:tc>
                <w:tcPr>
                  <w:tcW w:w="552" w:type="dxa"/>
                  <w:shd w:val="clear" w:color="auto" w:fill="FFFFFF"/>
                  <w:tcMar>
                    <w:top w:w="0" w:type="dxa"/>
                    <w:left w:w="0" w:type="dxa"/>
                    <w:bottom w:w="0" w:type="dxa"/>
                    <w:right w:w="0" w:type="dxa"/>
                  </w:tcMar>
                  <w:vAlign w:val="center"/>
                </w:tcPr>
                <w:p w14:paraId="3A7611A6">
                  <w:pPr>
                    <w:jc w:val="center"/>
                    <w:rPr>
                      <w:color w:val="auto"/>
                      <w:szCs w:val="21"/>
                    </w:rPr>
                  </w:pPr>
                  <w:r>
                    <w:rPr>
                      <w:rFonts w:eastAsia="Arial"/>
                      <w:color w:val="auto"/>
                      <w:sz w:val="20"/>
                    </w:rPr>
                    <w:t>38.6</w:t>
                  </w:r>
                </w:p>
              </w:tc>
              <w:tc>
                <w:tcPr>
                  <w:tcW w:w="583" w:type="dxa"/>
                  <w:shd w:val="clear" w:color="auto" w:fill="FFFFFF"/>
                  <w:tcMar>
                    <w:top w:w="0" w:type="dxa"/>
                    <w:left w:w="0" w:type="dxa"/>
                    <w:bottom w:w="0" w:type="dxa"/>
                    <w:right w:w="0" w:type="dxa"/>
                  </w:tcMar>
                  <w:vAlign w:val="center"/>
                </w:tcPr>
                <w:p w14:paraId="5E8FED83">
                  <w:pPr>
                    <w:jc w:val="center"/>
                    <w:rPr>
                      <w:color w:val="auto"/>
                      <w:szCs w:val="21"/>
                    </w:rPr>
                  </w:pPr>
                  <w:r>
                    <w:rPr>
                      <w:rFonts w:eastAsia="Arial"/>
                      <w:color w:val="auto"/>
                      <w:sz w:val="20"/>
                    </w:rPr>
                    <w:t>57.6</w:t>
                  </w:r>
                </w:p>
              </w:tc>
              <w:tc>
                <w:tcPr>
                  <w:tcW w:w="539" w:type="dxa"/>
                  <w:shd w:val="clear" w:color="auto" w:fill="FFFFFF"/>
                  <w:tcMar>
                    <w:top w:w="0" w:type="dxa"/>
                    <w:left w:w="0" w:type="dxa"/>
                    <w:bottom w:w="0" w:type="dxa"/>
                    <w:right w:w="0" w:type="dxa"/>
                  </w:tcMar>
                  <w:vAlign w:val="center"/>
                </w:tcPr>
                <w:p w14:paraId="52979D1F">
                  <w:pPr>
                    <w:jc w:val="center"/>
                    <w:rPr>
                      <w:color w:val="auto"/>
                      <w:szCs w:val="21"/>
                    </w:rPr>
                  </w:pPr>
                  <w:r>
                    <w:rPr>
                      <w:rFonts w:eastAsia="Arial"/>
                      <w:color w:val="auto"/>
                      <w:sz w:val="20"/>
                    </w:rPr>
                    <w:t>60.1</w:t>
                  </w:r>
                </w:p>
              </w:tc>
              <w:tc>
                <w:tcPr>
                  <w:tcW w:w="539" w:type="dxa"/>
                  <w:shd w:val="clear" w:color="auto" w:fill="FFFFFF"/>
                  <w:tcMar>
                    <w:top w:w="0" w:type="dxa"/>
                    <w:left w:w="0" w:type="dxa"/>
                    <w:bottom w:w="0" w:type="dxa"/>
                    <w:right w:w="0" w:type="dxa"/>
                  </w:tcMar>
                  <w:vAlign w:val="center"/>
                </w:tcPr>
                <w:p w14:paraId="1D7382A2">
                  <w:pPr>
                    <w:jc w:val="center"/>
                    <w:rPr>
                      <w:color w:val="auto"/>
                      <w:szCs w:val="21"/>
                    </w:rPr>
                  </w:pPr>
                  <w:r>
                    <w:rPr>
                      <w:rFonts w:eastAsia="Arial"/>
                      <w:color w:val="auto"/>
                      <w:sz w:val="20"/>
                    </w:rPr>
                    <w:t>59.1</w:t>
                  </w:r>
                </w:p>
              </w:tc>
              <w:tc>
                <w:tcPr>
                  <w:tcW w:w="539" w:type="dxa"/>
                  <w:shd w:val="clear" w:color="auto" w:fill="FFFFFF"/>
                  <w:tcMar>
                    <w:top w:w="0" w:type="dxa"/>
                    <w:left w:w="0" w:type="dxa"/>
                    <w:bottom w:w="0" w:type="dxa"/>
                    <w:right w:w="0" w:type="dxa"/>
                  </w:tcMar>
                  <w:vAlign w:val="center"/>
                </w:tcPr>
                <w:p w14:paraId="7367488E">
                  <w:pPr>
                    <w:jc w:val="center"/>
                    <w:rPr>
                      <w:color w:val="auto"/>
                      <w:szCs w:val="21"/>
                    </w:rPr>
                  </w:pPr>
                  <w:r>
                    <w:rPr>
                      <w:rFonts w:eastAsia="Arial"/>
                      <w:color w:val="auto"/>
                      <w:sz w:val="20"/>
                    </w:rPr>
                    <w:t>59.1</w:t>
                  </w:r>
                </w:p>
              </w:tc>
              <w:tc>
                <w:tcPr>
                  <w:tcW w:w="577" w:type="dxa"/>
                  <w:shd w:val="clear" w:color="auto" w:fill="FFFFFF"/>
                  <w:tcMar>
                    <w:top w:w="0" w:type="dxa"/>
                    <w:left w:w="0" w:type="dxa"/>
                    <w:bottom w:w="0" w:type="dxa"/>
                    <w:right w:w="0" w:type="dxa"/>
                  </w:tcMar>
                  <w:vAlign w:val="center"/>
                </w:tcPr>
                <w:p w14:paraId="5C576945">
                  <w:pPr>
                    <w:jc w:val="center"/>
                    <w:rPr>
                      <w:color w:val="auto"/>
                      <w:szCs w:val="21"/>
                    </w:rPr>
                  </w:pPr>
                  <w:r>
                    <w:rPr>
                      <w:rFonts w:eastAsia="Arial"/>
                      <w:color w:val="auto"/>
                      <w:sz w:val="20"/>
                    </w:rPr>
                    <w:t>59.1</w:t>
                  </w:r>
                </w:p>
              </w:tc>
              <w:tc>
                <w:tcPr>
                  <w:tcW w:w="149" w:type="pct"/>
                  <w:vMerge w:val="continue"/>
                  <w:shd w:val="clear" w:color="auto" w:fill="FFFFFF"/>
                  <w:tcMar>
                    <w:top w:w="0" w:type="dxa"/>
                    <w:left w:w="0" w:type="dxa"/>
                    <w:bottom w:w="0" w:type="dxa"/>
                    <w:right w:w="0" w:type="dxa"/>
                  </w:tcMar>
                  <w:vAlign w:val="center"/>
                </w:tcPr>
                <w:p w14:paraId="206E554F">
                  <w:pPr>
                    <w:jc w:val="center"/>
                    <w:rPr>
                      <w:color w:val="auto"/>
                      <w:szCs w:val="21"/>
                    </w:rPr>
                  </w:pPr>
                </w:p>
              </w:tc>
              <w:tc>
                <w:tcPr>
                  <w:tcW w:w="520" w:type="dxa"/>
                  <w:shd w:val="clear" w:color="auto" w:fill="FFFFFF"/>
                  <w:tcMar>
                    <w:top w:w="0" w:type="dxa"/>
                    <w:left w:w="0" w:type="dxa"/>
                    <w:bottom w:w="0" w:type="dxa"/>
                    <w:right w:w="0" w:type="dxa"/>
                  </w:tcMar>
                  <w:vAlign w:val="center"/>
                </w:tcPr>
                <w:p w14:paraId="43CB77FD">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6FC6F8E7">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3F47A782">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3AF20E27">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7315C588">
                  <w:pPr>
                    <w:jc w:val="center"/>
                    <w:rPr>
                      <w:color w:val="auto"/>
                      <w:szCs w:val="21"/>
                    </w:rPr>
                  </w:pPr>
                  <w:r>
                    <w:rPr>
                      <w:rFonts w:eastAsia="Arial"/>
                      <w:color w:val="auto"/>
                      <w:sz w:val="20"/>
                    </w:rPr>
                    <w:t>34.1</w:t>
                  </w:r>
                </w:p>
              </w:tc>
              <w:tc>
                <w:tcPr>
                  <w:tcW w:w="561" w:type="dxa"/>
                  <w:shd w:val="clear" w:color="auto" w:fill="FFFFFF"/>
                  <w:tcMar>
                    <w:top w:w="0" w:type="dxa"/>
                    <w:left w:w="0" w:type="dxa"/>
                    <w:bottom w:w="0" w:type="dxa"/>
                    <w:right w:w="0" w:type="dxa"/>
                  </w:tcMar>
                  <w:vAlign w:val="center"/>
                </w:tcPr>
                <w:p w14:paraId="2547EAAB">
                  <w:pPr>
                    <w:jc w:val="center"/>
                    <w:rPr>
                      <w:color w:val="auto"/>
                      <w:szCs w:val="21"/>
                    </w:rPr>
                  </w:pPr>
                  <w:r>
                    <w:rPr>
                      <w:rFonts w:eastAsia="Arial"/>
                      <w:color w:val="auto"/>
                      <w:sz w:val="20"/>
                    </w:rPr>
                    <w:t>33.1</w:t>
                  </w:r>
                </w:p>
              </w:tc>
              <w:tc>
                <w:tcPr>
                  <w:tcW w:w="561" w:type="dxa"/>
                  <w:shd w:val="clear" w:color="auto" w:fill="FFFFFF"/>
                  <w:tcMar>
                    <w:top w:w="0" w:type="dxa"/>
                    <w:left w:w="0" w:type="dxa"/>
                    <w:bottom w:w="0" w:type="dxa"/>
                    <w:right w:w="0" w:type="dxa"/>
                  </w:tcMar>
                  <w:vAlign w:val="center"/>
                </w:tcPr>
                <w:p w14:paraId="53026A20">
                  <w:pPr>
                    <w:jc w:val="center"/>
                    <w:rPr>
                      <w:color w:val="auto"/>
                      <w:szCs w:val="21"/>
                    </w:rPr>
                  </w:pPr>
                  <w:r>
                    <w:rPr>
                      <w:rFonts w:eastAsia="Arial"/>
                      <w:color w:val="auto"/>
                      <w:sz w:val="20"/>
                    </w:rPr>
                    <w:t>33.1</w:t>
                  </w:r>
                </w:p>
              </w:tc>
              <w:tc>
                <w:tcPr>
                  <w:tcW w:w="561" w:type="dxa"/>
                  <w:shd w:val="clear" w:color="auto" w:fill="FFFFFF"/>
                  <w:tcMar>
                    <w:top w:w="0" w:type="dxa"/>
                    <w:left w:w="0" w:type="dxa"/>
                    <w:bottom w:w="0" w:type="dxa"/>
                    <w:right w:w="0" w:type="dxa"/>
                  </w:tcMar>
                  <w:vAlign w:val="center"/>
                </w:tcPr>
                <w:p w14:paraId="1EAE3CD2">
                  <w:pPr>
                    <w:jc w:val="center"/>
                    <w:rPr>
                      <w:color w:val="auto"/>
                      <w:szCs w:val="21"/>
                    </w:rPr>
                  </w:pPr>
                  <w:r>
                    <w:rPr>
                      <w:rFonts w:eastAsia="Arial"/>
                      <w:color w:val="auto"/>
                      <w:sz w:val="20"/>
                    </w:rPr>
                    <w:t>33.1</w:t>
                  </w:r>
                </w:p>
              </w:tc>
              <w:tc>
                <w:tcPr>
                  <w:tcW w:w="279" w:type="pct"/>
                  <w:shd w:val="clear" w:color="auto" w:fill="FFFFFF"/>
                  <w:tcMar>
                    <w:top w:w="0" w:type="dxa"/>
                    <w:left w:w="0" w:type="dxa"/>
                    <w:bottom w:w="0" w:type="dxa"/>
                    <w:right w:w="0" w:type="dxa"/>
                  </w:tcMar>
                  <w:vAlign w:val="center"/>
                </w:tcPr>
                <w:p w14:paraId="1D600D0C">
                  <w:pPr>
                    <w:jc w:val="center"/>
                    <w:rPr>
                      <w:color w:val="auto"/>
                      <w:szCs w:val="21"/>
                    </w:rPr>
                  </w:pPr>
                  <w:r>
                    <w:rPr>
                      <w:rFonts w:eastAsia="Arial"/>
                      <w:color w:val="auto"/>
                      <w:szCs w:val="21"/>
                    </w:rPr>
                    <w:t>1</w:t>
                  </w:r>
                </w:p>
              </w:tc>
            </w:tr>
            <w:tr w14:paraId="0B2D9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457342B6">
                  <w:pPr>
                    <w:jc w:val="center"/>
                    <w:rPr>
                      <w:color w:val="auto"/>
                      <w:szCs w:val="21"/>
                    </w:rPr>
                  </w:pPr>
                  <w:r>
                    <w:rPr>
                      <w:rFonts w:eastAsia="Arial"/>
                      <w:color w:val="auto"/>
                      <w:szCs w:val="21"/>
                    </w:rPr>
                    <w:t>5</w:t>
                  </w:r>
                </w:p>
              </w:tc>
              <w:tc>
                <w:tcPr>
                  <w:tcW w:w="179" w:type="pct"/>
                  <w:vMerge w:val="continue"/>
                  <w:shd w:val="clear" w:color="auto" w:fill="FFFFFF"/>
                  <w:tcMar>
                    <w:top w:w="0" w:type="dxa"/>
                    <w:left w:w="0" w:type="dxa"/>
                    <w:bottom w:w="0" w:type="dxa"/>
                    <w:right w:w="0" w:type="dxa"/>
                  </w:tcMar>
                  <w:vAlign w:val="center"/>
                </w:tcPr>
                <w:p w14:paraId="71D32C03">
                  <w:pPr>
                    <w:jc w:val="center"/>
                    <w:rPr>
                      <w:color w:val="auto"/>
                      <w:szCs w:val="21"/>
                    </w:rPr>
                  </w:pPr>
                </w:p>
              </w:tc>
              <w:tc>
                <w:tcPr>
                  <w:tcW w:w="222" w:type="pct"/>
                  <w:shd w:val="clear" w:color="auto" w:fill="FFFFFF"/>
                  <w:tcMar>
                    <w:top w:w="0" w:type="dxa"/>
                    <w:left w:w="0" w:type="dxa"/>
                    <w:bottom w:w="0" w:type="dxa"/>
                    <w:right w:w="0" w:type="dxa"/>
                  </w:tcMar>
                  <w:vAlign w:val="center"/>
                </w:tcPr>
                <w:p w14:paraId="4D4C5E82">
                  <w:pPr>
                    <w:jc w:val="center"/>
                    <w:rPr>
                      <w:color w:val="auto"/>
                      <w:szCs w:val="21"/>
                    </w:rPr>
                  </w:pPr>
                  <w:r>
                    <w:rPr>
                      <w:rFonts w:eastAsia="Arial"/>
                      <w:color w:val="auto"/>
                      <w:szCs w:val="21"/>
                    </w:rPr>
                    <w:t>抛光机</w:t>
                  </w:r>
                </w:p>
              </w:tc>
              <w:tc>
                <w:tcPr>
                  <w:tcW w:w="136" w:type="pct"/>
                  <w:shd w:val="clear" w:color="auto" w:fill="FFFFFF"/>
                  <w:tcMar>
                    <w:top w:w="0" w:type="dxa"/>
                    <w:left w:w="0" w:type="dxa"/>
                    <w:bottom w:w="0" w:type="dxa"/>
                    <w:right w:w="0" w:type="dxa"/>
                  </w:tcMar>
                  <w:vAlign w:val="center"/>
                </w:tcPr>
                <w:p w14:paraId="05D27EF7">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775D861F">
                  <w:pPr>
                    <w:jc w:val="center"/>
                    <w:rPr>
                      <w:color w:val="auto"/>
                      <w:szCs w:val="21"/>
                    </w:rPr>
                  </w:pPr>
                  <w:r>
                    <w:rPr>
                      <w:rFonts w:eastAsia="Arial"/>
                      <w:color w:val="auto"/>
                      <w:szCs w:val="21"/>
                    </w:rPr>
                    <w:t>75</w:t>
                  </w:r>
                </w:p>
              </w:tc>
              <w:tc>
                <w:tcPr>
                  <w:tcW w:w="187" w:type="pct"/>
                  <w:vMerge w:val="continue"/>
                  <w:shd w:val="clear" w:color="auto" w:fill="FFFFFF"/>
                  <w:tcMar>
                    <w:top w:w="0" w:type="dxa"/>
                    <w:left w:w="0" w:type="dxa"/>
                    <w:bottom w:w="0" w:type="dxa"/>
                    <w:right w:w="0" w:type="dxa"/>
                  </w:tcMar>
                  <w:vAlign w:val="center"/>
                </w:tcPr>
                <w:p w14:paraId="59EF3C89">
                  <w:pPr>
                    <w:jc w:val="center"/>
                    <w:rPr>
                      <w:color w:val="auto"/>
                      <w:szCs w:val="21"/>
                    </w:rPr>
                  </w:pPr>
                </w:p>
              </w:tc>
              <w:tc>
                <w:tcPr>
                  <w:tcW w:w="655" w:type="dxa"/>
                  <w:shd w:val="clear" w:color="auto" w:fill="FFFFFF"/>
                  <w:tcMar>
                    <w:top w:w="0" w:type="dxa"/>
                    <w:left w:w="0" w:type="dxa"/>
                    <w:bottom w:w="0" w:type="dxa"/>
                    <w:right w:w="0" w:type="dxa"/>
                  </w:tcMar>
                  <w:vAlign w:val="center"/>
                </w:tcPr>
                <w:p w14:paraId="49F2358D">
                  <w:pPr>
                    <w:jc w:val="center"/>
                    <w:rPr>
                      <w:color w:val="auto"/>
                      <w:szCs w:val="21"/>
                    </w:rPr>
                  </w:pPr>
                  <w:r>
                    <w:rPr>
                      <w:rFonts w:eastAsia="Arial"/>
                      <w:color w:val="auto"/>
                      <w:sz w:val="20"/>
                    </w:rPr>
                    <w:t>20.2</w:t>
                  </w:r>
                </w:p>
              </w:tc>
              <w:tc>
                <w:tcPr>
                  <w:tcW w:w="655" w:type="dxa"/>
                  <w:shd w:val="clear" w:color="auto" w:fill="FFFFFF"/>
                  <w:tcMar>
                    <w:top w:w="0" w:type="dxa"/>
                    <w:left w:w="0" w:type="dxa"/>
                    <w:bottom w:w="0" w:type="dxa"/>
                    <w:right w:w="0" w:type="dxa"/>
                  </w:tcMar>
                  <w:vAlign w:val="center"/>
                </w:tcPr>
                <w:p w14:paraId="6BFD3DA2">
                  <w:pPr>
                    <w:jc w:val="center"/>
                    <w:rPr>
                      <w:color w:val="auto"/>
                      <w:szCs w:val="21"/>
                    </w:rPr>
                  </w:pPr>
                  <w:r>
                    <w:rPr>
                      <w:rFonts w:eastAsia="Arial"/>
                      <w:color w:val="auto"/>
                      <w:sz w:val="20"/>
                    </w:rPr>
                    <w:t>4.7</w:t>
                  </w:r>
                </w:p>
              </w:tc>
              <w:tc>
                <w:tcPr>
                  <w:tcW w:w="693" w:type="dxa"/>
                  <w:shd w:val="clear" w:color="auto" w:fill="FFFFFF"/>
                  <w:tcMar>
                    <w:top w:w="0" w:type="dxa"/>
                    <w:left w:w="0" w:type="dxa"/>
                    <w:bottom w:w="0" w:type="dxa"/>
                    <w:right w:w="0" w:type="dxa"/>
                  </w:tcMar>
                  <w:vAlign w:val="center"/>
                </w:tcPr>
                <w:p w14:paraId="6D3260C4">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40B73537">
                  <w:pPr>
                    <w:jc w:val="center"/>
                    <w:rPr>
                      <w:color w:val="auto"/>
                      <w:szCs w:val="21"/>
                    </w:rPr>
                  </w:pPr>
                  <w:r>
                    <w:rPr>
                      <w:rFonts w:eastAsia="Arial"/>
                      <w:color w:val="auto"/>
                      <w:sz w:val="20"/>
                    </w:rPr>
                    <w:t>6.2</w:t>
                  </w:r>
                </w:p>
              </w:tc>
              <w:tc>
                <w:tcPr>
                  <w:tcW w:w="542" w:type="dxa"/>
                  <w:shd w:val="clear" w:color="auto" w:fill="FFFFFF"/>
                  <w:tcMar>
                    <w:top w:w="0" w:type="dxa"/>
                    <w:left w:w="0" w:type="dxa"/>
                    <w:bottom w:w="0" w:type="dxa"/>
                    <w:right w:w="0" w:type="dxa"/>
                  </w:tcMar>
                  <w:vAlign w:val="center"/>
                </w:tcPr>
                <w:p w14:paraId="4F815C1E">
                  <w:pPr>
                    <w:jc w:val="center"/>
                    <w:rPr>
                      <w:color w:val="auto"/>
                      <w:szCs w:val="21"/>
                    </w:rPr>
                  </w:pPr>
                  <w:r>
                    <w:rPr>
                      <w:rFonts w:eastAsia="Arial"/>
                      <w:color w:val="auto"/>
                      <w:sz w:val="20"/>
                    </w:rPr>
                    <w:t>79.8</w:t>
                  </w:r>
                </w:p>
              </w:tc>
              <w:tc>
                <w:tcPr>
                  <w:tcW w:w="552" w:type="dxa"/>
                  <w:shd w:val="clear" w:color="auto" w:fill="FFFFFF"/>
                  <w:tcMar>
                    <w:top w:w="0" w:type="dxa"/>
                    <w:left w:w="0" w:type="dxa"/>
                    <w:bottom w:w="0" w:type="dxa"/>
                    <w:right w:w="0" w:type="dxa"/>
                  </w:tcMar>
                  <w:vAlign w:val="center"/>
                </w:tcPr>
                <w:p w14:paraId="30B7BC46">
                  <w:pPr>
                    <w:jc w:val="center"/>
                    <w:rPr>
                      <w:color w:val="auto"/>
                      <w:szCs w:val="21"/>
                    </w:rPr>
                  </w:pPr>
                  <w:r>
                    <w:rPr>
                      <w:rFonts w:eastAsia="Arial"/>
                      <w:color w:val="auto"/>
                      <w:sz w:val="20"/>
                    </w:rPr>
                    <w:t>38.8</w:t>
                  </w:r>
                </w:p>
              </w:tc>
              <w:tc>
                <w:tcPr>
                  <w:tcW w:w="583" w:type="dxa"/>
                  <w:shd w:val="clear" w:color="auto" w:fill="FFFFFF"/>
                  <w:tcMar>
                    <w:top w:w="0" w:type="dxa"/>
                    <w:left w:w="0" w:type="dxa"/>
                    <w:bottom w:w="0" w:type="dxa"/>
                    <w:right w:w="0" w:type="dxa"/>
                  </w:tcMar>
                  <w:vAlign w:val="center"/>
                </w:tcPr>
                <w:p w14:paraId="13BE86F3">
                  <w:pPr>
                    <w:jc w:val="center"/>
                    <w:rPr>
                      <w:color w:val="auto"/>
                      <w:szCs w:val="21"/>
                    </w:rPr>
                  </w:pPr>
                  <w:r>
                    <w:rPr>
                      <w:rFonts w:eastAsia="Arial"/>
                      <w:color w:val="auto"/>
                      <w:sz w:val="20"/>
                    </w:rPr>
                    <w:t>51.9</w:t>
                  </w:r>
                </w:p>
              </w:tc>
              <w:tc>
                <w:tcPr>
                  <w:tcW w:w="539" w:type="dxa"/>
                  <w:shd w:val="clear" w:color="auto" w:fill="FFFFFF"/>
                  <w:tcMar>
                    <w:top w:w="0" w:type="dxa"/>
                    <w:left w:w="0" w:type="dxa"/>
                    <w:bottom w:w="0" w:type="dxa"/>
                    <w:right w:w="0" w:type="dxa"/>
                  </w:tcMar>
                  <w:vAlign w:val="center"/>
                </w:tcPr>
                <w:p w14:paraId="0F4BD0A0">
                  <w:pPr>
                    <w:jc w:val="center"/>
                    <w:rPr>
                      <w:color w:val="auto"/>
                      <w:szCs w:val="21"/>
                    </w:rPr>
                  </w:pPr>
                  <w:r>
                    <w:rPr>
                      <w:rFonts w:eastAsia="Arial"/>
                      <w:color w:val="auto"/>
                      <w:sz w:val="20"/>
                    </w:rPr>
                    <w:t>55.2</w:t>
                  </w:r>
                </w:p>
              </w:tc>
              <w:tc>
                <w:tcPr>
                  <w:tcW w:w="539" w:type="dxa"/>
                  <w:shd w:val="clear" w:color="auto" w:fill="FFFFFF"/>
                  <w:tcMar>
                    <w:top w:w="0" w:type="dxa"/>
                    <w:left w:w="0" w:type="dxa"/>
                    <w:bottom w:w="0" w:type="dxa"/>
                    <w:right w:w="0" w:type="dxa"/>
                  </w:tcMar>
                  <w:vAlign w:val="center"/>
                </w:tcPr>
                <w:p w14:paraId="6A8F5460">
                  <w:pPr>
                    <w:jc w:val="center"/>
                    <w:rPr>
                      <w:color w:val="auto"/>
                      <w:szCs w:val="21"/>
                    </w:rPr>
                  </w:pPr>
                  <w:r>
                    <w:rPr>
                      <w:rFonts w:eastAsia="Arial"/>
                      <w:color w:val="auto"/>
                      <w:sz w:val="20"/>
                    </w:rPr>
                    <w:t>54.3</w:t>
                  </w:r>
                </w:p>
              </w:tc>
              <w:tc>
                <w:tcPr>
                  <w:tcW w:w="539" w:type="dxa"/>
                  <w:shd w:val="clear" w:color="auto" w:fill="FFFFFF"/>
                  <w:tcMar>
                    <w:top w:w="0" w:type="dxa"/>
                    <w:left w:w="0" w:type="dxa"/>
                    <w:bottom w:w="0" w:type="dxa"/>
                    <w:right w:w="0" w:type="dxa"/>
                  </w:tcMar>
                  <w:vAlign w:val="center"/>
                </w:tcPr>
                <w:p w14:paraId="17A4E74E">
                  <w:pPr>
                    <w:jc w:val="center"/>
                    <w:rPr>
                      <w:color w:val="auto"/>
                      <w:szCs w:val="21"/>
                    </w:rPr>
                  </w:pPr>
                  <w:r>
                    <w:rPr>
                      <w:rFonts w:eastAsia="Arial"/>
                      <w:color w:val="auto"/>
                      <w:sz w:val="20"/>
                    </w:rPr>
                    <w:t>54.3</w:t>
                  </w:r>
                </w:p>
              </w:tc>
              <w:tc>
                <w:tcPr>
                  <w:tcW w:w="577" w:type="dxa"/>
                  <w:shd w:val="clear" w:color="auto" w:fill="FFFFFF"/>
                  <w:tcMar>
                    <w:top w:w="0" w:type="dxa"/>
                    <w:left w:w="0" w:type="dxa"/>
                    <w:bottom w:w="0" w:type="dxa"/>
                    <w:right w:w="0" w:type="dxa"/>
                  </w:tcMar>
                  <w:vAlign w:val="center"/>
                </w:tcPr>
                <w:p w14:paraId="2C4A5B8D">
                  <w:pPr>
                    <w:jc w:val="center"/>
                    <w:rPr>
                      <w:color w:val="auto"/>
                      <w:szCs w:val="21"/>
                    </w:rPr>
                  </w:pPr>
                  <w:r>
                    <w:rPr>
                      <w:rFonts w:eastAsia="Arial"/>
                      <w:color w:val="auto"/>
                      <w:sz w:val="20"/>
                    </w:rPr>
                    <w:t>54.3</w:t>
                  </w:r>
                </w:p>
              </w:tc>
              <w:tc>
                <w:tcPr>
                  <w:tcW w:w="149" w:type="pct"/>
                  <w:vMerge w:val="continue"/>
                  <w:shd w:val="clear" w:color="auto" w:fill="FFFFFF"/>
                  <w:tcMar>
                    <w:top w:w="0" w:type="dxa"/>
                    <w:left w:w="0" w:type="dxa"/>
                    <w:bottom w:w="0" w:type="dxa"/>
                    <w:right w:w="0" w:type="dxa"/>
                  </w:tcMar>
                  <w:vAlign w:val="center"/>
                </w:tcPr>
                <w:p w14:paraId="3BA6FD40">
                  <w:pPr>
                    <w:jc w:val="center"/>
                    <w:rPr>
                      <w:color w:val="auto"/>
                      <w:szCs w:val="21"/>
                    </w:rPr>
                  </w:pPr>
                </w:p>
              </w:tc>
              <w:tc>
                <w:tcPr>
                  <w:tcW w:w="520" w:type="dxa"/>
                  <w:shd w:val="clear" w:color="auto" w:fill="FFFFFF"/>
                  <w:tcMar>
                    <w:top w:w="0" w:type="dxa"/>
                    <w:left w:w="0" w:type="dxa"/>
                    <w:bottom w:w="0" w:type="dxa"/>
                    <w:right w:w="0" w:type="dxa"/>
                  </w:tcMar>
                  <w:vAlign w:val="center"/>
                </w:tcPr>
                <w:p w14:paraId="104E4F9A">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27508822">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57835B3D">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655019A9">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4CF554D1">
                  <w:pPr>
                    <w:jc w:val="center"/>
                    <w:rPr>
                      <w:color w:val="auto"/>
                      <w:szCs w:val="21"/>
                    </w:rPr>
                  </w:pPr>
                  <w:r>
                    <w:rPr>
                      <w:rFonts w:eastAsia="Arial"/>
                      <w:color w:val="auto"/>
                      <w:sz w:val="20"/>
                    </w:rPr>
                    <w:t>29.2</w:t>
                  </w:r>
                </w:p>
              </w:tc>
              <w:tc>
                <w:tcPr>
                  <w:tcW w:w="561" w:type="dxa"/>
                  <w:shd w:val="clear" w:color="auto" w:fill="FFFFFF"/>
                  <w:tcMar>
                    <w:top w:w="0" w:type="dxa"/>
                    <w:left w:w="0" w:type="dxa"/>
                    <w:bottom w:w="0" w:type="dxa"/>
                    <w:right w:w="0" w:type="dxa"/>
                  </w:tcMar>
                  <w:vAlign w:val="center"/>
                </w:tcPr>
                <w:p w14:paraId="7AC3A965">
                  <w:pPr>
                    <w:jc w:val="center"/>
                    <w:rPr>
                      <w:color w:val="auto"/>
                      <w:szCs w:val="21"/>
                    </w:rPr>
                  </w:pPr>
                  <w:r>
                    <w:rPr>
                      <w:rFonts w:eastAsia="Arial"/>
                      <w:color w:val="auto"/>
                      <w:sz w:val="20"/>
                    </w:rPr>
                    <w:t>28.3</w:t>
                  </w:r>
                </w:p>
              </w:tc>
              <w:tc>
                <w:tcPr>
                  <w:tcW w:w="561" w:type="dxa"/>
                  <w:shd w:val="clear" w:color="auto" w:fill="FFFFFF"/>
                  <w:tcMar>
                    <w:top w:w="0" w:type="dxa"/>
                    <w:left w:w="0" w:type="dxa"/>
                    <w:bottom w:w="0" w:type="dxa"/>
                    <w:right w:w="0" w:type="dxa"/>
                  </w:tcMar>
                  <w:vAlign w:val="center"/>
                </w:tcPr>
                <w:p w14:paraId="3F466EDE">
                  <w:pPr>
                    <w:jc w:val="center"/>
                    <w:rPr>
                      <w:color w:val="auto"/>
                      <w:szCs w:val="21"/>
                    </w:rPr>
                  </w:pPr>
                  <w:r>
                    <w:rPr>
                      <w:rFonts w:eastAsia="Arial"/>
                      <w:color w:val="auto"/>
                      <w:sz w:val="20"/>
                    </w:rPr>
                    <w:t>28.3</w:t>
                  </w:r>
                </w:p>
              </w:tc>
              <w:tc>
                <w:tcPr>
                  <w:tcW w:w="561" w:type="dxa"/>
                  <w:shd w:val="clear" w:color="auto" w:fill="FFFFFF"/>
                  <w:tcMar>
                    <w:top w:w="0" w:type="dxa"/>
                    <w:left w:w="0" w:type="dxa"/>
                    <w:bottom w:w="0" w:type="dxa"/>
                    <w:right w:w="0" w:type="dxa"/>
                  </w:tcMar>
                  <w:vAlign w:val="center"/>
                </w:tcPr>
                <w:p w14:paraId="0C181923">
                  <w:pPr>
                    <w:jc w:val="center"/>
                    <w:rPr>
                      <w:color w:val="auto"/>
                      <w:szCs w:val="21"/>
                    </w:rPr>
                  </w:pPr>
                  <w:r>
                    <w:rPr>
                      <w:rFonts w:eastAsia="Arial"/>
                      <w:color w:val="auto"/>
                      <w:sz w:val="20"/>
                    </w:rPr>
                    <w:t>28.3</w:t>
                  </w:r>
                </w:p>
              </w:tc>
              <w:tc>
                <w:tcPr>
                  <w:tcW w:w="279" w:type="pct"/>
                  <w:shd w:val="clear" w:color="auto" w:fill="FFFFFF"/>
                  <w:tcMar>
                    <w:top w:w="0" w:type="dxa"/>
                    <w:left w:w="0" w:type="dxa"/>
                    <w:bottom w:w="0" w:type="dxa"/>
                    <w:right w:w="0" w:type="dxa"/>
                  </w:tcMar>
                  <w:vAlign w:val="center"/>
                </w:tcPr>
                <w:p w14:paraId="13890911">
                  <w:pPr>
                    <w:jc w:val="center"/>
                    <w:rPr>
                      <w:color w:val="auto"/>
                      <w:szCs w:val="21"/>
                    </w:rPr>
                  </w:pPr>
                  <w:r>
                    <w:rPr>
                      <w:rFonts w:eastAsia="Arial"/>
                      <w:color w:val="auto"/>
                      <w:szCs w:val="21"/>
                    </w:rPr>
                    <w:t>1</w:t>
                  </w:r>
                </w:p>
              </w:tc>
            </w:tr>
            <w:tr w14:paraId="2837D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6E29B69C">
                  <w:pPr>
                    <w:jc w:val="center"/>
                    <w:rPr>
                      <w:color w:val="auto"/>
                      <w:szCs w:val="21"/>
                    </w:rPr>
                  </w:pPr>
                  <w:r>
                    <w:rPr>
                      <w:rFonts w:eastAsia="Arial"/>
                      <w:color w:val="auto"/>
                      <w:szCs w:val="21"/>
                    </w:rPr>
                    <w:t>6</w:t>
                  </w:r>
                </w:p>
              </w:tc>
              <w:tc>
                <w:tcPr>
                  <w:tcW w:w="179" w:type="pct"/>
                  <w:vMerge w:val="continue"/>
                  <w:shd w:val="clear" w:color="auto" w:fill="FFFFFF"/>
                  <w:tcMar>
                    <w:top w:w="0" w:type="dxa"/>
                    <w:left w:w="0" w:type="dxa"/>
                    <w:bottom w:w="0" w:type="dxa"/>
                    <w:right w:w="0" w:type="dxa"/>
                  </w:tcMar>
                  <w:vAlign w:val="center"/>
                </w:tcPr>
                <w:p w14:paraId="514F7CA0">
                  <w:pPr>
                    <w:jc w:val="center"/>
                    <w:rPr>
                      <w:color w:val="auto"/>
                      <w:szCs w:val="21"/>
                    </w:rPr>
                  </w:pPr>
                </w:p>
              </w:tc>
              <w:tc>
                <w:tcPr>
                  <w:tcW w:w="222" w:type="pct"/>
                  <w:shd w:val="clear" w:color="auto" w:fill="FFFFFF"/>
                  <w:tcMar>
                    <w:top w:w="0" w:type="dxa"/>
                    <w:left w:w="0" w:type="dxa"/>
                    <w:bottom w:w="0" w:type="dxa"/>
                    <w:right w:w="0" w:type="dxa"/>
                  </w:tcMar>
                  <w:vAlign w:val="center"/>
                </w:tcPr>
                <w:p w14:paraId="716CED00">
                  <w:pPr>
                    <w:jc w:val="center"/>
                    <w:rPr>
                      <w:color w:val="auto"/>
                      <w:szCs w:val="21"/>
                    </w:rPr>
                  </w:pPr>
                  <w:r>
                    <w:rPr>
                      <w:rFonts w:eastAsia="Arial"/>
                      <w:color w:val="auto"/>
                      <w:szCs w:val="21"/>
                    </w:rPr>
                    <w:t>水帘柜</w:t>
                  </w:r>
                </w:p>
              </w:tc>
              <w:tc>
                <w:tcPr>
                  <w:tcW w:w="136" w:type="pct"/>
                  <w:shd w:val="clear" w:color="auto" w:fill="FFFFFF"/>
                  <w:tcMar>
                    <w:top w:w="0" w:type="dxa"/>
                    <w:left w:w="0" w:type="dxa"/>
                    <w:bottom w:w="0" w:type="dxa"/>
                    <w:right w:w="0" w:type="dxa"/>
                  </w:tcMar>
                  <w:vAlign w:val="center"/>
                </w:tcPr>
                <w:p w14:paraId="7ACD01E5">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25CEB9C9">
                  <w:pPr>
                    <w:jc w:val="center"/>
                    <w:rPr>
                      <w:color w:val="auto"/>
                      <w:szCs w:val="21"/>
                    </w:rPr>
                  </w:pPr>
                  <w:r>
                    <w:rPr>
                      <w:rFonts w:eastAsia="Arial"/>
                      <w:color w:val="auto"/>
                      <w:szCs w:val="21"/>
                    </w:rPr>
                    <w:t>65</w:t>
                  </w:r>
                </w:p>
              </w:tc>
              <w:tc>
                <w:tcPr>
                  <w:tcW w:w="187" w:type="pct"/>
                  <w:vMerge w:val="continue"/>
                  <w:shd w:val="clear" w:color="auto" w:fill="FFFFFF"/>
                  <w:tcMar>
                    <w:top w:w="0" w:type="dxa"/>
                    <w:left w:w="0" w:type="dxa"/>
                    <w:bottom w:w="0" w:type="dxa"/>
                    <w:right w:w="0" w:type="dxa"/>
                  </w:tcMar>
                  <w:vAlign w:val="center"/>
                </w:tcPr>
                <w:p w14:paraId="06BA16C9">
                  <w:pPr>
                    <w:jc w:val="center"/>
                    <w:rPr>
                      <w:color w:val="auto"/>
                      <w:szCs w:val="21"/>
                    </w:rPr>
                  </w:pPr>
                </w:p>
              </w:tc>
              <w:tc>
                <w:tcPr>
                  <w:tcW w:w="655" w:type="dxa"/>
                  <w:shd w:val="clear" w:color="auto" w:fill="FFFFFF"/>
                  <w:tcMar>
                    <w:top w:w="0" w:type="dxa"/>
                    <w:left w:w="0" w:type="dxa"/>
                    <w:bottom w:w="0" w:type="dxa"/>
                    <w:right w:w="0" w:type="dxa"/>
                  </w:tcMar>
                  <w:vAlign w:val="center"/>
                </w:tcPr>
                <w:p w14:paraId="2C08CA6D">
                  <w:pPr>
                    <w:jc w:val="center"/>
                    <w:rPr>
                      <w:color w:val="auto"/>
                      <w:szCs w:val="21"/>
                    </w:rPr>
                  </w:pPr>
                  <w:r>
                    <w:rPr>
                      <w:rFonts w:eastAsia="Arial"/>
                      <w:color w:val="auto"/>
                      <w:sz w:val="20"/>
                    </w:rPr>
                    <w:t>8.1</w:t>
                  </w:r>
                </w:p>
              </w:tc>
              <w:tc>
                <w:tcPr>
                  <w:tcW w:w="655" w:type="dxa"/>
                  <w:shd w:val="clear" w:color="auto" w:fill="FFFFFF"/>
                  <w:tcMar>
                    <w:top w:w="0" w:type="dxa"/>
                    <w:left w:w="0" w:type="dxa"/>
                    <w:bottom w:w="0" w:type="dxa"/>
                    <w:right w:w="0" w:type="dxa"/>
                  </w:tcMar>
                  <w:vAlign w:val="center"/>
                </w:tcPr>
                <w:p w14:paraId="684A9448">
                  <w:pPr>
                    <w:jc w:val="center"/>
                    <w:rPr>
                      <w:color w:val="auto"/>
                      <w:szCs w:val="21"/>
                    </w:rPr>
                  </w:pPr>
                  <w:r>
                    <w:rPr>
                      <w:rFonts w:eastAsia="Arial"/>
                      <w:color w:val="auto"/>
                      <w:sz w:val="20"/>
                    </w:rPr>
                    <w:t>55.9</w:t>
                  </w:r>
                </w:p>
              </w:tc>
              <w:tc>
                <w:tcPr>
                  <w:tcW w:w="693" w:type="dxa"/>
                  <w:shd w:val="clear" w:color="auto" w:fill="FFFFFF"/>
                  <w:tcMar>
                    <w:top w:w="0" w:type="dxa"/>
                    <w:left w:w="0" w:type="dxa"/>
                    <w:bottom w:w="0" w:type="dxa"/>
                    <w:right w:w="0" w:type="dxa"/>
                  </w:tcMar>
                  <w:vAlign w:val="center"/>
                </w:tcPr>
                <w:p w14:paraId="10278273">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56C425A8">
                  <w:pPr>
                    <w:jc w:val="center"/>
                    <w:rPr>
                      <w:color w:val="auto"/>
                      <w:szCs w:val="21"/>
                    </w:rPr>
                  </w:pPr>
                  <w:r>
                    <w:rPr>
                      <w:rFonts w:eastAsia="Arial"/>
                      <w:color w:val="auto"/>
                      <w:sz w:val="20"/>
                    </w:rPr>
                    <w:t>39.6</w:t>
                  </w:r>
                </w:p>
              </w:tc>
              <w:tc>
                <w:tcPr>
                  <w:tcW w:w="542" w:type="dxa"/>
                  <w:shd w:val="clear" w:color="auto" w:fill="FFFFFF"/>
                  <w:tcMar>
                    <w:top w:w="0" w:type="dxa"/>
                    <w:left w:w="0" w:type="dxa"/>
                    <w:bottom w:w="0" w:type="dxa"/>
                    <w:right w:w="0" w:type="dxa"/>
                  </w:tcMar>
                  <w:vAlign w:val="center"/>
                </w:tcPr>
                <w:p w14:paraId="3DE57A7E">
                  <w:pPr>
                    <w:jc w:val="center"/>
                    <w:rPr>
                      <w:color w:val="auto"/>
                      <w:szCs w:val="21"/>
                    </w:rPr>
                  </w:pPr>
                  <w:r>
                    <w:rPr>
                      <w:rFonts w:eastAsia="Arial"/>
                      <w:color w:val="auto"/>
                      <w:sz w:val="20"/>
                    </w:rPr>
                    <w:t>119.1</w:t>
                  </w:r>
                </w:p>
              </w:tc>
              <w:tc>
                <w:tcPr>
                  <w:tcW w:w="552" w:type="dxa"/>
                  <w:shd w:val="clear" w:color="auto" w:fill="FFFFFF"/>
                  <w:tcMar>
                    <w:top w:w="0" w:type="dxa"/>
                    <w:left w:w="0" w:type="dxa"/>
                    <w:bottom w:w="0" w:type="dxa"/>
                    <w:right w:w="0" w:type="dxa"/>
                  </w:tcMar>
                  <w:vAlign w:val="center"/>
                </w:tcPr>
                <w:p w14:paraId="27991329">
                  <w:pPr>
                    <w:jc w:val="center"/>
                    <w:rPr>
                      <w:color w:val="auto"/>
                      <w:szCs w:val="21"/>
                    </w:rPr>
                  </w:pPr>
                  <w:r>
                    <w:rPr>
                      <w:rFonts w:eastAsia="Arial"/>
                      <w:color w:val="auto"/>
                      <w:sz w:val="20"/>
                    </w:rPr>
                    <w:t>7.2</w:t>
                  </w:r>
                </w:p>
              </w:tc>
              <w:tc>
                <w:tcPr>
                  <w:tcW w:w="583" w:type="dxa"/>
                  <w:shd w:val="clear" w:color="auto" w:fill="FFFFFF"/>
                  <w:tcMar>
                    <w:top w:w="0" w:type="dxa"/>
                    <w:left w:w="0" w:type="dxa"/>
                    <w:bottom w:w="0" w:type="dxa"/>
                    <w:right w:w="0" w:type="dxa"/>
                  </w:tcMar>
                  <w:vAlign w:val="center"/>
                </w:tcPr>
                <w:p w14:paraId="3680C823">
                  <w:pPr>
                    <w:jc w:val="center"/>
                    <w:rPr>
                      <w:color w:val="auto"/>
                      <w:szCs w:val="21"/>
                    </w:rPr>
                  </w:pPr>
                  <w:r>
                    <w:rPr>
                      <w:rFonts w:eastAsia="Arial"/>
                      <w:color w:val="auto"/>
                      <w:sz w:val="20"/>
                    </w:rPr>
                    <w:t>8.9</w:t>
                  </w:r>
                </w:p>
              </w:tc>
              <w:tc>
                <w:tcPr>
                  <w:tcW w:w="539" w:type="dxa"/>
                  <w:shd w:val="clear" w:color="auto" w:fill="FFFFFF"/>
                  <w:tcMar>
                    <w:top w:w="0" w:type="dxa"/>
                    <w:left w:w="0" w:type="dxa"/>
                    <w:bottom w:w="0" w:type="dxa"/>
                    <w:right w:w="0" w:type="dxa"/>
                  </w:tcMar>
                  <w:vAlign w:val="center"/>
                </w:tcPr>
                <w:p w14:paraId="058AC20E">
                  <w:pPr>
                    <w:jc w:val="center"/>
                    <w:rPr>
                      <w:color w:val="auto"/>
                      <w:szCs w:val="21"/>
                    </w:rPr>
                  </w:pPr>
                  <w:r>
                    <w:rPr>
                      <w:rFonts w:eastAsia="Arial"/>
                      <w:color w:val="auto"/>
                      <w:sz w:val="20"/>
                    </w:rPr>
                    <w:t>44.3</w:t>
                  </w:r>
                </w:p>
              </w:tc>
              <w:tc>
                <w:tcPr>
                  <w:tcW w:w="539" w:type="dxa"/>
                  <w:shd w:val="clear" w:color="auto" w:fill="FFFFFF"/>
                  <w:tcMar>
                    <w:top w:w="0" w:type="dxa"/>
                    <w:left w:w="0" w:type="dxa"/>
                    <w:bottom w:w="0" w:type="dxa"/>
                    <w:right w:w="0" w:type="dxa"/>
                  </w:tcMar>
                  <w:vAlign w:val="center"/>
                </w:tcPr>
                <w:p w14:paraId="374356AC">
                  <w:pPr>
                    <w:jc w:val="center"/>
                    <w:rPr>
                      <w:color w:val="auto"/>
                      <w:szCs w:val="21"/>
                    </w:rPr>
                  </w:pPr>
                  <w:r>
                    <w:rPr>
                      <w:rFonts w:eastAsia="Arial"/>
                      <w:color w:val="auto"/>
                      <w:sz w:val="20"/>
                    </w:rPr>
                    <w:t>44.3</w:t>
                  </w:r>
                </w:p>
              </w:tc>
              <w:tc>
                <w:tcPr>
                  <w:tcW w:w="539" w:type="dxa"/>
                  <w:shd w:val="clear" w:color="auto" w:fill="FFFFFF"/>
                  <w:tcMar>
                    <w:top w:w="0" w:type="dxa"/>
                    <w:left w:w="0" w:type="dxa"/>
                    <w:bottom w:w="0" w:type="dxa"/>
                    <w:right w:w="0" w:type="dxa"/>
                  </w:tcMar>
                  <w:vAlign w:val="center"/>
                </w:tcPr>
                <w:p w14:paraId="2D60D82E">
                  <w:pPr>
                    <w:jc w:val="center"/>
                    <w:rPr>
                      <w:color w:val="auto"/>
                      <w:szCs w:val="21"/>
                    </w:rPr>
                  </w:pPr>
                  <w:r>
                    <w:rPr>
                      <w:rFonts w:eastAsia="Arial"/>
                      <w:color w:val="auto"/>
                      <w:sz w:val="20"/>
                    </w:rPr>
                    <w:t>45.0</w:t>
                  </w:r>
                </w:p>
              </w:tc>
              <w:tc>
                <w:tcPr>
                  <w:tcW w:w="577" w:type="dxa"/>
                  <w:shd w:val="clear" w:color="auto" w:fill="FFFFFF"/>
                  <w:tcMar>
                    <w:top w:w="0" w:type="dxa"/>
                    <w:left w:w="0" w:type="dxa"/>
                    <w:bottom w:w="0" w:type="dxa"/>
                    <w:right w:w="0" w:type="dxa"/>
                  </w:tcMar>
                  <w:vAlign w:val="center"/>
                </w:tcPr>
                <w:p w14:paraId="7752326D">
                  <w:pPr>
                    <w:jc w:val="center"/>
                    <w:rPr>
                      <w:color w:val="auto"/>
                      <w:szCs w:val="21"/>
                    </w:rPr>
                  </w:pPr>
                  <w:r>
                    <w:rPr>
                      <w:rFonts w:eastAsia="Arial"/>
                      <w:color w:val="auto"/>
                      <w:sz w:val="20"/>
                    </w:rPr>
                    <w:t>44.8</w:t>
                  </w:r>
                </w:p>
              </w:tc>
              <w:tc>
                <w:tcPr>
                  <w:tcW w:w="149" w:type="pct"/>
                  <w:vMerge w:val="continue"/>
                  <w:shd w:val="clear" w:color="auto" w:fill="FFFFFF"/>
                  <w:tcMar>
                    <w:top w:w="0" w:type="dxa"/>
                    <w:left w:w="0" w:type="dxa"/>
                    <w:bottom w:w="0" w:type="dxa"/>
                    <w:right w:w="0" w:type="dxa"/>
                  </w:tcMar>
                  <w:vAlign w:val="center"/>
                </w:tcPr>
                <w:p w14:paraId="27657802">
                  <w:pPr>
                    <w:jc w:val="center"/>
                    <w:rPr>
                      <w:color w:val="auto"/>
                      <w:szCs w:val="21"/>
                    </w:rPr>
                  </w:pPr>
                </w:p>
              </w:tc>
              <w:tc>
                <w:tcPr>
                  <w:tcW w:w="520" w:type="dxa"/>
                  <w:shd w:val="clear" w:color="auto" w:fill="FFFFFF"/>
                  <w:tcMar>
                    <w:top w:w="0" w:type="dxa"/>
                    <w:left w:w="0" w:type="dxa"/>
                    <w:bottom w:w="0" w:type="dxa"/>
                    <w:right w:w="0" w:type="dxa"/>
                  </w:tcMar>
                  <w:vAlign w:val="center"/>
                </w:tcPr>
                <w:p w14:paraId="7AB9BAAB">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423B1913">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703DB78E">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0AB7B1A2">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44264ED2">
                  <w:pPr>
                    <w:jc w:val="center"/>
                    <w:rPr>
                      <w:color w:val="auto"/>
                      <w:szCs w:val="21"/>
                    </w:rPr>
                  </w:pPr>
                  <w:r>
                    <w:rPr>
                      <w:rFonts w:eastAsia="Arial"/>
                      <w:color w:val="auto"/>
                      <w:sz w:val="20"/>
                    </w:rPr>
                    <w:t>18.3</w:t>
                  </w:r>
                </w:p>
              </w:tc>
              <w:tc>
                <w:tcPr>
                  <w:tcW w:w="561" w:type="dxa"/>
                  <w:shd w:val="clear" w:color="auto" w:fill="FFFFFF"/>
                  <w:tcMar>
                    <w:top w:w="0" w:type="dxa"/>
                    <w:left w:w="0" w:type="dxa"/>
                    <w:bottom w:w="0" w:type="dxa"/>
                    <w:right w:w="0" w:type="dxa"/>
                  </w:tcMar>
                  <w:vAlign w:val="center"/>
                </w:tcPr>
                <w:p w14:paraId="0CAAA642">
                  <w:pPr>
                    <w:jc w:val="center"/>
                    <w:rPr>
                      <w:color w:val="auto"/>
                      <w:szCs w:val="21"/>
                    </w:rPr>
                  </w:pPr>
                  <w:r>
                    <w:rPr>
                      <w:rFonts w:eastAsia="Arial"/>
                      <w:color w:val="auto"/>
                      <w:sz w:val="20"/>
                    </w:rPr>
                    <w:t>18.3</w:t>
                  </w:r>
                </w:p>
              </w:tc>
              <w:tc>
                <w:tcPr>
                  <w:tcW w:w="561" w:type="dxa"/>
                  <w:shd w:val="clear" w:color="auto" w:fill="FFFFFF"/>
                  <w:tcMar>
                    <w:top w:w="0" w:type="dxa"/>
                    <w:left w:w="0" w:type="dxa"/>
                    <w:bottom w:w="0" w:type="dxa"/>
                    <w:right w:w="0" w:type="dxa"/>
                  </w:tcMar>
                  <w:vAlign w:val="center"/>
                </w:tcPr>
                <w:p w14:paraId="09B8EEE6">
                  <w:pPr>
                    <w:jc w:val="center"/>
                    <w:rPr>
                      <w:color w:val="auto"/>
                      <w:szCs w:val="21"/>
                    </w:rPr>
                  </w:pPr>
                  <w:r>
                    <w:rPr>
                      <w:rFonts w:eastAsia="Arial"/>
                      <w:color w:val="auto"/>
                      <w:sz w:val="20"/>
                    </w:rPr>
                    <w:t>19.0</w:t>
                  </w:r>
                </w:p>
              </w:tc>
              <w:tc>
                <w:tcPr>
                  <w:tcW w:w="561" w:type="dxa"/>
                  <w:shd w:val="clear" w:color="auto" w:fill="FFFFFF"/>
                  <w:tcMar>
                    <w:top w:w="0" w:type="dxa"/>
                    <w:left w:w="0" w:type="dxa"/>
                    <w:bottom w:w="0" w:type="dxa"/>
                    <w:right w:w="0" w:type="dxa"/>
                  </w:tcMar>
                  <w:vAlign w:val="center"/>
                </w:tcPr>
                <w:p w14:paraId="16B19485">
                  <w:pPr>
                    <w:jc w:val="center"/>
                    <w:rPr>
                      <w:color w:val="auto"/>
                      <w:szCs w:val="21"/>
                    </w:rPr>
                  </w:pPr>
                  <w:r>
                    <w:rPr>
                      <w:rFonts w:eastAsia="Arial"/>
                      <w:color w:val="auto"/>
                      <w:sz w:val="20"/>
                    </w:rPr>
                    <w:t>18.8</w:t>
                  </w:r>
                </w:p>
              </w:tc>
              <w:tc>
                <w:tcPr>
                  <w:tcW w:w="279" w:type="pct"/>
                  <w:shd w:val="clear" w:color="auto" w:fill="FFFFFF"/>
                  <w:tcMar>
                    <w:top w:w="0" w:type="dxa"/>
                    <w:left w:w="0" w:type="dxa"/>
                    <w:bottom w:w="0" w:type="dxa"/>
                    <w:right w:w="0" w:type="dxa"/>
                  </w:tcMar>
                  <w:vAlign w:val="center"/>
                </w:tcPr>
                <w:p w14:paraId="359B772D">
                  <w:pPr>
                    <w:jc w:val="center"/>
                    <w:rPr>
                      <w:color w:val="auto"/>
                      <w:szCs w:val="21"/>
                    </w:rPr>
                  </w:pPr>
                  <w:r>
                    <w:rPr>
                      <w:rFonts w:eastAsia="Arial"/>
                      <w:color w:val="auto"/>
                      <w:szCs w:val="21"/>
                    </w:rPr>
                    <w:t>1</w:t>
                  </w:r>
                </w:p>
              </w:tc>
            </w:tr>
            <w:tr w14:paraId="2897D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00434EE6">
                  <w:pPr>
                    <w:jc w:val="center"/>
                    <w:rPr>
                      <w:color w:val="auto"/>
                      <w:szCs w:val="21"/>
                    </w:rPr>
                  </w:pPr>
                  <w:r>
                    <w:rPr>
                      <w:rFonts w:eastAsia="Arial"/>
                      <w:color w:val="auto"/>
                      <w:szCs w:val="21"/>
                    </w:rPr>
                    <w:t>7</w:t>
                  </w:r>
                </w:p>
              </w:tc>
              <w:tc>
                <w:tcPr>
                  <w:tcW w:w="179" w:type="pct"/>
                  <w:vMerge w:val="continue"/>
                  <w:shd w:val="clear" w:color="auto" w:fill="FFFFFF"/>
                  <w:tcMar>
                    <w:top w:w="0" w:type="dxa"/>
                    <w:left w:w="0" w:type="dxa"/>
                    <w:bottom w:w="0" w:type="dxa"/>
                    <w:right w:w="0" w:type="dxa"/>
                  </w:tcMar>
                  <w:vAlign w:val="center"/>
                </w:tcPr>
                <w:p w14:paraId="31367F9C">
                  <w:pPr>
                    <w:jc w:val="center"/>
                    <w:rPr>
                      <w:color w:val="auto"/>
                      <w:szCs w:val="21"/>
                    </w:rPr>
                  </w:pPr>
                </w:p>
              </w:tc>
              <w:tc>
                <w:tcPr>
                  <w:tcW w:w="222" w:type="pct"/>
                  <w:shd w:val="clear" w:color="auto" w:fill="FFFFFF"/>
                  <w:tcMar>
                    <w:top w:w="0" w:type="dxa"/>
                    <w:left w:w="0" w:type="dxa"/>
                    <w:bottom w:w="0" w:type="dxa"/>
                    <w:right w:w="0" w:type="dxa"/>
                  </w:tcMar>
                  <w:vAlign w:val="center"/>
                </w:tcPr>
                <w:p w14:paraId="12CA440A">
                  <w:pPr>
                    <w:jc w:val="center"/>
                    <w:rPr>
                      <w:color w:val="auto"/>
                      <w:szCs w:val="21"/>
                    </w:rPr>
                  </w:pPr>
                  <w:r>
                    <w:rPr>
                      <w:rFonts w:eastAsia="Arial"/>
                      <w:color w:val="auto"/>
                      <w:szCs w:val="21"/>
                    </w:rPr>
                    <w:t>手工喷枪</w:t>
                  </w:r>
                </w:p>
              </w:tc>
              <w:tc>
                <w:tcPr>
                  <w:tcW w:w="136" w:type="pct"/>
                  <w:shd w:val="clear" w:color="auto" w:fill="FFFFFF"/>
                  <w:tcMar>
                    <w:top w:w="0" w:type="dxa"/>
                    <w:left w:w="0" w:type="dxa"/>
                    <w:bottom w:w="0" w:type="dxa"/>
                    <w:right w:w="0" w:type="dxa"/>
                  </w:tcMar>
                  <w:vAlign w:val="center"/>
                </w:tcPr>
                <w:p w14:paraId="74A0F69E">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5E21F412">
                  <w:pPr>
                    <w:jc w:val="center"/>
                    <w:rPr>
                      <w:color w:val="auto"/>
                      <w:szCs w:val="21"/>
                    </w:rPr>
                  </w:pPr>
                  <w:r>
                    <w:rPr>
                      <w:rFonts w:eastAsia="Arial"/>
                      <w:color w:val="auto"/>
                      <w:szCs w:val="21"/>
                    </w:rPr>
                    <w:t>68</w:t>
                  </w:r>
                </w:p>
              </w:tc>
              <w:tc>
                <w:tcPr>
                  <w:tcW w:w="187" w:type="pct"/>
                  <w:vMerge w:val="continue"/>
                  <w:shd w:val="clear" w:color="auto" w:fill="FFFFFF"/>
                  <w:tcMar>
                    <w:top w:w="0" w:type="dxa"/>
                    <w:left w:w="0" w:type="dxa"/>
                    <w:bottom w:w="0" w:type="dxa"/>
                    <w:right w:w="0" w:type="dxa"/>
                  </w:tcMar>
                  <w:vAlign w:val="center"/>
                </w:tcPr>
                <w:p w14:paraId="579D4D4D">
                  <w:pPr>
                    <w:jc w:val="center"/>
                    <w:rPr>
                      <w:color w:val="auto"/>
                      <w:szCs w:val="21"/>
                    </w:rPr>
                  </w:pPr>
                </w:p>
              </w:tc>
              <w:tc>
                <w:tcPr>
                  <w:tcW w:w="655" w:type="dxa"/>
                  <w:shd w:val="clear" w:color="auto" w:fill="FFFFFF"/>
                  <w:tcMar>
                    <w:top w:w="0" w:type="dxa"/>
                    <w:left w:w="0" w:type="dxa"/>
                    <w:bottom w:w="0" w:type="dxa"/>
                    <w:right w:w="0" w:type="dxa"/>
                  </w:tcMar>
                  <w:vAlign w:val="center"/>
                </w:tcPr>
                <w:p w14:paraId="48AB58FD">
                  <w:pPr>
                    <w:jc w:val="center"/>
                    <w:rPr>
                      <w:color w:val="auto"/>
                      <w:szCs w:val="21"/>
                    </w:rPr>
                  </w:pPr>
                  <w:r>
                    <w:rPr>
                      <w:rFonts w:eastAsia="Arial"/>
                      <w:color w:val="auto"/>
                      <w:sz w:val="20"/>
                    </w:rPr>
                    <w:t>8.9</w:t>
                  </w:r>
                </w:p>
              </w:tc>
              <w:tc>
                <w:tcPr>
                  <w:tcW w:w="655" w:type="dxa"/>
                  <w:shd w:val="clear" w:color="auto" w:fill="FFFFFF"/>
                  <w:tcMar>
                    <w:top w:w="0" w:type="dxa"/>
                    <w:left w:w="0" w:type="dxa"/>
                    <w:bottom w:w="0" w:type="dxa"/>
                    <w:right w:w="0" w:type="dxa"/>
                  </w:tcMar>
                  <w:vAlign w:val="center"/>
                </w:tcPr>
                <w:p w14:paraId="7081CFD4">
                  <w:pPr>
                    <w:jc w:val="center"/>
                    <w:rPr>
                      <w:color w:val="auto"/>
                      <w:szCs w:val="21"/>
                    </w:rPr>
                  </w:pPr>
                  <w:r>
                    <w:rPr>
                      <w:rFonts w:eastAsia="Arial"/>
                      <w:color w:val="auto"/>
                      <w:sz w:val="20"/>
                    </w:rPr>
                    <w:t>55.9</w:t>
                  </w:r>
                </w:p>
              </w:tc>
              <w:tc>
                <w:tcPr>
                  <w:tcW w:w="693" w:type="dxa"/>
                  <w:shd w:val="clear" w:color="auto" w:fill="FFFFFF"/>
                  <w:tcMar>
                    <w:top w:w="0" w:type="dxa"/>
                    <w:left w:w="0" w:type="dxa"/>
                    <w:bottom w:w="0" w:type="dxa"/>
                    <w:right w:w="0" w:type="dxa"/>
                  </w:tcMar>
                  <w:vAlign w:val="center"/>
                </w:tcPr>
                <w:p w14:paraId="3F0EE3C3">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39449179">
                  <w:pPr>
                    <w:jc w:val="center"/>
                    <w:rPr>
                      <w:color w:val="auto"/>
                      <w:szCs w:val="21"/>
                    </w:rPr>
                  </w:pPr>
                  <w:r>
                    <w:rPr>
                      <w:rFonts w:eastAsia="Arial"/>
                      <w:color w:val="auto"/>
                      <w:sz w:val="20"/>
                    </w:rPr>
                    <w:t>38.9</w:t>
                  </w:r>
                </w:p>
              </w:tc>
              <w:tc>
                <w:tcPr>
                  <w:tcW w:w="542" w:type="dxa"/>
                  <w:shd w:val="clear" w:color="auto" w:fill="FFFFFF"/>
                  <w:tcMar>
                    <w:top w:w="0" w:type="dxa"/>
                    <w:left w:w="0" w:type="dxa"/>
                    <w:bottom w:w="0" w:type="dxa"/>
                    <w:right w:w="0" w:type="dxa"/>
                  </w:tcMar>
                  <w:vAlign w:val="center"/>
                </w:tcPr>
                <w:p w14:paraId="168D9C70">
                  <w:pPr>
                    <w:jc w:val="center"/>
                    <w:rPr>
                      <w:color w:val="auto"/>
                      <w:szCs w:val="21"/>
                    </w:rPr>
                  </w:pPr>
                  <w:r>
                    <w:rPr>
                      <w:rFonts w:eastAsia="Arial"/>
                      <w:color w:val="auto"/>
                      <w:sz w:val="20"/>
                    </w:rPr>
                    <w:t>119.5</w:t>
                  </w:r>
                </w:p>
              </w:tc>
              <w:tc>
                <w:tcPr>
                  <w:tcW w:w="552" w:type="dxa"/>
                  <w:shd w:val="clear" w:color="auto" w:fill="FFFFFF"/>
                  <w:tcMar>
                    <w:top w:w="0" w:type="dxa"/>
                    <w:left w:w="0" w:type="dxa"/>
                    <w:bottom w:w="0" w:type="dxa"/>
                    <w:right w:w="0" w:type="dxa"/>
                  </w:tcMar>
                  <w:vAlign w:val="center"/>
                </w:tcPr>
                <w:p w14:paraId="51B7211F">
                  <w:pPr>
                    <w:jc w:val="center"/>
                    <w:rPr>
                      <w:color w:val="auto"/>
                      <w:szCs w:val="21"/>
                    </w:rPr>
                  </w:pPr>
                  <w:r>
                    <w:rPr>
                      <w:rFonts w:eastAsia="Arial"/>
                      <w:color w:val="auto"/>
                      <w:sz w:val="20"/>
                    </w:rPr>
                    <w:t>7.9</w:t>
                  </w:r>
                </w:p>
              </w:tc>
              <w:tc>
                <w:tcPr>
                  <w:tcW w:w="583" w:type="dxa"/>
                  <w:shd w:val="clear" w:color="auto" w:fill="FFFFFF"/>
                  <w:tcMar>
                    <w:top w:w="0" w:type="dxa"/>
                    <w:left w:w="0" w:type="dxa"/>
                    <w:bottom w:w="0" w:type="dxa"/>
                    <w:right w:w="0" w:type="dxa"/>
                  </w:tcMar>
                  <w:vAlign w:val="center"/>
                </w:tcPr>
                <w:p w14:paraId="797E7115">
                  <w:pPr>
                    <w:jc w:val="center"/>
                    <w:rPr>
                      <w:color w:val="auto"/>
                      <w:szCs w:val="21"/>
                    </w:rPr>
                  </w:pPr>
                  <w:r>
                    <w:rPr>
                      <w:rFonts w:eastAsia="Arial"/>
                      <w:color w:val="auto"/>
                      <w:sz w:val="20"/>
                    </w:rPr>
                    <w:t>8.6</w:t>
                  </w:r>
                </w:p>
              </w:tc>
              <w:tc>
                <w:tcPr>
                  <w:tcW w:w="539" w:type="dxa"/>
                  <w:shd w:val="clear" w:color="auto" w:fill="FFFFFF"/>
                  <w:tcMar>
                    <w:top w:w="0" w:type="dxa"/>
                    <w:left w:w="0" w:type="dxa"/>
                    <w:bottom w:w="0" w:type="dxa"/>
                    <w:right w:w="0" w:type="dxa"/>
                  </w:tcMar>
                  <w:vAlign w:val="center"/>
                </w:tcPr>
                <w:p w14:paraId="02C53622">
                  <w:pPr>
                    <w:jc w:val="center"/>
                    <w:rPr>
                      <w:color w:val="auto"/>
                      <w:szCs w:val="21"/>
                    </w:rPr>
                  </w:pPr>
                  <w:r>
                    <w:rPr>
                      <w:rFonts w:eastAsia="Arial"/>
                      <w:color w:val="auto"/>
                      <w:sz w:val="20"/>
                    </w:rPr>
                    <w:t>47.3</w:t>
                  </w:r>
                </w:p>
              </w:tc>
              <w:tc>
                <w:tcPr>
                  <w:tcW w:w="539" w:type="dxa"/>
                  <w:shd w:val="clear" w:color="auto" w:fill="FFFFFF"/>
                  <w:tcMar>
                    <w:top w:w="0" w:type="dxa"/>
                    <w:left w:w="0" w:type="dxa"/>
                    <w:bottom w:w="0" w:type="dxa"/>
                    <w:right w:w="0" w:type="dxa"/>
                  </w:tcMar>
                  <w:vAlign w:val="center"/>
                </w:tcPr>
                <w:p w14:paraId="62BA616F">
                  <w:pPr>
                    <w:jc w:val="center"/>
                    <w:rPr>
                      <w:color w:val="auto"/>
                      <w:szCs w:val="21"/>
                    </w:rPr>
                  </w:pPr>
                  <w:r>
                    <w:rPr>
                      <w:rFonts w:eastAsia="Arial"/>
                      <w:color w:val="auto"/>
                      <w:sz w:val="20"/>
                    </w:rPr>
                    <w:t>47.3</w:t>
                  </w:r>
                </w:p>
              </w:tc>
              <w:tc>
                <w:tcPr>
                  <w:tcW w:w="539" w:type="dxa"/>
                  <w:shd w:val="clear" w:color="auto" w:fill="FFFFFF"/>
                  <w:tcMar>
                    <w:top w:w="0" w:type="dxa"/>
                    <w:left w:w="0" w:type="dxa"/>
                    <w:bottom w:w="0" w:type="dxa"/>
                    <w:right w:w="0" w:type="dxa"/>
                  </w:tcMar>
                  <w:vAlign w:val="center"/>
                </w:tcPr>
                <w:p w14:paraId="2338CA2D">
                  <w:pPr>
                    <w:jc w:val="center"/>
                    <w:rPr>
                      <w:color w:val="auto"/>
                      <w:szCs w:val="21"/>
                    </w:rPr>
                  </w:pPr>
                  <w:r>
                    <w:rPr>
                      <w:rFonts w:eastAsia="Arial"/>
                      <w:color w:val="auto"/>
                      <w:sz w:val="20"/>
                    </w:rPr>
                    <w:t>47.9</w:t>
                  </w:r>
                </w:p>
              </w:tc>
              <w:tc>
                <w:tcPr>
                  <w:tcW w:w="577" w:type="dxa"/>
                  <w:shd w:val="clear" w:color="auto" w:fill="FFFFFF"/>
                  <w:tcMar>
                    <w:top w:w="0" w:type="dxa"/>
                    <w:left w:w="0" w:type="dxa"/>
                    <w:bottom w:w="0" w:type="dxa"/>
                    <w:right w:w="0" w:type="dxa"/>
                  </w:tcMar>
                  <w:vAlign w:val="center"/>
                </w:tcPr>
                <w:p w14:paraId="54B0EB93">
                  <w:pPr>
                    <w:jc w:val="center"/>
                    <w:rPr>
                      <w:color w:val="auto"/>
                      <w:szCs w:val="21"/>
                    </w:rPr>
                  </w:pPr>
                  <w:r>
                    <w:rPr>
                      <w:rFonts w:eastAsia="Arial"/>
                      <w:color w:val="auto"/>
                      <w:sz w:val="20"/>
                    </w:rPr>
                    <w:t>47.8</w:t>
                  </w:r>
                </w:p>
              </w:tc>
              <w:tc>
                <w:tcPr>
                  <w:tcW w:w="149" w:type="pct"/>
                  <w:vMerge w:val="continue"/>
                  <w:shd w:val="clear" w:color="auto" w:fill="FFFFFF"/>
                  <w:tcMar>
                    <w:top w:w="0" w:type="dxa"/>
                    <w:left w:w="0" w:type="dxa"/>
                    <w:bottom w:w="0" w:type="dxa"/>
                    <w:right w:w="0" w:type="dxa"/>
                  </w:tcMar>
                  <w:vAlign w:val="center"/>
                </w:tcPr>
                <w:p w14:paraId="224A4E54">
                  <w:pPr>
                    <w:jc w:val="center"/>
                    <w:rPr>
                      <w:color w:val="auto"/>
                      <w:szCs w:val="21"/>
                    </w:rPr>
                  </w:pPr>
                </w:p>
              </w:tc>
              <w:tc>
                <w:tcPr>
                  <w:tcW w:w="520" w:type="dxa"/>
                  <w:shd w:val="clear" w:color="auto" w:fill="FFFFFF"/>
                  <w:tcMar>
                    <w:top w:w="0" w:type="dxa"/>
                    <w:left w:w="0" w:type="dxa"/>
                    <w:bottom w:w="0" w:type="dxa"/>
                    <w:right w:w="0" w:type="dxa"/>
                  </w:tcMar>
                  <w:vAlign w:val="center"/>
                </w:tcPr>
                <w:p w14:paraId="17ABC3E3">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33868700">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4AF5D2EE">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53A9DCAF">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368418D1">
                  <w:pPr>
                    <w:jc w:val="center"/>
                    <w:rPr>
                      <w:color w:val="auto"/>
                      <w:szCs w:val="21"/>
                    </w:rPr>
                  </w:pPr>
                  <w:r>
                    <w:rPr>
                      <w:rFonts w:eastAsia="Arial"/>
                      <w:color w:val="auto"/>
                      <w:sz w:val="20"/>
                    </w:rPr>
                    <w:t>21.3</w:t>
                  </w:r>
                </w:p>
              </w:tc>
              <w:tc>
                <w:tcPr>
                  <w:tcW w:w="561" w:type="dxa"/>
                  <w:shd w:val="clear" w:color="auto" w:fill="FFFFFF"/>
                  <w:tcMar>
                    <w:top w:w="0" w:type="dxa"/>
                    <w:left w:w="0" w:type="dxa"/>
                    <w:bottom w:w="0" w:type="dxa"/>
                    <w:right w:w="0" w:type="dxa"/>
                  </w:tcMar>
                  <w:vAlign w:val="center"/>
                </w:tcPr>
                <w:p w14:paraId="04B8CB58">
                  <w:pPr>
                    <w:jc w:val="center"/>
                    <w:rPr>
                      <w:color w:val="auto"/>
                      <w:szCs w:val="21"/>
                    </w:rPr>
                  </w:pPr>
                  <w:r>
                    <w:rPr>
                      <w:rFonts w:eastAsia="Arial"/>
                      <w:color w:val="auto"/>
                      <w:sz w:val="20"/>
                    </w:rPr>
                    <w:t>21.3</w:t>
                  </w:r>
                </w:p>
              </w:tc>
              <w:tc>
                <w:tcPr>
                  <w:tcW w:w="561" w:type="dxa"/>
                  <w:shd w:val="clear" w:color="auto" w:fill="FFFFFF"/>
                  <w:tcMar>
                    <w:top w:w="0" w:type="dxa"/>
                    <w:left w:w="0" w:type="dxa"/>
                    <w:bottom w:w="0" w:type="dxa"/>
                    <w:right w:w="0" w:type="dxa"/>
                  </w:tcMar>
                  <w:vAlign w:val="center"/>
                </w:tcPr>
                <w:p w14:paraId="405D9209">
                  <w:pPr>
                    <w:jc w:val="center"/>
                    <w:rPr>
                      <w:color w:val="auto"/>
                      <w:szCs w:val="21"/>
                    </w:rPr>
                  </w:pPr>
                  <w:r>
                    <w:rPr>
                      <w:rFonts w:eastAsia="Arial"/>
                      <w:color w:val="auto"/>
                      <w:sz w:val="20"/>
                    </w:rPr>
                    <w:t>21.9</w:t>
                  </w:r>
                </w:p>
              </w:tc>
              <w:tc>
                <w:tcPr>
                  <w:tcW w:w="561" w:type="dxa"/>
                  <w:shd w:val="clear" w:color="auto" w:fill="FFFFFF"/>
                  <w:tcMar>
                    <w:top w:w="0" w:type="dxa"/>
                    <w:left w:w="0" w:type="dxa"/>
                    <w:bottom w:w="0" w:type="dxa"/>
                    <w:right w:w="0" w:type="dxa"/>
                  </w:tcMar>
                  <w:vAlign w:val="center"/>
                </w:tcPr>
                <w:p w14:paraId="60B83D68">
                  <w:pPr>
                    <w:jc w:val="center"/>
                    <w:rPr>
                      <w:color w:val="auto"/>
                      <w:szCs w:val="21"/>
                    </w:rPr>
                  </w:pPr>
                  <w:r>
                    <w:rPr>
                      <w:rFonts w:eastAsia="Arial"/>
                      <w:color w:val="auto"/>
                      <w:sz w:val="20"/>
                    </w:rPr>
                    <w:t>21.8</w:t>
                  </w:r>
                </w:p>
              </w:tc>
              <w:tc>
                <w:tcPr>
                  <w:tcW w:w="279" w:type="pct"/>
                  <w:shd w:val="clear" w:color="auto" w:fill="FFFFFF"/>
                  <w:tcMar>
                    <w:top w:w="0" w:type="dxa"/>
                    <w:left w:w="0" w:type="dxa"/>
                    <w:bottom w:w="0" w:type="dxa"/>
                    <w:right w:w="0" w:type="dxa"/>
                  </w:tcMar>
                  <w:vAlign w:val="center"/>
                </w:tcPr>
                <w:p w14:paraId="1718AC54">
                  <w:pPr>
                    <w:jc w:val="center"/>
                    <w:rPr>
                      <w:color w:val="auto"/>
                      <w:szCs w:val="21"/>
                    </w:rPr>
                  </w:pPr>
                  <w:r>
                    <w:rPr>
                      <w:rFonts w:eastAsia="Arial"/>
                      <w:color w:val="auto"/>
                      <w:szCs w:val="21"/>
                    </w:rPr>
                    <w:t>1</w:t>
                  </w:r>
                </w:p>
              </w:tc>
            </w:tr>
            <w:tr w14:paraId="788C3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64C98DF5">
                  <w:pPr>
                    <w:jc w:val="center"/>
                    <w:rPr>
                      <w:color w:val="auto"/>
                      <w:szCs w:val="21"/>
                    </w:rPr>
                  </w:pPr>
                  <w:r>
                    <w:rPr>
                      <w:rFonts w:eastAsia="Arial"/>
                      <w:color w:val="auto"/>
                      <w:szCs w:val="21"/>
                    </w:rPr>
                    <w:t>8</w:t>
                  </w:r>
                </w:p>
              </w:tc>
              <w:tc>
                <w:tcPr>
                  <w:tcW w:w="179" w:type="pct"/>
                  <w:vMerge w:val="continue"/>
                  <w:shd w:val="clear" w:color="auto" w:fill="FFFFFF"/>
                  <w:tcMar>
                    <w:top w:w="0" w:type="dxa"/>
                    <w:left w:w="0" w:type="dxa"/>
                    <w:bottom w:w="0" w:type="dxa"/>
                    <w:right w:w="0" w:type="dxa"/>
                  </w:tcMar>
                  <w:vAlign w:val="center"/>
                </w:tcPr>
                <w:p w14:paraId="2357D409">
                  <w:pPr>
                    <w:jc w:val="center"/>
                    <w:rPr>
                      <w:color w:val="auto"/>
                      <w:szCs w:val="21"/>
                    </w:rPr>
                  </w:pPr>
                </w:p>
              </w:tc>
              <w:tc>
                <w:tcPr>
                  <w:tcW w:w="222" w:type="pct"/>
                  <w:shd w:val="clear" w:color="auto" w:fill="FFFFFF"/>
                  <w:tcMar>
                    <w:top w:w="0" w:type="dxa"/>
                    <w:left w:w="0" w:type="dxa"/>
                    <w:bottom w:w="0" w:type="dxa"/>
                    <w:right w:w="0" w:type="dxa"/>
                  </w:tcMar>
                  <w:vAlign w:val="center"/>
                </w:tcPr>
                <w:p w14:paraId="7B6E238D">
                  <w:pPr>
                    <w:jc w:val="center"/>
                    <w:rPr>
                      <w:color w:val="auto"/>
                      <w:szCs w:val="21"/>
                    </w:rPr>
                  </w:pPr>
                  <w:r>
                    <w:rPr>
                      <w:rFonts w:eastAsia="Arial"/>
                      <w:color w:val="auto"/>
                      <w:szCs w:val="21"/>
                    </w:rPr>
                    <w:t>烘烤柜炉</w:t>
                  </w:r>
                </w:p>
              </w:tc>
              <w:tc>
                <w:tcPr>
                  <w:tcW w:w="136" w:type="pct"/>
                  <w:shd w:val="clear" w:color="auto" w:fill="FFFFFF"/>
                  <w:tcMar>
                    <w:top w:w="0" w:type="dxa"/>
                    <w:left w:w="0" w:type="dxa"/>
                    <w:bottom w:w="0" w:type="dxa"/>
                    <w:right w:w="0" w:type="dxa"/>
                  </w:tcMar>
                  <w:vAlign w:val="center"/>
                </w:tcPr>
                <w:p w14:paraId="4B56C099">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5A278878">
                  <w:pPr>
                    <w:jc w:val="center"/>
                    <w:rPr>
                      <w:color w:val="auto"/>
                      <w:szCs w:val="21"/>
                    </w:rPr>
                  </w:pPr>
                  <w:r>
                    <w:rPr>
                      <w:rFonts w:eastAsia="Arial"/>
                      <w:color w:val="auto"/>
                      <w:szCs w:val="21"/>
                    </w:rPr>
                    <w:t>65</w:t>
                  </w:r>
                </w:p>
              </w:tc>
              <w:tc>
                <w:tcPr>
                  <w:tcW w:w="187" w:type="pct"/>
                  <w:vMerge w:val="continue"/>
                  <w:shd w:val="clear" w:color="auto" w:fill="FFFFFF"/>
                  <w:tcMar>
                    <w:top w:w="0" w:type="dxa"/>
                    <w:left w:w="0" w:type="dxa"/>
                    <w:bottom w:w="0" w:type="dxa"/>
                    <w:right w:w="0" w:type="dxa"/>
                  </w:tcMar>
                  <w:vAlign w:val="center"/>
                </w:tcPr>
                <w:p w14:paraId="39AB4A19">
                  <w:pPr>
                    <w:jc w:val="center"/>
                    <w:rPr>
                      <w:color w:val="auto"/>
                      <w:szCs w:val="21"/>
                    </w:rPr>
                  </w:pPr>
                </w:p>
              </w:tc>
              <w:tc>
                <w:tcPr>
                  <w:tcW w:w="655" w:type="dxa"/>
                  <w:shd w:val="clear" w:color="auto" w:fill="FFFFFF"/>
                  <w:tcMar>
                    <w:top w:w="0" w:type="dxa"/>
                    <w:left w:w="0" w:type="dxa"/>
                    <w:bottom w:w="0" w:type="dxa"/>
                    <w:right w:w="0" w:type="dxa"/>
                  </w:tcMar>
                  <w:vAlign w:val="center"/>
                </w:tcPr>
                <w:p w14:paraId="7B466723">
                  <w:pPr>
                    <w:jc w:val="center"/>
                    <w:rPr>
                      <w:color w:val="auto"/>
                      <w:szCs w:val="21"/>
                    </w:rPr>
                  </w:pPr>
                  <w:r>
                    <w:rPr>
                      <w:rFonts w:eastAsia="Arial"/>
                      <w:color w:val="auto"/>
                      <w:sz w:val="20"/>
                    </w:rPr>
                    <w:t>5.9</w:t>
                  </w:r>
                </w:p>
              </w:tc>
              <w:tc>
                <w:tcPr>
                  <w:tcW w:w="655" w:type="dxa"/>
                  <w:shd w:val="clear" w:color="auto" w:fill="FFFFFF"/>
                  <w:tcMar>
                    <w:top w:w="0" w:type="dxa"/>
                    <w:left w:w="0" w:type="dxa"/>
                    <w:bottom w:w="0" w:type="dxa"/>
                    <w:right w:w="0" w:type="dxa"/>
                  </w:tcMar>
                  <w:vAlign w:val="center"/>
                </w:tcPr>
                <w:p w14:paraId="56EFA38C">
                  <w:pPr>
                    <w:jc w:val="center"/>
                    <w:rPr>
                      <w:color w:val="auto"/>
                      <w:szCs w:val="21"/>
                    </w:rPr>
                  </w:pPr>
                  <w:r>
                    <w:rPr>
                      <w:rFonts w:eastAsia="Arial"/>
                      <w:color w:val="auto"/>
                      <w:sz w:val="20"/>
                    </w:rPr>
                    <w:t>51.9</w:t>
                  </w:r>
                </w:p>
              </w:tc>
              <w:tc>
                <w:tcPr>
                  <w:tcW w:w="693" w:type="dxa"/>
                  <w:shd w:val="clear" w:color="auto" w:fill="FFFFFF"/>
                  <w:tcMar>
                    <w:top w:w="0" w:type="dxa"/>
                    <w:left w:w="0" w:type="dxa"/>
                    <w:bottom w:w="0" w:type="dxa"/>
                    <w:right w:w="0" w:type="dxa"/>
                  </w:tcMar>
                  <w:vAlign w:val="center"/>
                </w:tcPr>
                <w:p w14:paraId="42621930">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486D0C6C">
                  <w:pPr>
                    <w:jc w:val="center"/>
                    <w:rPr>
                      <w:color w:val="auto"/>
                      <w:szCs w:val="21"/>
                    </w:rPr>
                  </w:pPr>
                  <w:r>
                    <w:rPr>
                      <w:rFonts w:eastAsia="Arial"/>
                      <w:color w:val="auto"/>
                      <w:sz w:val="20"/>
                    </w:rPr>
                    <w:t>39.8</w:t>
                  </w:r>
                </w:p>
              </w:tc>
              <w:tc>
                <w:tcPr>
                  <w:tcW w:w="542" w:type="dxa"/>
                  <w:shd w:val="clear" w:color="auto" w:fill="FFFFFF"/>
                  <w:tcMar>
                    <w:top w:w="0" w:type="dxa"/>
                    <w:left w:w="0" w:type="dxa"/>
                    <w:bottom w:w="0" w:type="dxa"/>
                    <w:right w:w="0" w:type="dxa"/>
                  </w:tcMar>
                  <w:vAlign w:val="center"/>
                </w:tcPr>
                <w:p w14:paraId="1A8257BD">
                  <w:pPr>
                    <w:jc w:val="center"/>
                    <w:rPr>
                      <w:color w:val="auto"/>
                      <w:szCs w:val="21"/>
                    </w:rPr>
                  </w:pPr>
                  <w:r>
                    <w:rPr>
                      <w:rFonts w:eastAsia="Arial"/>
                      <w:color w:val="auto"/>
                      <w:sz w:val="20"/>
                    </w:rPr>
                    <w:t>114.5</w:t>
                  </w:r>
                </w:p>
              </w:tc>
              <w:tc>
                <w:tcPr>
                  <w:tcW w:w="552" w:type="dxa"/>
                  <w:shd w:val="clear" w:color="auto" w:fill="FFFFFF"/>
                  <w:tcMar>
                    <w:top w:w="0" w:type="dxa"/>
                    <w:left w:w="0" w:type="dxa"/>
                    <w:bottom w:w="0" w:type="dxa"/>
                    <w:right w:w="0" w:type="dxa"/>
                  </w:tcMar>
                  <w:vAlign w:val="center"/>
                </w:tcPr>
                <w:p w14:paraId="156CB299">
                  <w:pPr>
                    <w:jc w:val="center"/>
                    <w:rPr>
                      <w:color w:val="auto"/>
                      <w:szCs w:val="21"/>
                    </w:rPr>
                  </w:pPr>
                  <w:r>
                    <w:rPr>
                      <w:rFonts w:eastAsia="Arial"/>
                      <w:color w:val="auto"/>
                      <w:sz w:val="20"/>
                    </w:rPr>
                    <w:t>6.8</w:t>
                  </w:r>
                </w:p>
              </w:tc>
              <w:tc>
                <w:tcPr>
                  <w:tcW w:w="583" w:type="dxa"/>
                  <w:shd w:val="clear" w:color="auto" w:fill="FFFFFF"/>
                  <w:tcMar>
                    <w:top w:w="0" w:type="dxa"/>
                    <w:left w:w="0" w:type="dxa"/>
                    <w:bottom w:w="0" w:type="dxa"/>
                    <w:right w:w="0" w:type="dxa"/>
                  </w:tcMar>
                  <w:vAlign w:val="center"/>
                </w:tcPr>
                <w:p w14:paraId="060C4F42">
                  <w:pPr>
                    <w:jc w:val="center"/>
                    <w:rPr>
                      <w:color w:val="auto"/>
                      <w:szCs w:val="21"/>
                    </w:rPr>
                  </w:pPr>
                  <w:r>
                    <w:rPr>
                      <w:rFonts w:eastAsia="Arial"/>
                      <w:color w:val="auto"/>
                      <w:sz w:val="20"/>
                    </w:rPr>
                    <w:t>13.4</w:t>
                  </w:r>
                </w:p>
              </w:tc>
              <w:tc>
                <w:tcPr>
                  <w:tcW w:w="539" w:type="dxa"/>
                  <w:shd w:val="clear" w:color="auto" w:fill="FFFFFF"/>
                  <w:tcMar>
                    <w:top w:w="0" w:type="dxa"/>
                    <w:left w:w="0" w:type="dxa"/>
                    <w:bottom w:w="0" w:type="dxa"/>
                    <w:right w:w="0" w:type="dxa"/>
                  </w:tcMar>
                  <w:vAlign w:val="center"/>
                </w:tcPr>
                <w:p w14:paraId="214948E2">
                  <w:pPr>
                    <w:jc w:val="center"/>
                    <w:rPr>
                      <w:color w:val="auto"/>
                      <w:szCs w:val="21"/>
                    </w:rPr>
                  </w:pPr>
                  <w:r>
                    <w:rPr>
                      <w:rFonts w:eastAsia="Arial"/>
                      <w:color w:val="auto"/>
                      <w:sz w:val="20"/>
                    </w:rPr>
                    <w:t>44.3</w:t>
                  </w:r>
                </w:p>
              </w:tc>
              <w:tc>
                <w:tcPr>
                  <w:tcW w:w="539" w:type="dxa"/>
                  <w:shd w:val="clear" w:color="auto" w:fill="FFFFFF"/>
                  <w:tcMar>
                    <w:top w:w="0" w:type="dxa"/>
                    <w:left w:w="0" w:type="dxa"/>
                    <w:bottom w:w="0" w:type="dxa"/>
                    <w:right w:w="0" w:type="dxa"/>
                  </w:tcMar>
                  <w:vAlign w:val="center"/>
                </w:tcPr>
                <w:p w14:paraId="137DB888">
                  <w:pPr>
                    <w:jc w:val="center"/>
                    <w:rPr>
                      <w:color w:val="auto"/>
                      <w:szCs w:val="21"/>
                    </w:rPr>
                  </w:pPr>
                  <w:r>
                    <w:rPr>
                      <w:rFonts w:eastAsia="Arial"/>
                      <w:color w:val="auto"/>
                      <w:sz w:val="20"/>
                    </w:rPr>
                    <w:t>44.3</w:t>
                  </w:r>
                </w:p>
              </w:tc>
              <w:tc>
                <w:tcPr>
                  <w:tcW w:w="539" w:type="dxa"/>
                  <w:shd w:val="clear" w:color="auto" w:fill="FFFFFF"/>
                  <w:tcMar>
                    <w:top w:w="0" w:type="dxa"/>
                    <w:left w:w="0" w:type="dxa"/>
                    <w:bottom w:w="0" w:type="dxa"/>
                    <w:right w:w="0" w:type="dxa"/>
                  </w:tcMar>
                  <w:vAlign w:val="center"/>
                </w:tcPr>
                <w:p w14:paraId="591CF63F">
                  <w:pPr>
                    <w:jc w:val="center"/>
                    <w:rPr>
                      <w:color w:val="auto"/>
                      <w:szCs w:val="21"/>
                    </w:rPr>
                  </w:pPr>
                  <w:r>
                    <w:rPr>
                      <w:rFonts w:eastAsia="Arial"/>
                      <w:color w:val="auto"/>
                      <w:sz w:val="20"/>
                    </w:rPr>
                    <w:t>45.1</w:t>
                  </w:r>
                </w:p>
              </w:tc>
              <w:tc>
                <w:tcPr>
                  <w:tcW w:w="577" w:type="dxa"/>
                  <w:shd w:val="clear" w:color="auto" w:fill="FFFFFF"/>
                  <w:tcMar>
                    <w:top w:w="0" w:type="dxa"/>
                    <w:left w:w="0" w:type="dxa"/>
                    <w:bottom w:w="0" w:type="dxa"/>
                    <w:right w:w="0" w:type="dxa"/>
                  </w:tcMar>
                  <w:vAlign w:val="center"/>
                </w:tcPr>
                <w:p w14:paraId="471FBB9C">
                  <w:pPr>
                    <w:jc w:val="center"/>
                    <w:rPr>
                      <w:color w:val="auto"/>
                      <w:szCs w:val="21"/>
                    </w:rPr>
                  </w:pPr>
                  <w:r>
                    <w:rPr>
                      <w:rFonts w:eastAsia="Arial"/>
                      <w:color w:val="auto"/>
                      <w:sz w:val="20"/>
                    </w:rPr>
                    <w:t>44.5</w:t>
                  </w:r>
                </w:p>
              </w:tc>
              <w:tc>
                <w:tcPr>
                  <w:tcW w:w="149" w:type="pct"/>
                  <w:vMerge w:val="continue"/>
                  <w:shd w:val="clear" w:color="auto" w:fill="FFFFFF"/>
                  <w:tcMar>
                    <w:top w:w="0" w:type="dxa"/>
                    <w:left w:w="0" w:type="dxa"/>
                    <w:bottom w:w="0" w:type="dxa"/>
                    <w:right w:w="0" w:type="dxa"/>
                  </w:tcMar>
                  <w:vAlign w:val="center"/>
                </w:tcPr>
                <w:p w14:paraId="276D18A7">
                  <w:pPr>
                    <w:jc w:val="center"/>
                    <w:rPr>
                      <w:color w:val="auto"/>
                      <w:szCs w:val="21"/>
                    </w:rPr>
                  </w:pPr>
                </w:p>
              </w:tc>
              <w:tc>
                <w:tcPr>
                  <w:tcW w:w="520" w:type="dxa"/>
                  <w:shd w:val="clear" w:color="auto" w:fill="FFFFFF"/>
                  <w:tcMar>
                    <w:top w:w="0" w:type="dxa"/>
                    <w:left w:w="0" w:type="dxa"/>
                    <w:bottom w:w="0" w:type="dxa"/>
                    <w:right w:w="0" w:type="dxa"/>
                  </w:tcMar>
                  <w:vAlign w:val="center"/>
                </w:tcPr>
                <w:p w14:paraId="1F57955D">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7E09CA54">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58A3E589">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22A99DB3">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6013A934">
                  <w:pPr>
                    <w:jc w:val="center"/>
                    <w:rPr>
                      <w:color w:val="auto"/>
                      <w:szCs w:val="21"/>
                    </w:rPr>
                  </w:pPr>
                  <w:r>
                    <w:rPr>
                      <w:rFonts w:eastAsia="Arial"/>
                      <w:color w:val="auto"/>
                      <w:sz w:val="20"/>
                    </w:rPr>
                    <w:t>18.3</w:t>
                  </w:r>
                </w:p>
              </w:tc>
              <w:tc>
                <w:tcPr>
                  <w:tcW w:w="561" w:type="dxa"/>
                  <w:shd w:val="clear" w:color="auto" w:fill="FFFFFF"/>
                  <w:tcMar>
                    <w:top w:w="0" w:type="dxa"/>
                    <w:left w:w="0" w:type="dxa"/>
                    <w:bottom w:w="0" w:type="dxa"/>
                    <w:right w:w="0" w:type="dxa"/>
                  </w:tcMar>
                  <w:vAlign w:val="center"/>
                </w:tcPr>
                <w:p w14:paraId="6D4F0D2D">
                  <w:pPr>
                    <w:jc w:val="center"/>
                    <w:rPr>
                      <w:color w:val="auto"/>
                      <w:szCs w:val="21"/>
                    </w:rPr>
                  </w:pPr>
                  <w:r>
                    <w:rPr>
                      <w:rFonts w:eastAsia="Arial"/>
                      <w:color w:val="auto"/>
                      <w:sz w:val="20"/>
                    </w:rPr>
                    <w:t>18.3</w:t>
                  </w:r>
                </w:p>
              </w:tc>
              <w:tc>
                <w:tcPr>
                  <w:tcW w:w="561" w:type="dxa"/>
                  <w:shd w:val="clear" w:color="auto" w:fill="FFFFFF"/>
                  <w:tcMar>
                    <w:top w:w="0" w:type="dxa"/>
                    <w:left w:w="0" w:type="dxa"/>
                    <w:bottom w:w="0" w:type="dxa"/>
                    <w:right w:w="0" w:type="dxa"/>
                  </w:tcMar>
                  <w:vAlign w:val="center"/>
                </w:tcPr>
                <w:p w14:paraId="0CB956A9">
                  <w:pPr>
                    <w:jc w:val="center"/>
                    <w:rPr>
                      <w:color w:val="auto"/>
                      <w:szCs w:val="21"/>
                    </w:rPr>
                  </w:pPr>
                  <w:r>
                    <w:rPr>
                      <w:rFonts w:eastAsia="Arial"/>
                      <w:color w:val="auto"/>
                      <w:sz w:val="20"/>
                    </w:rPr>
                    <w:t>19.1</w:t>
                  </w:r>
                </w:p>
              </w:tc>
              <w:tc>
                <w:tcPr>
                  <w:tcW w:w="561" w:type="dxa"/>
                  <w:shd w:val="clear" w:color="auto" w:fill="FFFFFF"/>
                  <w:tcMar>
                    <w:top w:w="0" w:type="dxa"/>
                    <w:left w:w="0" w:type="dxa"/>
                    <w:bottom w:w="0" w:type="dxa"/>
                    <w:right w:w="0" w:type="dxa"/>
                  </w:tcMar>
                  <w:vAlign w:val="center"/>
                </w:tcPr>
                <w:p w14:paraId="3D3E46AB">
                  <w:pPr>
                    <w:jc w:val="center"/>
                    <w:rPr>
                      <w:color w:val="auto"/>
                      <w:szCs w:val="21"/>
                    </w:rPr>
                  </w:pPr>
                  <w:r>
                    <w:rPr>
                      <w:rFonts w:eastAsia="Arial"/>
                      <w:color w:val="auto"/>
                      <w:sz w:val="20"/>
                    </w:rPr>
                    <w:t>18.5</w:t>
                  </w:r>
                </w:p>
              </w:tc>
              <w:tc>
                <w:tcPr>
                  <w:tcW w:w="279" w:type="pct"/>
                  <w:shd w:val="clear" w:color="auto" w:fill="FFFFFF"/>
                  <w:tcMar>
                    <w:top w:w="0" w:type="dxa"/>
                    <w:left w:w="0" w:type="dxa"/>
                    <w:bottom w:w="0" w:type="dxa"/>
                    <w:right w:w="0" w:type="dxa"/>
                  </w:tcMar>
                  <w:vAlign w:val="center"/>
                </w:tcPr>
                <w:p w14:paraId="1929ED95">
                  <w:pPr>
                    <w:jc w:val="center"/>
                    <w:rPr>
                      <w:color w:val="auto"/>
                      <w:szCs w:val="21"/>
                    </w:rPr>
                  </w:pPr>
                  <w:r>
                    <w:rPr>
                      <w:rFonts w:eastAsia="Arial"/>
                      <w:color w:val="auto"/>
                      <w:szCs w:val="21"/>
                    </w:rPr>
                    <w:t>1</w:t>
                  </w:r>
                </w:p>
              </w:tc>
            </w:tr>
            <w:tr w14:paraId="47670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352750D3">
                  <w:pPr>
                    <w:jc w:val="center"/>
                    <w:rPr>
                      <w:color w:val="auto"/>
                      <w:szCs w:val="21"/>
                    </w:rPr>
                  </w:pPr>
                  <w:r>
                    <w:rPr>
                      <w:rFonts w:eastAsia="Arial"/>
                      <w:color w:val="auto"/>
                      <w:szCs w:val="21"/>
                    </w:rPr>
                    <w:t>9</w:t>
                  </w:r>
                </w:p>
              </w:tc>
              <w:tc>
                <w:tcPr>
                  <w:tcW w:w="179" w:type="pct"/>
                  <w:vMerge w:val="continue"/>
                  <w:shd w:val="clear" w:color="auto" w:fill="FFFFFF"/>
                  <w:tcMar>
                    <w:top w:w="0" w:type="dxa"/>
                    <w:left w:w="0" w:type="dxa"/>
                    <w:bottom w:w="0" w:type="dxa"/>
                    <w:right w:w="0" w:type="dxa"/>
                  </w:tcMar>
                  <w:vAlign w:val="center"/>
                </w:tcPr>
                <w:p w14:paraId="4054729D">
                  <w:pPr>
                    <w:jc w:val="center"/>
                    <w:rPr>
                      <w:color w:val="auto"/>
                      <w:szCs w:val="21"/>
                    </w:rPr>
                  </w:pPr>
                </w:p>
              </w:tc>
              <w:tc>
                <w:tcPr>
                  <w:tcW w:w="222" w:type="pct"/>
                  <w:shd w:val="clear" w:color="auto" w:fill="FFFFFF"/>
                  <w:tcMar>
                    <w:top w:w="0" w:type="dxa"/>
                    <w:left w:w="0" w:type="dxa"/>
                    <w:bottom w:w="0" w:type="dxa"/>
                    <w:right w:w="0" w:type="dxa"/>
                  </w:tcMar>
                  <w:vAlign w:val="center"/>
                </w:tcPr>
                <w:p w14:paraId="02BDC136">
                  <w:pPr>
                    <w:jc w:val="center"/>
                    <w:rPr>
                      <w:color w:val="auto"/>
                      <w:szCs w:val="21"/>
                    </w:rPr>
                  </w:pPr>
                  <w:r>
                    <w:rPr>
                      <w:rFonts w:eastAsia="Arial"/>
                      <w:color w:val="auto"/>
                      <w:szCs w:val="21"/>
                    </w:rPr>
                    <w:t>喷淋柜</w:t>
                  </w:r>
                </w:p>
              </w:tc>
              <w:tc>
                <w:tcPr>
                  <w:tcW w:w="136" w:type="pct"/>
                  <w:shd w:val="clear" w:color="auto" w:fill="FFFFFF"/>
                  <w:tcMar>
                    <w:top w:w="0" w:type="dxa"/>
                    <w:left w:w="0" w:type="dxa"/>
                    <w:bottom w:w="0" w:type="dxa"/>
                    <w:right w:w="0" w:type="dxa"/>
                  </w:tcMar>
                  <w:vAlign w:val="center"/>
                </w:tcPr>
                <w:p w14:paraId="44A9F5BB">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4744DADB">
                  <w:pPr>
                    <w:jc w:val="center"/>
                    <w:rPr>
                      <w:color w:val="auto"/>
                      <w:szCs w:val="21"/>
                    </w:rPr>
                  </w:pPr>
                  <w:r>
                    <w:rPr>
                      <w:rFonts w:eastAsia="Arial"/>
                      <w:color w:val="auto"/>
                      <w:szCs w:val="21"/>
                    </w:rPr>
                    <w:t>65</w:t>
                  </w:r>
                </w:p>
              </w:tc>
              <w:tc>
                <w:tcPr>
                  <w:tcW w:w="187" w:type="pct"/>
                  <w:vMerge w:val="continue"/>
                  <w:shd w:val="clear" w:color="auto" w:fill="FFFFFF"/>
                  <w:tcMar>
                    <w:top w:w="0" w:type="dxa"/>
                    <w:left w:w="0" w:type="dxa"/>
                    <w:bottom w:w="0" w:type="dxa"/>
                    <w:right w:w="0" w:type="dxa"/>
                  </w:tcMar>
                  <w:vAlign w:val="center"/>
                </w:tcPr>
                <w:p w14:paraId="378CDED2">
                  <w:pPr>
                    <w:jc w:val="center"/>
                    <w:rPr>
                      <w:color w:val="auto"/>
                      <w:szCs w:val="21"/>
                    </w:rPr>
                  </w:pPr>
                </w:p>
              </w:tc>
              <w:tc>
                <w:tcPr>
                  <w:tcW w:w="655" w:type="dxa"/>
                  <w:shd w:val="clear" w:color="auto" w:fill="FFFFFF"/>
                  <w:tcMar>
                    <w:top w:w="0" w:type="dxa"/>
                    <w:left w:w="0" w:type="dxa"/>
                    <w:bottom w:w="0" w:type="dxa"/>
                    <w:right w:w="0" w:type="dxa"/>
                  </w:tcMar>
                  <w:vAlign w:val="center"/>
                </w:tcPr>
                <w:p w14:paraId="324D0145">
                  <w:pPr>
                    <w:jc w:val="center"/>
                    <w:rPr>
                      <w:color w:val="auto"/>
                      <w:szCs w:val="21"/>
                    </w:rPr>
                  </w:pPr>
                  <w:r>
                    <w:rPr>
                      <w:rFonts w:eastAsia="Arial"/>
                      <w:color w:val="auto"/>
                      <w:sz w:val="20"/>
                    </w:rPr>
                    <w:t>7.4</w:t>
                  </w:r>
                </w:p>
              </w:tc>
              <w:tc>
                <w:tcPr>
                  <w:tcW w:w="655" w:type="dxa"/>
                  <w:shd w:val="clear" w:color="auto" w:fill="FFFFFF"/>
                  <w:tcMar>
                    <w:top w:w="0" w:type="dxa"/>
                    <w:left w:w="0" w:type="dxa"/>
                    <w:bottom w:w="0" w:type="dxa"/>
                    <w:right w:w="0" w:type="dxa"/>
                  </w:tcMar>
                  <w:vAlign w:val="center"/>
                </w:tcPr>
                <w:p w14:paraId="4F368BE2">
                  <w:pPr>
                    <w:jc w:val="center"/>
                    <w:rPr>
                      <w:color w:val="auto"/>
                      <w:szCs w:val="21"/>
                    </w:rPr>
                  </w:pPr>
                  <w:r>
                    <w:rPr>
                      <w:rFonts w:eastAsia="Arial"/>
                      <w:color w:val="auto"/>
                      <w:sz w:val="20"/>
                    </w:rPr>
                    <w:t>-22</w:t>
                  </w:r>
                </w:p>
              </w:tc>
              <w:tc>
                <w:tcPr>
                  <w:tcW w:w="693" w:type="dxa"/>
                  <w:shd w:val="clear" w:color="auto" w:fill="FFFFFF"/>
                  <w:tcMar>
                    <w:top w:w="0" w:type="dxa"/>
                    <w:left w:w="0" w:type="dxa"/>
                    <w:bottom w:w="0" w:type="dxa"/>
                    <w:right w:w="0" w:type="dxa"/>
                  </w:tcMar>
                  <w:vAlign w:val="center"/>
                </w:tcPr>
                <w:p w14:paraId="7AA13271">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151914FC">
                  <w:pPr>
                    <w:jc w:val="center"/>
                    <w:rPr>
                      <w:color w:val="auto"/>
                      <w:szCs w:val="21"/>
                    </w:rPr>
                  </w:pPr>
                  <w:r>
                    <w:rPr>
                      <w:rFonts w:eastAsia="Arial"/>
                      <w:color w:val="auto"/>
                      <w:sz w:val="20"/>
                    </w:rPr>
                    <w:t>5.8</w:t>
                  </w:r>
                </w:p>
              </w:tc>
              <w:tc>
                <w:tcPr>
                  <w:tcW w:w="542" w:type="dxa"/>
                  <w:shd w:val="clear" w:color="auto" w:fill="FFFFFF"/>
                  <w:tcMar>
                    <w:top w:w="0" w:type="dxa"/>
                    <w:left w:w="0" w:type="dxa"/>
                    <w:bottom w:w="0" w:type="dxa"/>
                    <w:right w:w="0" w:type="dxa"/>
                  </w:tcMar>
                  <w:vAlign w:val="center"/>
                </w:tcPr>
                <w:p w14:paraId="7E46CBCE">
                  <w:pPr>
                    <w:jc w:val="center"/>
                    <w:rPr>
                      <w:color w:val="auto"/>
                      <w:szCs w:val="21"/>
                    </w:rPr>
                  </w:pPr>
                  <w:r>
                    <w:rPr>
                      <w:rFonts w:eastAsia="Arial"/>
                      <w:color w:val="auto"/>
                      <w:sz w:val="20"/>
                    </w:rPr>
                    <w:t>50.2</w:t>
                  </w:r>
                </w:p>
              </w:tc>
              <w:tc>
                <w:tcPr>
                  <w:tcW w:w="552" w:type="dxa"/>
                  <w:shd w:val="clear" w:color="auto" w:fill="FFFFFF"/>
                  <w:tcMar>
                    <w:top w:w="0" w:type="dxa"/>
                    <w:left w:w="0" w:type="dxa"/>
                    <w:bottom w:w="0" w:type="dxa"/>
                    <w:right w:w="0" w:type="dxa"/>
                  </w:tcMar>
                  <w:vAlign w:val="center"/>
                </w:tcPr>
                <w:p w14:paraId="7D0589E1">
                  <w:pPr>
                    <w:jc w:val="center"/>
                    <w:rPr>
                      <w:color w:val="auto"/>
                      <w:szCs w:val="21"/>
                    </w:rPr>
                  </w:pPr>
                  <w:r>
                    <w:rPr>
                      <w:rFonts w:eastAsia="Arial"/>
                      <w:color w:val="auto"/>
                      <w:sz w:val="20"/>
                    </w:rPr>
                    <w:t>37.8</w:t>
                  </w:r>
                </w:p>
              </w:tc>
              <w:tc>
                <w:tcPr>
                  <w:tcW w:w="583" w:type="dxa"/>
                  <w:shd w:val="clear" w:color="auto" w:fill="FFFFFF"/>
                  <w:tcMar>
                    <w:top w:w="0" w:type="dxa"/>
                    <w:left w:w="0" w:type="dxa"/>
                    <w:bottom w:w="0" w:type="dxa"/>
                    <w:right w:w="0" w:type="dxa"/>
                  </w:tcMar>
                  <w:vAlign w:val="center"/>
                </w:tcPr>
                <w:p w14:paraId="58877A3E">
                  <w:pPr>
                    <w:jc w:val="center"/>
                    <w:rPr>
                      <w:color w:val="auto"/>
                      <w:szCs w:val="21"/>
                    </w:rPr>
                  </w:pPr>
                  <w:r>
                    <w:rPr>
                      <w:rFonts w:eastAsia="Arial"/>
                      <w:color w:val="auto"/>
                      <w:sz w:val="20"/>
                    </w:rPr>
                    <w:t>81.4</w:t>
                  </w:r>
                </w:p>
              </w:tc>
              <w:tc>
                <w:tcPr>
                  <w:tcW w:w="539" w:type="dxa"/>
                  <w:shd w:val="clear" w:color="auto" w:fill="FFFFFF"/>
                  <w:tcMar>
                    <w:top w:w="0" w:type="dxa"/>
                    <w:left w:w="0" w:type="dxa"/>
                    <w:bottom w:w="0" w:type="dxa"/>
                    <w:right w:w="0" w:type="dxa"/>
                  </w:tcMar>
                  <w:vAlign w:val="center"/>
                </w:tcPr>
                <w:p w14:paraId="60697FF4">
                  <w:pPr>
                    <w:jc w:val="center"/>
                    <w:rPr>
                      <w:color w:val="auto"/>
                      <w:szCs w:val="21"/>
                    </w:rPr>
                  </w:pPr>
                  <w:r>
                    <w:rPr>
                      <w:rFonts w:eastAsia="Arial"/>
                      <w:color w:val="auto"/>
                      <w:sz w:val="20"/>
                    </w:rPr>
                    <w:t>45.3</w:t>
                  </w:r>
                </w:p>
              </w:tc>
              <w:tc>
                <w:tcPr>
                  <w:tcW w:w="539" w:type="dxa"/>
                  <w:shd w:val="clear" w:color="auto" w:fill="FFFFFF"/>
                  <w:tcMar>
                    <w:top w:w="0" w:type="dxa"/>
                    <w:left w:w="0" w:type="dxa"/>
                    <w:bottom w:w="0" w:type="dxa"/>
                    <w:right w:w="0" w:type="dxa"/>
                  </w:tcMar>
                  <w:vAlign w:val="center"/>
                </w:tcPr>
                <w:p w14:paraId="4A5E8EE7">
                  <w:pPr>
                    <w:jc w:val="center"/>
                    <w:rPr>
                      <w:color w:val="auto"/>
                      <w:szCs w:val="21"/>
                    </w:rPr>
                  </w:pPr>
                  <w:r>
                    <w:rPr>
                      <w:rFonts w:eastAsia="Arial"/>
                      <w:color w:val="auto"/>
                      <w:sz w:val="20"/>
                    </w:rPr>
                    <w:t>44.3</w:t>
                  </w:r>
                </w:p>
              </w:tc>
              <w:tc>
                <w:tcPr>
                  <w:tcW w:w="539" w:type="dxa"/>
                  <w:shd w:val="clear" w:color="auto" w:fill="FFFFFF"/>
                  <w:tcMar>
                    <w:top w:w="0" w:type="dxa"/>
                    <w:left w:w="0" w:type="dxa"/>
                    <w:bottom w:w="0" w:type="dxa"/>
                    <w:right w:w="0" w:type="dxa"/>
                  </w:tcMar>
                  <w:vAlign w:val="center"/>
                </w:tcPr>
                <w:p w14:paraId="289D16E6">
                  <w:pPr>
                    <w:jc w:val="center"/>
                    <w:rPr>
                      <w:color w:val="auto"/>
                      <w:szCs w:val="21"/>
                    </w:rPr>
                  </w:pPr>
                  <w:r>
                    <w:rPr>
                      <w:rFonts w:eastAsia="Arial"/>
                      <w:color w:val="auto"/>
                      <w:sz w:val="20"/>
                    </w:rPr>
                    <w:t>44.3</w:t>
                  </w:r>
                </w:p>
              </w:tc>
              <w:tc>
                <w:tcPr>
                  <w:tcW w:w="577" w:type="dxa"/>
                  <w:shd w:val="clear" w:color="auto" w:fill="FFFFFF"/>
                  <w:tcMar>
                    <w:top w:w="0" w:type="dxa"/>
                    <w:left w:w="0" w:type="dxa"/>
                    <w:bottom w:w="0" w:type="dxa"/>
                    <w:right w:w="0" w:type="dxa"/>
                  </w:tcMar>
                  <w:vAlign w:val="center"/>
                </w:tcPr>
                <w:p w14:paraId="2D844D5F">
                  <w:pPr>
                    <w:jc w:val="center"/>
                    <w:rPr>
                      <w:color w:val="auto"/>
                      <w:szCs w:val="21"/>
                    </w:rPr>
                  </w:pPr>
                  <w:r>
                    <w:rPr>
                      <w:rFonts w:eastAsia="Arial"/>
                      <w:color w:val="auto"/>
                      <w:sz w:val="20"/>
                    </w:rPr>
                    <w:t>44.3</w:t>
                  </w:r>
                </w:p>
              </w:tc>
              <w:tc>
                <w:tcPr>
                  <w:tcW w:w="149" w:type="pct"/>
                  <w:vMerge w:val="continue"/>
                  <w:shd w:val="clear" w:color="auto" w:fill="FFFFFF"/>
                  <w:tcMar>
                    <w:top w:w="0" w:type="dxa"/>
                    <w:left w:w="0" w:type="dxa"/>
                    <w:bottom w:w="0" w:type="dxa"/>
                    <w:right w:w="0" w:type="dxa"/>
                  </w:tcMar>
                  <w:vAlign w:val="center"/>
                </w:tcPr>
                <w:p w14:paraId="47990ADB">
                  <w:pPr>
                    <w:jc w:val="center"/>
                    <w:rPr>
                      <w:color w:val="auto"/>
                      <w:szCs w:val="21"/>
                    </w:rPr>
                  </w:pPr>
                </w:p>
              </w:tc>
              <w:tc>
                <w:tcPr>
                  <w:tcW w:w="520" w:type="dxa"/>
                  <w:shd w:val="clear" w:color="auto" w:fill="FFFFFF"/>
                  <w:tcMar>
                    <w:top w:w="0" w:type="dxa"/>
                    <w:left w:w="0" w:type="dxa"/>
                    <w:bottom w:w="0" w:type="dxa"/>
                    <w:right w:w="0" w:type="dxa"/>
                  </w:tcMar>
                  <w:vAlign w:val="center"/>
                </w:tcPr>
                <w:p w14:paraId="55424920">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6AFC3B19">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69740C31">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24049309">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5E8994F0">
                  <w:pPr>
                    <w:jc w:val="center"/>
                    <w:rPr>
                      <w:color w:val="auto"/>
                      <w:szCs w:val="21"/>
                    </w:rPr>
                  </w:pPr>
                  <w:r>
                    <w:rPr>
                      <w:rFonts w:eastAsia="Arial"/>
                      <w:color w:val="auto"/>
                      <w:sz w:val="20"/>
                    </w:rPr>
                    <w:t>19.3</w:t>
                  </w:r>
                </w:p>
              </w:tc>
              <w:tc>
                <w:tcPr>
                  <w:tcW w:w="561" w:type="dxa"/>
                  <w:shd w:val="clear" w:color="auto" w:fill="FFFFFF"/>
                  <w:tcMar>
                    <w:top w:w="0" w:type="dxa"/>
                    <w:left w:w="0" w:type="dxa"/>
                    <w:bottom w:w="0" w:type="dxa"/>
                    <w:right w:w="0" w:type="dxa"/>
                  </w:tcMar>
                  <w:vAlign w:val="center"/>
                </w:tcPr>
                <w:p w14:paraId="5F239EC4">
                  <w:pPr>
                    <w:jc w:val="center"/>
                    <w:rPr>
                      <w:color w:val="auto"/>
                      <w:szCs w:val="21"/>
                    </w:rPr>
                  </w:pPr>
                  <w:r>
                    <w:rPr>
                      <w:rFonts w:eastAsia="Arial"/>
                      <w:color w:val="auto"/>
                      <w:sz w:val="20"/>
                    </w:rPr>
                    <w:t>18.3</w:t>
                  </w:r>
                </w:p>
              </w:tc>
              <w:tc>
                <w:tcPr>
                  <w:tcW w:w="561" w:type="dxa"/>
                  <w:shd w:val="clear" w:color="auto" w:fill="FFFFFF"/>
                  <w:tcMar>
                    <w:top w:w="0" w:type="dxa"/>
                    <w:left w:w="0" w:type="dxa"/>
                    <w:bottom w:w="0" w:type="dxa"/>
                    <w:right w:w="0" w:type="dxa"/>
                  </w:tcMar>
                  <w:vAlign w:val="center"/>
                </w:tcPr>
                <w:p w14:paraId="748EAE66">
                  <w:pPr>
                    <w:jc w:val="center"/>
                    <w:rPr>
                      <w:color w:val="auto"/>
                      <w:szCs w:val="21"/>
                    </w:rPr>
                  </w:pPr>
                  <w:r>
                    <w:rPr>
                      <w:rFonts w:eastAsia="Arial"/>
                      <w:color w:val="auto"/>
                      <w:sz w:val="20"/>
                    </w:rPr>
                    <w:t>18.3</w:t>
                  </w:r>
                </w:p>
              </w:tc>
              <w:tc>
                <w:tcPr>
                  <w:tcW w:w="561" w:type="dxa"/>
                  <w:shd w:val="clear" w:color="auto" w:fill="FFFFFF"/>
                  <w:tcMar>
                    <w:top w:w="0" w:type="dxa"/>
                    <w:left w:w="0" w:type="dxa"/>
                    <w:bottom w:w="0" w:type="dxa"/>
                    <w:right w:w="0" w:type="dxa"/>
                  </w:tcMar>
                  <w:vAlign w:val="center"/>
                </w:tcPr>
                <w:p w14:paraId="20C58029">
                  <w:pPr>
                    <w:jc w:val="center"/>
                    <w:rPr>
                      <w:color w:val="auto"/>
                      <w:szCs w:val="21"/>
                    </w:rPr>
                  </w:pPr>
                  <w:r>
                    <w:rPr>
                      <w:rFonts w:eastAsia="Arial"/>
                      <w:color w:val="auto"/>
                      <w:sz w:val="20"/>
                    </w:rPr>
                    <w:t>18.3</w:t>
                  </w:r>
                </w:p>
              </w:tc>
              <w:tc>
                <w:tcPr>
                  <w:tcW w:w="279" w:type="pct"/>
                  <w:shd w:val="clear" w:color="auto" w:fill="FFFFFF"/>
                  <w:tcMar>
                    <w:top w:w="0" w:type="dxa"/>
                    <w:left w:w="0" w:type="dxa"/>
                    <w:bottom w:w="0" w:type="dxa"/>
                    <w:right w:w="0" w:type="dxa"/>
                  </w:tcMar>
                  <w:vAlign w:val="center"/>
                </w:tcPr>
                <w:p w14:paraId="53D2572C">
                  <w:pPr>
                    <w:jc w:val="center"/>
                    <w:rPr>
                      <w:color w:val="auto"/>
                      <w:szCs w:val="21"/>
                    </w:rPr>
                  </w:pPr>
                  <w:r>
                    <w:rPr>
                      <w:rFonts w:eastAsia="Arial"/>
                      <w:color w:val="auto"/>
                      <w:szCs w:val="21"/>
                    </w:rPr>
                    <w:t>1</w:t>
                  </w:r>
                </w:p>
              </w:tc>
            </w:tr>
            <w:tr w14:paraId="1C18E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56B47436">
                  <w:pPr>
                    <w:jc w:val="center"/>
                    <w:rPr>
                      <w:color w:val="auto"/>
                      <w:szCs w:val="21"/>
                    </w:rPr>
                  </w:pPr>
                  <w:r>
                    <w:rPr>
                      <w:rFonts w:eastAsia="Arial"/>
                      <w:color w:val="auto"/>
                      <w:szCs w:val="21"/>
                    </w:rPr>
                    <w:t>10</w:t>
                  </w:r>
                </w:p>
              </w:tc>
              <w:tc>
                <w:tcPr>
                  <w:tcW w:w="179" w:type="pct"/>
                  <w:vMerge w:val="restart"/>
                  <w:shd w:val="clear" w:color="auto" w:fill="FFFFFF"/>
                  <w:tcMar>
                    <w:top w:w="0" w:type="dxa"/>
                    <w:left w:w="0" w:type="dxa"/>
                    <w:bottom w:w="0" w:type="dxa"/>
                    <w:right w:w="0" w:type="dxa"/>
                  </w:tcMar>
                  <w:vAlign w:val="center"/>
                </w:tcPr>
                <w:p w14:paraId="63DB2A36">
                  <w:pPr>
                    <w:jc w:val="center"/>
                    <w:rPr>
                      <w:color w:val="auto"/>
                      <w:szCs w:val="21"/>
                    </w:rPr>
                  </w:pPr>
                  <w:r>
                    <w:rPr>
                      <w:rFonts w:eastAsia="Arial"/>
                      <w:color w:val="auto"/>
                      <w:szCs w:val="21"/>
                    </w:rPr>
                    <w:t>源意-五楼声屏障</w:t>
                  </w:r>
                </w:p>
              </w:tc>
              <w:tc>
                <w:tcPr>
                  <w:tcW w:w="222" w:type="pct"/>
                  <w:shd w:val="clear" w:color="auto" w:fill="FFFFFF"/>
                  <w:tcMar>
                    <w:top w:w="0" w:type="dxa"/>
                    <w:left w:w="0" w:type="dxa"/>
                    <w:bottom w:w="0" w:type="dxa"/>
                    <w:right w:w="0" w:type="dxa"/>
                  </w:tcMar>
                  <w:vAlign w:val="center"/>
                </w:tcPr>
                <w:p w14:paraId="69EF375A">
                  <w:pPr>
                    <w:jc w:val="center"/>
                    <w:rPr>
                      <w:color w:val="auto"/>
                      <w:szCs w:val="21"/>
                    </w:rPr>
                  </w:pPr>
                  <w:r>
                    <w:rPr>
                      <w:rFonts w:eastAsia="Arial"/>
                      <w:color w:val="auto"/>
                      <w:szCs w:val="21"/>
                    </w:rPr>
                    <w:t>固化隧道炉</w:t>
                  </w:r>
                </w:p>
              </w:tc>
              <w:tc>
                <w:tcPr>
                  <w:tcW w:w="136" w:type="pct"/>
                  <w:shd w:val="clear" w:color="auto" w:fill="FFFFFF"/>
                  <w:tcMar>
                    <w:top w:w="0" w:type="dxa"/>
                    <w:left w:w="0" w:type="dxa"/>
                    <w:bottom w:w="0" w:type="dxa"/>
                    <w:right w:w="0" w:type="dxa"/>
                  </w:tcMar>
                  <w:vAlign w:val="center"/>
                </w:tcPr>
                <w:p w14:paraId="192B5A74">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2F39D70E">
                  <w:pPr>
                    <w:jc w:val="center"/>
                    <w:rPr>
                      <w:color w:val="auto"/>
                      <w:szCs w:val="21"/>
                    </w:rPr>
                  </w:pPr>
                  <w:r>
                    <w:rPr>
                      <w:rFonts w:eastAsia="Arial"/>
                      <w:color w:val="auto"/>
                      <w:szCs w:val="21"/>
                    </w:rPr>
                    <w:t>70</w:t>
                  </w:r>
                </w:p>
              </w:tc>
              <w:tc>
                <w:tcPr>
                  <w:tcW w:w="187" w:type="pct"/>
                  <w:vMerge w:val="continue"/>
                  <w:shd w:val="clear" w:color="auto" w:fill="FFFFFF"/>
                  <w:tcMar>
                    <w:top w:w="0" w:type="dxa"/>
                    <w:left w:w="0" w:type="dxa"/>
                    <w:bottom w:w="0" w:type="dxa"/>
                    <w:right w:w="0" w:type="dxa"/>
                  </w:tcMar>
                  <w:vAlign w:val="center"/>
                </w:tcPr>
                <w:p w14:paraId="58FBEF6E">
                  <w:pPr>
                    <w:jc w:val="center"/>
                    <w:rPr>
                      <w:color w:val="auto"/>
                      <w:szCs w:val="21"/>
                    </w:rPr>
                  </w:pPr>
                </w:p>
              </w:tc>
              <w:tc>
                <w:tcPr>
                  <w:tcW w:w="655" w:type="dxa"/>
                  <w:shd w:val="clear" w:color="auto" w:fill="FFFFFF"/>
                  <w:tcMar>
                    <w:top w:w="0" w:type="dxa"/>
                    <w:left w:w="0" w:type="dxa"/>
                    <w:bottom w:w="0" w:type="dxa"/>
                    <w:right w:w="0" w:type="dxa"/>
                  </w:tcMar>
                  <w:vAlign w:val="center"/>
                </w:tcPr>
                <w:p w14:paraId="541D2367">
                  <w:pPr>
                    <w:jc w:val="center"/>
                    <w:rPr>
                      <w:color w:val="auto"/>
                      <w:szCs w:val="21"/>
                    </w:rPr>
                  </w:pPr>
                  <w:r>
                    <w:rPr>
                      <w:rFonts w:eastAsia="Arial"/>
                      <w:color w:val="auto"/>
                      <w:sz w:val="20"/>
                    </w:rPr>
                    <w:t>-2.1</w:t>
                  </w:r>
                </w:p>
              </w:tc>
              <w:tc>
                <w:tcPr>
                  <w:tcW w:w="655" w:type="dxa"/>
                  <w:shd w:val="clear" w:color="auto" w:fill="FFFFFF"/>
                  <w:tcMar>
                    <w:top w:w="0" w:type="dxa"/>
                    <w:left w:w="0" w:type="dxa"/>
                    <w:bottom w:w="0" w:type="dxa"/>
                    <w:right w:w="0" w:type="dxa"/>
                  </w:tcMar>
                  <w:vAlign w:val="center"/>
                </w:tcPr>
                <w:p w14:paraId="7CE41B74">
                  <w:pPr>
                    <w:jc w:val="center"/>
                    <w:rPr>
                      <w:color w:val="auto"/>
                      <w:szCs w:val="21"/>
                    </w:rPr>
                  </w:pPr>
                  <w:r>
                    <w:rPr>
                      <w:rFonts w:eastAsia="Arial"/>
                      <w:color w:val="auto"/>
                      <w:sz w:val="20"/>
                    </w:rPr>
                    <w:t>-8.1</w:t>
                  </w:r>
                </w:p>
              </w:tc>
              <w:tc>
                <w:tcPr>
                  <w:tcW w:w="693" w:type="dxa"/>
                  <w:shd w:val="clear" w:color="auto" w:fill="FFFFFF"/>
                  <w:tcMar>
                    <w:top w:w="0" w:type="dxa"/>
                    <w:left w:w="0" w:type="dxa"/>
                    <w:bottom w:w="0" w:type="dxa"/>
                    <w:right w:w="0" w:type="dxa"/>
                  </w:tcMar>
                  <w:vAlign w:val="center"/>
                </w:tcPr>
                <w:p w14:paraId="55FE26B4">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121FA115">
                  <w:pPr>
                    <w:jc w:val="center"/>
                    <w:rPr>
                      <w:color w:val="auto"/>
                      <w:szCs w:val="21"/>
                    </w:rPr>
                  </w:pPr>
                  <w:r>
                    <w:rPr>
                      <w:rFonts w:eastAsia="Arial"/>
                      <w:color w:val="auto"/>
                      <w:sz w:val="20"/>
                    </w:rPr>
                    <w:t>20.5</w:t>
                  </w:r>
                </w:p>
              </w:tc>
              <w:tc>
                <w:tcPr>
                  <w:tcW w:w="542" w:type="dxa"/>
                  <w:shd w:val="clear" w:color="auto" w:fill="FFFFFF"/>
                  <w:tcMar>
                    <w:top w:w="0" w:type="dxa"/>
                    <w:left w:w="0" w:type="dxa"/>
                    <w:bottom w:w="0" w:type="dxa"/>
                    <w:right w:w="0" w:type="dxa"/>
                  </w:tcMar>
                  <w:vAlign w:val="center"/>
                </w:tcPr>
                <w:p w14:paraId="6273665D">
                  <w:pPr>
                    <w:jc w:val="center"/>
                    <w:rPr>
                      <w:color w:val="auto"/>
                      <w:szCs w:val="21"/>
                    </w:rPr>
                  </w:pPr>
                  <w:r>
                    <w:rPr>
                      <w:rFonts w:eastAsia="Arial"/>
                      <w:color w:val="auto"/>
                      <w:sz w:val="20"/>
                    </w:rPr>
                    <w:t>58.4</w:t>
                  </w:r>
                </w:p>
              </w:tc>
              <w:tc>
                <w:tcPr>
                  <w:tcW w:w="552" w:type="dxa"/>
                  <w:shd w:val="clear" w:color="auto" w:fill="FFFFFF"/>
                  <w:tcMar>
                    <w:top w:w="0" w:type="dxa"/>
                    <w:left w:w="0" w:type="dxa"/>
                    <w:bottom w:w="0" w:type="dxa"/>
                    <w:right w:w="0" w:type="dxa"/>
                  </w:tcMar>
                  <w:vAlign w:val="center"/>
                </w:tcPr>
                <w:p w14:paraId="002ADF6C">
                  <w:pPr>
                    <w:jc w:val="center"/>
                    <w:rPr>
                      <w:color w:val="auto"/>
                      <w:szCs w:val="21"/>
                    </w:rPr>
                  </w:pPr>
                  <w:r>
                    <w:rPr>
                      <w:rFonts w:eastAsia="Arial"/>
                      <w:color w:val="auto"/>
                      <w:sz w:val="20"/>
                    </w:rPr>
                    <w:t>23.6</w:t>
                  </w:r>
                </w:p>
              </w:tc>
              <w:tc>
                <w:tcPr>
                  <w:tcW w:w="583" w:type="dxa"/>
                  <w:shd w:val="clear" w:color="auto" w:fill="FFFFFF"/>
                  <w:tcMar>
                    <w:top w:w="0" w:type="dxa"/>
                    <w:left w:w="0" w:type="dxa"/>
                    <w:bottom w:w="0" w:type="dxa"/>
                    <w:right w:w="0" w:type="dxa"/>
                  </w:tcMar>
                  <w:vAlign w:val="center"/>
                </w:tcPr>
                <w:p w14:paraId="07C9D95A">
                  <w:pPr>
                    <w:jc w:val="center"/>
                    <w:rPr>
                      <w:color w:val="auto"/>
                      <w:szCs w:val="21"/>
                    </w:rPr>
                  </w:pPr>
                  <w:r>
                    <w:rPr>
                      <w:rFonts w:eastAsia="Arial"/>
                      <w:color w:val="auto"/>
                      <w:sz w:val="20"/>
                    </w:rPr>
                    <w:t>71.4</w:t>
                  </w:r>
                </w:p>
              </w:tc>
              <w:tc>
                <w:tcPr>
                  <w:tcW w:w="539" w:type="dxa"/>
                  <w:shd w:val="clear" w:color="auto" w:fill="FFFFFF"/>
                  <w:tcMar>
                    <w:top w:w="0" w:type="dxa"/>
                    <w:left w:w="0" w:type="dxa"/>
                    <w:bottom w:w="0" w:type="dxa"/>
                    <w:right w:w="0" w:type="dxa"/>
                  </w:tcMar>
                  <w:vAlign w:val="center"/>
                </w:tcPr>
                <w:p w14:paraId="65A3FE21">
                  <w:pPr>
                    <w:jc w:val="center"/>
                    <w:rPr>
                      <w:color w:val="auto"/>
                      <w:szCs w:val="21"/>
                    </w:rPr>
                  </w:pPr>
                  <w:r>
                    <w:rPr>
                      <w:rFonts w:eastAsia="Arial"/>
                      <w:color w:val="auto"/>
                      <w:sz w:val="20"/>
                    </w:rPr>
                    <w:t>48.4</w:t>
                  </w:r>
                </w:p>
              </w:tc>
              <w:tc>
                <w:tcPr>
                  <w:tcW w:w="539" w:type="dxa"/>
                  <w:shd w:val="clear" w:color="auto" w:fill="FFFFFF"/>
                  <w:tcMar>
                    <w:top w:w="0" w:type="dxa"/>
                    <w:left w:w="0" w:type="dxa"/>
                    <w:bottom w:w="0" w:type="dxa"/>
                    <w:right w:w="0" w:type="dxa"/>
                  </w:tcMar>
                  <w:vAlign w:val="center"/>
                </w:tcPr>
                <w:p w14:paraId="5F591530">
                  <w:pPr>
                    <w:jc w:val="center"/>
                    <w:rPr>
                      <w:color w:val="auto"/>
                      <w:szCs w:val="21"/>
                    </w:rPr>
                  </w:pPr>
                  <w:r>
                    <w:rPr>
                      <w:rFonts w:eastAsia="Arial"/>
                      <w:color w:val="auto"/>
                      <w:sz w:val="20"/>
                    </w:rPr>
                    <w:t>48.3</w:t>
                  </w:r>
                </w:p>
              </w:tc>
              <w:tc>
                <w:tcPr>
                  <w:tcW w:w="539" w:type="dxa"/>
                  <w:shd w:val="clear" w:color="auto" w:fill="FFFFFF"/>
                  <w:tcMar>
                    <w:top w:w="0" w:type="dxa"/>
                    <w:left w:w="0" w:type="dxa"/>
                    <w:bottom w:w="0" w:type="dxa"/>
                    <w:right w:w="0" w:type="dxa"/>
                  </w:tcMar>
                  <w:vAlign w:val="center"/>
                </w:tcPr>
                <w:p w14:paraId="778EC1DA">
                  <w:pPr>
                    <w:jc w:val="center"/>
                    <w:rPr>
                      <w:color w:val="auto"/>
                      <w:szCs w:val="21"/>
                    </w:rPr>
                  </w:pPr>
                  <w:r>
                    <w:rPr>
                      <w:rFonts w:eastAsia="Arial"/>
                      <w:color w:val="auto"/>
                      <w:sz w:val="20"/>
                    </w:rPr>
                    <w:t>48.4</w:t>
                  </w:r>
                </w:p>
              </w:tc>
              <w:tc>
                <w:tcPr>
                  <w:tcW w:w="577" w:type="dxa"/>
                  <w:shd w:val="clear" w:color="auto" w:fill="FFFFFF"/>
                  <w:tcMar>
                    <w:top w:w="0" w:type="dxa"/>
                    <w:left w:w="0" w:type="dxa"/>
                    <w:bottom w:w="0" w:type="dxa"/>
                    <w:right w:w="0" w:type="dxa"/>
                  </w:tcMar>
                  <w:vAlign w:val="center"/>
                </w:tcPr>
                <w:p w14:paraId="3AAFCC38">
                  <w:pPr>
                    <w:jc w:val="center"/>
                    <w:rPr>
                      <w:color w:val="auto"/>
                      <w:szCs w:val="21"/>
                    </w:rPr>
                  </w:pPr>
                  <w:r>
                    <w:rPr>
                      <w:rFonts w:eastAsia="Arial"/>
                      <w:color w:val="auto"/>
                      <w:sz w:val="20"/>
                    </w:rPr>
                    <w:t>48.3</w:t>
                  </w:r>
                </w:p>
              </w:tc>
              <w:tc>
                <w:tcPr>
                  <w:tcW w:w="149" w:type="pct"/>
                  <w:vMerge w:val="continue"/>
                  <w:shd w:val="clear" w:color="auto" w:fill="FFFFFF"/>
                  <w:tcMar>
                    <w:top w:w="0" w:type="dxa"/>
                    <w:left w:w="0" w:type="dxa"/>
                    <w:bottom w:w="0" w:type="dxa"/>
                    <w:right w:w="0" w:type="dxa"/>
                  </w:tcMar>
                  <w:vAlign w:val="center"/>
                </w:tcPr>
                <w:p w14:paraId="053A5C49">
                  <w:pPr>
                    <w:jc w:val="center"/>
                    <w:rPr>
                      <w:color w:val="auto"/>
                      <w:szCs w:val="21"/>
                    </w:rPr>
                  </w:pPr>
                </w:p>
              </w:tc>
              <w:tc>
                <w:tcPr>
                  <w:tcW w:w="520" w:type="dxa"/>
                  <w:shd w:val="clear" w:color="auto" w:fill="FFFFFF"/>
                  <w:tcMar>
                    <w:top w:w="0" w:type="dxa"/>
                    <w:left w:w="0" w:type="dxa"/>
                    <w:bottom w:w="0" w:type="dxa"/>
                    <w:right w:w="0" w:type="dxa"/>
                  </w:tcMar>
                  <w:vAlign w:val="center"/>
                </w:tcPr>
                <w:p w14:paraId="2AF30B20">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48FEA3B7">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6BDB7C31">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5E386666">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34BD47F9">
                  <w:pPr>
                    <w:jc w:val="center"/>
                    <w:rPr>
                      <w:color w:val="auto"/>
                      <w:szCs w:val="21"/>
                    </w:rPr>
                  </w:pPr>
                  <w:r>
                    <w:rPr>
                      <w:rFonts w:eastAsia="Arial"/>
                      <w:color w:val="auto"/>
                      <w:sz w:val="20"/>
                    </w:rPr>
                    <w:t>22.4</w:t>
                  </w:r>
                </w:p>
              </w:tc>
              <w:tc>
                <w:tcPr>
                  <w:tcW w:w="561" w:type="dxa"/>
                  <w:shd w:val="clear" w:color="auto" w:fill="FFFFFF"/>
                  <w:tcMar>
                    <w:top w:w="0" w:type="dxa"/>
                    <w:left w:w="0" w:type="dxa"/>
                    <w:bottom w:w="0" w:type="dxa"/>
                    <w:right w:w="0" w:type="dxa"/>
                  </w:tcMar>
                  <w:vAlign w:val="center"/>
                </w:tcPr>
                <w:p w14:paraId="5C7EEB08">
                  <w:pPr>
                    <w:jc w:val="center"/>
                    <w:rPr>
                      <w:color w:val="auto"/>
                      <w:szCs w:val="21"/>
                    </w:rPr>
                  </w:pPr>
                  <w:r>
                    <w:rPr>
                      <w:rFonts w:eastAsia="Arial"/>
                      <w:color w:val="auto"/>
                      <w:sz w:val="20"/>
                    </w:rPr>
                    <w:t>22.3</w:t>
                  </w:r>
                </w:p>
              </w:tc>
              <w:tc>
                <w:tcPr>
                  <w:tcW w:w="561" w:type="dxa"/>
                  <w:shd w:val="clear" w:color="auto" w:fill="FFFFFF"/>
                  <w:tcMar>
                    <w:top w:w="0" w:type="dxa"/>
                    <w:left w:w="0" w:type="dxa"/>
                    <w:bottom w:w="0" w:type="dxa"/>
                    <w:right w:w="0" w:type="dxa"/>
                  </w:tcMar>
                  <w:vAlign w:val="center"/>
                </w:tcPr>
                <w:p w14:paraId="0C0B6801">
                  <w:pPr>
                    <w:jc w:val="center"/>
                    <w:rPr>
                      <w:color w:val="auto"/>
                      <w:szCs w:val="21"/>
                    </w:rPr>
                  </w:pPr>
                  <w:r>
                    <w:rPr>
                      <w:rFonts w:eastAsia="Arial"/>
                      <w:color w:val="auto"/>
                      <w:sz w:val="20"/>
                    </w:rPr>
                    <w:t>22.4</w:t>
                  </w:r>
                </w:p>
              </w:tc>
              <w:tc>
                <w:tcPr>
                  <w:tcW w:w="561" w:type="dxa"/>
                  <w:shd w:val="clear" w:color="auto" w:fill="FFFFFF"/>
                  <w:tcMar>
                    <w:top w:w="0" w:type="dxa"/>
                    <w:left w:w="0" w:type="dxa"/>
                    <w:bottom w:w="0" w:type="dxa"/>
                    <w:right w:w="0" w:type="dxa"/>
                  </w:tcMar>
                  <w:vAlign w:val="center"/>
                </w:tcPr>
                <w:p w14:paraId="2CA19687">
                  <w:pPr>
                    <w:jc w:val="center"/>
                    <w:rPr>
                      <w:color w:val="auto"/>
                      <w:szCs w:val="21"/>
                    </w:rPr>
                  </w:pPr>
                  <w:r>
                    <w:rPr>
                      <w:rFonts w:eastAsia="Arial"/>
                      <w:color w:val="auto"/>
                      <w:sz w:val="20"/>
                    </w:rPr>
                    <w:t>22.3</w:t>
                  </w:r>
                </w:p>
              </w:tc>
              <w:tc>
                <w:tcPr>
                  <w:tcW w:w="279" w:type="pct"/>
                  <w:shd w:val="clear" w:color="auto" w:fill="FFFFFF"/>
                  <w:tcMar>
                    <w:top w:w="0" w:type="dxa"/>
                    <w:left w:w="0" w:type="dxa"/>
                    <w:bottom w:w="0" w:type="dxa"/>
                    <w:right w:w="0" w:type="dxa"/>
                  </w:tcMar>
                  <w:vAlign w:val="center"/>
                </w:tcPr>
                <w:p w14:paraId="4E187A4E">
                  <w:pPr>
                    <w:jc w:val="center"/>
                    <w:rPr>
                      <w:color w:val="auto"/>
                      <w:szCs w:val="21"/>
                    </w:rPr>
                  </w:pPr>
                  <w:r>
                    <w:rPr>
                      <w:rFonts w:eastAsia="Arial"/>
                      <w:color w:val="auto"/>
                      <w:szCs w:val="21"/>
                    </w:rPr>
                    <w:t>1</w:t>
                  </w:r>
                </w:p>
              </w:tc>
            </w:tr>
            <w:tr w14:paraId="605BD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01F70E30">
                  <w:pPr>
                    <w:jc w:val="center"/>
                    <w:rPr>
                      <w:color w:val="auto"/>
                      <w:szCs w:val="21"/>
                    </w:rPr>
                  </w:pPr>
                  <w:r>
                    <w:rPr>
                      <w:rFonts w:eastAsia="Arial"/>
                      <w:color w:val="auto"/>
                      <w:szCs w:val="21"/>
                    </w:rPr>
                    <w:t>11</w:t>
                  </w:r>
                </w:p>
              </w:tc>
              <w:tc>
                <w:tcPr>
                  <w:tcW w:w="179" w:type="pct"/>
                  <w:vMerge w:val="continue"/>
                  <w:shd w:val="clear" w:color="auto" w:fill="FFFFFF"/>
                  <w:tcMar>
                    <w:top w:w="0" w:type="dxa"/>
                    <w:left w:w="0" w:type="dxa"/>
                    <w:bottom w:w="0" w:type="dxa"/>
                    <w:right w:w="0" w:type="dxa"/>
                  </w:tcMar>
                  <w:vAlign w:val="center"/>
                </w:tcPr>
                <w:p w14:paraId="7DE7E781">
                  <w:pPr>
                    <w:jc w:val="center"/>
                    <w:rPr>
                      <w:color w:val="auto"/>
                      <w:szCs w:val="21"/>
                    </w:rPr>
                  </w:pPr>
                </w:p>
              </w:tc>
              <w:tc>
                <w:tcPr>
                  <w:tcW w:w="222" w:type="pct"/>
                  <w:shd w:val="clear" w:color="auto" w:fill="FFFFFF"/>
                  <w:tcMar>
                    <w:top w:w="0" w:type="dxa"/>
                    <w:left w:w="0" w:type="dxa"/>
                    <w:bottom w:w="0" w:type="dxa"/>
                    <w:right w:w="0" w:type="dxa"/>
                  </w:tcMar>
                  <w:vAlign w:val="center"/>
                </w:tcPr>
                <w:p w14:paraId="44A9362D">
                  <w:pPr>
                    <w:jc w:val="center"/>
                    <w:rPr>
                      <w:color w:val="auto"/>
                      <w:szCs w:val="21"/>
                    </w:rPr>
                  </w:pPr>
                  <w:r>
                    <w:rPr>
                      <w:rFonts w:eastAsia="Arial"/>
                      <w:color w:val="auto"/>
                      <w:szCs w:val="21"/>
                    </w:rPr>
                    <w:t>底、面漆烘烤隧道炉</w:t>
                  </w:r>
                </w:p>
              </w:tc>
              <w:tc>
                <w:tcPr>
                  <w:tcW w:w="136" w:type="pct"/>
                  <w:shd w:val="clear" w:color="auto" w:fill="FFFFFF"/>
                  <w:tcMar>
                    <w:top w:w="0" w:type="dxa"/>
                    <w:left w:w="0" w:type="dxa"/>
                    <w:bottom w:w="0" w:type="dxa"/>
                    <w:right w:w="0" w:type="dxa"/>
                  </w:tcMar>
                  <w:vAlign w:val="center"/>
                </w:tcPr>
                <w:p w14:paraId="2A9045EC">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7BD745F3">
                  <w:pPr>
                    <w:jc w:val="center"/>
                    <w:rPr>
                      <w:color w:val="auto"/>
                      <w:szCs w:val="21"/>
                    </w:rPr>
                  </w:pPr>
                  <w:r>
                    <w:rPr>
                      <w:rFonts w:eastAsia="Arial"/>
                      <w:color w:val="auto"/>
                      <w:szCs w:val="21"/>
                    </w:rPr>
                    <w:t>70</w:t>
                  </w:r>
                </w:p>
              </w:tc>
              <w:tc>
                <w:tcPr>
                  <w:tcW w:w="187" w:type="pct"/>
                  <w:vMerge w:val="continue"/>
                  <w:shd w:val="clear" w:color="auto" w:fill="FFFFFF"/>
                  <w:tcMar>
                    <w:top w:w="0" w:type="dxa"/>
                    <w:left w:w="0" w:type="dxa"/>
                    <w:bottom w:w="0" w:type="dxa"/>
                    <w:right w:w="0" w:type="dxa"/>
                  </w:tcMar>
                  <w:vAlign w:val="center"/>
                </w:tcPr>
                <w:p w14:paraId="0CA3659B">
                  <w:pPr>
                    <w:jc w:val="center"/>
                    <w:rPr>
                      <w:color w:val="auto"/>
                      <w:szCs w:val="21"/>
                    </w:rPr>
                  </w:pPr>
                </w:p>
              </w:tc>
              <w:tc>
                <w:tcPr>
                  <w:tcW w:w="655" w:type="dxa"/>
                  <w:shd w:val="clear" w:color="auto" w:fill="FFFFFF"/>
                  <w:tcMar>
                    <w:top w:w="0" w:type="dxa"/>
                    <w:left w:w="0" w:type="dxa"/>
                    <w:bottom w:w="0" w:type="dxa"/>
                    <w:right w:w="0" w:type="dxa"/>
                  </w:tcMar>
                  <w:vAlign w:val="center"/>
                </w:tcPr>
                <w:p w14:paraId="737D9531">
                  <w:pPr>
                    <w:jc w:val="center"/>
                    <w:rPr>
                      <w:color w:val="auto"/>
                      <w:szCs w:val="21"/>
                    </w:rPr>
                  </w:pPr>
                  <w:r>
                    <w:rPr>
                      <w:rFonts w:eastAsia="Arial"/>
                      <w:color w:val="auto"/>
                      <w:sz w:val="20"/>
                    </w:rPr>
                    <w:t>-6.5</w:t>
                  </w:r>
                </w:p>
              </w:tc>
              <w:tc>
                <w:tcPr>
                  <w:tcW w:w="655" w:type="dxa"/>
                  <w:shd w:val="clear" w:color="auto" w:fill="FFFFFF"/>
                  <w:tcMar>
                    <w:top w:w="0" w:type="dxa"/>
                    <w:left w:w="0" w:type="dxa"/>
                    <w:bottom w:w="0" w:type="dxa"/>
                    <w:right w:w="0" w:type="dxa"/>
                  </w:tcMar>
                  <w:vAlign w:val="center"/>
                </w:tcPr>
                <w:p w14:paraId="33D1673F">
                  <w:pPr>
                    <w:jc w:val="center"/>
                    <w:rPr>
                      <w:color w:val="auto"/>
                      <w:szCs w:val="21"/>
                    </w:rPr>
                  </w:pPr>
                  <w:r>
                    <w:rPr>
                      <w:rFonts w:eastAsia="Arial"/>
                      <w:color w:val="auto"/>
                      <w:sz w:val="20"/>
                    </w:rPr>
                    <w:t>-5.6</w:t>
                  </w:r>
                </w:p>
              </w:tc>
              <w:tc>
                <w:tcPr>
                  <w:tcW w:w="693" w:type="dxa"/>
                  <w:shd w:val="clear" w:color="auto" w:fill="FFFFFF"/>
                  <w:tcMar>
                    <w:top w:w="0" w:type="dxa"/>
                    <w:left w:w="0" w:type="dxa"/>
                    <w:bottom w:w="0" w:type="dxa"/>
                    <w:right w:w="0" w:type="dxa"/>
                  </w:tcMar>
                  <w:vAlign w:val="center"/>
                </w:tcPr>
                <w:p w14:paraId="0372ABD7">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61370350">
                  <w:pPr>
                    <w:jc w:val="center"/>
                    <w:rPr>
                      <w:color w:val="auto"/>
                      <w:szCs w:val="21"/>
                    </w:rPr>
                  </w:pPr>
                  <w:r>
                    <w:rPr>
                      <w:rFonts w:eastAsia="Arial"/>
                      <w:color w:val="auto"/>
                      <w:sz w:val="20"/>
                    </w:rPr>
                    <w:t>25.6</w:t>
                  </w:r>
                </w:p>
              </w:tc>
              <w:tc>
                <w:tcPr>
                  <w:tcW w:w="542" w:type="dxa"/>
                  <w:shd w:val="clear" w:color="auto" w:fill="FFFFFF"/>
                  <w:tcMar>
                    <w:top w:w="0" w:type="dxa"/>
                    <w:left w:w="0" w:type="dxa"/>
                    <w:bottom w:w="0" w:type="dxa"/>
                    <w:right w:w="0" w:type="dxa"/>
                  </w:tcMar>
                  <w:vAlign w:val="center"/>
                </w:tcPr>
                <w:p w14:paraId="1686F459">
                  <w:pPr>
                    <w:jc w:val="center"/>
                    <w:rPr>
                      <w:color w:val="auto"/>
                      <w:szCs w:val="21"/>
                    </w:rPr>
                  </w:pPr>
                  <w:r>
                    <w:rPr>
                      <w:rFonts w:eastAsia="Arial"/>
                      <w:color w:val="auto"/>
                      <w:sz w:val="20"/>
                    </w:rPr>
                    <w:t>58.6</w:t>
                  </w:r>
                </w:p>
              </w:tc>
              <w:tc>
                <w:tcPr>
                  <w:tcW w:w="552" w:type="dxa"/>
                  <w:shd w:val="clear" w:color="auto" w:fill="FFFFFF"/>
                  <w:tcMar>
                    <w:top w:w="0" w:type="dxa"/>
                    <w:left w:w="0" w:type="dxa"/>
                    <w:bottom w:w="0" w:type="dxa"/>
                    <w:right w:w="0" w:type="dxa"/>
                  </w:tcMar>
                  <w:vAlign w:val="center"/>
                </w:tcPr>
                <w:p w14:paraId="5258BD78">
                  <w:pPr>
                    <w:jc w:val="center"/>
                    <w:rPr>
                      <w:color w:val="auto"/>
                      <w:szCs w:val="21"/>
                    </w:rPr>
                  </w:pPr>
                  <w:r>
                    <w:rPr>
                      <w:rFonts w:eastAsia="Arial"/>
                      <w:color w:val="auto"/>
                      <w:sz w:val="20"/>
                    </w:rPr>
                    <w:t>18.5</w:t>
                  </w:r>
                </w:p>
              </w:tc>
              <w:tc>
                <w:tcPr>
                  <w:tcW w:w="583" w:type="dxa"/>
                  <w:shd w:val="clear" w:color="auto" w:fill="FFFFFF"/>
                  <w:tcMar>
                    <w:top w:w="0" w:type="dxa"/>
                    <w:left w:w="0" w:type="dxa"/>
                    <w:bottom w:w="0" w:type="dxa"/>
                    <w:right w:w="0" w:type="dxa"/>
                  </w:tcMar>
                  <w:vAlign w:val="center"/>
                </w:tcPr>
                <w:p w14:paraId="316974D8">
                  <w:pPr>
                    <w:jc w:val="center"/>
                    <w:rPr>
                      <w:color w:val="auto"/>
                      <w:szCs w:val="21"/>
                    </w:rPr>
                  </w:pPr>
                  <w:r>
                    <w:rPr>
                      <w:rFonts w:eastAsia="Arial"/>
                      <w:color w:val="auto"/>
                      <w:sz w:val="20"/>
                    </w:rPr>
                    <w:t>70.7</w:t>
                  </w:r>
                </w:p>
              </w:tc>
              <w:tc>
                <w:tcPr>
                  <w:tcW w:w="539" w:type="dxa"/>
                  <w:shd w:val="clear" w:color="auto" w:fill="FFFFFF"/>
                  <w:tcMar>
                    <w:top w:w="0" w:type="dxa"/>
                    <w:left w:w="0" w:type="dxa"/>
                    <w:bottom w:w="0" w:type="dxa"/>
                    <w:right w:w="0" w:type="dxa"/>
                  </w:tcMar>
                  <w:vAlign w:val="center"/>
                </w:tcPr>
                <w:p w14:paraId="35B44A8D">
                  <w:pPr>
                    <w:jc w:val="center"/>
                    <w:rPr>
                      <w:color w:val="auto"/>
                      <w:szCs w:val="21"/>
                    </w:rPr>
                  </w:pPr>
                  <w:r>
                    <w:rPr>
                      <w:rFonts w:eastAsia="Arial"/>
                      <w:color w:val="auto"/>
                      <w:sz w:val="20"/>
                    </w:rPr>
                    <w:t>48.3</w:t>
                  </w:r>
                </w:p>
              </w:tc>
              <w:tc>
                <w:tcPr>
                  <w:tcW w:w="539" w:type="dxa"/>
                  <w:shd w:val="clear" w:color="auto" w:fill="FFFFFF"/>
                  <w:tcMar>
                    <w:top w:w="0" w:type="dxa"/>
                    <w:left w:w="0" w:type="dxa"/>
                    <w:bottom w:w="0" w:type="dxa"/>
                    <w:right w:w="0" w:type="dxa"/>
                  </w:tcMar>
                  <w:vAlign w:val="center"/>
                </w:tcPr>
                <w:p w14:paraId="609CD305">
                  <w:pPr>
                    <w:jc w:val="center"/>
                    <w:rPr>
                      <w:color w:val="auto"/>
                      <w:szCs w:val="21"/>
                    </w:rPr>
                  </w:pPr>
                  <w:r>
                    <w:rPr>
                      <w:rFonts w:eastAsia="Arial"/>
                      <w:color w:val="auto"/>
                      <w:sz w:val="20"/>
                    </w:rPr>
                    <w:t>48.3</w:t>
                  </w:r>
                </w:p>
              </w:tc>
              <w:tc>
                <w:tcPr>
                  <w:tcW w:w="539" w:type="dxa"/>
                  <w:shd w:val="clear" w:color="auto" w:fill="FFFFFF"/>
                  <w:tcMar>
                    <w:top w:w="0" w:type="dxa"/>
                    <w:left w:w="0" w:type="dxa"/>
                    <w:bottom w:w="0" w:type="dxa"/>
                    <w:right w:w="0" w:type="dxa"/>
                  </w:tcMar>
                  <w:vAlign w:val="center"/>
                </w:tcPr>
                <w:p w14:paraId="7B5851D0">
                  <w:pPr>
                    <w:jc w:val="center"/>
                    <w:rPr>
                      <w:color w:val="auto"/>
                      <w:szCs w:val="21"/>
                    </w:rPr>
                  </w:pPr>
                  <w:r>
                    <w:rPr>
                      <w:rFonts w:eastAsia="Arial"/>
                      <w:color w:val="auto"/>
                      <w:sz w:val="20"/>
                    </w:rPr>
                    <w:t>48.4</w:t>
                  </w:r>
                </w:p>
              </w:tc>
              <w:tc>
                <w:tcPr>
                  <w:tcW w:w="577" w:type="dxa"/>
                  <w:shd w:val="clear" w:color="auto" w:fill="FFFFFF"/>
                  <w:tcMar>
                    <w:top w:w="0" w:type="dxa"/>
                    <w:left w:w="0" w:type="dxa"/>
                    <w:bottom w:w="0" w:type="dxa"/>
                    <w:right w:w="0" w:type="dxa"/>
                  </w:tcMar>
                  <w:vAlign w:val="center"/>
                </w:tcPr>
                <w:p w14:paraId="06478117">
                  <w:pPr>
                    <w:jc w:val="center"/>
                    <w:rPr>
                      <w:color w:val="auto"/>
                      <w:szCs w:val="21"/>
                    </w:rPr>
                  </w:pPr>
                  <w:r>
                    <w:rPr>
                      <w:rFonts w:eastAsia="Arial"/>
                      <w:color w:val="auto"/>
                      <w:sz w:val="20"/>
                    </w:rPr>
                    <w:t>48.3</w:t>
                  </w:r>
                </w:p>
              </w:tc>
              <w:tc>
                <w:tcPr>
                  <w:tcW w:w="149" w:type="pct"/>
                  <w:vMerge w:val="continue"/>
                  <w:shd w:val="clear" w:color="auto" w:fill="FFFFFF"/>
                  <w:tcMar>
                    <w:top w:w="0" w:type="dxa"/>
                    <w:left w:w="0" w:type="dxa"/>
                    <w:bottom w:w="0" w:type="dxa"/>
                    <w:right w:w="0" w:type="dxa"/>
                  </w:tcMar>
                  <w:vAlign w:val="center"/>
                </w:tcPr>
                <w:p w14:paraId="003011D2">
                  <w:pPr>
                    <w:jc w:val="center"/>
                    <w:rPr>
                      <w:color w:val="auto"/>
                      <w:szCs w:val="21"/>
                    </w:rPr>
                  </w:pPr>
                </w:p>
              </w:tc>
              <w:tc>
                <w:tcPr>
                  <w:tcW w:w="520" w:type="dxa"/>
                  <w:shd w:val="clear" w:color="auto" w:fill="FFFFFF"/>
                  <w:tcMar>
                    <w:top w:w="0" w:type="dxa"/>
                    <w:left w:w="0" w:type="dxa"/>
                    <w:bottom w:w="0" w:type="dxa"/>
                    <w:right w:w="0" w:type="dxa"/>
                  </w:tcMar>
                  <w:vAlign w:val="center"/>
                </w:tcPr>
                <w:p w14:paraId="4F285D2F">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5A8BC13F">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3E8168B3">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059A7A91">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125CB07F">
                  <w:pPr>
                    <w:jc w:val="center"/>
                    <w:rPr>
                      <w:color w:val="auto"/>
                      <w:szCs w:val="21"/>
                    </w:rPr>
                  </w:pPr>
                  <w:r>
                    <w:rPr>
                      <w:rFonts w:eastAsia="Arial"/>
                      <w:color w:val="auto"/>
                      <w:sz w:val="20"/>
                    </w:rPr>
                    <w:t>22.3</w:t>
                  </w:r>
                </w:p>
              </w:tc>
              <w:tc>
                <w:tcPr>
                  <w:tcW w:w="561" w:type="dxa"/>
                  <w:shd w:val="clear" w:color="auto" w:fill="FFFFFF"/>
                  <w:tcMar>
                    <w:top w:w="0" w:type="dxa"/>
                    <w:left w:w="0" w:type="dxa"/>
                    <w:bottom w:w="0" w:type="dxa"/>
                    <w:right w:w="0" w:type="dxa"/>
                  </w:tcMar>
                  <w:vAlign w:val="center"/>
                </w:tcPr>
                <w:p w14:paraId="08EBA4DF">
                  <w:pPr>
                    <w:jc w:val="center"/>
                    <w:rPr>
                      <w:color w:val="auto"/>
                      <w:szCs w:val="21"/>
                    </w:rPr>
                  </w:pPr>
                  <w:r>
                    <w:rPr>
                      <w:rFonts w:eastAsia="Arial"/>
                      <w:color w:val="auto"/>
                      <w:sz w:val="20"/>
                    </w:rPr>
                    <w:t>22.3</w:t>
                  </w:r>
                </w:p>
              </w:tc>
              <w:tc>
                <w:tcPr>
                  <w:tcW w:w="561" w:type="dxa"/>
                  <w:shd w:val="clear" w:color="auto" w:fill="FFFFFF"/>
                  <w:tcMar>
                    <w:top w:w="0" w:type="dxa"/>
                    <w:left w:w="0" w:type="dxa"/>
                    <w:bottom w:w="0" w:type="dxa"/>
                    <w:right w:w="0" w:type="dxa"/>
                  </w:tcMar>
                  <w:vAlign w:val="center"/>
                </w:tcPr>
                <w:p w14:paraId="5320C358">
                  <w:pPr>
                    <w:jc w:val="center"/>
                    <w:rPr>
                      <w:color w:val="auto"/>
                      <w:szCs w:val="21"/>
                    </w:rPr>
                  </w:pPr>
                  <w:r>
                    <w:rPr>
                      <w:rFonts w:eastAsia="Arial"/>
                      <w:color w:val="auto"/>
                      <w:sz w:val="20"/>
                    </w:rPr>
                    <w:t>22.4</w:t>
                  </w:r>
                </w:p>
              </w:tc>
              <w:tc>
                <w:tcPr>
                  <w:tcW w:w="561" w:type="dxa"/>
                  <w:shd w:val="clear" w:color="auto" w:fill="FFFFFF"/>
                  <w:tcMar>
                    <w:top w:w="0" w:type="dxa"/>
                    <w:left w:w="0" w:type="dxa"/>
                    <w:bottom w:w="0" w:type="dxa"/>
                    <w:right w:w="0" w:type="dxa"/>
                  </w:tcMar>
                  <w:vAlign w:val="center"/>
                </w:tcPr>
                <w:p w14:paraId="2AF2F9FC">
                  <w:pPr>
                    <w:jc w:val="center"/>
                    <w:rPr>
                      <w:color w:val="auto"/>
                      <w:szCs w:val="21"/>
                    </w:rPr>
                  </w:pPr>
                  <w:r>
                    <w:rPr>
                      <w:rFonts w:eastAsia="Arial"/>
                      <w:color w:val="auto"/>
                      <w:sz w:val="20"/>
                    </w:rPr>
                    <w:t>22.3</w:t>
                  </w:r>
                </w:p>
              </w:tc>
              <w:tc>
                <w:tcPr>
                  <w:tcW w:w="279" w:type="pct"/>
                  <w:shd w:val="clear" w:color="auto" w:fill="FFFFFF"/>
                  <w:tcMar>
                    <w:top w:w="0" w:type="dxa"/>
                    <w:left w:w="0" w:type="dxa"/>
                    <w:bottom w:w="0" w:type="dxa"/>
                    <w:right w:w="0" w:type="dxa"/>
                  </w:tcMar>
                  <w:vAlign w:val="center"/>
                </w:tcPr>
                <w:p w14:paraId="466D0B6B">
                  <w:pPr>
                    <w:jc w:val="center"/>
                    <w:rPr>
                      <w:color w:val="auto"/>
                      <w:szCs w:val="21"/>
                    </w:rPr>
                  </w:pPr>
                  <w:r>
                    <w:rPr>
                      <w:rFonts w:eastAsia="Arial"/>
                      <w:color w:val="auto"/>
                      <w:szCs w:val="21"/>
                    </w:rPr>
                    <w:t>1</w:t>
                  </w:r>
                </w:p>
              </w:tc>
            </w:tr>
            <w:tr w14:paraId="0F3A8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3F539BC6">
                  <w:pPr>
                    <w:jc w:val="center"/>
                    <w:rPr>
                      <w:color w:val="auto"/>
                      <w:szCs w:val="21"/>
                    </w:rPr>
                  </w:pPr>
                  <w:r>
                    <w:rPr>
                      <w:rFonts w:eastAsia="Arial"/>
                      <w:color w:val="auto"/>
                      <w:szCs w:val="21"/>
                    </w:rPr>
                    <w:t>12</w:t>
                  </w:r>
                </w:p>
              </w:tc>
              <w:tc>
                <w:tcPr>
                  <w:tcW w:w="179" w:type="pct"/>
                  <w:vMerge w:val="continue"/>
                  <w:shd w:val="clear" w:color="auto" w:fill="FFFFFF"/>
                  <w:tcMar>
                    <w:top w:w="0" w:type="dxa"/>
                    <w:left w:w="0" w:type="dxa"/>
                    <w:bottom w:w="0" w:type="dxa"/>
                    <w:right w:w="0" w:type="dxa"/>
                  </w:tcMar>
                  <w:vAlign w:val="center"/>
                </w:tcPr>
                <w:p w14:paraId="058BCCAE">
                  <w:pPr>
                    <w:jc w:val="center"/>
                    <w:rPr>
                      <w:color w:val="auto"/>
                      <w:szCs w:val="21"/>
                    </w:rPr>
                  </w:pPr>
                </w:p>
              </w:tc>
              <w:tc>
                <w:tcPr>
                  <w:tcW w:w="222" w:type="pct"/>
                  <w:shd w:val="clear" w:color="auto" w:fill="FFFFFF"/>
                  <w:tcMar>
                    <w:top w:w="0" w:type="dxa"/>
                    <w:left w:w="0" w:type="dxa"/>
                    <w:bottom w:w="0" w:type="dxa"/>
                    <w:right w:w="0" w:type="dxa"/>
                  </w:tcMar>
                  <w:vAlign w:val="center"/>
                </w:tcPr>
                <w:p w14:paraId="5F37E934">
                  <w:pPr>
                    <w:jc w:val="center"/>
                    <w:rPr>
                      <w:color w:val="auto"/>
                      <w:szCs w:val="21"/>
                    </w:rPr>
                  </w:pPr>
                  <w:r>
                    <w:rPr>
                      <w:rFonts w:eastAsia="Arial"/>
                      <w:color w:val="auto"/>
                      <w:szCs w:val="21"/>
                    </w:rPr>
                    <w:t>清漆烘烤隧道炉</w:t>
                  </w:r>
                </w:p>
              </w:tc>
              <w:tc>
                <w:tcPr>
                  <w:tcW w:w="136" w:type="pct"/>
                  <w:shd w:val="clear" w:color="auto" w:fill="FFFFFF"/>
                  <w:tcMar>
                    <w:top w:w="0" w:type="dxa"/>
                    <w:left w:w="0" w:type="dxa"/>
                    <w:bottom w:w="0" w:type="dxa"/>
                    <w:right w:w="0" w:type="dxa"/>
                  </w:tcMar>
                  <w:vAlign w:val="center"/>
                </w:tcPr>
                <w:p w14:paraId="7EFA605B">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664F758C">
                  <w:pPr>
                    <w:jc w:val="center"/>
                    <w:rPr>
                      <w:color w:val="auto"/>
                      <w:szCs w:val="21"/>
                    </w:rPr>
                  </w:pPr>
                  <w:r>
                    <w:rPr>
                      <w:rFonts w:eastAsia="Arial"/>
                      <w:color w:val="auto"/>
                      <w:szCs w:val="21"/>
                    </w:rPr>
                    <w:t>70</w:t>
                  </w:r>
                </w:p>
              </w:tc>
              <w:tc>
                <w:tcPr>
                  <w:tcW w:w="187" w:type="pct"/>
                  <w:vMerge w:val="continue"/>
                  <w:shd w:val="clear" w:color="auto" w:fill="FFFFFF"/>
                  <w:tcMar>
                    <w:top w:w="0" w:type="dxa"/>
                    <w:left w:w="0" w:type="dxa"/>
                    <w:bottom w:w="0" w:type="dxa"/>
                    <w:right w:w="0" w:type="dxa"/>
                  </w:tcMar>
                  <w:vAlign w:val="center"/>
                </w:tcPr>
                <w:p w14:paraId="115D6AAE">
                  <w:pPr>
                    <w:jc w:val="center"/>
                    <w:rPr>
                      <w:color w:val="auto"/>
                      <w:szCs w:val="21"/>
                    </w:rPr>
                  </w:pPr>
                </w:p>
              </w:tc>
              <w:tc>
                <w:tcPr>
                  <w:tcW w:w="655" w:type="dxa"/>
                  <w:shd w:val="clear" w:color="auto" w:fill="FFFFFF"/>
                  <w:tcMar>
                    <w:top w:w="0" w:type="dxa"/>
                    <w:left w:w="0" w:type="dxa"/>
                    <w:bottom w:w="0" w:type="dxa"/>
                    <w:right w:w="0" w:type="dxa"/>
                  </w:tcMar>
                  <w:vAlign w:val="center"/>
                </w:tcPr>
                <w:p w14:paraId="47D2617D">
                  <w:pPr>
                    <w:jc w:val="center"/>
                    <w:rPr>
                      <w:color w:val="auto"/>
                      <w:szCs w:val="21"/>
                    </w:rPr>
                  </w:pPr>
                  <w:r>
                    <w:rPr>
                      <w:rFonts w:eastAsia="Arial"/>
                      <w:color w:val="auto"/>
                      <w:sz w:val="20"/>
                    </w:rPr>
                    <w:t>4.5</w:t>
                  </w:r>
                </w:p>
              </w:tc>
              <w:tc>
                <w:tcPr>
                  <w:tcW w:w="655" w:type="dxa"/>
                  <w:shd w:val="clear" w:color="auto" w:fill="FFFFFF"/>
                  <w:tcMar>
                    <w:top w:w="0" w:type="dxa"/>
                    <w:left w:w="0" w:type="dxa"/>
                    <w:bottom w:w="0" w:type="dxa"/>
                    <w:right w:w="0" w:type="dxa"/>
                  </w:tcMar>
                  <w:vAlign w:val="center"/>
                </w:tcPr>
                <w:p w14:paraId="6CF2CECD">
                  <w:pPr>
                    <w:jc w:val="center"/>
                    <w:rPr>
                      <w:color w:val="auto"/>
                      <w:szCs w:val="21"/>
                    </w:rPr>
                  </w:pPr>
                  <w:r>
                    <w:rPr>
                      <w:rFonts w:eastAsia="Arial"/>
                      <w:color w:val="auto"/>
                      <w:sz w:val="20"/>
                    </w:rPr>
                    <w:t>-5.9</w:t>
                  </w:r>
                </w:p>
              </w:tc>
              <w:tc>
                <w:tcPr>
                  <w:tcW w:w="693" w:type="dxa"/>
                  <w:shd w:val="clear" w:color="auto" w:fill="FFFFFF"/>
                  <w:tcMar>
                    <w:top w:w="0" w:type="dxa"/>
                    <w:left w:w="0" w:type="dxa"/>
                    <w:bottom w:w="0" w:type="dxa"/>
                    <w:right w:w="0" w:type="dxa"/>
                  </w:tcMar>
                  <w:vAlign w:val="center"/>
                </w:tcPr>
                <w:p w14:paraId="39F478DF">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72CDDA27">
                  <w:pPr>
                    <w:jc w:val="center"/>
                    <w:rPr>
                      <w:color w:val="auto"/>
                      <w:szCs w:val="21"/>
                    </w:rPr>
                  </w:pPr>
                  <w:r>
                    <w:rPr>
                      <w:rFonts w:eastAsia="Arial"/>
                      <w:color w:val="auto"/>
                      <w:sz w:val="20"/>
                    </w:rPr>
                    <w:t>15.6</w:t>
                  </w:r>
                </w:p>
              </w:tc>
              <w:tc>
                <w:tcPr>
                  <w:tcW w:w="542" w:type="dxa"/>
                  <w:shd w:val="clear" w:color="auto" w:fill="FFFFFF"/>
                  <w:tcMar>
                    <w:top w:w="0" w:type="dxa"/>
                    <w:left w:w="0" w:type="dxa"/>
                    <w:bottom w:w="0" w:type="dxa"/>
                    <w:right w:w="0" w:type="dxa"/>
                  </w:tcMar>
                  <w:vAlign w:val="center"/>
                </w:tcPr>
                <w:p w14:paraId="5E36ED85">
                  <w:pPr>
                    <w:jc w:val="center"/>
                    <w:rPr>
                      <w:color w:val="auto"/>
                      <w:szCs w:val="21"/>
                    </w:rPr>
                  </w:pPr>
                  <w:r>
                    <w:rPr>
                      <w:rFonts w:eastAsia="Arial"/>
                      <w:color w:val="auto"/>
                      <w:sz w:val="20"/>
                    </w:rPr>
                    <w:t>63.4</w:t>
                  </w:r>
                </w:p>
              </w:tc>
              <w:tc>
                <w:tcPr>
                  <w:tcW w:w="552" w:type="dxa"/>
                  <w:shd w:val="clear" w:color="auto" w:fill="FFFFFF"/>
                  <w:tcMar>
                    <w:top w:w="0" w:type="dxa"/>
                    <w:left w:w="0" w:type="dxa"/>
                    <w:bottom w:w="0" w:type="dxa"/>
                    <w:right w:w="0" w:type="dxa"/>
                  </w:tcMar>
                  <w:vAlign w:val="center"/>
                </w:tcPr>
                <w:p w14:paraId="7C43021F">
                  <w:pPr>
                    <w:jc w:val="center"/>
                    <w:rPr>
                      <w:color w:val="auto"/>
                      <w:szCs w:val="21"/>
                    </w:rPr>
                  </w:pPr>
                  <w:r>
                    <w:rPr>
                      <w:rFonts w:eastAsia="Arial"/>
                      <w:color w:val="auto"/>
                      <w:sz w:val="20"/>
                    </w:rPr>
                    <w:t>28.7</w:t>
                  </w:r>
                </w:p>
              </w:tc>
              <w:tc>
                <w:tcPr>
                  <w:tcW w:w="583" w:type="dxa"/>
                  <w:shd w:val="clear" w:color="auto" w:fill="FFFFFF"/>
                  <w:tcMar>
                    <w:top w:w="0" w:type="dxa"/>
                    <w:left w:w="0" w:type="dxa"/>
                    <w:bottom w:w="0" w:type="dxa"/>
                    <w:right w:w="0" w:type="dxa"/>
                  </w:tcMar>
                  <w:vAlign w:val="center"/>
                </w:tcPr>
                <w:p w14:paraId="31B5544D">
                  <w:pPr>
                    <w:jc w:val="center"/>
                    <w:rPr>
                      <w:color w:val="auto"/>
                      <w:szCs w:val="21"/>
                    </w:rPr>
                  </w:pPr>
                  <w:r>
                    <w:rPr>
                      <w:rFonts w:eastAsia="Arial"/>
                      <w:color w:val="auto"/>
                      <w:sz w:val="20"/>
                    </w:rPr>
                    <w:t>67.0</w:t>
                  </w:r>
                </w:p>
              </w:tc>
              <w:tc>
                <w:tcPr>
                  <w:tcW w:w="539" w:type="dxa"/>
                  <w:shd w:val="clear" w:color="auto" w:fill="FFFFFF"/>
                  <w:tcMar>
                    <w:top w:w="0" w:type="dxa"/>
                    <w:left w:w="0" w:type="dxa"/>
                    <w:bottom w:w="0" w:type="dxa"/>
                    <w:right w:w="0" w:type="dxa"/>
                  </w:tcMar>
                  <w:vAlign w:val="center"/>
                </w:tcPr>
                <w:p w14:paraId="146FDD53">
                  <w:pPr>
                    <w:jc w:val="center"/>
                    <w:rPr>
                      <w:color w:val="auto"/>
                      <w:szCs w:val="21"/>
                    </w:rPr>
                  </w:pPr>
                  <w:r>
                    <w:rPr>
                      <w:rFonts w:eastAsia="Arial"/>
                      <w:color w:val="auto"/>
                      <w:sz w:val="20"/>
                    </w:rPr>
                    <w:t>48.5</w:t>
                  </w:r>
                </w:p>
              </w:tc>
              <w:tc>
                <w:tcPr>
                  <w:tcW w:w="539" w:type="dxa"/>
                  <w:shd w:val="clear" w:color="auto" w:fill="FFFFFF"/>
                  <w:tcMar>
                    <w:top w:w="0" w:type="dxa"/>
                    <w:left w:w="0" w:type="dxa"/>
                    <w:bottom w:w="0" w:type="dxa"/>
                    <w:right w:w="0" w:type="dxa"/>
                  </w:tcMar>
                  <w:vAlign w:val="center"/>
                </w:tcPr>
                <w:p w14:paraId="228A7A58">
                  <w:pPr>
                    <w:jc w:val="center"/>
                    <w:rPr>
                      <w:color w:val="auto"/>
                      <w:szCs w:val="21"/>
                    </w:rPr>
                  </w:pPr>
                  <w:r>
                    <w:rPr>
                      <w:rFonts w:eastAsia="Arial"/>
                      <w:color w:val="auto"/>
                      <w:sz w:val="20"/>
                    </w:rPr>
                    <w:t>48.3</w:t>
                  </w:r>
                </w:p>
              </w:tc>
              <w:tc>
                <w:tcPr>
                  <w:tcW w:w="539" w:type="dxa"/>
                  <w:shd w:val="clear" w:color="auto" w:fill="FFFFFF"/>
                  <w:tcMar>
                    <w:top w:w="0" w:type="dxa"/>
                    <w:left w:w="0" w:type="dxa"/>
                    <w:bottom w:w="0" w:type="dxa"/>
                    <w:right w:w="0" w:type="dxa"/>
                  </w:tcMar>
                  <w:vAlign w:val="center"/>
                </w:tcPr>
                <w:p w14:paraId="3584367F">
                  <w:pPr>
                    <w:jc w:val="center"/>
                    <w:rPr>
                      <w:color w:val="auto"/>
                      <w:szCs w:val="21"/>
                    </w:rPr>
                  </w:pPr>
                  <w:r>
                    <w:rPr>
                      <w:rFonts w:eastAsia="Arial"/>
                      <w:color w:val="auto"/>
                      <w:sz w:val="20"/>
                    </w:rPr>
                    <w:t>48.3</w:t>
                  </w:r>
                </w:p>
              </w:tc>
              <w:tc>
                <w:tcPr>
                  <w:tcW w:w="577" w:type="dxa"/>
                  <w:shd w:val="clear" w:color="auto" w:fill="FFFFFF"/>
                  <w:tcMar>
                    <w:top w:w="0" w:type="dxa"/>
                    <w:left w:w="0" w:type="dxa"/>
                    <w:bottom w:w="0" w:type="dxa"/>
                    <w:right w:w="0" w:type="dxa"/>
                  </w:tcMar>
                  <w:vAlign w:val="center"/>
                </w:tcPr>
                <w:p w14:paraId="2C2B6647">
                  <w:pPr>
                    <w:jc w:val="center"/>
                    <w:rPr>
                      <w:color w:val="auto"/>
                      <w:szCs w:val="21"/>
                    </w:rPr>
                  </w:pPr>
                  <w:r>
                    <w:rPr>
                      <w:rFonts w:eastAsia="Arial"/>
                      <w:color w:val="auto"/>
                      <w:sz w:val="20"/>
                    </w:rPr>
                    <w:t>48.3</w:t>
                  </w:r>
                </w:p>
              </w:tc>
              <w:tc>
                <w:tcPr>
                  <w:tcW w:w="149" w:type="pct"/>
                  <w:vMerge w:val="continue"/>
                  <w:shd w:val="clear" w:color="auto" w:fill="FFFFFF"/>
                  <w:tcMar>
                    <w:top w:w="0" w:type="dxa"/>
                    <w:left w:w="0" w:type="dxa"/>
                    <w:bottom w:w="0" w:type="dxa"/>
                    <w:right w:w="0" w:type="dxa"/>
                  </w:tcMar>
                  <w:vAlign w:val="center"/>
                </w:tcPr>
                <w:p w14:paraId="17FF77DB">
                  <w:pPr>
                    <w:jc w:val="center"/>
                    <w:rPr>
                      <w:color w:val="auto"/>
                      <w:szCs w:val="21"/>
                    </w:rPr>
                  </w:pPr>
                </w:p>
              </w:tc>
              <w:tc>
                <w:tcPr>
                  <w:tcW w:w="520" w:type="dxa"/>
                  <w:shd w:val="clear" w:color="auto" w:fill="FFFFFF"/>
                  <w:tcMar>
                    <w:top w:w="0" w:type="dxa"/>
                    <w:left w:w="0" w:type="dxa"/>
                    <w:bottom w:w="0" w:type="dxa"/>
                    <w:right w:w="0" w:type="dxa"/>
                  </w:tcMar>
                  <w:vAlign w:val="center"/>
                </w:tcPr>
                <w:p w14:paraId="3EA5B9AA">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76D095EE">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3B14D03C">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2885628B">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202232AF">
                  <w:pPr>
                    <w:jc w:val="center"/>
                    <w:rPr>
                      <w:color w:val="auto"/>
                      <w:szCs w:val="21"/>
                    </w:rPr>
                  </w:pPr>
                  <w:r>
                    <w:rPr>
                      <w:rFonts w:eastAsia="Arial"/>
                      <w:color w:val="auto"/>
                      <w:sz w:val="20"/>
                    </w:rPr>
                    <w:t>22.5</w:t>
                  </w:r>
                </w:p>
              </w:tc>
              <w:tc>
                <w:tcPr>
                  <w:tcW w:w="561" w:type="dxa"/>
                  <w:shd w:val="clear" w:color="auto" w:fill="FFFFFF"/>
                  <w:tcMar>
                    <w:top w:w="0" w:type="dxa"/>
                    <w:left w:w="0" w:type="dxa"/>
                    <w:bottom w:w="0" w:type="dxa"/>
                    <w:right w:w="0" w:type="dxa"/>
                  </w:tcMar>
                  <w:vAlign w:val="center"/>
                </w:tcPr>
                <w:p w14:paraId="5AFF224A">
                  <w:pPr>
                    <w:jc w:val="center"/>
                    <w:rPr>
                      <w:color w:val="auto"/>
                      <w:szCs w:val="21"/>
                    </w:rPr>
                  </w:pPr>
                  <w:r>
                    <w:rPr>
                      <w:rFonts w:eastAsia="Arial"/>
                      <w:color w:val="auto"/>
                      <w:sz w:val="20"/>
                    </w:rPr>
                    <w:t>22.3</w:t>
                  </w:r>
                </w:p>
              </w:tc>
              <w:tc>
                <w:tcPr>
                  <w:tcW w:w="561" w:type="dxa"/>
                  <w:shd w:val="clear" w:color="auto" w:fill="FFFFFF"/>
                  <w:tcMar>
                    <w:top w:w="0" w:type="dxa"/>
                    <w:left w:w="0" w:type="dxa"/>
                    <w:bottom w:w="0" w:type="dxa"/>
                    <w:right w:w="0" w:type="dxa"/>
                  </w:tcMar>
                  <w:vAlign w:val="center"/>
                </w:tcPr>
                <w:p w14:paraId="08D34C00">
                  <w:pPr>
                    <w:jc w:val="center"/>
                    <w:rPr>
                      <w:color w:val="auto"/>
                      <w:szCs w:val="21"/>
                    </w:rPr>
                  </w:pPr>
                  <w:r>
                    <w:rPr>
                      <w:rFonts w:eastAsia="Arial"/>
                      <w:color w:val="auto"/>
                      <w:sz w:val="20"/>
                    </w:rPr>
                    <w:t>22.3</w:t>
                  </w:r>
                </w:p>
              </w:tc>
              <w:tc>
                <w:tcPr>
                  <w:tcW w:w="561" w:type="dxa"/>
                  <w:shd w:val="clear" w:color="auto" w:fill="FFFFFF"/>
                  <w:tcMar>
                    <w:top w:w="0" w:type="dxa"/>
                    <w:left w:w="0" w:type="dxa"/>
                    <w:bottom w:w="0" w:type="dxa"/>
                    <w:right w:w="0" w:type="dxa"/>
                  </w:tcMar>
                  <w:vAlign w:val="center"/>
                </w:tcPr>
                <w:p w14:paraId="2D174AAF">
                  <w:pPr>
                    <w:jc w:val="center"/>
                    <w:rPr>
                      <w:color w:val="auto"/>
                      <w:szCs w:val="21"/>
                    </w:rPr>
                  </w:pPr>
                  <w:r>
                    <w:rPr>
                      <w:rFonts w:eastAsia="Arial"/>
                      <w:color w:val="auto"/>
                      <w:sz w:val="20"/>
                    </w:rPr>
                    <w:t>22.3</w:t>
                  </w:r>
                </w:p>
              </w:tc>
              <w:tc>
                <w:tcPr>
                  <w:tcW w:w="279" w:type="pct"/>
                  <w:shd w:val="clear" w:color="auto" w:fill="FFFFFF"/>
                  <w:tcMar>
                    <w:top w:w="0" w:type="dxa"/>
                    <w:left w:w="0" w:type="dxa"/>
                    <w:bottom w:w="0" w:type="dxa"/>
                    <w:right w:w="0" w:type="dxa"/>
                  </w:tcMar>
                  <w:vAlign w:val="center"/>
                </w:tcPr>
                <w:p w14:paraId="7198D544">
                  <w:pPr>
                    <w:jc w:val="center"/>
                    <w:rPr>
                      <w:color w:val="auto"/>
                      <w:szCs w:val="21"/>
                    </w:rPr>
                  </w:pPr>
                  <w:r>
                    <w:rPr>
                      <w:rFonts w:eastAsia="Arial"/>
                      <w:color w:val="auto"/>
                      <w:szCs w:val="21"/>
                    </w:rPr>
                    <w:t>1</w:t>
                  </w:r>
                </w:p>
              </w:tc>
            </w:tr>
            <w:tr w14:paraId="286FA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54330C14">
                  <w:pPr>
                    <w:jc w:val="center"/>
                    <w:rPr>
                      <w:color w:val="auto"/>
                      <w:szCs w:val="21"/>
                    </w:rPr>
                  </w:pPr>
                  <w:r>
                    <w:rPr>
                      <w:rFonts w:eastAsia="Arial"/>
                      <w:color w:val="auto"/>
                      <w:szCs w:val="21"/>
                    </w:rPr>
                    <w:t>13</w:t>
                  </w:r>
                </w:p>
              </w:tc>
              <w:tc>
                <w:tcPr>
                  <w:tcW w:w="179" w:type="pct"/>
                  <w:vMerge w:val="restart"/>
                  <w:shd w:val="clear" w:color="auto" w:fill="FFFFFF"/>
                  <w:tcMar>
                    <w:top w:w="0" w:type="dxa"/>
                    <w:left w:w="0" w:type="dxa"/>
                    <w:bottom w:w="0" w:type="dxa"/>
                    <w:right w:w="0" w:type="dxa"/>
                  </w:tcMar>
                  <w:vAlign w:val="center"/>
                </w:tcPr>
                <w:p w14:paraId="45634F8E">
                  <w:pPr>
                    <w:jc w:val="center"/>
                    <w:rPr>
                      <w:color w:val="auto"/>
                      <w:szCs w:val="21"/>
                    </w:rPr>
                  </w:pPr>
                  <w:r>
                    <w:rPr>
                      <w:rFonts w:eastAsia="Arial"/>
                      <w:color w:val="auto"/>
                      <w:szCs w:val="21"/>
                    </w:rPr>
                    <w:t>源意-六楼声屏障</w:t>
                  </w:r>
                </w:p>
              </w:tc>
              <w:tc>
                <w:tcPr>
                  <w:tcW w:w="222" w:type="pct"/>
                  <w:shd w:val="clear" w:color="auto" w:fill="FFFFFF"/>
                  <w:tcMar>
                    <w:top w:w="0" w:type="dxa"/>
                    <w:left w:w="0" w:type="dxa"/>
                    <w:bottom w:w="0" w:type="dxa"/>
                    <w:right w:w="0" w:type="dxa"/>
                  </w:tcMar>
                  <w:vAlign w:val="center"/>
                </w:tcPr>
                <w:p w14:paraId="0DEFD0D5">
                  <w:pPr>
                    <w:jc w:val="center"/>
                    <w:rPr>
                      <w:color w:val="auto"/>
                      <w:szCs w:val="21"/>
                    </w:rPr>
                  </w:pPr>
                  <w:r>
                    <w:rPr>
                      <w:rFonts w:eastAsia="Arial"/>
                      <w:color w:val="auto"/>
                      <w:szCs w:val="21"/>
                    </w:rPr>
                    <w:t>台钻</w:t>
                  </w:r>
                </w:p>
              </w:tc>
              <w:tc>
                <w:tcPr>
                  <w:tcW w:w="136" w:type="pct"/>
                  <w:shd w:val="clear" w:color="auto" w:fill="FFFFFF"/>
                  <w:tcMar>
                    <w:top w:w="0" w:type="dxa"/>
                    <w:left w:w="0" w:type="dxa"/>
                    <w:bottom w:w="0" w:type="dxa"/>
                    <w:right w:w="0" w:type="dxa"/>
                  </w:tcMar>
                  <w:vAlign w:val="center"/>
                </w:tcPr>
                <w:p w14:paraId="442B317A">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4815F4B4">
                  <w:pPr>
                    <w:jc w:val="center"/>
                    <w:rPr>
                      <w:color w:val="auto"/>
                      <w:szCs w:val="21"/>
                    </w:rPr>
                  </w:pPr>
                  <w:r>
                    <w:rPr>
                      <w:rFonts w:eastAsia="Arial"/>
                      <w:color w:val="auto"/>
                      <w:szCs w:val="21"/>
                    </w:rPr>
                    <w:t>75</w:t>
                  </w:r>
                </w:p>
              </w:tc>
              <w:tc>
                <w:tcPr>
                  <w:tcW w:w="187" w:type="pct"/>
                  <w:vMerge w:val="continue"/>
                  <w:shd w:val="clear" w:color="auto" w:fill="FFFFFF"/>
                  <w:tcMar>
                    <w:top w:w="0" w:type="dxa"/>
                    <w:left w:w="0" w:type="dxa"/>
                    <w:bottom w:w="0" w:type="dxa"/>
                    <w:right w:w="0" w:type="dxa"/>
                  </w:tcMar>
                  <w:vAlign w:val="center"/>
                </w:tcPr>
                <w:p w14:paraId="0D598000">
                  <w:pPr>
                    <w:jc w:val="center"/>
                    <w:rPr>
                      <w:color w:val="auto"/>
                      <w:szCs w:val="21"/>
                    </w:rPr>
                  </w:pPr>
                </w:p>
              </w:tc>
              <w:tc>
                <w:tcPr>
                  <w:tcW w:w="655" w:type="dxa"/>
                  <w:shd w:val="clear" w:color="auto" w:fill="FFFFFF"/>
                  <w:tcMar>
                    <w:top w:w="0" w:type="dxa"/>
                    <w:left w:w="0" w:type="dxa"/>
                    <w:bottom w:w="0" w:type="dxa"/>
                    <w:right w:w="0" w:type="dxa"/>
                  </w:tcMar>
                  <w:vAlign w:val="center"/>
                </w:tcPr>
                <w:p w14:paraId="3D9034FA">
                  <w:pPr>
                    <w:jc w:val="center"/>
                    <w:rPr>
                      <w:color w:val="auto"/>
                      <w:szCs w:val="21"/>
                    </w:rPr>
                  </w:pPr>
                  <w:r>
                    <w:rPr>
                      <w:rFonts w:eastAsia="Arial"/>
                      <w:color w:val="auto"/>
                      <w:sz w:val="20"/>
                    </w:rPr>
                    <w:t>-35.4</w:t>
                  </w:r>
                </w:p>
              </w:tc>
              <w:tc>
                <w:tcPr>
                  <w:tcW w:w="655" w:type="dxa"/>
                  <w:shd w:val="clear" w:color="auto" w:fill="FFFFFF"/>
                  <w:tcMar>
                    <w:top w:w="0" w:type="dxa"/>
                    <w:left w:w="0" w:type="dxa"/>
                    <w:bottom w:w="0" w:type="dxa"/>
                    <w:right w:w="0" w:type="dxa"/>
                  </w:tcMar>
                  <w:vAlign w:val="center"/>
                </w:tcPr>
                <w:p w14:paraId="604D1E67">
                  <w:pPr>
                    <w:jc w:val="center"/>
                    <w:rPr>
                      <w:color w:val="auto"/>
                      <w:szCs w:val="21"/>
                    </w:rPr>
                  </w:pPr>
                  <w:r>
                    <w:rPr>
                      <w:rFonts w:eastAsia="Arial"/>
                      <w:color w:val="auto"/>
                      <w:sz w:val="20"/>
                    </w:rPr>
                    <w:t>-48.8</w:t>
                  </w:r>
                </w:p>
              </w:tc>
              <w:tc>
                <w:tcPr>
                  <w:tcW w:w="693" w:type="dxa"/>
                  <w:shd w:val="clear" w:color="auto" w:fill="FFFFFF"/>
                  <w:tcMar>
                    <w:top w:w="0" w:type="dxa"/>
                    <w:left w:w="0" w:type="dxa"/>
                    <w:bottom w:w="0" w:type="dxa"/>
                    <w:right w:w="0" w:type="dxa"/>
                  </w:tcMar>
                  <w:vAlign w:val="center"/>
                </w:tcPr>
                <w:p w14:paraId="09944F7B">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19B9D10A">
                  <w:pPr>
                    <w:jc w:val="center"/>
                    <w:rPr>
                      <w:color w:val="auto"/>
                      <w:szCs w:val="21"/>
                    </w:rPr>
                  </w:pPr>
                  <w:r>
                    <w:rPr>
                      <w:rFonts w:eastAsia="Arial"/>
                      <w:color w:val="auto"/>
                      <w:sz w:val="20"/>
                    </w:rPr>
                    <w:t>32.4</w:t>
                  </w:r>
                </w:p>
              </w:tc>
              <w:tc>
                <w:tcPr>
                  <w:tcW w:w="542" w:type="dxa"/>
                  <w:shd w:val="clear" w:color="auto" w:fill="FFFFFF"/>
                  <w:tcMar>
                    <w:top w:w="0" w:type="dxa"/>
                    <w:left w:w="0" w:type="dxa"/>
                    <w:bottom w:w="0" w:type="dxa"/>
                    <w:right w:w="0" w:type="dxa"/>
                  </w:tcMar>
                  <w:vAlign w:val="center"/>
                </w:tcPr>
                <w:p w14:paraId="08953EAF">
                  <w:pPr>
                    <w:jc w:val="center"/>
                    <w:rPr>
                      <w:color w:val="auto"/>
                      <w:szCs w:val="21"/>
                    </w:rPr>
                  </w:pPr>
                  <w:r>
                    <w:rPr>
                      <w:rFonts w:eastAsia="Arial"/>
                      <w:color w:val="auto"/>
                      <w:sz w:val="20"/>
                    </w:rPr>
                    <w:t>6.2</w:t>
                  </w:r>
                </w:p>
              </w:tc>
              <w:tc>
                <w:tcPr>
                  <w:tcW w:w="552" w:type="dxa"/>
                  <w:shd w:val="clear" w:color="auto" w:fill="FFFFFF"/>
                  <w:tcMar>
                    <w:top w:w="0" w:type="dxa"/>
                    <w:left w:w="0" w:type="dxa"/>
                    <w:bottom w:w="0" w:type="dxa"/>
                    <w:right w:w="0" w:type="dxa"/>
                  </w:tcMar>
                  <w:vAlign w:val="center"/>
                </w:tcPr>
                <w:p w14:paraId="60926F14">
                  <w:pPr>
                    <w:jc w:val="center"/>
                    <w:rPr>
                      <w:color w:val="auto"/>
                      <w:szCs w:val="21"/>
                    </w:rPr>
                  </w:pPr>
                  <w:r>
                    <w:rPr>
                      <w:rFonts w:eastAsia="Arial"/>
                      <w:color w:val="auto"/>
                      <w:sz w:val="20"/>
                    </w:rPr>
                    <w:t>9.4</w:t>
                  </w:r>
                </w:p>
              </w:tc>
              <w:tc>
                <w:tcPr>
                  <w:tcW w:w="583" w:type="dxa"/>
                  <w:shd w:val="clear" w:color="auto" w:fill="FFFFFF"/>
                  <w:tcMar>
                    <w:top w:w="0" w:type="dxa"/>
                    <w:left w:w="0" w:type="dxa"/>
                    <w:bottom w:w="0" w:type="dxa"/>
                    <w:right w:w="0" w:type="dxa"/>
                  </w:tcMar>
                  <w:vAlign w:val="center"/>
                </w:tcPr>
                <w:p w14:paraId="6CBC323F">
                  <w:pPr>
                    <w:jc w:val="center"/>
                    <w:rPr>
                      <w:color w:val="auto"/>
                      <w:szCs w:val="21"/>
                    </w:rPr>
                  </w:pPr>
                  <w:r>
                    <w:rPr>
                      <w:rFonts w:eastAsia="Arial"/>
                      <w:color w:val="auto"/>
                      <w:sz w:val="20"/>
                    </w:rPr>
                    <w:t>122.0</w:t>
                  </w:r>
                </w:p>
              </w:tc>
              <w:tc>
                <w:tcPr>
                  <w:tcW w:w="539" w:type="dxa"/>
                  <w:shd w:val="clear" w:color="auto" w:fill="FFFFFF"/>
                  <w:tcMar>
                    <w:top w:w="0" w:type="dxa"/>
                    <w:left w:w="0" w:type="dxa"/>
                    <w:bottom w:w="0" w:type="dxa"/>
                    <w:right w:w="0" w:type="dxa"/>
                  </w:tcMar>
                  <w:vAlign w:val="center"/>
                </w:tcPr>
                <w:p w14:paraId="0AE08EE1">
                  <w:pPr>
                    <w:jc w:val="center"/>
                    <w:rPr>
                      <w:color w:val="auto"/>
                      <w:szCs w:val="21"/>
                    </w:rPr>
                  </w:pPr>
                  <w:r>
                    <w:rPr>
                      <w:rFonts w:eastAsia="Arial"/>
                      <w:color w:val="auto"/>
                      <w:sz w:val="20"/>
                    </w:rPr>
                    <w:t>52.5</w:t>
                  </w:r>
                </w:p>
              </w:tc>
              <w:tc>
                <w:tcPr>
                  <w:tcW w:w="539" w:type="dxa"/>
                  <w:shd w:val="clear" w:color="auto" w:fill="FFFFFF"/>
                  <w:tcMar>
                    <w:top w:w="0" w:type="dxa"/>
                    <w:left w:w="0" w:type="dxa"/>
                    <w:bottom w:w="0" w:type="dxa"/>
                    <w:right w:w="0" w:type="dxa"/>
                  </w:tcMar>
                  <w:vAlign w:val="center"/>
                </w:tcPr>
                <w:p w14:paraId="63D6081B">
                  <w:pPr>
                    <w:jc w:val="center"/>
                    <w:rPr>
                      <w:color w:val="auto"/>
                      <w:szCs w:val="21"/>
                    </w:rPr>
                  </w:pPr>
                  <w:r>
                    <w:rPr>
                      <w:rFonts w:eastAsia="Arial"/>
                      <w:color w:val="auto"/>
                      <w:sz w:val="20"/>
                    </w:rPr>
                    <w:t>53.8</w:t>
                  </w:r>
                </w:p>
              </w:tc>
              <w:tc>
                <w:tcPr>
                  <w:tcW w:w="539" w:type="dxa"/>
                  <w:shd w:val="clear" w:color="auto" w:fill="FFFFFF"/>
                  <w:tcMar>
                    <w:top w:w="0" w:type="dxa"/>
                    <w:left w:w="0" w:type="dxa"/>
                    <w:bottom w:w="0" w:type="dxa"/>
                    <w:right w:w="0" w:type="dxa"/>
                  </w:tcMar>
                  <w:vAlign w:val="center"/>
                </w:tcPr>
                <w:p w14:paraId="2501E0C2">
                  <w:pPr>
                    <w:jc w:val="center"/>
                    <w:rPr>
                      <w:color w:val="auto"/>
                      <w:szCs w:val="21"/>
                    </w:rPr>
                  </w:pPr>
                  <w:r>
                    <w:rPr>
                      <w:rFonts w:eastAsia="Arial"/>
                      <w:color w:val="auto"/>
                      <w:sz w:val="20"/>
                    </w:rPr>
                    <w:t>53.1</w:t>
                  </w:r>
                </w:p>
              </w:tc>
              <w:tc>
                <w:tcPr>
                  <w:tcW w:w="577" w:type="dxa"/>
                  <w:shd w:val="clear" w:color="auto" w:fill="FFFFFF"/>
                  <w:tcMar>
                    <w:top w:w="0" w:type="dxa"/>
                    <w:left w:w="0" w:type="dxa"/>
                    <w:bottom w:w="0" w:type="dxa"/>
                    <w:right w:w="0" w:type="dxa"/>
                  </w:tcMar>
                  <w:vAlign w:val="center"/>
                </w:tcPr>
                <w:p w14:paraId="541829FF">
                  <w:pPr>
                    <w:jc w:val="center"/>
                    <w:rPr>
                      <w:color w:val="auto"/>
                      <w:szCs w:val="21"/>
                    </w:rPr>
                  </w:pPr>
                  <w:r>
                    <w:rPr>
                      <w:rFonts w:eastAsia="Arial"/>
                      <w:color w:val="auto"/>
                      <w:sz w:val="20"/>
                    </w:rPr>
                    <w:t>52.5</w:t>
                  </w:r>
                </w:p>
              </w:tc>
              <w:tc>
                <w:tcPr>
                  <w:tcW w:w="149" w:type="pct"/>
                  <w:vMerge w:val="continue"/>
                  <w:shd w:val="clear" w:color="auto" w:fill="FFFFFF"/>
                  <w:tcMar>
                    <w:top w:w="0" w:type="dxa"/>
                    <w:left w:w="0" w:type="dxa"/>
                    <w:bottom w:w="0" w:type="dxa"/>
                    <w:right w:w="0" w:type="dxa"/>
                  </w:tcMar>
                  <w:vAlign w:val="center"/>
                </w:tcPr>
                <w:p w14:paraId="3E100C54">
                  <w:pPr>
                    <w:jc w:val="center"/>
                    <w:rPr>
                      <w:color w:val="auto"/>
                      <w:szCs w:val="21"/>
                    </w:rPr>
                  </w:pPr>
                </w:p>
              </w:tc>
              <w:tc>
                <w:tcPr>
                  <w:tcW w:w="520" w:type="dxa"/>
                  <w:shd w:val="clear" w:color="auto" w:fill="FFFFFF"/>
                  <w:tcMar>
                    <w:top w:w="0" w:type="dxa"/>
                    <w:left w:w="0" w:type="dxa"/>
                    <w:bottom w:w="0" w:type="dxa"/>
                    <w:right w:w="0" w:type="dxa"/>
                  </w:tcMar>
                  <w:vAlign w:val="center"/>
                </w:tcPr>
                <w:p w14:paraId="08B5D38D">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42818451">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7DBDE4D3">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790064D7">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1F29856B">
                  <w:pPr>
                    <w:jc w:val="center"/>
                    <w:rPr>
                      <w:color w:val="auto"/>
                      <w:szCs w:val="21"/>
                    </w:rPr>
                  </w:pPr>
                  <w:r>
                    <w:rPr>
                      <w:rFonts w:eastAsia="Arial"/>
                      <w:color w:val="auto"/>
                      <w:sz w:val="20"/>
                    </w:rPr>
                    <w:t>26.5</w:t>
                  </w:r>
                </w:p>
              </w:tc>
              <w:tc>
                <w:tcPr>
                  <w:tcW w:w="561" w:type="dxa"/>
                  <w:shd w:val="clear" w:color="auto" w:fill="FFFFFF"/>
                  <w:tcMar>
                    <w:top w:w="0" w:type="dxa"/>
                    <w:left w:w="0" w:type="dxa"/>
                    <w:bottom w:w="0" w:type="dxa"/>
                    <w:right w:w="0" w:type="dxa"/>
                  </w:tcMar>
                  <w:vAlign w:val="center"/>
                </w:tcPr>
                <w:p w14:paraId="16F01059">
                  <w:pPr>
                    <w:jc w:val="center"/>
                    <w:rPr>
                      <w:color w:val="auto"/>
                      <w:szCs w:val="21"/>
                    </w:rPr>
                  </w:pPr>
                  <w:r>
                    <w:rPr>
                      <w:rFonts w:eastAsia="Arial"/>
                      <w:color w:val="auto"/>
                      <w:sz w:val="20"/>
                    </w:rPr>
                    <w:t>27.8</w:t>
                  </w:r>
                </w:p>
              </w:tc>
              <w:tc>
                <w:tcPr>
                  <w:tcW w:w="561" w:type="dxa"/>
                  <w:shd w:val="clear" w:color="auto" w:fill="FFFFFF"/>
                  <w:tcMar>
                    <w:top w:w="0" w:type="dxa"/>
                    <w:left w:w="0" w:type="dxa"/>
                    <w:bottom w:w="0" w:type="dxa"/>
                    <w:right w:w="0" w:type="dxa"/>
                  </w:tcMar>
                  <w:vAlign w:val="center"/>
                </w:tcPr>
                <w:p w14:paraId="12AFDBD5">
                  <w:pPr>
                    <w:jc w:val="center"/>
                    <w:rPr>
                      <w:color w:val="auto"/>
                      <w:szCs w:val="21"/>
                    </w:rPr>
                  </w:pPr>
                  <w:r>
                    <w:rPr>
                      <w:rFonts w:eastAsia="Arial"/>
                      <w:color w:val="auto"/>
                      <w:sz w:val="20"/>
                    </w:rPr>
                    <w:t>27.1</w:t>
                  </w:r>
                </w:p>
              </w:tc>
              <w:tc>
                <w:tcPr>
                  <w:tcW w:w="561" w:type="dxa"/>
                  <w:shd w:val="clear" w:color="auto" w:fill="FFFFFF"/>
                  <w:tcMar>
                    <w:top w:w="0" w:type="dxa"/>
                    <w:left w:w="0" w:type="dxa"/>
                    <w:bottom w:w="0" w:type="dxa"/>
                    <w:right w:w="0" w:type="dxa"/>
                  </w:tcMar>
                  <w:vAlign w:val="center"/>
                </w:tcPr>
                <w:p w14:paraId="7F914860">
                  <w:pPr>
                    <w:jc w:val="center"/>
                    <w:rPr>
                      <w:color w:val="auto"/>
                      <w:szCs w:val="21"/>
                    </w:rPr>
                  </w:pPr>
                  <w:r>
                    <w:rPr>
                      <w:rFonts w:eastAsia="Arial"/>
                      <w:color w:val="auto"/>
                      <w:sz w:val="20"/>
                    </w:rPr>
                    <w:t>26.5</w:t>
                  </w:r>
                </w:p>
              </w:tc>
              <w:tc>
                <w:tcPr>
                  <w:tcW w:w="279" w:type="pct"/>
                  <w:shd w:val="clear" w:color="auto" w:fill="FFFFFF"/>
                  <w:tcMar>
                    <w:top w:w="0" w:type="dxa"/>
                    <w:left w:w="0" w:type="dxa"/>
                    <w:bottom w:w="0" w:type="dxa"/>
                    <w:right w:w="0" w:type="dxa"/>
                  </w:tcMar>
                  <w:vAlign w:val="center"/>
                </w:tcPr>
                <w:p w14:paraId="03928E74">
                  <w:pPr>
                    <w:jc w:val="center"/>
                    <w:rPr>
                      <w:color w:val="auto"/>
                      <w:szCs w:val="21"/>
                    </w:rPr>
                  </w:pPr>
                  <w:r>
                    <w:rPr>
                      <w:rFonts w:eastAsia="Arial"/>
                      <w:color w:val="auto"/>
                      <w:szCs w:val="21"/>
                    </w:rPr>
                    <w:t>1</w:t>
                  </w:r>
                </w:p>
              </w:tc>
            </w:tr>
            <w:tr w14:paraId="144EE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5EDE20A8">
                  <w:pPr>
                    <w:jc w:val="center"/>
                    <w:rPr>
                      <w:color w:val="auto"/>
                      <w:szCs w:val="21"/>
                    </w:rPr>
                  </w:pPr>
                  <w:r>
                    <w:rPr>
                      <w:rFonts w:eastAsia="Arial"/>
                      <w:color w:val="auto"/>
                      <w:szCs w:val="21"/>
                    </w:rPr>
                    <w:t>14</w:t>
                  </w:r>
                </w:p>
              </w:tc>
              <w:tc>
                <w:tcPr>
                  <w:tcW w:w="179" w:type="pct"/>
                  <w:vMerge w:val="continue"/>
                  <w:shd w:val="clear" w:color="auto" w:fill="FFFFFF"/>
                  <w:tcMar>
                    <w:top w:w="0" w:type="dxa"/>
                    <w:left w:w="0" w:type="dxa"/>
                    <w:bottom w:w="0" w:type="dxa"/>
                    <w:right w:w="0" w:type="dxa"/>
                  </w:tcMar>
                  <w:vAlign w:val="center"/>
                </w:tcPr>
                <w:p w14:paraId="0A97AC1E">
                  <w:pPr>
                    <w:jc w:val="center"/>
                    <w:rPr>
                      <w:color w:val="auto"/>
                      <w:szCs w:val="21"/>
                    </w:rPr>
                  </w:pPr>
                </w:p>
              </w:tc>
              <w:tc>
                <w:tcPr>
                  <w:tcW w:w="222" w:type="pct"/>
                  <w:shd w:val="clear" w:color="auto" w:fill="FFFFFF"/>
                  <w:tcMar>
                    <w:top w:w="0" w:type="dxa"/>
                    <w:left w:w="0" w:type="dxa"/>
                    <w:bottom w:w="0" w:type="dxa"/>
                    <w:right w:w="0" w:type="dxa"/>
                  </w:tcMar>
                  <w:vAlign w:val="center"/>
                </w:tcPr>
                <w:p w14:paraId="77B2C1A1">
                  <w:pPr>
                    <w:jc w:val="center"/>
                    <w:rPr>
                      <w:color w:val="auto"/>
                      <w:szCs w:val="21"/>
                    </w:rPr>
                  </w:pPr>
                  <w:r>
                    <w:rPr>
                      <w:rFonts w:eastAsia="Arial"/>
                      <w:color w:val="auto"/>
                      <w:szCs w:val="21"/>
                    </w:rPr>
                    <w:t>抛丸清理机</w:t>
                  </w:r>
                </w:p>
              </w:tc>
              <w:tc>
                <w:tcPr>
                  <w:tcW w:w="136" w:type="pct"/>
                  <w:shd w:val="clear" w:color="auto" w:fill="FFFFFF"/>
                  <w:tcMar>
                    <w:top w:w="0" w:type="dxa"/>
                    <w:left w:w="0" w:type="dxa"/>
                    <w:bottom w:w="0" w:type="dxa"/>
                    <w:right w:w="0" w:type="dxa"/>
                  </w:tcMar>
                  <w:vAlign w:val="center"/>
                </w:tcPr>
                <w:p w14:paraId="1FBB2950">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6A2CA439">
                  <w:pPr>
                    <w:jc w:val="center"/>
                    <w:rPr>
                      <w:color w:val="auto"/>
                      <w:szCs w:val="21"/>
                    </w:rPr>
                  </w:pPr>
                  <w:r>
                    <w:rPr>
                      <w:rFonts w:eastAsia="Arial"/>
                      <w:color w:val="auto"/>
                      <w:szCs w:val="21"/>
                    </w:rPr>
                    <w:t>80</w:t>
                  </w:r>
                </w:p>
              </w:tc>
              <w:tc>
                <w:tcPr>
                  <w:tcW w:w="187" w:type="pct"/>
                  <w:vMerge w:val="continue"/>
                  <w:shd w:val="clear" w:color="auto" w:fill="FFFFFF"/>
                  <w:tcMar>
                    <w:top w:w="0" w:type="dxa"/>
                    <w:left w:w="0" w:type="dxa"/>
                    <w:bottom w:w="0" w:type="dxa"/>
                    <w:right w:w="0" w:type="dxa"/>
                  </w:tcMar>
                  <w:vAlign w:val="center"/>
                </w:tcPr>
                <w:p w14:paraId="4DA50775">
                  <w:pPr>
                    <w:jc w:val="center"/>
                    <w:rPr>
                      <w:color w:val="auto"/>
                      <w:szCs w:val="21"/>
                    </w:rPr>
                  </w:pPr>
                </w:p>
              </w:tc>
              <w:tc>
                <w:tcPr>
                  <w:tcW w:w="655" w:type="dxa"/>
                  <w:shd w:val="clear" w:color="auto" w:fill="FFFFFF"/>
                  <w:tcMar>
                    <w:top w:w="0" w:type="dxa"/>
                    <w:left w:w="0" w:type="dxa"/>
                    <w:bottom w:w="0" w:type="dxa"/>
                    <w:right w:w="0" w:type="dxa"/>
                  </w:tcMar>
                  <w:vAlign w:val="center"/>
                </w:tcPr>
                <w:p w14:paraId="4F1BEACB">
                  <w:pPr>
                    <w:jc w:val="center"/>
                    <w:rPr>
                      <w:color w:val="auto"/>
                      <w:szCs w:val="21"/>
                    </w:rPr>
                  </w:pPr>
                  <w:r>
                    <w:rPr>
                      <w:rFonts w:eastAsia="Arial"/>
                      <w:color w:val="auto"/>
                      <w:sz w:val="20"/>
                    </w:rPr>
                    <w:t>-33.2</w:t>
                  </w:r>
                </w:p>
              </w:tc>
              <w:tc>
                <w:tcPr>
                  <w:tcW w:w="655" w:type="dxa"/>
                  <w:shd w:val="clear" w:color="auto" w:fill="FFFFFF"/>
                  <w:tcMar>
                    <w:top w:w="0" w:type="dxa"/>
                    <w:left w:w="0" w:type="dxa"/>
                    <w:bottom w:w="0" w:type="dxa"/>
                    <w:right w:w="0" w:type="dxa"/>
                  </w:tcMar>
                  <w:vAlign w:val="center"/>
                </w:tcPr>
                <w:p w14:paraId="7D0B5F09">
                  <w:pPr>
                    <w:jc w:val="center"/>
                    <w:rPr>
                      <w:color w:val="auto"/>
                      <w:szCs w:val="21"/>
                    </w:rPr>
                  </w:pPr>
                  <w:r>
                    <w:rPr>
                      <w:rFonts w:eastAsia="Arial"/>
                      <w:color w:val="auto"/>
                      <w:sz w:val="20"/>
                    </w:rPr>
                    <w:t>-45.5</w:t>
                  </w:r>
                </w:p>
              </w:tc>
              <w:tc>
                <w:tcPr>
                  <w:tcW w:w="693" w:type="dxa"/>
                  <w:shd w:val="clear" w:color="auto" w:fill="FFFFFF"/>
                  <w:tcMar>
                    <w:top w:w="0" w:type="dxa"/>
                    <w:left w:w="0" w:type="dxa"/>
                    <w:bottom w:w="0" w:type="dxa"/>
                    <w:right w:w="0" w:type="dxa"/>
                  </w:tcMar>
                  <w:vAlign w:val="center"/>
                </w:tcPr>
                <w:p w14:paraId="3849CEB0">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028AF781">
                  <w:pPr>
                    <w:jc w:val="center"/>
                    <w:rPr>
                      <w:color w:val="auto"/>
                      <w:szCs w:val="21"/>
                    </w:rPr>
                  </w:pPr>
                  <w:r>
                    <w:rPr>
                      <w:rFonts w:eastAsia="Arial"/>
                      <w:color w:val="auto"/>
                      <w:sz w:val="20"/>
                    </w:rPr>
                    <w:t>31.9</w:t>
                  </w:r>
                </w:p>
              </w:tc>
              <w:tc>
                <w:tcPr>
                  <w:tcW w:w="542" w:type="dxa"/>
                  <w:shd w:val="clear" w:color="auto" w:fill="FFFFFF"/>
                  <w:tcMar>
                    <w:top w:w="0" w:type="dxa"/>
                    <w:left w:w="0" w:type="dxa"/>
                    <w:bottom w:w="0" w:type="dxa"/>
                    <w:right w:w="0" w:type="dxa"/>
                  </w:tcMar>
                  <w:vAlign w:val="center"/>
                </w:tcPr>
                <w:p w14:paraId="2845C0DE">
                  <w:pPr>
                    <w:jc w:val="center"/>
                    <w:rPr>
                      <w:color w:val="auto"/>
                      <w:szCs w:val="21"/>
                    </w:rPr>
                  </w:pPr>
                  <w:r>
                    <w:rPr>
                      <w:rFonts w:eastAsia="Arial"/>
                      <w:color w:val="auto"/>
                      <w:sz w:val="20"/>
                    </w:rPr>
                    <w:t>10.2</w:t>
                  </w:r>
                </w:p>
              </w:tc>
              <w:tc>
                <w:tcPr>
                  <w:tcW w:w="552" w:type="dxa"/>
                  <w:shd w:val="clear" w:color="auto" w:fill="FFFFFF"/>
                  <w:tcMar>
                    <w:top w:w="0" w:type="dxa"/>
                    <w:left w:w="0" w:type="dxa"/>
                    <w:bottom w:w="0" w:type="dxa"/>
                    <w:right w:w="0" w:type="dxa"/>
                  </w:tcMar>
                  <w:vAlign w:val="center"/>
                </w:tcPr>
                <w:p w14:paraId="1704D68D">
                  <w:pPr>
                    <w:jc w:val="center"/>
                    <w:rPr>
                      <w:color w:val="auto"/>
                      <w:szCs w:val="21"/>
                    </w:rPr>
                  </w:pPr>
                  <w:r>
                    <w:rPr>
                      <w:rFonts w:eastAsia="Arial"/>
                      <w:color w:val="auto"/>
                      <w:sz w:val="20"/>
                    </w:rPr>
                    <w:t>10.1</w:t>
                  </w:r>
                </w:p>
              </w:tc>
              <w:tc>
                <w:tcPr>
                  <w:tcW w:w="583" w:type="dxa"/>
                  <w:shd w:val="clear" w:color="auto" w:fill="FFFFFF"/>
                  <w:tcMar>
                    <w:top w:w="0" w:type="dxa"/>
                    <w:left w:w="0" w:type="dxa"/>
                    <w:bottom w:w="0" w:type="dxa"/>
                    <w:right w:w="0" w:type="dxa"/>
                  </w:tcMar>
                  <w:vAlign w:val="center"/>
                </w:tcPr>
                <w:p w14:paraId="2FA797CB">
                  <w:pPr>
                    <w:jc w:val="center"/>
                    <w:rPr>
                      <w:color w:val="auto"/>
                      <w:szCs w:val="21"/>
                    </w:rPr>
                  </w:pPr>
                  <w:r>
                    <w:rPr>
                      <w:rFonts w:eastAsia="Arial"/>
                      <w:color w:val="auto"/>
                      <w:sz w:val="20"/>
                    </w:rPr>
                    <w:t>118.1</w:t>
                  </w:r>
                </w:p>
              </w:tc>
              <w:tc>
                <w:tcPr>
                  <w:tcW w:w="539" w:type="dxa"/>
                  <w:shd w:val="clear" w:color="auto" w:fill="FFFFFF"/>
                  <w:tcMar>
                    <w:top w:w="0" w:type="dxa"/>
                    <w:left w:w="0" w:type="dxa"/>
                    <w:bottom w:w="0" w:type="dxa"/>
                    <w:right w:w="0" w:type="dxa"/>
                  </w:tcMar>
                  <w:vAlign w:val="center"/>
                </w:tcPr>
                <w:p w14:paraId="4B7725E8">
                  <w:pPr>
                    <w:jc w:val="center"/>
                    <w:rPr>
                      <w:color w:val="auto"/>
                      <w:szCs w:val="21"/>
                    </w:rPr>
                  </w:pPr>
                  <w:r>
                    <w:rPr>
                      <w:rFonts w:eastAsia="Arial"/>
                      <w:color w:val="auto"/>
                      <w:sz w:val="20"/>
                    </w:rPr>
                    <w:t>57.5</w:t>
                  </w:r>
                </w:p>
              </w:tc>
              <w:tc>
                <w:tcPr>
                  <w:tcW w:w="539" w:type="dxa"/>
                  <w:shd w:val="clear" w:color="auto" w:fill="FFFFFF"/>
                  <w:tcMar>
                    <w:top w:w="0" w:type="dxa"/>
                    <w:left w:w="0" w:type="dxa"/>
                    <w:bottom w:w="0" w:type="dxa"/>
                    <w:right w:w="0" w:type="dxa"/>
                  </w:tcMar>
                  <w:vAlign w:val="center"/>
                </w:tcPr>
                <w:p w14:paraId="34F602FC">
                  <w:pPr>
                    <w:jc w:val="center"/>
                    <w:rPr>
                      <w:color w:val="auto"/>
                      <w:szCs w:val="21"/>
                    </w:rPr>
                  </w:pPr>
                  <w:r>
                    <w:rPr>
                      <w:rFonts w:eastAsia="Arial"/>
                      <w:color w:val="auto"/>
                      <w:sz w:val="20"/>
                    </w:rPr>
                    <w:t>58.0</w:t>
                  </w:r>
                </w:p>
              </w:tc>
              <w:tc>
                <w:tcPr>
                  <w:tcW w:w="539" w:type="dxa"/>
                  <w:shd w:val="clear" w:color="auto" w:fill="FFFFFF"/>
                  <w:tcMar>
                    <w:top w:w="0" w:type="dxa"/>
                    <w:left w:w="0" w:type="dxa"/>
                    <w:bottom w:w="0" w:type="dxa"/>
                    <w:right w:w="0" w:type="dxa"/>
                  </w:tcMar>
                  <w:vAlign w:val="center"/>
                </w:tcPr>
                <w:p w14:paraId="5CDD3EE2">
                  <w:pPr>
                    <w:jc w:val="center"/>
                    <w:rPr>
                      <w:color w:val="auto"/>
                      <w:szCs w:val="21"/>
                    </w:rPr>
                  </w:pPr>
                  <w:r>
                    <w:rPr>
                      <w:rFonts w:eastAsia="Arial"/>
                      <w:color w:val="auto"/>
                      <w:sz w:val="20"/>
                    </w:rPr>
                    <w:t>58.0</w:t>
                  </w:r>
                </w:p>
              </w:tc>
              <w:tc>
                <w:tcPr>
                  <w:tcW w:w="577" w:type="dxa"/>
                  <w:shd w:val="clear" w:color="auto" w:fill="FFFFFF"/>
                  <w:tcMar>
                    <w:top w:w="0" w:type="dxa"/>
                    <w:left w:w="0" w:type="dxa"/>
                    <w:bottom w:w="0" w:type="dxa"/>
                    <w:right w:w="0" w:type="dxa"/>
                  </w:tcMar>
                  <w:vAlign w:val="center"/>
                </w:tcPr>
                <w:p w14:paraId="2EC24CED">
                  <w:pPr>
                    <w:jc w:val="center"/>
                    <w:rPr>
                      <w:color w:val="auto"/>
                      <w:szCs w:val="21"/>
                    </w:rPr>
                  </w:pPr>
                  <w:r>
                    <w:rPr>
                      <w:rFonts w:eastAsia="Arial"/>
                      <w:color w:val="auto"/>
                      <w:sz w:val="20"/>
                    </w:rPr>
                    <w:t>57.5</w:t>
                  </w:r>
                </w:p>
              </w:tc>
              <w:tc>
                <w:tcPr>
                  <w:tcW w:w="149" w:type="pct"/>
                  <w:vMerge w:val="continue"/>
                  <w:shd w:val="clear" w:color="auto" w:fill="FFFFFF"/>
                  <w:tcMar>
                    <w:top w:w="0" w:type="dxa"/>
                    <w:left w:w="0" w:type="dxa"/>
                    <w:bottom w:w="0" w:type="dxa"/>
                    <w:right w:w="0" w:type="dxa"/>
                  </w:tcMar>
                  <w:vAlign w:val="center"/>
                </w:tcPr>
                <w:p w14:paraId="6F0DFE5B">
                  <w:pPr>
                    <w:jc w:val="center"/>
                    <w:rPr>
                      <w:color w:val="auto"/>
                      <w:szCs w:val="21"/>
                    </w:rPr>
                  </w:pPr>
                </w:p>
              </w:tc>
              <w:tc>
                <w:tcPr>
                  <w:tcW w:w="520" w:type="dxa"/>
                  <w:shd w:val="clear" w:color="auto" w:fill="FFFFFF"/>
                  <w:tcMar>
                    <w:top w:w="0" w:type="dxa"/>
                    <w:left w:w="0" w:type="dxa"/>
                    <w:bottom w:w="0" w:type="dxa"/>
                    <w:right w:w="0" w:type="dxa"/>
                  </w:tcMar>
                  <w:vAlign w:val="center"/>
                </w:tcPr>
                <w:p w14:paraId="06E3D63C">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6D9E61EF">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701FF91E">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15A4F84D">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74D653F2">
                  <w:pPr>
                    <w:jc w:val="center"/>
                    <w:rPr>
                      <w:color w:val="auto"/>
                      <w:szCs w:val="21"/>
                    </w:rPr>
                  </w:pPr>
                  <w:r>
                    <w:rPr>
                      <w:rFonts w:eastAsia="Arial"/>
                      <w:color w:val="auto"/>
                      <w:sz w:val="20"/>
                    </w:rPr>
                    <w:t>31.5</w:t>
                  </w:r>
                </w:p>
              </w:tc>
              <w:tc>
                <w:tcPr>
                  <w:tcW w:w="561" w:type="dxa"/>
                  <w:shd w:val="clear" w:color="auto" w:fill="FFFFFF"/>
                  <w:tcMar>
                    <w:top w:w="0" w:type="dxa"/>
                    <w:left w:w="0" w:type="dxa"/>
                    <w:bottom w:w="0" w:type="dxa"/>
                    <w:right w:w="0" w:type="dxa"/>
                  </w:tcMar>
                  <w:vAlign w:val="center"/>
                </w:tcPr>
                <w:p w14:paraId="5D5F7109">
                  <w:pPr>
                    <w:jc w:val="center"/>
                    <w:rPr>
                      <w:color w:val="auto"/>
                      <w:szCs w:val="21"/>
                    </w:rPr>
                  </w:pPr>
                  <w:r>
                    <w:rPr>
                      <w:rFonts w:eastAsia="Arial"/>
                      <w:color w:val="auto"/>
                      <w:sz w:val="20"/>
                    </w:rPr>
                    <w:t>32.0</w:t>
                  </w:r>
                </w:p>
              </w:tc>
              <w:tc>
                <w:tcPr>
                  <w:tcW w:w="561" w:type="dxa"/>
                  <w:shd w:val="clear" w:color="auto" w:fill="FFFFFF"/>
                  <w:tcMar>
                    <w:top w:w="0" w:type="dxa"/>
                    <w:left w:w="0" w:type="dxa"/>
                    <w:bottom w:w="0" w:type="dxa"/>
                    <w:right w:w="0" w:type="dxa"/>
                  </w:tcMar>
                  <w:vAlign w:val="center"/>
                </w:tcPr>
                <w:p w14:paraId="31804581">
                  <w:pPr>
                    <w:jc w:val="center"/>
                    <w:rPr>
                      <w:color w:val="auto"/>
                      <w:szCs w:val="21"/>
                    </w:rPr>
                  </w:pPr>
                  <w:r>
                    <w:rPr>
                      <w:rFonts w:eastAsia="Arial"/>
                      <w:color w:val="auto"/>
                      <w:sz w:val="20"/>
                    </w:rPr>
                    <w:t>32.0</w:t>
                  </w:r>
                </w:p>
              </w:tc>
              <w:tc>
                <w:tcPr>
                  <w:tcW w:w="561" w:type="dxa"/>
                  <w:shd w:val="clear" w:color="auto" w:fill="FFFFFF"/>
                  <w:tcMar>
                    <w:top w:w="0" w:type="dxa"/>
                    <w:left w:w="0" w:type="dxa"/>
                    <w:bottom w:w="0" w:type="dxa"/>
                    <w:right w:w="0" w:type="dxa"/>
                  </w:tcMar>
                  <w:vAlign w:val="center"/>
                </w:tcPr>
                <w:p w14:paraId="20F73A89">
                  <w:pPr>
                    <w:jc w:val="center"/>
                    <w:rPr>
                      <w:color w:val="auto"/>
                      <w:szCs w:val="21"/>
                    </w:rPr>
                  </w:pPr>
                  <w:r>
                    <w:rPr>
                      <w:rFonts w:eastAsia="Arial"/>
                      <w:color w:val="auto"/>
                      <w:sz w:val="20"/>
                    </w:rPr>
                    <w:t>31.5</w:t>
                  </w:r>
                </w:p>
              </w:tc>
              <w:tc>
                <w:tcPr>
                  <w:tcW w:w="279" w:type="pct"/>
                  <w:shd w:val="clear" w:color="auto" w:fill="FFFFFF"/>
                  <w:tcMar>
                    <w:top w:w="0" w:type="dxa"/>
                    <w:left w:w="0" w:type="dxa"/>
                    <w:bottom w:w="0" w:type="dxa"/>
                    <w:right w:w="0" w:type="dxa"/>
                  </w:tcMar>
                  <w:vAlign w:val="center"/>
                </w:tcPr>
                <w:p w14:paraId="478D56FC">
                  <w:pPr>
                    <w:jc w:val="center"/>
                    <w:rPr>
                      <w:color w:val="auto"/>
                      <w:szCs w:val="21"/>
                    </w:rPr>
                  </w:pPr>
                  <w:r>
                    <w:rPr>
                      <w:rFonts w:eastAsia="Arial"/>
                      <w:color w:val="auto"/>
                      <w:szCs w:val="21"/>
                    </w:rPr>
                    <w:t>1</w:t>
                  </w:r>
                </w:p>
              </w:tc>
            </w:tr>
            <w:tr w14:paraId="0A7DF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49" w:type="pct"/>
                  <w:shd w:val="clear" w:color="auto" w:fill="FFFFFF"/>
                  <w:tcMar>
                    <w:top w:w="0" w:type="dxa"/>
                    <w:left w:w="0" w:type="dxa"/>
                    <w:bottom w:w="0" w:type="dxa"/>
                    <w:right w:w="0" w:type="dxa"/>
                  </w:tcMar>
                  <w:vAlign w:val="center"/>
                </w:tcPr>
                <w:p w14:paraId="32907C20">
                  <w:pPr>
                    <w:jc w:val="center"/>
                    <w:rPr>
                      <w:color w:val="auto"/>
                      <w:szCs w:val="21"/>
                    </w:rPr>
                  </w:pPr>
                  <w:r>
                    <w:rPr>
                      <w:rFonts w:eastAsia="Arial"/>
                      <w:color w:val="auto"/>
                      <w:szCs w:val="21"/>
                    </w:rPr>
                    <w:t>15</w:t>
                  </w:r>
                </w:p>
              </w:tc>
              <w:tc>
                <w:tcPr>
                  <w:tcW w:w="179" w:type="pct"/>
                  <w:vMerge w:val="continue"/>
                  <w:shd w:val="clear" w:color="auto" w:fill="FFFFFF"/>
                  <w:tcMar>
                    <w:top w:w="0" w:type="dxa"/>
                    <w:left w:w="0" w:type="dxa"/>
                    <w:bottom w:w="0" w:type="dxa"/>
                    <w:right w:w="0" w:type="dxa"/>
                  </w:tcMar>
                  <w:vAlign w:val="center"/>
                </w:tcPr>
                <w:p w14:paraId="6BF6B030">
                  <w:pPr>
                    <w:jc w:val="center"/>
                    <w:rPr>
                      <w:color w:val="auto"/>
                      <w:szCs w:val="21"/>
                    </w:rPr>
                  </w:pPr>
                </w:p>
              </w:tc>
              <w:tc>
                <w:tcPr>
                  <w:tcW w:w="222" w:type="pct"/>
                  <w:shd w:val="clear" w:color="auto" w:fill="FFFFFF"/>
                  <w:tcMar>
                    <w:top w:w="0" w:type="dxa"/>
                    <w:left w:w="0" w:type="dxa"/>
                    <w:bottom w:w="0" w:type="dxa"/>
                    <w:right w:w="0" w:type="dxa"/>
                  </w:tcMar>
                  <w:vAlign w:val="center"/>
                </w:tcPr>
                <w:p w14:paraId="71D21619">
                  <w:pPr>
                    <w:jc w:val="center"/>
                    <w:rPr>
                      <w:color w:val="auto"/>
                      <w:szCs w:val="21"/>
                    </w:rPr>
                  </w:pPr>
                  <w:r>
                    <w:rPr>
                      <w:rFonts w:eastAsia="Arial"/>
                      <w:color w:val="auto"/>
                      <w:szCs w:val="21"/>
                    </w:rPr>
                    <w:t>前处理线</w:t>
                  </w:r>
                </w:p>
              </w:tc>
              <w:tc>
                <w:tcPr>
                  <w:tcW w:w="136" w:type="pct"/>
                  <w:shd w:val="clear" w:color="auto" w:fill="FFFFFF"/>
                  <w:tcMar>
                    <w:top w:w="0" w:type="dxa"/>
                    <w:left w:w="0" w:type="dxa"/>
                    <w:bottom w:w="0" w:type="dxa"/>
                    <w:right w:w="0" w:type="dxa"/>
                  </w:tcMar>
                  <w:vAlign w:val="center"/>
                </w:tcPr>
                <w:p w14:paraId="23A6B63E">
                  <w:pPr>
                    <w:jc w:val="center"/>
                    <w:rPr>
                      <w:color w:val="auto"/>
                      <w:szCs w:val="21"/>
                    </w:rPr>
                  </w:pPr>
                  <w:r>
                    <w:rPr>
                      <w:color w:val="auto"/>
                      <w:szCs w:val="21"/>
                    </w:rPr>
                    <w:t>/</w:t>
                  </w:r>
                </w:p>
              </w:tc>
              <w:tc>
                <w:tcPr>
                  <w:tcW w:w="253" w:type="pct"/>
                  <w:shd w:val="clear" w:color="auto" w:fill="FFFFFF"/>
                  <w:tcMar>
                    <w:top w:w="0" w:type="dxa"/>
                    <w:left w:w="0" w:type="dxa"/>
                    <w:bottom w:w="0" w:type="dxa"/>
                    <w:right w:w="0" w:type="dxa"/>
                  </w:tcMar>
                  <w:vAlign w:val="center"/>
                </w:tcPr>
                <w:p w14:paraId="4DAA376C">
                  <w:pPr>
                    <w:jc w:val="center"/>
                    <w:rPr>
                      <w:color w:val="auto"/>
                      <w:szCs w:val="21"/>
                    </w:rPr>
                  </w:pPr>
                  <w:r>
                    <w:rPr>
                      <w:rFonts w:eastAsia="Arial"/>
                      <w:color w:val="auto"/>
                      <w:szCs w:val="21"/>
                    </w:rPr>
                    <w:t>70</w:t>
                  </w:r>
                </w:p>
              </w:tc>
              <w:tc>
                <w:tcPr>
                  <w:tcW w:w="187" w:type="pct"/>
                  <w:vMerge w:val="continue"/>
                  <w:shd w:val="clear" w:color="auto" w:fill="FFFFFF"/>
                  <w:tcMar>
                    <w:top w:w="0" w:type="dxa"/>
                    <w:left w:w="0" w:type="dxa"/>
                    <w:bottom w:w="0" w:type="dxa"/>
                    <w:right w:w="0" w:type="dxa"/>
                  </w:tcMar>
                  <w:vAlign w:val="center"/>
                </w:tcPr>
                <w:p w14:paraId="161D0E57">
                  <w:pPr>
                    <w:jc w:val="center"/>
                    <w:rPr>
                      <w:color w:val="auto"/>
                      <w:szCs w:val="21"/>
                    </w:rPr>
                  </w:pPr>
                </w:p>
              </w:tc>
              <w:tc>
                <w:tcPr>
                  <w:tcW w:w="655" w:type="dxa"/>
                  <w:shd w:val="clear" w:color="auto" w:fill="FFFFFF"/>
                  <w:tcMar>
                    <w:top w:w="0" w:type="dxa"/>
                    <w:left w:w="0" w:type="dxa"/>
                    <w:bottom w:w="0" w:type="dxa"/>
                    <w:right w:w="0" w:type="dxa"/>
                  </w:tcMar>
                  <w:vAlign w:val="center"/>
                </w:tcPr>
                <w:p w14:paraId="73BBECDB">
                  <w:pPr>
                    <w:jc w:val="center"/>
                    <w:rPr>
                      <w:color w:val="auto"/>
                      <w:szCs w:val="21"/>
                    </w:rPr>
                  </w:pPr>
                  <w:r>
                    <w:rPr>
                      <w:rFonts w:eastAsia="Arial"/>
                      <w:color w:val="auto"/>
                      <w:sz w:val="20"/>
                    </w:rPr>
                    <w:t>8.1</w:t>
                  </w:r>
                </w:p>
              </w:tc>
              <w:tc>
                <w:tcPr>
                  <w:tcW w:w="655" w:type="dxa"/>
                  <w:shd w:val="clear" w:color="auto" w:fill="FFFFFF"/>
                  <w:tcMar>
                    <w:top w:w="0" w:type="dxa"/>
                    <w:left w:w="0" w:type="dxa"/>
                    <w:bottom w:w="0" w:type="dxa"/>
                    <w:right w:w="0" w:type="dxa"/>
                  </w:tcMar>
                  <w:vAlign w:val="center"/>
                </w:tcPr>
                <w:p w14:paraId="0B7A71D1">
                  <w:pPr>
                    <w:jc w:val="center"/>
                    <w:rPr>
                      <w:color w:val="auto"/>
                      <w:szCs w:val="21"/>
                    </w:rPr>
                  </w:pPr>
                  <w:r>
                    <w:rPr>
                      <w:rFonts w:eastAsia="Arial"/>
                      <w:color w:val="auto"/>
                      <w:sz w:val="20"/>
                    </w:rPr>
                    <w:t>15.6</w:t>
                  </w:r>
                </w:p>
              </w:tc>
              <w:tc>
                <w:tcPr>
                  <w:tcW w:w="693" w:type="dxa"/>
                  <w:shd w:val="clear" w:color="auto" w:fill="FFFFFF"/>
                  <w:tcMar>
                    <w:top w:w="0" w:type="dxa"/>
                    <w:left w:w="0" w:type="dxa"/>
                    <w:bottom w:w="0" w:type="dxa"/>
                    <w:right w:w="0" w:type="dxa"/>
                  </w:tcMar>
                  <w:vAlign w:val="center"/>
                </w:tcPr>
                <w:p w14:paraId="736D13E6">
                  <w:pPr>
                    <w:jc w:val="center"/>
                    <w:rPr>
                      <w:color w:val="auto"/>
                      <w:szCs w:val="21"/>
                    </w:rPr>
                  </w:pPr>
                  <w:r>
                    <w:rPr>
                      <w:rFonts w:eastAsia="Arial"/>
                      <w:color w:val="auto"/>
                      <w:sz w:val="20"/>
                    </w:rPr>
                    <w:t>1.2</w:t>
                  </w:r>
                </w:p>
              </w:tc>
              <w:tc>
                <w:tcPr>
                  <w:tcW w:w="542" w:type="dxa"/>
                  <w:shd w:val="clear" w:color="auto" w:fill="FFFFFF"/>
                  <w:tcMar>
                    <w:top w:w="0" w:type="dxa"/>
                    <w:left w:w="0" w:type="dxa"/>
                    <w:bottom w:w="0" w:type="dxa"/>
                    <w:right w:w="0" w:type="dxa"/>
                  </w:tcMar>
                  <w:vAlign w:val="center"/>
                </w:tcPr>
                <w:p w14:paraId="3AA14881">
                  <w:pPr>
                    <w:jc w:val="center"/>
                    <w:rPr>
                      <w:color w:val="auto"/>
                      <w:szCs w:val="21"/>
                    </w:rPr>
                  </w:pPr>
                  <w:r>
                    <w:rPr>
                      <w:rFonts w:eastAsia="Arial"/>
                      <w:color w:val="auto"/>
                      <w:sz w:val="20"/>
                    </w:rPr>
                    <w:t>21.7</w:t>
                  </w:r>
                </w:p>
              </w:tc>
              <w:tc>
                <w:tcPr>
                  <w:tcW w:w="542" w:type="dxa"/>
                  <w:shd w:val="clear" w:color="auto" w:fill="FFFFFF"/>
                  <w:tcMar>
                    <w:top w:w="0" w:type="dxa"/>
                    <w:left w:w="0" w:type="dxa"/>
                    <w:bottom w:w="0" w:type="dxa"/>
                    <w:right w:w="0" w:type="dxa"/>
                  </w:tcMar>
                  <w:vAlign w:val="center"/>
                </w:tcPr>
                <w:p w14:paraId="586750B5">
                  <w:pPr>
                    <w:jc w:val="center"/>
                    <w:rPr>
                      <w:color w:val="auto"/>
                      <w:szCs w:val="21"/>
                    </w:rPr>
                  </w:pPr>
                  <w:r>
                    <w:rPr>
                      <w:rFonts w:eastAsia="Arial"/>
                      <w:color w:val="auto"/>
                      <w:sz w:val="20"/>
                    </w:rPr>
                    <w:t>83.5</w:t>
                  </w:r>
                </w:p>
              </w:tc>
              <w:tc>
                <w:tcPr>
                  <w:tcW w:w="552" w:type="dxa"/>
                  <w:shd w:val="clear" w:color="auto" w:fill="FFFFFF"/>
                  <w:tcMar>
                    <w:top w:w="0" w:type="dxa"/>
                    <w:left w:w="0" w:type="dxa"/>
                    <w:bottom w:w="0" w:type="dxa"/>
                    <w:right w:w="0" w:type="dxa"/>
                  </w:tcMar>
                  <w:vAlign w:val="center"/>
                </w:tcPr>
                <w:p w14:paraId="0E901369">
                  <w:pPr>
                    <w:jc w:val="center"/>
                    <w:rPr>
                      <w:color w:val="auto"/>
                      <w:szCs w:val="21"/>
                    </w:rPr>
                  </w:pPr>
                  <w:r>
                    <w:rPr>
                      <w:rFonts w:eastAsia="Arial"/>
                      <w:color w:val="auto"/>
                      <w:sz w:val="20"/>
                    </w:rPr>
                    <w:t>23.2</w:t>
                  </w:r>
                </w:p>
              </w:tc>
              <w:tc>
                <w:tcPr>
                  <w:tcW w:w="583" w:type="dxa"/>
                  <w:shd w:val="clear" w:color="auto" w:fill="FFFFFF"/>
                  <w:tcMar>
                    <w:top w:w="0" w:type="dxa"/>
                    <w:left w:w="0" w:type="dxa"/>
                    <w:bottom w:w="0" w:type="dxa"/>
                    <w:right w:w="0" w:type="dxa"/>
                  </w:tcMar>
                  <w:vAlign w:val="center"/>
                </w:tcPr>
                <w:p w14:paraId="48456CF3">
                  <w:pPr>
                    <w:jc w:val="center"/>
                    <w:rPr>
                      <w:color w:val="auto"/>
                      <w:szCs w:val="21"/>
                    </w:rPr>
                  </w:pPr>
                  <w:r>
                    <w:rPr>
                      <w:rFonts w:eastAsia="Arial"/>
                      <w:color w:val="auto"/>
                      <w:sz w:val="20"/>
                    </w:rPr>
                    <w:t>46.2</w:t>
                  </w:r>
                </w:p>
              </w:tc>
              <w:tc>
                <w:tcPr>
                  <w:tcW w:w="539" w:type="dxa"/>
                  <w:shd w:val="clear" w:color="auto" w:fill="FFFFFF"/>
                  <w:tcMar>
                    <w:top w:w="0" w:type="dxa"/>
                    <w:left w:w="0" w:type="dxa"/>
                    <w:bottom w:w="0" w:type="dxa"/>
                    <w:right w:w="0" w:type="dxa"/>
                  </w:tcMar>
                  <w:vAlign w:val="center"/>
                </w:tcPr>
                <w:p w14:paraId="2A717CE5">
                  <w:pPr>
                    <w:jc w:val="center"/>
                    <w:rPr>
                      <w:color w:val="auto"/>
                      <w:szCs w:val="21"/>
                    </w:rPr>
                  </w:pPr>
                  <w:r>
                    <w:rPr>
                      <w:rFonts w:eastAsia="Arial"/>
                      <w:color w:val="auto"/>
                      <w:sz w:val="20"/>
                    </w:rPr>
                    <w:t>47.6</w:t>
                  </w:r>
                </w:p>
              </w:tc>
              <w:tc>
                <w:tcPr>
                  <w:tcW w:w="539" w:type="dxa"/>
                  <w:shd w:val="clear" w:color="auto" w:fill="FFFFFF"/>
                  <w:tcMar>
                    <w:top w:w="0" w:type="dxa"/>
                    <w:left w:w="0" w:type="dxa"/>
                    <w:bottom w:w="0" w:type="dxa"/>
                    <w:right w:w="0" w:type="dxa"/>
                  </w:tcMar>
                  <w:vAlign w:val="center"/>
                </w:tcPr>
                <w:p w14:paraId="5ED13621">
                  <w:pPr>
                    <w:jc w:val="center"/>
                    <w:rPr>
                      <w:color w:val="auto"/>
                      <w:szCs w:val="21"/>
                    </w:rPr>
                  </w:pPr>
                  <w:r>
                    <w:rPr>
                      <w:rFonts w:eastAsia="Arial"/>
                      <w:color w:val="auto"/>
                      <w:sz w:val="20"/>
                    </w:rPr>
                    <w:t>47.5</w:t>
                  </w:r>
                </w:p>
              </w:tc>
              <w:tc>
                <w:tcPr>
                  <w:tcW w:w="539" w:type="dxa"/>
                  <w:shd w:val="clear" w:color="auto" w:fill="FFFFFF"/>
                  <w:tcMar>
                    <w:top w:w="0" w:type="dxa"/>
                    <w:left w:w="0" w:type="dxa"/>
                    <w:bottom w:w="0" w:type="dxa"/>
                    <w:right w:w="0" w:type="dxa"/>
                  </w:tcMar>
                  <w:vAlign w:val="center"/>
                </w:tcPr>
                <w:p w14:paraId="1B168122">
                  <w:pPr>
                    <w:jc w:val="center"/>
                    <w:rPr>
                      <w:color w:val="auto"/>
                      <w:szCs w:val="21"/>
                    </w:rPr>
                  </w:pPr>
                  <w:r>
                    <w:rPr>
                      <w:rFonts w:eastAsia="Arial"/>
                      <w:color w:val="auto"/>
                      <w:sz w:val="20"/>
                    </w:rPr>
                    <w:t>47.6</w:t>
                  </w:r>
                </w:p>
              </w:tc>
              <w:tc>
                <w:tcPr>
                  <w:tcW w:w="577" w:type="dxa"/>
                  <w:shd w:val="clear" w:color="auto" w:fill="FFFFFF"/>
                  <w:tcMar>
                    <w:top w:w="0" w:type="dxa"/>
                    <w:left w:w="0" w:type="dxa"/>
                    <w:bottom w:w="0" w:type="dxa"/>
                    <w:right w:w="0" w:type="dxa"/>
                  </w:tcMar>
                  <w:vAlign w:val="center"/>
                </w:tcPr>
                <w:p w14:paraId="4964B378">
                  <w:pPr>
                    <w:jc w:val="center"/>
                    <w:rPr>
                      <w:color w:val="auto"/>
                      <w:szCs w:val="21"/>
                    </w:rPr>
                  </w:pPr>
                  <w:r>
                    <w:rPr>
                      <w:rFonts w:eastAsia="Arial"/>
                      <w:color w:val="auto"/>
                      <w:sz w:val="20"/>
                    </w:rPr>
                    <w:t>47.5</w:t>
                  </w:r>
                </w:p>
              </w:tc>
              <w:tc>
                <w:tcPr>
                  <w:tcW w:w="149" w:type="pct"/>
                  <w:vMerge w:val="continue"/>
                  <w:shd w:val="clear" w:color="auto" w:fill="FFFFFF"/>
                  <w:tcMar>
                    <w:top w:w="0" w:type="dxa"/>
                    <w:left w:w="0" w:type="dxa"/>
                    <w:bottom w:w="0" w:type="dxa"/>
                    <w:right w:w="0" w:type="dxa"/>
                  </w:tcMar>
                  <w:vAlign w:val="center"/>
                </w:tcPr>
                <w:p w14:paraId="3745CC53">
                  <w:pPr>
                    <w:jc w:val="center"/>
                    <w:rPr>
                      <w:color w:val="auto"/>
                      <w:szCs w:val="21"/>
                    </w:rPr>
                  </w:pPr>
                </w:p>
              </w:tc>
              <w:tc>
                <w:tcPr>
                  <w:tcW w:w="520" w:type="dxa"/>
                  <w:shd w:val="clear" w:color="auto" w:fill="FFFFFF"/>
                  <w:tcMar>
                    <w:top w:w="0" w:type="dxa"/>
                    <w:left w:w="0" w:type="dxa"/>
                    <w:bottom w:w="0" w:type="dxa"/>
                    <w:right w:w="0" w:type="dxa"/>
                  </w:tcMar>
                  <w:vAlign w:val="center"/>
                </w:tcPr>
                <w:p w14:paraId="0BBC5BCE">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541AA488">
                  <w:pPr>
                    <w:jc w:val="center"/>
                    <w:rPr>
                      <w:color w:val="auto"/>
                      <w:szCs w:val="21"/>
                    </w:rPr>
                  </w:pPr>
                  <w:r>
                    <w:rPr>
                      <w:rFonts w:eastAsia="Arial"/>
                      <w:color w:val="auto"/>
                      <w:sz w:val="20"/>
                    </w:rPr>
                    <w:t>26.0</w:t>
                  </w:r>
                </w:p>
              </w:tc>
              <w:tc>
                <w:tcPr>
                  <w:tcW w:w="520" w:type="dxa"/>
                  <w:shd w:val="clear" w:color="auto" w:fill="FFFFFF"/>
                  <w:tcMar>
                    <w:top w:w="0" w:type="dxa"/>
                    <w:left w:w="0" w:type="dxa"/>
                    <w:bottom w:w="0" w:type="dxa"/>
                    <w:right w:w="0" w:type="dxa"/>
                  </w:tcMar>
                  <w:vAlign w:val="center"/>
                </w:tcPr>
                <w:p w14:paraId="1D26E62D">
                  <w:pPr>
                    <w:jc w:val="center"/>
                    <w:rPr>
                      <w:color w:val="auto"/>
                      <w:szCs w:val="21"/>
                    </w:rPr>
                  </w:pPr>
                  <w:r>
                    <w:rPr>
                      <w:rFonts w:eastAsia="Arial"/>
                      <w:color w:val="auto"/>
                      <w:sz w:val="20"/>
                    </w:rPr>
                    <w:t>26.0</w:t>
                  </w:r>
                </w:p>
              </w:tc>
              <w:tc>
                <w:tcPr>
                  <w:tcW w:w="564" w:type="dxa"/>
                  <w:shd w:val="clear" w:color="auto" w:fill="FFFFFF"/>
                  <w:tcMar>
                    <w:top w:w="0" w:type="dxa"/>
                    <w:left w:w="0" w:type="dxa"/>
                    <w:bottom w:w="0" w:type="dxa"/>
                    <w:right w:w="0" w:type="dxa"/>
                  </w:tcMar>
                  <w:vAlign w:val="center"/>
                </w:tcPr>
                <w:p w14:paraId="78590DFB">
                  <w:pPr>
                    <w:jc w:val="center"/>
                    <w:rPr>
                      <w:color w:val="auto"/>
                      <w:szCs w:val="21"/>
                    </w:rPr>
                  </w:pPr>
                  <w:r>
                    <w:rPr>
                      <w:rFonts w:eastAsia="Arial"/>
                      <w:color w:val="auto"/>
                      <w:sz w:val="20"/>
                    </w:rPr>
                    <w:t>26.0</w:t>
                  </w:r>
                </w:p>
              </w:tc>
              <w:tc>
                <w:tcPr>
                  <w:tcW w:w="561" w:type="dxa"/>
                  <w:shd w:val="clear" w:color="auto" w:fill="FFFFFF"/>
                  <w:tcMar>
                    <w:top w:w="0" w:type="dxa"/>
                    <w:left w:w="0" w:type="dxa"/>
                    <w:bottom w:w="0" w:type="dxa"/>
                    <w:right w:w="0" w:type="dxa"/>
                  </w:tcMar>
                  <w:vAlign w:val="center"/>
                </w:tcPr>
                <w:p w14:paraId="0B7A5AE3">
                  <w:pPr>
                    <w:jc w:val="center"/>
                    <w:rPr>
                      <w:color w:val="auto"/>
                      <w:szCs w:val="21"/>
                    </w:rPr>
                  </w:pPr>
                  <w:r>
                    <w:rPr>
                      <w:rFonts w:eastAsia="Arial"/>
                      <w:color w:val="auto"/>
                      <w:sz w:val="20"/>
                    </w:rPr>
                    <w:t>21.6</w:t>
                  </w:r>
                </w:p>
              </w:tc>
              <w:tc>
                <w:tcPr>
                  <w:tcW w:w="561" w:type="dxa"/>
                  <w:shd w:val="clear" w:color="auto" w:fill="FFFFFF"/>
                  <w:tcMar>
                    <w:top w:w="0" w:type="dxa"/>
                    <w:left w:w="0" w:type="dxa"/>
                    <w:bottom w:w="0" w:type="dxa"/>
                    <w:right w:w="0" w:type="dxa"/>
                  </w:tcMar>
                  <w:vAlign w:val="center"/>
                </w:tcPr>
                <w:p w14:paraId="6FFD5DF3">
                  <w:pPr>
                    <w:jc w:val="center"/>
                    <w:rPr>
                      <w:color w:val="auto"/>
                      <w:szCs w:val="21"/>
                    </w:rPr>
                  </w:pPr>
                  <w:r>
                    <w:rPr>
                      <w:rFonts w:eastAsia="Arial"/>
                      <w:color w:val="auto"/>
                      <w:sz w:val="20"/>
                    </w:rPr>
                    <w:t>21.5</w:t>
                  </w:r>
                </w:p>
              </w:tc>
              <w:tc>
                <w:tcPr>
                  <w:tcW w:w="561" w:type="dxa"/>
                  <w:shd w:val="clear" w:color="auto" w:fill="FFFFFF"/>
                  <w:tcMar>
                    <w:top w:w="0" w:type="dxa"/>
                    <w:left w:w="0" w:type="dxa"/>
                    <w:bottom w:w="0" w:type="dxa"/>
                    <w:right w:w="0" w:type="dxa"/>
                  </w:tcMar>
                  <w:vAlign w:val="center"/>
                </w:tcPr>
                <w:p w14:paraId="660A28EA">
                  <w:pPr>
                    <w:jc w:val="center"/>
                    <w:rPr>
                      <w:color w:val="auto"/>
                      <w:szCs w:val="21"/>
                    </w:rPr>
                  </w:pPr>
                  <w:r>
                    <w:rPr>
                      <w:rFonts w:eastAsia="Arial"/>
                      <w:color w:val="auto"/>
                      <w:sz w:val="20"/>
                    </w:rPr>
                    <w:t>21.6</w:t>
                  </w:r>
                </w:p>
              </w:tc>
              <w:tc>
                <w:tcPr>
                  <w:tcW w:w="561" w:type="dxa"/>
                  <w:shd w:val="clear" w:color="auto" w:fill="FFFFFF"/>
                  <w:tcMar>
                    <w:top w:w="0" w:type="dxa"/>
                    <w:left w:w="0" w:type="dxa"/>
                    <w:bottom w:w="0" w:type="dxa"/>
                    <w:right w:w="0" w:type="dxa"/>
                  </w:tcMar>
                  <w:vAlign w:val="center"/>
                </w:tcPr>
                <w:p w14:paraId="2ED079BE">
                  <w:pPr>
                    <w:jc w:val="center"/>
                    <w:rPr>
                      <w:color w:val="auto"/>
                      <w:szCs w:val="21"/>
                    </w:rPr>
                  </w:pPr>
                  <w:r>
                    <w:rPr>
                      <w:rFonts w:eastAsia="Arial"/>
                      <w:color w:val="auto"/>
                      <w:sz w:val="20"/>
                    </w:rPr>
                    <w:t>21.5</w:t>
                  </w:r>
                </w:p>
              </w:tc>
              <w:tc>
                <w:tcPr>
                  <w:tcW w:w="279" w:type="pct"/>
                  <w:shd w:val="clear" w:color="auto" w:fill="FFFFFF"/>
                  <w:tcMar>
                    <w:top w:w="0" w:type="dxa"/>
                    <w:left w:w="0" w:type="dxa"/>
                    <w:bottom w:w="0" w:type="dxa"/>
                    <w:right w:w="0" w:type="dxa"/>
                  </w:tcMar>
                  <w:vAlign w:val="center"/>
                </w:tcPr>
                <w:p w14:paraId="0EDB349C">
                  <w:pPr>
                    <w:jc w:val="center"/>
                    <w:rPr>
                      <w:color w:val="auto"/>
                      <w:szCs w:val="21"/>
                    </w:rPr>
                  </w:pPr>
                  <w:r>
                    <w:rPr>
                      <w:rFonts w:eastAsia="Arial"/>
                      <w:color w:val="auto"/>
                      <w:szCs w:val="21"/>
                    </w:rPr>
                    <w:t>1</w:t>
                  </w:r>
                </w:p>
              </w:tc>
            </w:tr>
            <w:tr w14:paraId="3824C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5000" w:type="pct"/>
                  <w:gridSpan w:val="27"/>
                  <w:shd w:val="clear" w:color="auto" w:fill="FFFFFF"/>
                  <w:tcMar>
                    <w:top w:w="0" w:type="dxa"/>
                    <w:left w:w="0" w:type="dxa"/>
                    <w:bottom w:w="0" w:type="dxa"/>
                    <w:right w:w="0" w:type="dxa"/>
                  </w:tcMar>
                  <w:vAlign w:val="center"/>
                </w:tcPr>
                <w:p w14:paraId="1E40D47F">
                  <w:pPr>
                    <w:jc w:val="left"/>
                    <w:rPr>
                      <w:color w:val="auto"/>
                      <w:szCs w:val="21"/>
                    </w:rPr>
                  </w:pPr>
                  <w:r>
                    <w:rPr>
                      <w:color w:val="auto"/>
                      <w:szCs w:val="21"/>
                    </w:rPr>
                    <w:t>注：</w:t>
                  </w:r>
                  <w:r>
                    <w:rPr>
                      <w:rFonts w:eastAsiaTheme="minorEastAsia"/>
                      <w:bCs/>
                      <w:color w:val="auto"/>
                      <w:szCs w:val="21"/>
                    </w:rPr>
                    <w:t>表中坐标以厂界中心（</w:t>
                  </w:r>
                  <w:bookmarkStart w:id="6" w:name="PO_7"/>
                  <w:r>
                    <w:rPr>
                      <w:rFonts w:eastAsiaTheme="minorEastAsia"/>
                      <w:bCs/>
                      <w:color w:val="auto"/>
                      <w:szCs w:val="21"/>
                    </w:rPr>
                    <w:t>113.884140,23.188154</w:t>
                  </w:r>
                  <w:bookmarkEnd w:id="6"/>
                  <w:r>
                    <w:rPr>
                      <w:rFonts w:eastAsiaTheme="minorEastAsia"/>
                      <w:bCs/>
                      <w:color w:val="auto"/>
                      <w:szCs w:val="21"/>
                    </w:rPr>
                    <w:t>）为坐标原点，正东向为X轴正方向，正北向为Y轴正方向</w:t>
                  </w:r>
                </w:p>
              </w:tc>
            </w:tr>
            <w:bookmarkEnd w:id="4"/>
          </w:tbl>
          <w:p w14:paraId="75EBAF4A">
            <w:pPr>
              <w:rPr>
                <w:color w:val="auto"/>
              </w:rPr>
            </w:pPr>
          </w:p>
          <w:p w14:paraId="6DB09DA5">
            <w:pPr>
              <w:adjustRightInd w:val="0"/>
              <w:snapToGrid w:val="0"/>
              <w:jc w:val="center"/>
              <w:rPr>
                <w:bCs/>
                <w:color w:val="auto"/>
                <w:sz w:val="24"/>
              </w:rPr>
            </w:pPr>
          </w:p>
          <w:p w14:paraId="2B9CB535">
            <w:pPr>
              <w:adjustRightInd w:val="0"/>
              <w:snapToGrid w:val="0"/>
              <w:jc w:val="center"/>
              <w:rPr>
                <w:bCs/>
                <w:color w:val="auto"/>
                <w:sz w:val="24"/>
              </w:rPr>
            </w:pPr>
          </w:p>
          <w:p w14:paraId="35E08C3E">
            <w:pPr>
              <w:adjustRightInd w:val="0"/>
              <w:snapToGrid w:val="0"/>
              <w:jc w:val="center"/>
              <w:rPr>
                <w:bCs/>
                <w:color w:val="auto"/>
                <w:sz w:val="24"/>
              </w:rPr>
            </w:pPr>
          </w:p>
        </w:tc>
      </w:tr>
    </w:tbl>
    <w:p w14:paraId="45051780">
      <w:pPr>
        <w:pStyle w:val="6"/>
        <w:ind w:left="1260" w:hanging="420"/>
        <w:sectPr>
          <w:pgSz w:w="16840" w:h="11907" w:orient="landscape"/>
          <w:pgMar w:top="1440" w:right="1083" w:bottom="1440" w:left="1083" w:header="851" w:footer="851" w:gutter="0"/>
          <w:cols w:space="720" w:num="1"/>
          <w:docGrid w:linePitch="312" w:charSpace="0"/>
        </w:sectPr>
      </w:pPr>
    </w:p>
    <w:tbl>
      <w:tblPr>
        <w:tblStyle w:val="35"/>
        <w:tblW w:w="98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0"/>
        <w:gridCol w:w="9513"/>
      </w:tblGrid>
      <w:tr w14:paraId="687923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45" w:hRule="atLeast"/>
          <w:jc w:val="center"/>
        </w:trPr>
        <w:tc>
          <w:tcPr>
            <w:tcW w:w="370" w:type="dxa"/>
            <w:tcMar>
              <w:left w:w="28" w:type="dxa"/>
              <w:right w:w="28" w:type="dxa"/>
            </w:tcMar>
            <w:vAlign w:val="center"/>
          </w:tcPr>
          <w:p w14:paraId="6F635879">
            <w:pPr>
              <w:adjustRightInd w:val="0"/>
              <w:snapToGrid w:val="0"/>
              <w:jc w:val="center"/>
              <w:rPr>
                <w:bCs/>
                <w:color w:val="auto"/>
                <w:sz w:val="24"/>
              </w:rPr>
            </w:pPr>
            <w:r>
              <w:rPr>
                <w:bCs/>
                <w:color w:val="auto"/>
                <w:sz w:val="24"/>
              </w:rPr>
              <w:t>运营</w:t>
            </w:r>
          </w:p>
          <w:p w14:paraId="51461C08">
            <w:pPr>
              <w:adjustRightInd w:val="0"/>
              <w:snapToGrid w:val="0"/>
              <w:jc w:val="center"/>
              <w:rPr>
                <w:bCs/>
                <w:color w:val="auto"/>
                <w:sz w:val="24"/>
              </w:rPr>
            </w:pPr>
            <w:r>
              <w:rPr>
                <w:bCs/>
                <w:color w:val="auto"/>
                <w:sz w:val="24"/>
              </w:rPr>
              <w:t>期环</w:t>
            </w:r>
          </w:p>
          <w:p w14:paraId="09AE4556">
            <w:pPr>
              <w:adjustRightInd w:val="0"/>
              <w:snapToGrid w:val="0"/>
              <w:jc w:val="center"/>
              <w:rPr>
                <w:bCs/>
                <w:color w:val="auto"/>
                <w:sz w:val="24"/>
              </w:rPr>
            </w:pPr>
            <w:r>
              <w:rPr>
                <w:bCs/>
                <w:color w:val="auto"/>
                <w:sz w:val="24"/>
              </w:rPr>
              <w:t>境影</w:t>
            </w:r>
          </w:p>
          <w:p w14:paraId="7DA6B354">
            <w:pPr>
              <w:adjustRightInd w:val="0"/>
              <w:snapToGrid w:val="0"/>
              <w:jc w:val="center"/>
              <w:rPr>
                <w:bCs/>
                <w:color w:val="auto"/>
                <w:sz w:val="24"/>
              </w:rPr>
            </w:pPr>
            <w:r>
              <w:rPr>
                <w:bCs/>
                <w:color w:val="auto"/>
                <w:sz w:val="24"/>
              </w:rPr>
              <w:t>响和</w:t>
            </w:r>
          </w:p>
          <w:p w14:paraId="7F3A9B77">
            <w:pPr>
              <w:adjustRightInd w:val="0"/>
              <w:snapToGrid w:val="0"/>
              <w:jc w:val="center"/>
              <w:rPr>
                <w:bCs/>
                <w:color w:val="auto"/>
                <w:sz w:val="24"/>
              </w:rPr>
            </w:pPr>
            <w:r>
              <w:rPr>
                <w:bCs/>
                <w:color w:val="auto"/>
                <w:sz w:val="24"/>
              </w:rPr>
              <w:t>保护</w:t>
            </w:r>
          </w:p>
          <w:p w14:paraId="066B3179">
            <w:pPr>
              <w:adjustRightInd w:val="0"/>
              <w:snapToGrid w:val="0"/>
              <w:jc w:val="center"/>
              <w:rPr>
                <w:bCs/>
                <w:color w:val="auto"/>
                <w:sz w:val="24"/>
              </w:rPr>
            </w:pPr>
            <w:r>
              <w:rPr>
                <w:bCs/>
                <w:color w:val="auto"/>
                <w:sz w:val="24"/>
              </w:rPr>
              <w:t>措施</w:t>
            </w:r>
          </w:p>
        </w:tc>
        <w:tc>
          <w:tcPr>
            <w:tcW w:w="9513" w:type="dxa"/>
            <w:vAlign w:val="center"/>
          </w:tcPr>
          <w:p w14:paraId="5955B191">
            <w:pPr>
              <w:pStyle w:val="15"/>
              <w:spacing w:line="360" w:lineRule="auto"/>
              <w:ind w:firstLine="482"/>
              <w:rPr>
                <w:b/>
                <w:bCs/>
                <w:color w:val="auto"/>
                <w:sz w:val="24"/>
                <w:szCs w:val="24"/>
              </w:rPr>
            </w:pPr>
            <w:r>
              <w:rPr>
                <w:rFonts w:hint="eastAsia"/>
                <w:b/>
                <w:bCs/>
                <w:color w:val="auto"/>
                <w:sz w:val="24"/>
                <w:szCs w:val="24"/>
              </w:rPr>
              <w:t>3、预测结果及分析</w:t>
            </w:r>
          </w:p>
          <w:p w14:paraId="4789F3DF">
            <w:pPr>
              <w:pStyle w:val="77"/>
              <w:numPr>
                <w:ilvl w:val="0"/>
                <w:numId w:val="18"/>
              </w:numPr>
              <w:adjustRightInd w:val="0"/>
              <w:snapToGrid w:val="0"/>
              <w:jc w:val="center"/>
              <w:rPr>
                <w:rFonts w:hint="eastAsia" w:asciiTheme="minorEastAsia" w:hAnsiTheme="minorEastAsia" w:eastAsiaTheme="minorEastAsia"/>
                <w:b/>
                <w:bCs/>
                <w:color w:val="auto"/>
                <w:szCs w:val="21"/>
              </w:rPr>
            </w:pPr>
            <w:r>
              <w:rPr>
                <w:rFonts w:asciiTheme="minorEastAsia" w:hAnsiTheme="minorEastAsia" w:eastAsiaTheme="minorEastAsia"/>
                <w:b/>
                <w:bCs/>
                <w:color w:val="auto"/>
                <w:szCs w:val="21"/>
              </w:rPr>
              <w:t>项目噪声</w:t>
            </w:r>
            <w:r>
              <w:rPr>
                <w:rFonts w:hint="eastAsia" w:asciiTheme="minorEastAsia" w:hAnsiTheme="minorEastAsia" w:eastAsiaTheme="minorEastAsia"/>
                <w:b/>
                <w:bCs/>
                <w:color w:val="auto"/>
                <w:szCs w:val="21"/>
              </w:rPr>
              <w:t>预测结果表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1293"/>
              <w:gridCol w:w="1430"/>
              <w:gridCol w:w="1260"/>
              <w:gridCol w:w="1589"/>
              <w:gridCol w:w="1274"/>
              <w:gridCol w:w="1241"/>
            </w:tblGrid>
            <w:tr w14:paraId="53F5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1193" w:type="dxa"/>
                  <w:vMerge w:val="restart"/>
                  <w:vAlign w:val="center"/>
                </w:tcPr>
                <w:p w14:paraId="125D96F1">
                  <w:pPr>
                    <w:jc w:val="center"/>
                    <w:rPr>
                      <w:color w:val="auto"/>
                      <w:szCs w:val="21"/>
                    </w:rPr>
                  </w:pPr>
                  <w:r>
                    <w:rPr>
                      <w:b/>
                      <w:color w:val="auto"/>
                      <w:szCs w:val="21"/>
                    </w:rPr>
                    <w:t>预测方位</w:t>
                  </w:r>
                </w:p>
              </w:tc>
              <w:tc>
                <w:tcPr>
                  <w:tcW w:w="3983" w:type="dxa"/>
                  <w:gridSpan w:val="3"/>
                  <w:vAlign w:val="center"/>
                </w:tcPr>
                <w:p w14:paraId="2B7468BA">
                  <w:pPr>
                    <w:jc w:val="center"/>
                    <w:rPr>
                      <w:color w:val="auto"/>
                      <w:szCs w:val="21"/>
                    </w:rPr>
                  </w:pPr>
                  <w:r>
                    <w:rPr>
                      <w:b/>
                      <w:color w:val="auto"/>
                      <w:szCs w:val="21"/>
                    </w:rPr>
                    <w:t>最大值点空间相对位置/m</w:t>
                  </w:r>
                </w:p>
              </w:tc>
              <w:tc>
                <w:tcPr>
                  <w:tcW w:w="1589" w:type="dxa"/>
                  <w:vAlign w:val="center"/>
                </w:tcPr>
                <w:p w14:paraId="2BE284DC">
                  <w:pPr>
                    <w:jc w:val="center"/>
                    <w:rPr>
                      <w:b/>
                      <w:bCs/>
                      <w:color w:val="auto"/>
                      <w:szCs w:val="21"/>
                    </w:rPr>
                  </w:pPr>
                  <w:r>
                    <w:rPr>
                      <w:b/>
                      <w:color w:val="auto"/>
                      <w:szCs w:val="21"/>
                    </w:rPr>
                    <w:t>贡献值</w:t>
                  </w:r>
                </w:p>
              </w:tc>
              <w:tc>
                <w:tcPr>
                  <w:tcW w:w="1274" w:type="dxa"/>
                  <w:vMerge w:val="restart"/>
                  <w:vAlign w:val="center"/>
                </w:tcPr>
                <w:p w14:paraId="2C0FA4DE">
                  <w:pPr>
                    <w:jc w:val="center"/>
                    <w:rPr>
                      <w:b/>
                      <w:color w:val="auto"/>
                      <w:szCs w:val="21"/>
                    </w:rPr>
                  </w:pPr>
                  <w:r>
                    <w:rPr>
                      <w:b/>
                      <w:color w:val="auto"/>
                      <w:szCs w:val="21"/>
                    </w:rPr>
                    <w:t>标准限值</w:t>
                  </w:r>
                </w:p>
              </w:tc>
              <w:tc>
                <w:tcPr>
                  <w:tcW w:w="1241" w:type="dxa"/>
                  <w:vMerge w:val="restart"/>
                  <w:vAlign w:val="center"/>
                </w:tcPr>
                <w:p w14:paraId="6F34B448">
                  <w:pPr>
                    <w:jc w:val="center"/>
                    <w:rPr>
                      <w:color w:val="auto"/>
                      <w:szCs w:val="21"/>
                    </w:rPr>
                  </w:pPr>
                  <w:r>
                    <w:rPr>
                      <w:b/>
                      <w:color w:val="auto"/>
                      <w:szCs w:val="21"/>
                    </w:rPr>
                    <w:t>达标情况</w:t>
                  </w:r>
                </w:p>
              </w:tc>
            </w:tr>
            <w:tr w14:paraId="190F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93" w:type="dxa"/>
                  <w:vMerge w:val="continue"/>
                  <w:vAlign w:val="center"/>
                </w:tcPr>
                <w:p w14:paraId="00D7E78C">
                  <w:pPr>
                    <w:jc w:val="center"/>
                    <w:rPr>
                      <w:color w:val="auto"/>
                      <w:szCs w:val="21"/>
                    </w:rPr>
                  </w:pPr>
                </w:p>
              </w:tc>
              <w:tc>
                <w:tcPr>
                  <w:tcW w:w="1293" w:type="dxa"/>
                  <w:vAlign w:val="center"/>
                </w:tcPr>
                <w:p w14:paraId="75DAA4A5">
                  <w:pPr>
                    <w:jc w:val="center"/>
                    <w:rPr>
                      <w:b/>
                      <w:bCs/>
                      <w:color w:val="auto"/>
                      <w:szCs w:val="21"/>
                    </w:rPr>
                  </w:pPr>
                  <w:r>
                    <w:rPr>
                      <w:color w:val="auto"/>
                      <w:szCs w:val="21"/>
                    </w:rPr>
                    <w:t>X</w:t>
                  </w:r>
                </w:p>
              </w:tc>
              <w:tc>
                <w:tcPr>
                  <w:tcW w:w="1430" w:type="dxa"/>
                  <w:vAlign w:val="center"/>
                </w:tcPr>
                <w:p w14:paraId="5FEB5663">
                  <w:pPr>
                    <w:jc w:val="center"/>
                    <w:rPr>
                      <w:b/>
                      <w:bCs/>
                      <w:color w:val="auto"/>
                      <w:szCs w:val="21"/>
                    </w:rPr>
                  </w:pPr>
                  <w:r>
                    <w:rPr>
                      <w:color w:val="auto"/>
                      <w:szCs w:val="21"/>
                    </w:rPr>
                    <w:t>Y</w:t>
                  </w:r>
                </w:p>
              </w:tc>
              <w:tc>
                <w:tcPr>
                  <w:tcW w:w="1260" w:type="dxa"/>
                  <w:vAlign w:val="center"/>
                </w:tcPr>
                <w:p w14:paraId="625DF080">
                  <w:pPr>
                    <w:jc w:val="center"/>
                    <w:rPr>
                      <w:b/>
                      <w:bCs/>
                      <w:color w:val="auto"/>
                      <w:szCs w:val="21"/>
                    </w:rPr>
                  </w:pPr>
                  <w:r>
                    <w:rPr>
                      <w:color w:val="auto"/>
                      <w:szCs w:val="21"/>
                    </w:rPr>
                    <w:t>Z</w:t>
                  </w:r>
                </w:p>
              </w:tc>
              <w:tc>
                <w:tcPr>
                  <w:tcW w:w="1589" w:type="dxa"/>
                  <w:vAlign w:val="center"/>
                </w:tcPr>
                <w:p w14:paraId="48E044DA">
                  <w:pPr>
                    <w:jc w:val="center"/>
                    <w:rPr>
                      <w:b/>
                      <w:bCs/>
                      <w:color w:val="auto"/>
                      <w:szCs w:val="21"/>
                    </w:rPr>
                  </w:pPr>
                  <w:r>
                    <w:rPr>
                      <w:rFonts w:hint="eastAsia"/>
                      <w:b/>
                      <w:bCs/>
                      <w:color w:val="auto"/>
                      <w:szCs w:val="21"/>
                    </w:rPr>
                    <w:t>昼间</w:t>
                  </w:r>
                </w:p>
              </w:tc>
              <w:tc>
                <w:tcPr>
                  <w:tcW w:w="1274" w:type="dxa"/>
                  <w:vMerge w:val="continue"/>
                  <w:vAlign w:val="center"/>
                </w:tcPr>
                <w:p w14:paraId="5EBE3DAE">
                  <w:pPr>
                    <w:jc w:val="center"/>
                    <w:rPr>
                      <w:color w:val="auto"/>
                      <w:szCs w:val="21"/>
                    </w:rPr>
                  </w:pPr>
                </w:p>
              </w:tc>
              <w:tc>
                <w:tcPr>
                  <w:tcW w:w="1241" w:type="dxa"/>
                  <w:vMerge w:val="continue"/>
                  <w:vAlign w:val="center"/>
                </w:tcPr>
                <w:p w14:paraId="435117EC">
                  <w:pPr>
                    <w:jc w:val="center"/>
                    <w:rPr>
                      <w:color w:val="auto"/>
                      <w:szCs w:val="21"/>
                    </w:rPr>
                  </w:pPr>
                </w:p>
              </w:tc>
            </w:tr>
            <w:tr w14:paraId="1396A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93" w:type="dxa"/>
                  <w:shd w:val="clear" w:color="auto" w:fill="FFFFFF"/>
                  <w:vAlign w:val="center"/>
                </w:tcPr>
                <w:p w14:paraId="0759CD5A">
                  <w:pPr>
                    <w:jc w:val="center"/>
                    <w:rPr>
                      <w:color w:val="auto"/>
                      <w:szCs w:val="21"/>
                    </w:rPr>
                  </w:pPr>
                  <w:r>
                    <w:rPr>
                      <w:color w:val="auto"/>
                      <w:szCs w:val="21"/>
                    </w:rPr>
                    <w:t>东</w:t>
                  </w:r>
                  <w:r>
                    <w:rPr>
                      <w:rFonts w:hint="eastAsia"/>
                      <w:color w:val="auto"/>
                      <w:szCs w:val="21"/>
                    </w:rPr>
                    <w:t>南</w:t>
                  </w:r>
                  <w:r>
                    <w:rPr>
                      <w:color w:val="auto"/>
                      <w:szCs w:val="21"/>
                    </w:rPr>
                    <w:t>侧</w:t>
                  </w:r>
                </w:p>
              </w:tc>
              <w:tc>
                <w:tcPr>
                  <w:tcW w:w="1293" w:type="dxa"/>
                  <w:shd w:val="clear" w:color="auto" w:fill="FFFFFF"/>
                  <w:vAlign w:val="center"/>
                </w:tcPr>
                <w:p w14:paraId="1B27A6ED">
                  <w:pPr>
                    <w:jc w:val="center"/>
                    <w:rPr>
                      <w:color w:val="auto"/>
                      <w:szCs w:val="21"/>
                    </w:rPr>
                  </w:pPr>
                  <w:r>
                    <w:rPr>
                      <w:color w:val="auto"/>
                      <w:szCs w:val="21"/>
                    </w:rPr>
                    <w:t>23.9</w:t>
                  </w:r>
                </w:p>
              </w:tc>
              <w:tc>
                <w:tcPr>
                  <w:tcW w:w="1430" w:type="dxa"/>
                  <w:shd w:val="clear" w:color="auto" w:fill="FFFFFF"/>
                  <w:vAlign w:val="center"/>
                </w:tcPr>
                <w:p w14:paraId="5B3B9289">
                  <w:pPr>
                    <w:jc w:val="center"/>
                    <w:rPr>
                      <w:color w:val="auto"/>
                      <w:szCs w:val="21"/>
                    </w:rPr>
                  </w:pPr>
                  <w:r>
                    <w:rPr>
                      <w:color w:val="auto"/>
                      <w:szCs w:val="21"/>
                    </w:rPr>
                    <w:t>-4.7</w:t>
                  </w:r>
                </w:p>
              </w:tc>
              <w:tc>
                <w:tcPr>
                  <w:tcW w:w="1260" w:type="dxa"/>
                  <w:shd w:val="clear" w:color="auto" w:fill="FFFFFF"/>
                  <w:vAlign w:val="center"/>
                </w:tcPr>
                <w:p w14:paraId="177173B4">
                  <w:pPr>
                    <w:jc w:val="center"/>
                    <w:rPr>
                      <w:color w:val="auto"/>
                      <w:szCs w:val="21"/>
                    </w:rPr>
                  </w:pPr>
                  <w:r>
                    <w:rPr>
                      <w:color w:val="auto"/>
                      <w:szCs w:val="21"/>
                    </w:rPr>
                    <w:t>1.2</w:t>
                  </w:r>
                </w:p>
              </w:tc>
              <w:tc>
                <w:tcPr>
                  <w:tcW w:w="1589" w:type="dxa"/>
                  <w:shd w:val="clear" w:color="auto" w:fill="FFFFFF"/>
                  <w:vAlign w:val="center"/>
                </w:tcPr>
                <w:p w14:paraId="76708360">
                  <w:pPr>
                    <w:jc w:val="center"/>
                    <w:rPr>
                      <w:color w:val="auto"/>
                      <w:szCs w:val="21"/>
                    </w:rPr>
                  </w:pPr>
                  <w:r>
                    <w:rPr>
                      <w:rFonts w:eastAsia="Arial"/>
                      <w:color w:val="auto"/>
                      <w:sz w:val="20"/>
                    </w:rPr>
                    <w:t>53.6</w:t>
                  </w:r>
                </w:p>
              </w:tc>
              <w:tc>
                <w:tcPr>
                  <w:tcW w:w="1274" w:type="dxa"/>
                  <w:shd w:val="clear" w:color="auto" w:fill="FFFFFF"/>
                  <w:vAlign w:val="center"/>
                </w:tcPr>
                <w:p w14:paraId="556CE28D">
                  <w:pPr>
                    <w:jc w:val="center"/>
                    <w:rPr>
                      <w:color w:val="auto"/>
                      <w:szCs w:val="21"/>
                    </w:rPr>
                  </w:pPr>
                  <w:r>
                    <w:rPr>
                      <w:rFonts w:eastAsia="Arial"/>
                      <w:color w:val="auto"/>
                      <w:sz w:val="20"/>
                    </w:rPr>
                    <w:t>60</w:t>
                  </w:r>
                </w:p>
              </w:tc>
              <w:tc>
                <w:tcPr>
                  <w:tcW w:w="1241" w:type="dxa"/>
                  <w:shd w:val="clear" w:color="auto" w:fill="FFFFFF"/>
                  <w:vAlign w:val="center"/>
                </w:tcPr>
                <w:p w14:paraId="4D3C0B9F">
                  <w:pPr>
                    <w:jc w:val="center"/>
                    <w:rPr>
                      <w:color w:val="auto"/>
                      <w:szCs w:val="21"/>
                    </w:rPr>
                  </w:pPr>
                  <w:r>
                    <w:rPr>
                      <w:color w:val="auto"/>
                      <w:szCs w:val="21"/>
                    </w:rPr>
                    <w:t>达标</w:t>
                  </w:r>
                </w:p>
              </w:tc>
            </w:tr>
            <w:tr w14:paraId="2E777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93" w:type="dxa"/>
                  <w:shd w:val="clear" w:color="auto" w:fill="FFFFFF"/>
                  <w:vAlign w:val="center"/>
                </w:tcPr>
                <w:p w14:paraId="15D5C837">
                  <w:pPr>
                    <w:jc w:val="center"/>
                    <w:rPr>
                      <w:color w:val="auto"/>
                      <w:szCs w:val="21"/>
                    </w:rPr>
                  </w:pPr>
                  <w:r>
                    <w:rPr>
                      <w:rFonts w:hint="eastAsia"/>
                      <w:color w:val="auto"/>
                      <w:szCs w:val="21"/>
                    </w:rPr>
                    <w:t>西</w:t>
                  </w:r>
                  <w:r>
                    <w:rPr>
                      <w:color w:val="auto"/>
                      <w:szCs w:val="21"/>
                    </w:rPr>
                    <w:t>南侧</w:t>
                  </w:r>
                </w:p>
              </w:tc>
              <w:tc>
                <w:tcPr>
                  <w:tcW w:w="1293" w:type="dxa"/>
                  <w:shd w:val="clear" w:color="auto" w:fill="FFFFFF"/>
                  <w:vAlign w:val="center"/>
                </w:tcPr>
                <w:p w14:paraId="456EAB5D">
                  <w:pPr>
                    <w:jc w:val="center"/>
                    <w:rPr>
                      <w:color w:val="auto"/>
                      <w:szCs w:val="21"/>
                    </w:rPr>
                  </w:pPr>
                  <w:r>
                    <w:rPr>
                      <w:color w:val="auto"/>
                      <w:szCs w:val="21"/>
                    </w:rPr>
                    <w:t>-38.6</w:t>
                  </w:r>
                </w:p>
              </w:tc>
              <w:tc>
                <w:tcPr>
                  <w:tcW w:w="1430" w:type="dxa"/>
                  <w:shd w:val="clear" w:color="auto" w:fill="FFFFFF"/>
                  <w:vAlign w:val="center"/>
                </w:tcPr>
                <w:p w14:paraId="41B0F044">
                  <w:pPr>
                    <w:jc w:val="center"/>
                    <w:rPr>
                      <w:color w:val="auto"/>
                      <w:szCs w:val="21"/>
                    </w:rPr>
                  </w:pPr>
                  <w:r>
                    <w:rPr>
                      <w:color w:val="auto"/>
                      <w:szCs w:val="21"/>
                    </w:rPr>
                    <w:t>-56.5</w:t>
                  </w:r>
                </w:p>
              </w:tc>
              <w:tc>
                <w:tcPr>
                  <w:tcW w:w="1260" w:type="dxa"/>
                  <w:shd w:val="clear" w:color="auto" w:fill="FFFFFF"/>
                  <w:vAlign w:val="center"/>
                </w:tcPr>
                <w:p w14:paraId="3BFE469B">
                  <w:pPr>
                    <w:jc w:val="center"/>
                    <w:rPr>
                      <w:color w:val="auto"/>
                      <w:szCs w:val="21"/>
                    </w:rPr>
                  </w:pPr>
                  <w:r>
                    <w:rPr>
                      <w:color w:val="auto"/>
                      <w:szCs w:val="21"/>
                    </w:rPr>
                    <w:t>1.2</w:t>
                  </w:r>
                </w:p>
              </w:tc>
              <w:tc>
                <w:tcPr>
                  <w:tcW w:w="1589" w:type="dxa"/>
                  <w:shd w:val="clear" w:color="auto" w:fill="FFFFFF"/>
                  <w:vAlign w:val="center"/>
                </w:tcPr>
                <w:p w14:paraId="24E78359">
                  <w:pPr>
                    <w:jc w:val="center"/>
                    <w:rPr>
                      <w:color w:val="auto"/>
                      <w:szCs w:val="21"/>
                    </w:rPr>
                  </w:pPr>
                  <w:r>
                    <w:rPr>
                      <w:rFonts w:eastAsia="Arial"/>
                      <w:color w:val="auto"/>
                      <w:sz w:val="20"/>
                    </w:rPr>
                    <w:t>55.7</w:t>
                  </w:r>
                </w:p>
              </w:tc>
              <w:tc>
                <w:tcPr>
                  <w:tcW w:w="1274" w:type="dxa"/>
                  <w:shd w:val="clear" w:color="auto" w:fill="FFFFFF"/>
                  <w:vAlign w:val="center"/>
                </w:tcPr>
                <w:p w14:paraId="60A6BB68">
                  <w:pPr>
                    <w:jc w:val="center"/>
                    <w:rPr>
                      <w:color w:val="auto"/>
                      <w:szCs w:val="21"/>
                    </w:rPr>
                  </w:pPr>
                  <w:r>
                    <w:rPr>
                      <w:rFonts w:eastAsia="Arial"/>
                      <w:color w:val="auto"/>
                      <w:sz w:val="20"/>
                    </w:rPr>
                    <w:t>60</w:t>
                  </w:r>
                </w:p>
              </w:tc>
              <w:tc>
                <w:tcPr>
                  <w:tcW w:w="1241" w:type="dxa"/>
                  <w:shd w:val="clear" w:color="auto" w:fill="FFFFFF"/>
                  <w:vAlign w:val="center"/>
                </w:tcPr>
                <w:p w14:paraId="777068F5">
                  <w:pPr>
                    <w:jc w:val="center"/>
                    <w:rPr>
                      <w:color w:val="auto"/>
                      <w:szCs w:val="21"/>
                    </w:rPr>
                  </w:pPr>
                  <w:r>
                    <w:rPr>
                      <w:color w:val="auto"/>
                      <w:szCs w:val="21"/>
                    </w:rPr>
                    <w:t>达标</w:t>
                  </w:r>
                </w:p>
              </w:tc>
            </w:tr>
            <w:tr w14:paraId="7BBC2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93" w:type="dxa"/>
                  <w:shd w:val="clear" w:color="auto" w:fill="FFFFFF"/>
                  <w:vAlign w:val="center"/>
                </w:tcPr>
                <w:p w14:paraId="38804FA0">
                  <w:pPr>
                    <w:jc w:val="center"/>
                    <w:rPr>
                      <w:color w:val="auto"/>
                      <w:szCs w:val="21"/>
                    </w:rPr>
                  </w:pPr>
                  <w:r>
                    <w:rPr>
                      <w:color w:val="auto"/>
                      <w:szCs w:val="21"/>
                    </w:rPr>
                    <w:t>西</w:t>
                  </w:r>
                  <w:r>
                    <w:rPr>
                      <w:rFonts w:hint="eastAsia"/>
                      <w:color w:val="auto"/>
                      <w:szCs w:val="21"/>
                    </w:rPr>
                    <w:t>北</w:t>
                  </w:r>
                  <w:r>
                    <w:rPr>
                      <w:color w:val="auto"/>
                      <w:szCs w:val="21"/>
                    </w:rPr>
                    <w:t>侧</w:t>
                  </w:r>
                </w:p>
              </w:tc>
              <w:tc>
                <w:tcPr>
                  <w:tcW w:w="1293" w:type="dxa"/>
                  <w:shd w:val="clear" w:color="auto" w:fill="FFFFFF"/>
                  <w:vAlign w:val="center"/>
                </w:tcPr>
                <w:p w14:paraId="2D7B88B0">
                  <w:pPr>
                    <w:jc w:val="center"/>
                    <w:rPr>
                      <w:color w:val="auto"/>
                      <w:szCs w:val="21"/>
                    </w:rPr>
                  </w:pPr>
                  <w:r>
                    <w:rPr>
                      <w:color w:val="auto"/>
                      <w:szCs w:val="21"/>
                    </w:rPr>
                    <w:t>-35.1</w:t>
                  </w:r>
                </w:p>
              </w:tc>
              <w:tc>
                <w:tcPr>
                  <w:tcW w:w="1430" w:type="dxa"/>
                  <w:shd w:val="clear" w:color="auto" w:fill="FFFFFF"/>
                  <w:vAlign w:val="center"/>
                </w:tcPr>
                <w:p w14:paraId="7737A06D">
                  <w:pPr>
                    <w:jc w:val="center"/>
                    <w:rPr>
                      <w:color w:val="auto"/>
                      <w:szCs w:val="21"/>
                    </w:rPr>
                  </w:pPr>
                  <w:r>
                    <w:rPr>
                      <w:color w:val="auto"/>
                      <w:szCs w:val="21"/>
                    </w:rPr>
                    <w:t>-21.2</w:t>
                  </w:r>
                </w:p>
              </w:tc>
              <w:tc>
                <w:tcPr>
                  <w:tcW w:w="1260" w:type="dxa"/>
                  <w:shd w:val="clear" w:color="auto" w:fill="FFFFFF"/>
                  <w:vAlign w:val="center"/>
                </w:tcPr>
                <w:p w14:paraId="2C12634B">
                  <w:pPr>
                    <w:jc w:val="center"/>
                    <w:rPr>
                      <w:color w:val="auto"/>
                      <w:szCs w:val="21"/>
                    </w:rPr>
                  </w:pPr>
                  <w:r>
                    <w:rPr>
                      <w:color w:val="auto"/>
                      <w:szCs w:val="21"/>
                    </w:rPr>
                    <w:t>1.2</w:t>
                  </w:r>
                </w:p>
              </w:tc>
              <w:tc>
                <w:tcPr>
                  <w:tcW w:w="1589" w:type="dxa"/>
                  <w:shd w:val="clear" w:color="auto" w:fill="FFFFFF"/>
                  <w:vAlign w:val="center"/>
                </w:tcPr>
                <w:p w14:paraId="58780B16">
                  <w:pPr>
                    <w:jc w:val="center"/>
                    <w:rPr>
                      <w:color w:val="auto"/>
                      <w:szCs w:val="21"/>
                    </w:rPr>
                  </w:pPr>
                  <w:r>
                    <w:rPr>
                      <w:rFonts w:eastAsia="Arial"/>
                      <w:color w:val="auto"/>
                      <w:sz w:val="20"/>
                    </w:rPr>
                    <w:t>58.5</w:t>
                  </w:r>
                </w:p>
              </w:tc>
              <w:tc>
                <w:tcPr>
                  <w:tcW w:w="1274" w:type="dxa"/>
                  <w:shd w:val="clear" w:color="auto" w:fill="FFFFFF"/>
                  <w:vAlign w:val="center"/>
                </w:tcPr>
                <w:p w14:paraId="104E38D7">
                  <w:pPr>
                    <w:jc w:val="center"/>
                    <w:rPr>
                      <w:color w:val="auto"/>
                      <w:szCs w:val="21"/>
                    </w:rPr>
                  </w:pPr>
                  <w:r>
                    <w:rPr>
                      <w:rFonts w:eastAsia="Arial"/>
                      <w:color w:val="auto"/>
                      <w:sz w:val="20"/>
                    </w:rPr>
                    <w:t>60</w:t>
                  </w:r>
                </w:p>
              </w:tc>
              <w:tc>
                <w:tcPr>
                  <w:tcW w:w="1241" w:type="dxa"/>
                  <w:shd w:val="clear" w:color="auto" w:fill="FFFFFF"/>
                  <w:vAlign w:val="center"/>
                </w:tcPr>
                <w:p w14:paraId="23E74E86">
                  <w:pPr>
                    <w:jc w:val="center"/>
                    <w:rPr>
                      <w:color w:val="auto"/>
                      <w:szCs w:val="21"/>
                    </w:rPr>
                  </w:pPr>
                  <w:r>
                    <w:rPr>
                      <w:color w:val="auto"/>
                      <w:szCs w:val="21"/>
                    </w:rPr>
                    <w:t>达标</w:t>
                  </w:r>
                </w:p>
              </w:tc>
            </w:tr>
            <w:tr w14:paraId="76067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93" w:type="dxa"/>
                  <w:shd w:val="clear" w:color="auto" w:fill="FFFFFF"/>
                  <w:vAlign w:val="center"/>
                </w:tcPr>
                <w:p w14:paraId="7CA101E5">
                  <w:pPr>
                    <w:jc w:val="center"/>
                    <w:rPr>
                      <w:color w:val="auto"/>
                      <w:szCs w:val="21"/>
                    </w:rPr>
                  </w:pPr>
                  <w:r>
                    <w:rPr>
                      <w:rFonts w:hint="eastAsia"/>
                      <w:color w:val="auto"/>
                      <w:szCs w:val="21"/>
                    </w:rPr>
                    <w:t>东</w:t>
                  </w:r>
                  <w:r>
                    <w:rPr>
                      <w:color w:val="auto"/>
                      <w:szCs w:val="21"/>
                    </w:rPr>
                    <w:t>北侧</w:t>
                  </w:r>
                </w:p>
              </w:tc>
              <w:tc>
                <w:tcPr>
                  <w:tcW w:w="1293" w:type="dxa"/>
                  <w:shd w:val="clear" w:color="auto" w:fill="FFFFFF"/>
                  <w:vAlign w:val="center"/>
                </w:tcPr>
                <w:p w14:paraId="47D2B330">
                  <w:pPr>
                    <w:jc w:val="center"/>
                    <w:rPr>
                      <w:color w:val="auto"/>
                      <w:szCs w:val="21"/>
                    </w:rPr>
                  </w:pPr>
                  <w:r>
                    <w:rPr>
                      <w:color w:val="auto"/>
                      <w:szCs w:val="21"/>
                    </w:rPr>
                    <w:t>12.4</w:t>
                  </w:r>
                </w:p>
              </w:tc>
              <w:tc>
                <w:tcPr>
                  <w:tcW w:w="1430" w:type="dxa"/>
                  <w:shd w:val="clear" w:color="auto" w:fill="FFFFFF"/>
                  <w:vAlign w:val="center"/>
                </w:tcPr>
                <w:p w14:paraId="79312228">
                  <w:pPr>
                    <w:jc w:val="center"/>
                    <w:rPr>
                      <w:color w:val="auto"/>
                      <w:szCs w:val="21"/>
                    </w:rPr>
                  </w:pPr>
                  <w:r>
                    <w:rPr>
                      <w:color w:val="auto"/>
                      <w:szCs w:val="21"/>
                    </w:rPr>
                    <w:t>65.1</w:t>
                  </w:r>
                </w:p>
              </w:tc>
              <w:tc>
                <w:tcPr>
                  <w:tcW w:w="1260" w:type="dxa"/>
                  <w:shd w:val="clear" w:color="auto" w:fill="FFFFFF"/>
                  <w:vAlign w:val="center"/>
                </w:tcPr>
                <w:p w14:paraId="6CF8640C">
                  <w:pPr>
                    <w:jc w:val="center"/>
                    <w:rPr>
                      <w:color w:val="auto"/>
                      <w:szCs w:val="21"/>
                    </w:rPr>
                  </w:pPr>
                  <w:r>
                    <w:rPr>
                      <w:color w:val="auto"/>
                      <w:szCs w:val="21"/>
                    </w:rPr>
                    <w:t>1.2</w:t>
                  </w:r>
                </w:p>
              </w:tc>
              <w:tc>
                <w:tcPr>
                  <w:tcW w:w="1589" w:type="dxa"/>
                  <w:shd w:val="clear" w:color="auto" w:fill="FFFFFF"/>
                  <w:vAlign w:val="center"/>
                </w:tcPr>
                <w:p w14:paraId="10230298">
                  <w:pPr>
                    <w:jc w:val="center"/>
                    <w:rPr>
                      <w:color w:val="auto"/>
                      <w:szCs w:val="21"/>
                    </w:rPr>
                  </w:pPr>
                  <w:r>
                    <w:rPr>
                      <w:rFonts w:eastAsia="Arial"/>
                      <w:color w:val="auto"/>
                      <w:sz w:val="20"/>
                    </w:rPr>
                    <w:t>50.9</w:t>
                  </w:r>
                </w:p>
              </w:tc>
              <w:tc>
                <w:tcPr>
                  <w:tcW w:w="1274" w:type="dxa"/>
                  <w:shd w:val="clear" w:color="auto" w:fill="FFFFFF"/>
                  <w:vAlign w:val="center"/>
                </w:tcPr>
                <w:p w14:paraId="2A2739CB">
                  <w:pPr>
                    <w:jc w:val="center"/>
                    <w:rPr>
                      <w:color w:val="auto"/>
                      <w:szCs w:val="21"/>
                    </w:rPr>
                  </w:pPr>
                  <w:r>
                    <w:rPr>
                      <w:rFonts w:eastAsia="Arial"/>
                      <w:color w:val="auto"/>
                      <w:sz w:val="20"/>
                    </w:rPr>
                    <w:t>60</w:t>
                  </w:r>
                </w:p>
              </w:tc>
              <w:tc>
                <w:tcPr>
                  <w:tcW w:w="1241" w:type="dxa"/>
                  <w:shd w:val="clear" w:color="auto" w:fill="FFFFFF"/>
                  <w:vAlign w:val="center"/>
                </w:tcPr>
                <w:p w14:paraId="3DE0D98B">
                  <w:pPr>
                    <w:jc w:val="center"/>
                    <w:rPr>
                      <w:color w:val="auto"/>
                      <w:szCs w:val="21"/>
                    </w:rPr>
                  </w:pPr>
                  <w:r>
                    <w:rPr>
                      <w:color w:val="auto"/>
                      <w:szCs w:val="21"/>
                    </w:rPr>
                    <w:t>达标</w:t>
                  </w:r>
                </w:p>
              </w:tc>
            </w:tr>
            <w:tr w14:paraId="0E77B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161" w:hRule="exact"/>
                <w:jc w:val="center"/>
              </w:trPr>
              <w:tc>
                <w:tcPr>
                  <w:tcW w:w="9280" w:type="dxa"/>
                  <w:gridSpan w:val="7"/>
                  <w:shd w:val="clear" w:color="auto" w:fill="FFFFFF"/>
                  <w:vAlign w:val="center"/>
                </w:tcPr>
                <w:p w14:paraId="7117A0DD">
                  <w:pPr>
                    <w:jc w:val="left"/>
                    <w:rPr>
                      <w:color w:val="auto"/>
                      <w:szCs w:val="21"/>
                    </w:rPr>
                  </w:pPr>
                  <w:r>
                    <w:rPr>
                      <w:color w:val="auto"/>
                      <w:szCs w:val="21"/>
                    </w:rPr>
                    <w:t>备注：</w:t>
                  </w:r>
                </w:p>
                <w:p w14:paraId="3283271C">
                  <w:pPr>
                    <w:numPr>
                      <w:ilvl w:val="0"/>
                      <w:numId w:val="21"/>
                    </w:numPr>
                    <w:jc w:val="left"/>
                    <w:rPr>
                      <w:bCs/>
                      <w:color w:val="auto"/>
                      <w:szCs w:val="21"/>
                    </w:rPr>
                  </w:pPr>
                  <w:r>
                    <w:rPr>
                      <w:rFonts w:eastAsiaTheme="minorEastAsia"/>
                      <w:bCs/>
                      <w:color w:val="auto"/>
                      <w:szCs w:val="21"/>
                    </w:rPr>
                    <w:t>表中坐标以厂界中心（</w:t>
                  </w:r>
                  <w:bookmarkStart w:id="7" w:name="PO_8"/>
                  <w:r>
                    <w:rPr>
                      <w:rFonts w:eastAsiaTheme="minorEastAsia"/>
                      <w:bCs/>
                      <w:color w:val="auto"/>
                      <w:szCs w:val="21"/>
                    </w:rPr>
                    <w:t>113.884140,23.188154</w:t>
                  </w:r>
                  <w:bookmarkEnd w:id="7"/>
                  <w:r>
                    <w:rPr>
                      <w:rFonts w:eastAsiaTheme="minorEastAsia"/>
                      <w:bCs/>
                      <w:color w:val="auto"/>
                      <w:szCs w:val="21"/>
                    </w:rPr>
                    <w:t>）为坐标原点，正东向为X轴正方向，正北向为Y轴正方向</w:t>
                  </w:r>
                </w:p>
                <w:p w14:paraId="6C803B81">
                  <w:pPr>
                    <w:numPr>
                      <w:ilvl w:val="0"/>
                      <w:numId w:val="21"/>
                    </w:numPr>
                    <w:jc w:val="left"/>
                    <w:rPr>
                      <w:bCs/>
                      <w:color w:val="auto"/>
                      <w:szCs w:val="21"/>
                    </w:rPr>
                  </w:pPr>
                  <w:r>
                    <w:rPr>
                      <w:rFonts w:hint="eastAsia"/>
                      <w:bCs/>
                      <w:color w:val="auto"/>
                      <w:szCs w:val="21"/>
                    </w:rPr>
                    <w:t>项目夜间不生产。</w:t>
                  </w:r>
                </w:p>
              </w:tc>
            </w:tr>
          </w:tbl>
          <w:p w14:paraId="21DAC6D2">
            <w:pPr>
              <w:pStyle w:val="15"/>
              <w:ind w:firstLine="480"/>
              <w:rPr>
                <w:color w:val="auto"/>
              </w:rPr>
            </w:pPr>
          </w:p>
          <w:p w14:paraId="610A3290">
            <w:pPr>
              <w:spacing w:line="360" w:lineRule="auto"/>
              <w:ind w:firstLine="480" w:firstLineChars="200"/>
              <w:rPr>
                <w:color w:val="auto"/>
                <w:sz w:val="24"/>
              </w:rPr>
            </w:pPr>
            <w:r>
              <w:rPr>
                <w:rFonts w:hint="eastAsia"/>
                <w:color w:val="auto"/>
                <w:sz w:val="24"/>
              </w:rPr>
              <w:t>根据预测结果表明，项目噪声在没有任何遮挡的情况下，厂界噪声预测贡献值可以满足《工业企业厂界环境噪声排放标准》（GB12348-2008）的2类标准（昼间≤60dB（A））的要求，对周边环境影响较小。</w:t>
            </w:r>
          </w:p>
          <w:p w14:paraId="5F42BB11">
            <w:pPr>
              <w:pStyle w:val="15"/>
              <w:spacing w:line="360" w:lineRule="auto"/>
              <w:ind w:firstLine="482"/>
              <w:rPr>
                <w:b/>
                <w:bCs/>
                <w:color w:val="auto"/>
                <w:sz w:val="24"/>
                <w:szCs w:val="24"/>
              </w:rPr>
            </w:pPr>
            <w:r>
              <w:rPr>
                <w:rFonts w:hint="eastAsia"/>
                <w:b/>
                <w:bCs/>
                <w:color w:val="auto"/>
                <w:sz w:val="24"/>
                <w:szCs w:val="24"/>
              </w:rPr>
              <w:t>4、噪声污染防治措施可行性分析</w:t>
            </w:r>
          </w:p>
          <w:p w14:paraId="1E0F6594">
            <w:pPr>
              <w:spacing w:line="360" w:lineRule="auto"/>
              <w:ind w:firstLine="480" w:firstLineChars="200"/>
              <w:rPr>
                <w:color w:val="auto"/>
                <w:sz w:val="24"/>
              </w:rPr>
            </w:pPr>
            <w:r>
              <w:rPr>
                <w:rFonts w:hint="eastAsia"/>
                <w:color w:val="auto"/>
                <w:sz w:val="24"/>
              </w:rPr>
              <w:t>①高噪声设备尽可能选用环保低噪型设备；高噪声设备在订货时，建设单位向供货方提出防治噪声的要求，同时对各种设备进行基础减震；室内高噪声设备加装隔音罩或墙体贴装吸音材料；风机选用高频风机，并在风机的进气和出气口管道上安装消声器；</w:t>
            </w:r>
          </w:p>
          <w:p w14:paraId="4FB88F8B">
            <w:pPr>
              <w:spacing w:line="360" w:lineRule="auto"/>
              <w:ind w:firstLine="480" w:firstLineChars="200"/>
              <w:rPr>
                <w:color w:val="auto"/>
                <w:sz w:val="24"/>
              </w:rPr>
            </w:pPr>
            <w:r>
              <w:rPr>
                <w:rFonts w:hint="eastAsia"/>
                <w:color w:val="auto"/>
                <w:sz w:val="24"/>
              </w:rPr>
              <w:t>②车间内的设备应合理布局，高噪声设备尽量安装在隔声间内集中生产，少开门窗，防止噪声对外传播，其中靠厂界的厂房其一侧墙壁应避免打开门窗。</w:t>
            </w:r>
          </w:p>
          <w:p w14:paraId="7667AAD9">
            <w:pPr>
              <w:spacing w:line="360" w:lineRule="auto"/>
              <w:ind w:firstLine="480" w:firstLineChars="200"/>
              <w:rPr>
                <w:color w:val="auto"/>
                <w:sz w:val="24"/>
              </w:rPr>
            </w:pPr>
            <w:r>
              <w:rPr>
                <w:rFonts w:hint="eastAsia"/>
                <w:color w:val="auto"/>
                <w:sz w:val="24"/>
              </w:rPr>
              <w:t>③加强管理建立设备定期维护、保养的管理制度，以防止设备故障形成的非生产噪声，同时确保环保措施发挥最有效的功能；加强职工环保意识教育，提倡文明生产，防止人为噪声；对于厂区内流动声源（汽车），应强化行车管理制度，严禁鸣号，进入厂区低速行驶，最大限度减少流动噪声源。</w:t>
            </w:r>
          </w:p>
          <w:p w14:paraId="0212417E">
            <w:pPr>
              <w:spacing w:line="360" w:lineRule="auto"/>
              <w:ind w:firstLine="480" w:firstLineChars="200"/>
              <w:rPr>
                <w:color w:val="auto"/>
                <w:sz w:val="24"/>
              </w:rPr>
            </w:pPr>
            <w:r>
              <w:rPr>
                <w:rFonts w:hint="eastAsia"/>
                <w:color w:val="auto"/>
                <w:sz w:val="24"/>
              </w:rPr>
              <w:t>④加强职工环保意识教育，防止人为噪声；合理安排工作时间，夜间减少高噪声设备工作。</w:t>
            </w:r>
          </w:p>
          <w:p w14:paraId="11673F97">
            <w:pPr>
              <w:spacing w:line="360" w:lineRule="auto"/>
              <w:ind w:firstLine="480" w:firstLineChars="200"/>
              <w:rPr>
                <w:color w:val="auto"/>
                <w:sz w:val="24"/>
              </w:rPr>
            </w:pPr>
            <w:r>
              <w:rPr>
                <w:rFonts w:hint="eastAsia"/>
                <w:color w:val="auto"/>
                <w:sz w:val="24"/>
              </w:rPr>
              <w:t>以上噪声治理措施容易实施，技术成熟可靠，投资费用较少，在经济上是可行的。</w:t>
            </w:r>
          </w:p>
          <w:p w14:paraId="40FF3BE8">
            <w:pPr>
              <w:pStyle w:val="15"/>
              <w:spacing w:line="360" w:lineRule="auto"/>
              <w:ind w:firstLine="482"/>
              <w:rPr>
                <w:b/>
                <w:bCs/>
                <w:color w:val="auto"/>
                <w:sz w:val="24"/>
                <w:szCs w:val="24"/>
              </w:rPr>
            </w:pPr>
            <w:r>
              <w:rPr>
                <w:rFonts w:hint="eastAsia"/>
                <w:b/>
                <w:bCs/>
                <w:color w:val="auto"/>
                <w:sz w:val="24"/>
                <w:szCs w:val="24"/>
              </w:rPr>
              <w:t>5、环境监测计划</w:t>
            </w:r>
          </w:p>
          <w:p w14:paraId="1AA9F8AB">
            <w:pPr>
              <w:spacing w:line="360" w:lineRule="auto"/>
              <w:ind w:firstLine="480" w:firstLineChars="200"/>
              <w:rPr>
                <w:color w:val="auto"/>
                <w:sz w:val="24"/>
              </w:rPr>
            </w:pPr>
            <w:r>
              <w:rPr>
                <w:color w:val="auto"/>
                <w:sz w:val="24"/>
              </w:rPr>
              <w:t xml:space="preserve">根据《排污单位自行监测技术指南总则》（HJ819-2017）、《排污许可证申请与核发技术规范 </w:t>
            </w:r>
            <w:r>
              <w:rPr>
                <w:rFonts w:hint="eastAsia"/>
                <w:color w:val="auto"/>
                <w:sz w:val="24"/>
              </w:rPr>
              <w:t>电镀工业</w:t>
            </w:r>
            <w:r>
              <w:rPr>
                <w:color w:val="auto"/>
                <w:sz w:val="24"/>
              </w:rPr>
              <w:t>》（HJ</w:t>
            </w:r>
            <w:r>
              <w:rPr>
                <w:rFonts w:hint="eastAsia"/>
                <w:color w:val="auto"/>
                <w:sz w:val="24"/>
              </w:rPr>
              <w:t xml:space="preserve"> 985</w:t>
            </w:r>
            <w:r>
              <w:rPr>
                <w:color w:val="auto"/>
                <w:sz w:val="24"/>
              </w:rPr>
              <w:t>-20</w:t>
            </w:r>
            <w:r>
              <w:rPr>
                <w:rFonts w:hint="eastAsia"/>
                <w:color w:val="auto"/>
                <w:sz w:val="24"/>
              </w:rPr>
              <w:t>18</w:t>
            </w:r>
            <w:r>
              <w:rPr>
                <w:color w:val="auto"/>
                <w:sz w:val="24"/>
              </w:rPr>
              <w:t>）</w:t>
            </w:r>
            <w:r>
              <w:rPr>
                <w:rFonts w:hint="eastAsia"/>
                <w:color w:val="auto"/>
                <w:sz w:val="24"/>
              </w:rPr>
              <w:t>、</w:t>
            </w:r>
            <w:r>
              <w:rPr>
                <w:color w:val="auto"/>
                <w:sz w:val="24"/>
              </w:rPr>
              <w:t>《排污许可证申请与核发技术规范 工业炉窑》（HJ1121-2020）、《排污单位自行监测技术指南 涂装》（HJ1086-2020）的相关规定</w:t>
            </w:r>
            <w:r>
              <w:rPr>
                <w:rFonts w:hint="eastAsia"/>
                <w:color w:val="auto"/>
                <w:sz w:val="24"/>
              </w:rPr>
              <w:t>，厂界环境噪声每季度至少开展一次监测，夜间生产的要监测夜间噪声。项目建成后，工作制度为1班制，每班10小时，故噪声自行监测计划见下表。</w:t>
            </w:r>
          </w:p>
          <w:p w14:paraId="05B5733E">
            <w:pPr>
              <w:pStyle w:val="77"/>
              <w:numPr>
                <w:ilvl w:val="0"/>
                <w:numId w:val="18"/>
              </w:numPr>
              <w:adjustRightInd w:val="0"/>
              <w:snapToGrid w:val="0"/>
              <w:jc w:val="center"/>
              <w:rPr>
                <w:rFonts w:hint="eastAsia" w:asciiTheme="minorEastAsia" w:hAnsiTheme="minorEastAsia" w:eastAsiaTheme="minorEastAsia"/>
                <w:b/>
                <w:bCs/>
                <w:color w:val="auto"/>
                <w:szCs w:val="21"/>
              </w:rPr>
            </w:pPr>
            <w:r>
              <w:rPr>
                <w:rFonts w:asciiTheme="minorEastAsia" w:hAnsiTheme="minorEastAsia" w:eastAsiaTheme="minorEastAsia"/>
                <w:b/>
                <w:bCs/>
                <w:color w:val="auto"/>
                <w:szCs w:val="21"/>
              </w:rPr>
              <w:t xml:space="preserve"> 项目</w:t>
            </w:r>
            <w:r>
              <w:rPr>
                <w:rFonts w:hint="eastAsia" w:asciiTheme="minorEastAsia" w:hAnsiTheme="minorEastAsia" w:eastAsiaTheme="minorEastAsia"/>
                <w:b/>
                <w:bCs/>
                <w:color w:val="auto"/>
                <w:szCs w:val="21"/>
              </w:rPr>
              <w:t>噪声自行监测计划一览</w:t>
            </w:r>
            <w:r>
              <w:rPr>
                <w:rFonts w:asciiTheme="minorEastAsia" w:hAnsiTheme="minorEastAsia" w:eastAsiaTheme="minorEastAsia"/>
                <w:b/>
                <w:bCs/>
                <w:color w:val="auto"/>
                <w:szCs w:val="21"/>
              </w:rPr>
              <w:t>表</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191"/>
              <w:gridCol w:w="1466"/>
              <w:gridCol w:w="2287"/>
              <w:gridCol w:w="2842"/>
            </w:tblGrid>
            <w:tr w14:paraId="5B453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5" w:type="pct"/>
                  <w:vMerge w:val="restart"/>
                  <w:vAlign w:val="center"/>
                </w:tcPr>
                <w:p w14:paraId="1D12D111">
                  <w:pPr>
                    <w:pStyle w:val="127"/>
                    <w:rPr>
                      <w:b/>
                      <w:bCs/>
                      <w:color w:val="auto"/>
                    </w:rPr>
                  </w:pPr>
                  <w:r>
                    <w:rPr>
                      <w:b/>
                      <w:bCs/>
                      <w:color w:val="auto"/>
                    </w:rPr>
                    <w:t>监测点位</w:t>
                  </w:r>
                </w:p>
              </w:tc>
              <w:tc>
                <w:tcPr>
                  <w:tcW w:w="641" w:type="pct"/>
                  <w:vMerge w:val="restart"/>
                  <w:vAlign w:val="center"/>
                </w:tcPr>
                <w:p w14:paraId="75EB2DD9">
                  <w:pPr>
                    <w:pStyle w:val="127"/>
                    <w:rPr>
                      <w:b/>
                      <w:bCs/>
                      <w:color w:val="auto"/>
                    </w:rPr>
                  </w:pPr>
                  <w:r>
                    <w:rPr>
                      <w:b/>
                      <w:bCs/>
                      <w:color w:val="auto"/>
                    </w:rPr>
                    <w:t>监测时段</w:t>
                  </w:r>
                </w:p>
              </w:tc>
              <w:tc>
                <w:tcPr>
                  <w:tcW w:w="790" w:type="pct"/>
                  <w:vMerge w:val="restart"/>
                  <w:vAlign w:val="center"/>
                </w:tcPr>
                <w:p w14:paraId="5A4AD245">
                  <w:pPr>
                    <w:pStyle w:val="127"/>
                    <w:rPr>
                      <w:b/>
                      <w:bCs/>
                      <w:color w:val="auto"/>
                    </w:rPr>
                  </w:pPr>
                  <w:r>
                    <w:rPr>
                      <w:b/>
                      <w:bCs/>
                      <w:color w:val="auto"/>
                    </w:rPr>
                    <w:t>监测频次</w:t>
                  </w:r>
                </w:p>
              </w:tc>
              <w:tc>
                <w:tcPr>
                  <w:tcW w:w="1232" w:type="pct"/>
                  <w:vMerge w:val="restart"/>
                  <w:vAlign w:val="center"/>
                </w:tcPr>
                <w:p w14:paraId="03718566">
                  <w:pPr>
                    <w:pStyle w:val="127"/>
                    <w:rPr>
                      <w:b/>
                      <w:bCs/>
                      <w:color w:val="auto"/>
                    </w:rPr>
                  </w:pPr>
                  <w:r>
                    <w:rPr>
                      <w:b/>
                      <w:bCs/>
                      <w:color w:val="auto"/>
                    </w:rPr>
                    <w:t>执行排放标准名称</w:t>
                  </w:r>
                </w:p>
              </w:tc>
              <w:tc>
                <w:tcPr>
                  <w:tcW w:w="1530" w:type="pct"/>
                  <w:vAlign w:val="center"/>
                </w:tcPr>
                <w:p w14:paraId="351755D9">
                  <w:pPr>
                    <w:pStyle w:val="127"/>
                    <w:rPr>
                      <w:b/>
                      <w:bCs/>
                      <w:color w:val="auto"/>
                    </w:rPr>
                  </w:pPr>
                  <w:r>
                    <w:rPr>
                      <w:b/>
                      <w:bCs/>
                      <w:color w:val="auto"/>
                    </w:rPr>
                    <w:t>厂界噪声排放限值（dB(A)）</w:t>
                  </w:r>
                </w:p>
              </w:tc>
            </w:tr>
            <w:tr w14:paraId="7D955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5" w:type="pct"/>
                  <w:vMerge w:val="continue"/>
                  <w:vAlign w:val="center"/>
                </w:tcPr>
                <w:p w14:paraId="0A5DBE86">
                  <w:pPr>
                    <w:pStyle w:val="127"/>
                    <w:rPr>
                      <w:b/>
                      <w:bCs/>
                      <w:color w:val="auto"/>
                    </w:rPr>
                  </w:pPr>
                </w:p>
              </w:tc>
              <w:tc>
                <w:tcPr>
                  <w:tcW w:w="641" w:type="pct"/>
                  <w:vMerge w:val="continue"/>
                  <w:vAlign w:val="center"/>
                </w:tcPr>
                <w:p w14:paraId="4962C5C3">
                  <w:pPr>
                    <w:pStyle w:val="127"/>
                    <w:rPr>
                      <w:b/>
                      <w:bCs/>
                      <w:color w:val="auto"/>
                    </w:rPr>
                  </w:pPr>
                </w:p>
              </w:tc>
              <w:tc>
                <w:tcPr>
                  <w:tcW w:w="790" w:type="pct"/>
                  <w:vMerge w:val="continue"/>
                  <w:vAlign w:val="center"/>
                </w:tcPr>
                <w:p w14:paraId="6D49B4AF">
                  <w:pPr>
                    <w:pStyle w:val="127"/>
                    <w:rPr>
                      <w:b/>
                      <w:bCs/>
                      <w:color w:val="auto"/>
                    </w:rPr>
                  </w:pPr>
                </w:p>
              </w:tc>
              <w:tc>
                <w:tcPr>
                  <w:tcW w:w="1232" w:type="pct"/>
                  <w:vMerge w:val="continue"/>
                  <w:vAlign w:val="center"/>
                </w:tcPr>
                <w:p w14:paraId="3FA59E87">
                  <w:pPr>
                    <w:pStyle w:val="127"/>
                    <w:rPr>
                      <w:b/>
                      <w:bCs/>
                      <w:color w:val="auto"/>
                    </w:rPr>
                  </w:pPr>
                </w:p>
              </w:tc>
              <w:tc>
                <w:tcPr>
                  <w:tcW w:w="1530" w:type="pct"/>
                  <w:vAlign w:val="center"/>
                </w:tcPr>
                <w:p w14:paraId="4FBF6BBF">
                  <w:pPr>
                    <w:pStyle w:val="127"/>
                    <w:rPr>
                      <w:b/>
                      <w:bCs/>
                      <w:color w:val="auto"/>
                    </w:rPr>
                  </w:pPr>
                  <w:r>
                    <w:rPr>
                      <w:b/>
                      <w:bCs/>
                      <w:color w:val="auto"/>
                    </w:rPr>
                    <w:t>昼间</w:t>
                  </w:r>
                </w:p>
              </w:tc>
            </w:tr>
            <w:tr w14:paraId="6AD36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5" w:type="pct"/>
                  <w:vAlign w:val="center"/>
                </w:tcPr>
                <w:p w14:paraId="65F35467">
                  <w:pPr>
                    <w:jc w:val="center"/>
                    <w:rPr>
                      <w:color w:val="auto"/>
                      <w:szCs w:val="21"/>
                    </w:rPr>
                  </w:pPr>
                  <w:r>
                    <w:rPr>
                      <w:color w:val="auto"/>
                      <w:szCs w:val="21"/>
                    </w:rPr>
                    <w:t>东</w:t>
                  </w:r>
                  <w:r>
                    <w:rPr>
                      <w:rFonts w:hint="eastAsia"/>
                      <w:color w:val="auto"/>
                      <w:szCs w:val="21"/>
                    </w:rPr>
                    <w:t>南</w:t>
                  </w:r>
                  <w:r>
                    <w:rPr>
                      <w:color w:val="auto"/>
                      <w:szCs w:val="21"/>
                    </w:rPr>
                    <w:t>侧</w:t>
                  </w:r>
                  <w:r>
                    <w:rPr>
                      <w:rFonts w:hint="eastAsia"/>
                      <w:color w:val="auto"/>
                      <w:szCs w:val="21"/>
                    </w:rPr>
                    <w:t>厂界</w:t>
                  </w:r>
                </w:p>
              </w:tc>
              <w:tc>
                <w:tcPr>
                  <w:tcW w:w="641" w:type="pct"/>
                  <w:vAlign w:val="center"/>
                </w:tcPr>
                <w:p w14:paraId="42F9E921">
                  <w:pPr>
                    <w:pStyle w:val="127"/>
                    <w:rPr>
                      <w:color w:val="auto"/>
                    </w:rPr>
                  </w:pPr>
                  <w:r>
                    <w:rPr>
                      <w:color w:val="auto"/>
                    </w:rPr>
                    <w:t>昼</w:t>
                  </w:r>
                </w:p>
              </w:tc>
              <w:tc>
                <w:tcPr>
                  <w:tcW w:w="790" w:type="pct"/>
                  <w:vAlign w:val="center"/>
                </w:tcPr>
                <w:p w14:paraId="08717E8B">
                  <w:pPr>
                    <w:pStyle w:val="127"/>
                    <w:rPr>
                      <w:color w:val="auto"/>
                    </w:rPr>
                  </w:pPr>
                  <w:r>
                    <w:rPr>
                      <w:color w:val="auto"/>
                    </w:rPr>
                    <w:t>1次/季度</w:t>
                  </w:r>
                </w:p>
              </w:tc>
              <w:tc>
                <w:tcPr>
                  <w:tcW w:w="1232" w:type="pct"/>
                  <w:vMerge w:val="restart"/>
                  <w:vAlign w:val="center"/>
                </w:tcPr>
                <w:p w14:paraId="05104F06">
                  <w:pPr>
                    <w:pStyle w:val="127"/>
                    <w:rPr>
                      <w:color w:val="auto"/>
                    </w:rPr>
                  </w:pPr>
                  <w:r>
                    <w:rPr>
                      <w:color w:val="auto"/>
                    </w:rPr>
                    <w:t>《工业企业厂界环境噪声排放标准》（GB12348-2008）中的</w:t>
                  </w:r>
                  <w:r>
                    <w:rPr>
                      <w:rFonts w:hint="eastAsia"/>
                      <w:color w:val="auto"/>
                    </w:rPr>
                    <w:t>2</w:t>
                  </w:r>
                  <w:r>
                    <w:rPr>
                      <w:color w:val="auto"/>
                    </w:rPr>
                    <w:t>类标准</w:t>
                  </w:r>
                </w:p>
              </w:tc>
              <w:tc>
                <w:tcPr>
                  <w:tcW w:w="1530" w:type="pct"/>
                  <w:vAlign w:val="center"/>
                </w:tcPr>
                <w:p w14:paraId="5DB45951">
                  <w:pPr>
                    <w:pStyle w:val="127"/>
                    <w:rPr>
                      <w:color w:val="auto"/>
                    </w:rPr>
                  </w:pPr>
                  <w:r>
                    <w:rPr>
                      <w:color w:val="auto"/>
                    </w:rPr>
                    <w:t>6</w:t>
                  </w:r>
                  <w:r>
                    <w:rPr>
                      <w:rFonts w:hint="eastAsia"/>
                      <w:color w:val="auto"/>
                    </w:rPr>
                    <w:t>0</w:t>
                  </w:r>
                </w:p>
              </w:tc>
            </w:tr>
            <w:tr w14:paraId="03FD2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5" w:type="pct"/>
                  <w:vAlign w:val="center"/>
                </w:tcPr>
                <w:p w14:paraId="4AD0AC4D">
                  <w:pPr>
                    <w:jc w:val="center"/>
                    <w:rPr>
                      <w:color w:val="auto"/>
                      <w:szCs w:val="21"/>
                    </w:rPr>
                  </w:pPr>
                  <w:r>
                    <w:rPr>
                      <w:rFonts w:hint="eastAsia"/>
                      <w:color w:val="auto"/>
                      <w:szCs w:val="21"/>
                    </w:rPr>
                    <w:t>西</w:t>
                  </w:r>
                  <w:r>
                    <w:rPr>
                      <w:color w:val="auto"/>
                      <w:szCs w:val="21"/>
                    </w:rPr>
                    <w:t>南侧</w:t>
                  </w:r>
                  <w:r>
                    <w:rPr>
                      <w:rFonts w:hint="eastAsia"/>
                      <w:color w:val="auto"/>
                      <w:szCs w:val="21"/>
                    </w:rPr>
                    <w:t>厂界</w:t>
                  </w:r>
                </w:p>
              </w:tc>
              <w:tc>
                <w:tcPr>
                  <w:tcW w:w="641" w:type="pct"/>
                  <w:vAlign w:val="center"/>
                </w:tcPr>
                <w:p w14:paraId="426EED4D">
                  <w:pPr>
                    <w:pStyle w:val="127"/>
                    <w:rPr>
                      <w:color w:val="auto"/>
                    </w:rPr>
                  </w:pPr>
                  <w:r>
                    <w:rPr>
                      <w:color w:val="auto"/>
                    </w:rPr>
                    <w:t>昼</w:t>
                  </w:r>
                </w:p>
              </w:tc>
              <w:tc>
                <w:tcPr>
                  <w:tcW w:w="790" w:type="pct"/>
                  <w:vAlign w:val="center"/>
                </w:tcPr>
                <w:p w14:paraId="349268F5">
                  <w:pPr>
                    <w:pStyle w:val="127"/>
                    <w:rPr>
                      <w:color w:val="auto"/>
                    </w:rPr>
                  </w:pPr>
                  <w:r>
                    <w:rPr>
                      <w:color w:val="auto"/>
                    </w:rPr>
                    <w:t>1次/季度</w:t>
                  </w:r>
                </w:p>
              </w:tc>
              <w:tc>
                <w:tcPr>
                  <w:tcW w:w="1232" w:type="pct"/>
                  <w:vMerge w:val="continue"/>
                  <w:vAlign w:val="center"/>
                </w:tcPr>
                <w:p w14:paraId="6FD14B81">
                  <w:pPr>
                    <w:pStyle w:val="127"/>
                    <w:rPr>
                      <w:color w:val="auto"/>
                    </w:rPr>
                  </w:pPr>
                </w:p>
              </w:tc>
              <w:tc>
                <w:tcPr>
                  <w:tcW w:w="1530" w:type="pct"/>
                  <w:vAlign w:val="center"/>
                </w:tcPr>
                <w:p w14:paraId="4B4A7F29">
                  <w:pPr>
                    <w:pStyle w:val="127"/>
                    <w:rPr>
                      <w:color w:val="auto"/>
                    </w:rPr>
                  </w:pPr>
                  <w:r>
                    <w:rPr>
                      <w:color w:val="auto"/>
                    </w:rPr>
                    <w:t>6</w:t>
                  </w:r>
                  <w:r>
                    <w:rPr>
                      <w:rFonts w:hint="eastAsia"/>
                      <w:color w:val="auto"/>
                    </w:rPr>
                    <w:t>0</w:t>
                  </w:r>
                </w:p>
              </w:tc>
            </w:tr>
            <w:tr w14:paraId="7E2A3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5" w:type="pct"/>
                  <w:vAlign w:val="center"/>
                </w:tcPr>
                <w:p w14:paraId="21A4F3BB">
                  <w:pPr>
                    <w:jc w:val="center"/>
                    <w:rPr>
                      <w:color w:val="auto"/>
                      <w:szCs w:val="21"/>
                    </w:rPr>
                  </w:pPr>
                  <w:r>
                    <w:rPr>
                      <w:color w:val="auto"/>
                      <w:szCs w:val="21"/>
                    </w:rPr>
                    <w:t>西</w:t>
                  </w:r>
                  <w:r>
                    <w:rPr>
                      <w:rFonts w:hint="eastAsia"/>
                      <w:color w:val="auto"/>
                      <w:szCs w:val="21"/>
                    </w:rPr>
                    <w:t>北</w:t>
                  </w:r>
                  <w:r>
                    <w:rPr>
                      <w:color w:val="auto"/>
                      <w:szCs w:val="21"/>
                    </w:rPr>
                    <w:t>侧</w:t>
                  </w:r>
                  <w:r>
                    <w:rPr>
                      <w:rFonts w:hint="eastAsia"/>
                      <w:color w:val="auto"/>
                      <w:szCs w:val="21"/>
                    </w:rPr>
                    <w:t>厂界</w:t>
                  </w:r>
                </w:p>
              </w:tc>
              <w:tc>
                <w:tcPr>
                  <w:tcW w:w="641" w:type="pct"/>
                  <w:vAlign w:val="center"/>
                </w:tcPr>
                <w:p w14:paraId="5026FF5C">
                  <w:pPr>
                    <w:pStyle w:val="127"/>
                    <w:rPr>
                      <w:color w:val="auto"/>
                    </w:rPr>
                  </w:pPr>
                  <w:r>
                    <w:rPr>
                      <w:color w:val="auto"/>
                    </w:rPr>
                    <w:t>昼</w:t>
                  </w:r>
                </w:p>
              </w:tc>
              <w:tc>
                <w:tcPr>
                  <w:tcW w:w="790" w:type="pct"/>
                  <w:vAlign w:val="center"/>
                </w:tcPr>
                <w:p w14:paraId="031F4FA2">
                  <w:pPr>
                    <w:pStyle w:val="127"/>
                    <w:rPr>
                      <w:color w:val="auto"/>
                    </w:rPr>
                  </w:pPr>
                  <w:r>
                    <w:rPr>
                      <w:color w:val="auto"/>
                    </w:rPr>
                    <w:t>1次/季度</w:t>
                  </w:r>
                </w:p>
              </w:tc>
              <w:tc>
                <w:tcPr>
                  <w:tcW w:w="1232" w:type="pct"/>
                  <w:vMerge w:val="continue"/>
                  <w:vAlign w:val="center"/>
                </w:tcPr>
                <w:p w14:paraId="633E99D8">
                  <w:pPr>
                    <w:pStyle w:val="127"/>
                    <w:rPr>
                      <w:color w:val="auto"/>
                    </w:rPr>
                  </w:pPr>
                </w:p>
              </w:tc>
              <w:tc>
                <w:tcPr>
                  <w:tcW w:w="1530" w:type="pct"/>
                  <w:vAlign w:val="center"/>
                </w:tcPr>
                <w:p w14:paraId="73A0E2D0">
                  <w:pPr>
                    <w:pStyle w:val="127"/>
                    <w:rPr>
                      <w:color w:val="auto"/>
                    </w:rPr>
                  </w:pPr>
                  <w:r>
                    <w:rPr>
                      <w:color w:val="auto"/>
                    </w:rPr>
                    <w:t>6</w:t>
                  </w:r>
                  <w:r>
                    <w:rPr>
                      <w:rFonts w:hint="eastAsia"/>
                      <w:color w:val="auto"/>
                    </w:rPr>
                    <w:t>0</w:t>
                  </w:r>
                </w:p>
              </w:tc>
            </w:tr>
            <w:tr w14:paraId="0B128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5" w:type="pct"/>
                  <w:vAlign w:val="center"/>
                </w:tcPr>
                <w:p w14:paraId="33FD41D2">
                  <w:pPr>
                    <w:jc w:val="center"/>
                    <w:rPr>
                      <w:color w:val="auto"/>
                      <w:szCs w:val="21"/>
                    </w:rPr>
                  </w:pPr>
                  <w:r>
                    <w:rPr>
                      <w:rFonts w:hint="eastAsia"/>
                      <w:color w:val="auto"/>
                      <w:szCs w:val="21"/>
                    </w:rPr>
                    <w:t>东</w:t>
                  </w:r>
                  <w:r>
                    <w:rPr>
                      <w:color w:val="auto"/>
                      <w:szCs w:val="21"/>
                    </w:rPr>
                    <w:t>北侧</w:t>
                  </w:r>
                  <w:r>
                    <w:rPr>
                      <w:rFonts w:hint="eastAsia"/>
                      <w:color w:val="auto"/>
                      <w:szCs w:val="21"/>
                    </w:rPr>
                    <w:t>厂界</w:t>
                  </w:r>
                </w:p>
              </w:tc>
              <w:tc>
                <w:tcPr>
                  <w:tcW w:w="641" w:type="pct"/>
                  <w:vAlign w:val="center"/>
                </w:tcPr>
                <w:p w14:paraId="15D2DCD9">
                  <w:pPr>
                    <w:pStyle w:val="127"/>
                    <w:rPr>
                      <w:color w:val="auto"/>
                    </w:rPr>
                  </w:pPr>
                  <w:r>
                    <w:rPr>
                      <w:color w:val="auto"/>
                    </w:rPr>
                    <w:t>昼</w:t>
                  </w:r>
                </w:p>
              </w:tc>
              <w:tc>
                <w:tcPr>
                  <w:tcW w:w="790" w:type="pct"/>
                  <w:vAlign w:val="center"/>
                </w:tcPr>
                <w:p w14:paraId="556F3637">
                  <w:pPr>
                    <w:pStyle w:val="127"/>
                    <w:rPr>
                      <w:color w:val="auto"/>
                    </w:rPr>
                  </w:pPr>
                  <w:r>
                    <w:rPr>
                      <w:color w:val="auto"/>
                    </w:rPr>
                    <w:t>1次/季度</w:t>
                  </w:r>
                </w:p>
              </w:tc>
              <w:tc>
                <w:tcPr>
                  <w:tcW w:w="1232" w:type="pct"/>
                  <w:vMerge w:val="continue"/>
                  <w:vAlign w:val="center"/>
                </w:tcPr>
                <w:p w14:paraId="267FBD77">
                  <w:pPr>
                    <w:pStyle w:val="127"/>
                    <w:rPr>
                      <w:color w:val="auto"/>
                    </w:rPr>
                  </w:pPr>
                </w:p>
              </w:tc>
              <w:tc>
                <w:tcPr>
                  <w:tcW w:w="1530" w:type="pct"/>
                  <w:vAlign w:val="center"/>
                </w:tcPr>
                <w:p w14:paraId="0D943DC6">
                  <w:pPr>
                    <w:pStyle w:val="127"/>
                    <w:rPr>
                      <w:color w:val="auto"/>
                    </w:rPr>
                  </w:pPr>
                  <w:r>
                    <w:rPr>
                      <w:color w:val="auto"/>
                    </w:rPr>
                    <w:t>6</w:t>
                  </w:r>
                  <w:r>
                    <w:rPr>
                      <w:rFonts w:hint="eastAsia"/>
                      <w:color w:val="auto"/>
                    </w:rPr>
                    <w:t>0</w:t>
                  </w:r>
                </w:p>
              </w:tc>
            </w:tr>
          </w:tbl>
          <w:p w14:paraId="6135CD62">
            <w:pPr>
              <w:pStyle w:val="7"/>
              <w:adjustRightInd w:val="0"/>
              <w:snapToGrid w:val="0"/>
              <w:spacing w:before="120" w:beforeLines="50" w:line="360" w:lineRule="auto"/>
              <w:ind w:firstLine="482" w:firstLineChars="200"/>
              <w:jc w:val="left"/>
              <w:rPr>
                <w:b/>
                <w:bCs/>
                <w:color w:val="auto"/>
                <w:sz w:val="24"/>
              </w:rPr>
            </w:pPr>
            <w:r>
              <w:rPr>
                <w:b/>
                <w:bCs/>
                <w:color w:val="auto"/>
                <w:sz w:val="24"/>
              </w:rPr>
              <w:t>（四）固体废物</w:t>
            </w:r>
          </w:p>
          <w:p w14:paraId="68150CC7">
            <w:pPr>
              <w:adjustRightInd w:val="0"/>
              <w:snapToGrid w:val="0"/>
              <w:spacing w:line="360" w:lineRule="auto"/>
              <w:ind w:firstLine="482" w:firstLineChars="200"/>
              <w:jc w:val="left"/>
              <w:rPr>
                <w:b/>
                <w:bCs/>
                <w:color w:val="auto"/>
                <w:sz w:val="24"/>
              </w:rPr>
            </w:pPr>
            <w:r>
              <w:rPr>
                <w:b/>
                <w:bCs/>
                <w:color w:val="auto"/>
                <w:sz w:val="24"/>
              </w:rPr>
              <w:t>1、运营期固体废物产生情况</w:t>
            </w:r>
          </w:p>
          <w:p w14:paraId="0A9828E1">
            <w:pPr>
              <w:adjustRightInd w:val="0"/>
              <w:snapToGrid w:val="0"/>
              <w:spacing w:line="360" w:lineRule="auto"/>
              <w:ind w:firstLine="480" w:firstLineChars="200"/>
              <w:jc w:val="left"/>
              <w:rPr>
                <w:color w:val="auto"/>
                <w:sz w:val="24"/>
              </w:rPr>
            </w:pPr>
            <w:r>
              <w:rPr>
                <w:color w:val="auto"/>
                <w:sz w:val="24"/>
              </w:rPr>
              <w:t>根据《建设项目危险废物环境影响评价指南》（环保部公告[2017]43号）、《危险废物鉴别标准通则》(GB5085.7-2019)、《固体废物鉴别标准通则》（GB34330-2017）的要求，工程分析结合项目主辅工程的原辅材料使用情况及工艺，分析了各固废产生环节、主要成分及其产生量。</w:t>
            </w:r>
          </w:p>
          <w:p w14:paraId="0A64F983">
            <w:pPr>
              <w:adjustRightInd w:val="0"/>
              <w:snapToGrid w:val="0"/>
              <w:spacing w:line="360" w:lineRule="auto"/>
              <w:ind w:firstLine="480" w:firstLineChars="200"/>
              <w:jc w:val="left"/>
              <w:rPr>
                <w:color w:val="auto"/>
                <w:sz w:val="24"/>
              </w:rPr>
            </w:pPr>
            <w:r>
              <w:rPr>
                <w:color w:val="auto"/>
                <w:sz w:val="24"/>
              </w:rPr>
              <w:t>项目运营期固体废物主要为一般工业固废、危险废物和生活垃圾。</w:t>
            </w:r>
          </w:p>
          <w:p w14:paraId="5EC4CBCA">
            <w:pPr>
              <w:adjustRightInd w:val="0"/>
              <w:snapToGrid w:val="0"/>
              <w:spacing w:line="360" w:lineRule="auto"/>
              <w:ind w:firstLine="361" w:firstLineChars="150"/>
              <w:jc w:val="left"/>
              <w:rPr>
                <w:b/>
                <w:bCs/>
                <w:color w:val="auto"/>
                <w:sz w:val="24"/>
              </w:rPr>
            </w:pPr>
            <w:r>
              <w:rPr>
                <w:b/>
                <w:bCs/>
                <w:color w:val="auto"/>
                <w:sz w:val="24"/>
              </w:rPr>
              <w:t>（1）一般工业固体废物</w:t>
            </w:r>
          </w:p>
          <w:p w14:paraId="3ECADCE0">
            <w:pPr>
              <w:adjustRightInd w:val="0"/>
              <w:snapToGrid w:val="0"/>
              <w:spacing w:line="360" w:lineRule="auto"/>
              <w:ind w:left="400"/>
              <w:jc w:val="left"/>
              <w:rPr>
                <w:b/>
                <w:bCs/>
                <w:color w:val="auto"/>
                <w:sz w:val="24"/>
              </w:rPr>
            </w:pPr>
            <w:r>
              <w:rPr>
                <w:b/>
                <w:bCs/>
                <w:color w:val="auto"/>
                <w:sz w:val="24"/>
              </w:rPr>
              <w:t>1）边角料</w:t>
            </w:r>
          </w:p>
          <w:p w14:paraId="078844B6">
            <w:pPr>
              <w:adjustRightInd w:val="0"/>
              <w:snapToGrid w:val="0"/>
              <w:spacing w:line="360" w:lineRule="auto"/>
              <w:ind w:firstLine="480" w:firstLineChars="200"/>
              <w:jc w:val="left"/>
              <w:rPr>
                <w:color w:val="auto"/>
                <w:sz w:val="24"/>
              </w:rPr>
            </w:pPr>
            <w:r>
              <w:rPr>
                <w:color w:val="auto"/>
                <w:sz w:val="24"/>
              </w:rPr>
              <w:t>项目</w:t>
            </w:r>
            <w:r>
              <w:rPr>
                <w:rFonts w:hint="eastAsia"/>
                <w:color w:val="auto"/>
                <w:sz w:val="24"/>
              </w:rPr>
              <w:t>在进行钻孔时</w:t>
            </w:r>
            <w:r>
              <w:rPr>
                <w:color w:val="auto"/>
                <w:sz w:val="24"/>
              </w:rPr>
              <w:t>产生金属边角废料，根据建设单位提供资料，金属边角料产生量约占各种金属原辅材料用量的</w:t>
            </w:r>
            <w:r>
              <w:rPr>
                <w:rFonts w:hint="eastAsia"/>
                <w:color w:val="auto"/>
                <w:sz w:val="24"/>
              </w:rPr>
              <w:t>0.5</w:t>
            </w:r>
            <w:r>
              <w:rPr>
                <w:color w:val="auto"/>
                <w:sz w:val="24"/>
              </w:rPr>
              <w:t>%，则</w:t>
            </w:r>
            <w:r>
              <w:rPr>
                <w:rFonts w:hint="eastAsia"/>
                <w:color w:val="auto"/>
                <w:sz w:val="24"/>
              </w:rPr>
              <w:t>碳钢</w:t>
            </w:r>
            <w:r>
              <w:rPr>
                <w:color w:val="auto"/>
                <w:sz w:val="24"/>
              </w:rPr>
              <w:t>边角废料产生量约</w:t>
            </w:r>
            <w:r>
              <w:rPr>
                <w:rFonts w:hint="eastAsia"/>
                <w:color w:val="auto"/>
                <w:sz w:val="24"/>
              </w:rPr>
              <w:t>8.24</w:t>
            </w:r>
            <w:r>
              <w:rPr>
                <w:color w:val="auto"/>
                <w:sz w:val="24"/>
              </w:rPr>
              <w:t>t/a，</w:t>
            </w:r>
            <w:r>
              <w:rPr>
                <w:rFonts w:hint="eastAsia"/>
                <w:color w:val="auto"/>
                <w:sz w:val="24"/>
              </w:rPr>
              <w:t>铝材</w:t>
            </w:r>
            <w:r>
              <w:rPr>
                <w:color w:val="auto"/>
                <w:sz w:val="24"/>
              </w:rPr>
              <w:t>边角废料产生量约</w:t>
            </w:r>
            <w:r>
              <w:rPr>
                <w:rFonts w:hint="eastAsia"/>
                <w:color w:val="auto"/>
                <w:sz w:val="24"/>
              </w:rPr>
              <w:t>2.46</w:t>
            </w:r>
            <w:r>
              <w:rPr>
                <w:color w:val="auto"/>
                <w:sz w:val="24"/>
              </w:rPr>
              <w:t>t/a，属于《固体废物分类与代码目录》（公告 2024年 第4号）SW17可再生类废物，废物代码为900-001-S17、900-0</w:t>
            </w:r>
            <w:r>
              <w:rPr>
                <w:rFonts w:hint="eastAsia"/>
                <w:color w:val="auto"/>
                <w:sz w:val="24"/>
              </w:rPr>
              <w:t>02</w:t>
            </w:r>
            <w:r>
              <w:rPr>
                <w:color w:val="auto"/>
                <w:sz w:val="24"/>
              </w:rPr>
              <w:t>-S17，交由一般固废回收利用单位处理。</w:t>
            </w:r>
          </w:p>
          <w:p w14:paraId="11C0AA99">
            <w:pPr>
              <w:adjustRightInd w:val="0"/>
              <w:snapToGrid w:val="0"/>
              <w:spacing w:line="360" w:lineRule="auto"/>
              <w:ind w:firstLine="482" w:firstLineChars="200"/>
              <w:jc w:val="left"/>
              <w:rPr>
                <w:b/>
                <w:bCs/>
                <w:color w:val="auto"/>
                <w:sz w:val="24"/>
              </w:rPr>
            </w:pPr>
            <w:r>
              <w:rPr>
                <w:b/>
                <w:bCs/>
                <w:color w:val="auto"/>
                <w:sz w:val="24"/>
              </w:rPr>
              <w:t>2）</w:t>
            </w:r>
            <w:r>
              <w:rPr>
                <w:rFonts w:hint="eastAsia"/>
                <w:b/>
                <w:bCs/>
                <w:color w:val="auto"/>
                <w:sz w:val="24"/>
              </w:rPr>
              <w:t>包装固废</w:t>
            </w:r>
          </w:p>
          <w:p w14:paraId="275D7711">
            <w:pPr>
              <w:adjustRightInd w:val="0"/>
              <w:snapToGrid w:val="0"/>
              <w:spacing w:line="360" w:lineRule="auto"/>
              <w:ind w:firstLine="470" w:firstLineChars="196"/>
              <w:jc w:val="left"/>
              <w:rPr>
                <w:color w:val="auto"/>
                <w:sz w:val="24"/>
              </w:rPr>
            </w:pPr>
            <w:r>
              <w:rPr>
                <w:color w:val="auto"/>
                <w:sz w:val="24"/>
              </w:rPr>
              <w:t>项目产品包装过程会产生一定量的</w:t>
            </w:r>
            <w:r>
              <w:rPr>
                <w:rFonts w:hint="eastAsia"/>
                <w:color w:val="auto"/>
                <w:sz w:val="24"/>
              </w:rPr>
              <w:t>包装固废</w:t>
            </w:r>
            <w:r>
              <w:rPr>
                <w:color w:val="auto"/>
                <w:sz w:val="24"/>
              </w:rPr>
              <w:t>，主要为塑料薄膜袋、</w:t>
            </w:r>
            <w:r>
              <w:rPr>
                <w:rFonts w:hint="eastAsia"/>
                <w:color w:val="auto"/>
                <w:sz w:val="24"/>
              </w:rPr>
              <w:t>纸袋、</w:t>
            </w:r>
            <w:r>
              <w:rPr>
                <w:color w:val="auto"/>
                <w:sz w:val="24"/>
              </w:rPr>
              <w:t>纸箱等，产生量约为</w:t>
            </w:r>
            <w:r>
              <w:rPr>
                <w:rFonts w:hint="eastAsia"/>
                <w:color w:val="auto"/>
                <w:sz w:val="24"/>
              </w:rPr>
              <w:t>0.3</w:t>
            </w:r>
            <w:r>
              <w:rPr>
                <w:color w:val="auto"/>
                <w:sz w:val="24"/>
              </w:rPr>
              <w:t>t/a，属于《固体废物分类与代码目录》（公告 2024年 第4号）SW17可再生类废物，废物代码为900-003-S17、900-005-S17，交由一般固废回收利用单位处理。</w:t>
            </w:r>
          </w:p>
          <w:p w14:paraId="47AD8597">
            <w:pPr>
              <w:adjustRightInd w:val="0"/>
              <w:snapToGrid w:val="0"/>
              <w:spacing w:line="360" w:lineRule="auto"/>
              <w:ind w:firstLine="361" w:firstLineChars="150"/>
              <w:jc w:val="left"/>
              <w:rPr>
                <w:b/>
                <w:bCs/>
                <w:color w:val="auto"/>
              </w:rPr>
            </w:pPr>
            <w:r>
              <w:rPr>
                <w:rFonts w:hint="eastAsia"/>
                <w:b/>
                <w:bCs/>
                <w:color w:val="auto"/>
                <w:sz w:val="24"/>
              </w:rPr>
              <w:t>3</w:t>
            </w:r>
            <w:r>
              <w:rPr>
                <w:b/>
                <w:bCs/>
                <w:color w:val="auto"/>
                <w:sz w:val="24"/>
              </w:rPr>
              <w:t>）金属粉尘</w:t>
            </w:r>
          </w:p>
          <w:p w14:paraId="66EAD775">
            <w:pPr>
              <w:adjustRightInd w:val="0"/>
              <w:snapToGrid w:val="0"/>
              <w:spacing w:line="360" w:lineRule="auto"/>
              <w:ind w:firstLine="360" w:firstLineChars="150"/>
              <w:jc w:val="left"/>
              <w:rPr>
                <w:color w:val="auto"/>
                <w:sz w:val="24"/>
              </w:rPr>
            </w:pPr>
            <w:r>
              <w:rPr>
                <w:rFonts w:hint="eastAsia"/>
                <w:color w:val="auto"/>
                <w:sz w:val="24"/>
              </w:rPr>
              <w:t>项目打磨工序</w:t>
            </w:r>
            <w:r>
              <w:rPr>
                <w:color w:val="auto"/>
                <w:sz w:val="24"/>
              </w:rPr>
              <w:t>会产生</w:t>
            </w:r>
            <w:r>
              <w:rPr>
                <w:rFonts w:hint="eastAsia"/>
                <w:color w:val="auto"/>
                <w:sz w:val="24"/>
              </w:rPr>
              <w:t>金属</w:t>
            </w:r>
            <w:r>
              <w:rPr>
                <w:color w:val="auto"/>
                <w:sz w:val="24"/>
              </w:rPr>
              <w:t>粉尘，</w:t>
            </w:r>
            <w:r>
              <w:rPr>
                <w:rFonts w:hint="eastAsia"/>
                <w:color w:val="auto"/>
                <w:sz w:val="24"/>
              </w:rPr>
              <w:t>呈无组织排放扩散在车间内，因金属粉尘自身比重较大，自然沉降较快，可通过洒扫收集。根据工程分析，</w:t>
            </w:r>
            <w:r>
              <w:rPr>
                <w:color w:val="auto"/>
                <w:sz w:val="24"/>
              </w:rPr>
              <w:t>产生量为</w:t>
            </w:r>
            <w:r>
              <w:rPr>
                <w:rFonts w:hint="eastAsia"/>
                <w:color w:val="auto"/>
                <w:sz w:val="24"/>
              </w:rPr>
              <w:t>0.4879</w:t>
            </w:r>
            <w:r>
              <w:rPr>
                <w:color w:val="auto"/>
                <w:sz w:val="24"/>
              </w:rPr>
              <w:t>t/a。主要成分为金属粉尘，属于《固体废物分类与代码目录》（公告 2024年 第4号）SW59其他工业固体废物，分类代码为：900-099-S59，交由一般固废回收利用单位处理。</w:t>
            </w:r>
          </w:p>
          <w:p w14:paraId="5A588908">
            <w:pPr>
              <w:pStyle w:val="43"/>
              <w:ind w:firstLine="482"/>
              <w:jc w:val="left"/>
              <w:rPr>
                <w:b/>
                <w:bCs/>
                <w:color w:val="auto"/>
              </w:rPr>
            </w:pPr>
            <w:r>
              <w:rPr>
                <w:rFonts w:hint="eastAsia"/>
                <w:b/>
                <w:bCs/>
                <w:color w:val="auto"/>
                <w:szCs w:val="24"/>
              </w:rPr>
              <w:t>4</w:t>
            </w:r>
            <w:r>
              <w:rPr>
                <w:b/>
                <w:bCs/>
                <w:color w:val="auto"/>
                <w:szCs w:val="24"/>
              </w:rPr>
              <w:t>）</w:t>
            </w:r>
            <w:r>
              <w:rPr>
                <w:b/>
                <w:bCs/>
                <w:color w:val="auto"/>
              </w:rPr>
              <w:t>废布袋</w:t>
            </w:r>
          </w:p>
          <w:p w14:paraId="118DD678">
            <w:pPr>
              <w:pStyle w:val="43"/>
              <w:ind w:firstLine="420" w:firstLineChars="175"/>
              <w:jc w:val="left"/>
              <w:rPr>
                <w:color w:val="auto"/>
                <w:szCs w:val="24"/>
              </w:rPr>
            </w:pPr>
            <w:r>
              <w:rPr>
                <w:color w:val="auto"/>
              </w:rPr>
              <w:t>项目使用的布袋除尘器上的布袋需定期更换，约两年更换一次，更换过程产生废布袋，产生量约为</w:t>
            </w:r>
            <w:r>
              <w:rPr>
                <w:rFonts w:hint="eastAsia"/>
                <w:color w:val="auto"/>
              </w:rPr>
              <w:t>0.1</w:t>
            </w:r>
            <w:r>
              <w:rPr>
                <w:color w:val="auto"/>
              </w:rPr>
              <w:t>t/a，废布袋属于一般工业固体废物，</w:t>
            </w:r>
            <w:r>
              <w:rPr>
                <w:color w:val="auto"/>
                <w:szCs w:val="24"/>
              </w:rPr>
              <w:t>属于《固体废物分类与代码目录》（公告 2024年 第4号）SW59其他工业固体废物，分类代码为：900-009-S59，交由</w:t>
            </w:r>
            <w:r>
              <w:rPr>
                <w:color w:val="auto"/>
              </w:rPr>
              <w:t>一般固废回收利用单位处理</w:t>
            </w:r>
            <w:r>
              <w:rPr>
                <w:color w:val="auto"/>
                <w:szCs w:val="24"/>
              </w:rPr>
              <w:t>。</w:t>
            </w:r>
          </w:p>
          <w:p w14:paraId="096975EA">
            <w:pPr>
              <w:pStyle w:val="43"/>
              <w:ind w:firstLine="482"/>
              <w:jc w:val="left"/>
              <w:rPr>
                <w:b/>
                <w:bCs/>
                <w:color w:val="auto"/>
              </w:rPr>
            </w:pPr>
            <w:r>
              <w:rPr>
                <w:rFonts w:hint="eastAsia"/>
                <w:b/>
                <w:bCs/>
                <w:color w:val="auto"/>
              </w:rPr>
              <w:t>5</w:t>
            </w:r>
            <w:r>
              <w:rPr>
                <w:b/>
                <w:bCs/>
                <w:color w:val="auto"/>
              </w:rPr>
              <w:t>）废滤筒</w:t>
            </w:r>
          </w:p>
          <w:p w14:paraId="2DDD4DF4">
            <w:pPr>
              <w:pStyle w:val="43"/>
              <w:ind w:firstLine="420" w:firstLineChars="175"/>
              <w:jc w:val="left"/>
              <w:rPr>
                <w:color w:val="auto"/>
              </w:rPr>
            </w:pPr>
            <w:r>
              <w:rPr>
                <w:color w:val="auto"/>
              </w:rPr>
              <w:t>项目</w:t>
            </w:r>
            <w:r>
              <w:rPr>
                <w:rFonts w:hint="eastAsia"/>
                <w:color w:val="auto"/>
              </w:rPr>
              <w:t>喷粉柜自带有滤筒过滤装置，滤筒需定期更换，约两年更换一次，更换</w:t>
            </w:r>
            <w:r>
              <w:rPr>
                <w:color w:val="auto"/>
              </w:rPr>
              <w:t>将产生废滤筒，产生量约</w:t>
            </w:r>
            <w:r>
              <w:rPr>
                <w:rFonts w:hint="eastAsia"/>
                <w:color w:val="auto"/>
              </w:rPr>
              <w:t>0.2</w:t>
            </w:r>
            <w:r>
              <w:rPr>
                <w:color w:val="auto"/>
              </w:rPr>
              <w:t>t/a，属于</w:t>
            </w:r>
            <w:r>
              <w:rPr>
                <w:color w:val="auto"/>
                <w:szCs w:val="24"/>
              </w:rPr>
              <w:t>《固体废物分类与代码目录》（公告 2024年 第4号）SW59其他工业固体废物，分类代码为：900-009-S59</w:t>
            </w:r>
            <w:r>
              <w:rPr>
                <w:color w:val="auto"/>
              </w:rPr>
              <w:t>，交由一般固废回收利用单位处理。</w:t>
            </w:r>
          </w:p>
          <w:p w14:paraId="1E04491B">
            <w:pPr>
              <w:pStyle w:val="43"/>
              <w:ind w:firstLine="482"/>
              <w:jc w:val="left"/>
              <w:rPr>
                <w:b/>
                <w:bCs/>
                <w:color w:val="auto"/>
              </w:rPr>
            </w:pPr>
            <w:r>
              <w:rPr>
                <w:rFonts w:hint="eastAsia"/>
                <w:b/>
                <w:bCs/>
                <w:color w:val="auto"/>
              </w:rPr>
              <w:t>6</w:t>
            </w:r>
            <w:r>
              <w:rPr>
                <w:b/>
                <w:bCs/>
                <w:color w:val="auto"/>
              </w:rPr>
              <w:t>）</w:t>
            </w:r>
            <w:r>
              <w:rPr>
                <w:rFonts w:hint="eastAsia"/>
                <w:b/>
                <w:bCs/>
                <w:color w:val="auto"/>
              </w:rPr>
              <w:t>废塑粉</w:t>
            </w:r>
          </w:p>
          <w:p w14:paraId="257564E1">
            <w:pPr>
              <w:pStyle w:val="43"/>
              <w:ind w:firstLine="476"/>
              <w:jc w:val="left"/>
              <w:rPr>
                <w:color w:val="auto"/>
              </w:rPr>
            </w:pPr>
            <w:r>
              <w:rPr>
                <w:color w:val="auto"/>
                <w:spacing w:val="-1"/>
              </w:rPr>
              <w:t>项目喷粉工序在密闭的喷粉房中进行，喷粉作业时</w:t>
            </w:r>
            <w:r>
              <w:rPr>
                <w:rFonts w:hint="eastAsia"/>
                <w:color w:val="auto"/>
                <w:spacing w:val="-1"/>
              </w:rPr>
              <w:t>未上附着在待喷工件表面的</w:t>
            </w:r>
            <w:r>
              <w:rPr>
                <w:color w:val="auto"/>
                <w:spacing w:val="-1"/>
              </w:rPr>
              <w:t>粉末涂料散逸在空气中，</w:t>
            </w:r>
            <w:r>
              <w:rPr>
                <w:rFonts w:hint="eastAsia"/>
                <w:color w:val="auto"/>
                <w:spacing w:val="-1"/>
              </w:rPr>
              <w:t>形成喷粉粉尘。此部分粉尘大部分被收集后</w:t>
            </w:r>
            <w:r>
              <w:rPr>
                <w:color w:val="auto"/>
                <w:spacing w:val="-1"/>
              </w:rPr>
              <w:t>经布袋</w:t>
            </w:r>
            <w:r>
              <w:rPr>
                <w:rFonts w:hint="eastAsia"/>
                <w:color w:val="auto"/>
                <w:spacing w:val="-1"/>
              </w:rPr>
              <w:t>除尘器</w:t>
            </w:r>
            <w:r>
              <w:rPr>
                <w:color w:val="auto"/>
                <w:spacing w:val="-1"/>
              </w:rPr>
              <w:t>处理</w:t>
            </w:r>
            <w:r>
              <w:rPr>
                <w:rFonts w:hint="eastAsia"/>
                <w:color w:val="auto"/>
                <w:spacing w:val="-1"/>
              </w:rPr>
              <w:t>回用于生产</w:t>
            </w:r>
            <w:r>
              <w:rPr>
                <w:color w:val="auto"/>
              </w:rPr>
              <w:t>，</w:t>
            </w:r>
            <w:r>
              <w:rPr>
                <w:rFonts w:hint="eastAsia"/>
                <w:color w:val="auto"/>
              </w:rPr>
              <w:t>少部分未被收集粉尘作为一般固体废物</w:t>
            </w:r>
            <w:r>
              <w:rPr>
                <w:color w:val="auto"/>
              </w:rPr>
              <w:t>。根据前文分析</w:t>
            </w:r>
            <w:r>
              <w:rPr>
                <w:rFonts w:hint="eastAsia"/>
                <w:color w:val="auto"/>
              </w:rPr>
              <w:t>喷涂粉尘产生量为3.43t/a，未被收集粉尘为0.342t/a，则</w:t>
            </w:r>
            <w:r>
              <w:rPr>
                <w:color w:val="auto"/>
              </w:rPr>
              <w:t>废</w:t>
            </w:r>
            <w:r>
              <w:rPr>
                <w:rFonts w:hint="eastAsia"/>
                <w:color w:val="auto"/>
              </w:rPr>
              <w:t>塑粉产生量为0.342</w:t>
            </w:r>
            <w:r>
              <w:rPr>
                <w:color w:val="auto"/>
              </w:rPr>
              <w:t>t/a。废</w:t>
            </w:r>
            <w:r>
              <w:rPr>
                <w:rFonts w:hint="eastAsia"/>
                <w:color w:val="auto"/>
              </w:rPr>
              <w:t>塑粉</w:t>
            </w:r>
            <w:r>
              <w:rPr>
                <w:color w:val="auto"/>
              </w:rPr>
              <w:t>属于《固体废物分类与代码目录》（公告 2024年 第4号）SW59其他工业固体废物，分类代码为：900-099-S59，交由一般固废回收利用单位处理。</w:t>
            </w:r>
          </w:p>
          <w:p w14:paraId="23ABDDF0">
            <w:pPr>
              <w:pStyle w:val="43"/>
              <w:ind w:firstLine="466"/>
              <w:jc w:val="left"/>
              <w:rPr>
                <w:b/>
                <w:bCs/>
                <w:color w:val="auto"/>
                <w:spacing w:val="-4"/>
                <w:kern w:val="0"/>
              </w:rPr>
            </w:pPr>
            <w:r>
              <w:rPr>
                <w:b/>
                <w:bCs/>
                <w:color w:val="auto"/>
                <w:spacing w:val="-4"/>
                <w:kern w:val="0"/>
              </w:rPr>
              <w:t>8）废砂纸</w:t>
            </w:r>
          </w:p>
          <w:p w14:paraId="136DFDA2">
            <w:pPr>
              <w:pStyle w:val="43"/>
              <w:ind w:firstLine="464"/>
              <w:jc w:val="left"/>
              <w:rPr>
                <w:color w:val="auto"/>
                <w:szCs w:val="24"/>
              </w:rPr>
            </w:pPr>
            <w:r>
              <w:rPr>
                <w:color w:val="auto"/>
                <w:spacing w:val="-4"/>
                <w:kern w:val="0"/>
                <w:szCs w:val="24"/>
              </w:rPr>
              <w:t>项目打磨过程中会产生废砂纸，年产生量为0.</w:t>
            </w:r>
            <w:r>
              <w:rPr>
                <w:rFonts w:hint="eastAsia"/>
                <w:color w:val="auto"/>
                <w:spacing w:val="-4"/>
                <w:kern w:val="0"/>
                <w:szCs w:val="24"/>
              </w:rPr>
              <w:t>2</w:t>
            </w:r>
            <w:r>
              <w:rPr>
                <w:color w:val="auto"/>
                <w:spacing w:val="-4"/>
                <w:kern w:val="0"/>
                <w:szCs w:val="24"/>
              </w:rPr>
              <w:t>t/a，属于一般工业废物，根据</w:t>
            </w:r>
            <w:r>
              <w:rPr>
                <w:color w:val="auto"/>
                <w:szCs w:val="24"/>
              </w:rPr>
              <w:t>《固体废物分类与代码目录》（公告 2024年 第4号）SW59其他工业固体废物，分类代码为：900-099-S59</w:t>
            </w:r>
            <w:r>
              <w:rPr>
                <w:color w:val="auto"/>
                <w:spacing w:val="-4"/>
                <w:kern w:val="0"/>
                <w:szCs w:val="24"/>
              </w:rPr>
              <w:t>，集中收集后交由专业公司回收处理</w:t>
            </w:r>
            <w:r>
              <w:rPr>
                <w:color w:val="auto"/>
                <w:szCs w:val="24"/>
              </w:rPr>
              <w:t>。</w:t>
            </w:r>
          </w:p>
          <w:p w14:paraId="7DA7E13A">
            <w:pPr>
              <w:spacing w:line="360" w:lineRule="auto"/>
              <w:ind w:firstLine="422" w:firstLineChars="200"/>
              <w:jc w:val="left"/>
              <w:rPr>
                <w:b/>
                <w:bCs/>
                <w:color w:val="auto"/>
                <w:sz w:val="24"/>
              </w:rPr>
            </w:pPr>
            <w:r>
              <w:rPr>
                <w:b/>
                <w:bCs/>
                <w:color w:val="auto"/>
              </w:rPr>
              <w:t>（</w:t>
            </w:r>
            <w:r>
              <w:rPr>
                <w:b/>
                <w:bCs/>
                <w:color w:val="auto"/>
                <w:sz w:val="24"/>
              </w:rPr>
              <w:t>2）危险废物</w:t>
            </w:r>
          </w:p>
          <w:p w14:paraId="2C7862CF">
            <w:pPr>
              <w:adjustRightInd w:val="0"/>
              <w:snapToGrid w:val="0"/>
              <w:spacing w:line="360" w:lineRule="auto"/>
              <w:ind w:firstLine="482" w:firstLineChars="200"/>
              <w:jc w:val="left"/>
              <w:rPr>
                <w:b/>
                <w:color w:val="auto"/>
                <w:sz w:val="24"/>
              </w:rPr>
            </w:pPr>
            <w:r>
              <w:rPr>
                <w:b/>
                <w:color w:val="auto"/>
                <w:sz w:val="24"/>
              </w:rPr>
              <w:t>1）废活性炭</w:t>
            </w:r>
          </w:p>
          <w:p w14:paraId="2173790A">
            <w:pPr>
              <w:spacing w:line="360" w:lineRule="auto"/>
              <w:ind w:firstLine="480" w:firstLineChars="200"/>
              <w:jc w:val="left"/>
              <w:rPr>
                <w:color w:val="auto"/>
                <w:sz w:val="24"/>
              </w:rPr>
            </w:pPr>
            <w:r>
              <w:rPr>
                <w:color w:val="auto"/>
                <w:kern w:val="0"/>
                <w:sz w:val="24"/>
                <w:lang w:bidi="ar"/>
              </w:rPr>
              <w:t>本项目废气处理设施使用的活性炭吸附饱和后需定期更换，因此会产生废活性炭。根据前文分析可知，项目活性炭的年用量为</w:t>
            </w:r>
            <w:r>
              <w:rPr>
                <w:rFonts w:hint="eastAsia"/>
                <w:color w:val="auto"/>
                <w:kern w:val="0"/>
                <w:sz w:val="24"/>
                <w:lang w:bidi="ar"/>
              </w:rPr>
              <w:t>18.144</w:t>
            </w:r>
            <w:r>
              <w:rPr>
                <w:color w:val="auto"/>
                <w:kern w:val="0"/>
                <w:sz w:val="24"/>
                <w:lang w:bidi="ar"/>
              </w:rPr>
              <w:t>t，被吸附的有机废气量为</w:t>
            </w:r>
            <w:r>
              <w:rPr>
                <w:rFonts w:hint="eastAsia"/>
                <w:color w:val="auto"/>
                <w:kern w:val="0"/>
                <w:sz w:val="24"/>
                <w:lang w:bidi="ar"/>
              </w:rPr>
              <w:t>0.424</w:t>
            </w:r>
            <w:r>
              <w:rPr>
                <w:color w:val="auto"/>
                <w:kern w:val="0"/>
                <w:sz w:val="24"/>
                <w:lang w:bidi="ar"/>
              </w:rPr>
              <w:t>t/a，则废活性炭产生量为</w:t>
            </w:r>
            <w:r>
              <w:rPr>
                <w:rFonts w:hint="eastAsia"/>
                <w:color w:val="auto"/>
                <w:kern w:val="0"/>
                <w:sz w:val="24"/>
                <w:lang w:bidi="ar"/>
              </w:rPr>
              <w:t>18.6</w:t>
            </w:r>
            <w:r>
              <w:rPr>
                <w:color w:val="auto"/>
                <w:kern w:val="0"/>
                <w:sz w:val="24"/>
                <w:lang w:bidi="ar"/>
              </w:rPr>
              <w:t>t/a，参考《广东省生态环境厅关于印发工业源挥发性有机物和氮氧化物减排量核算方法的通知》（粤环函〔2023〕538号）表3.3-3废气治理效率参考值，建议直接将“活性炭年更换量×活性炭吸附比例（吸附比例建议取值15%）”作为废气处理设施VOCs削减量，经计算得出活性炭年更换量应不小于</w:t>
            </w:r>
            <w:r>
              <w:rPr>
                <w:rFonts w:hint="eastAsia"/>
                <w:color w:val="auto"/>
                <w:kern w:val="0"/>
                <w:sz w:val="24"/>
                <w:lang w:bidi="ar"/>
              </w:rPr>
              <w:t>2.827</w:t>
            </w:r>
            <w:r>
              <w:rPr>
                <w:color w:val="auto"/>
                <w:kern w:val="0"/>
                <w:sz w:val="24"/>
                <w:lang w:bidi="ar"/>
              </w:rPr>
              <w:t>t，项目活性炭年用量为</w:t>
            </w:r>
            <w:r>
              <w:rPr>
                <w:rFonts w:hint="eastAsia"/>
                <w:color w:val="auto"/>
                <w:kern w:val="0"/>
                <w:sz w:val="24"/>
                <w:lang w:bidi="ar"/>
              </w:rPr>
              <w:t>18.144</w:t>
            </w:r>
            <w:r>
              <w:rPr>
                <w:color w:val="auto"/>
                <w:kern w:val="0"/>
                <w:sz w:val="24"/>
                <w:lang w:bidi="ar"/>
              </w:rPr>
              <w:t>t，符合文件要求。</w:t>
            </w:r>
            <w:r>
              <w:rPr>
                <w:color w:val="auto"/>
                <w:sz w:val="24"/>
                <w:szCs w:val="32"/>
              </w:rPr>
              <w:t>根据《国家危险废物名录》（</w:t>
            </w:r>
            <w:r>
              <w:rPr>
                <w:rFonts w:hint="eastAsia"/>
                <w:color w:val="auto"/>
                <w:sz w:val="24"/>
                <w:szCs w:val="32"/>
              </w:rPr>
              <w:t>2025年版</w:t>
            </w:r>
            <w:r>
              <w:rPr>
                <w:color w:val="auto"/>
                <w:sz w:val="24"/>
                <w:szCs w:val="32"/>
              </w:rPr>
              <w:t>），属于HW49其他废物，危废代码为900-039-49，</w:t>
            </w:r>
            <w:r>
              <w:rPr>
                <w:color w:val="auto"/>
                <w:kern w:val="0"/>
                <w:sz w:val="24"/>
                <w:lang w:bidi="ar"/>
              </w:rPr>
              <w:t>收集后定期委托有危险废物处理资质的单位回收处理。</w:t>
            </w:r>
          </w:p>
          <w:p w14:paraId="65F7464D">
            <w:pPr>
              <w:adjustRightInd w:val="0"/>
              <w:snapToGrid w:val="0"/>
              <w:spacing w:line="360" w:lineRule="auto"/>
              <w:ind w:firstLine="482" w:firstLineChars="200"/>
              <w:jc w:val="left"/>
              <w:rPr>
                <w:b/>
                <w:bCs/>
                <w:color w:val="auto"/>
                <w:sz w:val="24"/>
              </w:rPr>
            </w:pPr>
            <w:r>
              <w:rPr>
                <w:b/>
                <w:bCs/>
                <w:color w:val="auto"/>
                <w:sz w:val="24"/>
              </w:rPr>
              <w:t>2）</w:t>
            </w:r>
            <w:r>
              <w:rPr>
                <w:rFonts w:hint="eastAsia"/>
                <w:b/>
                <w:bCs/>
                <w:color w:val="auto"/>
                <w:sz w:val="24"/>
              </w:rPr>
              <w:t>浓缩废液</w:t>
            </w:r>
          </w:p>
          <w:p w14:paraId="5A50F7B9">
            <w:pPr>
              <w:pStyle w:val="43"/>
              <w:jc w:val="left"/>
              <w:rPr>
                <w:color w:val="auto"/>
                <w:szCs w:val="24"/>
              </w:rPr>
            </w:pPr>
            <w:r>
              <w:rPr>
                <w:color w:val="auto"/>
              </w:rPr>
              <w:t>废水</w:t>
            </w:r>
            <w:r>
              <w:rPr>
                <w:rFonts w:hint="eastAsia"/>
                <w:color w:val="auto"/>
              </w:rPr>
              <w:t>处理设施</w:t>
            </w:r>
            <w:r>
              <w:rPr>
                <w:color w:val="auto"/>
              </w:rPr>
              <w:t>中</w:t>
            </w:r>
            <w:r>
              <w:rPr>
                <w:rFonts w:hint="eastAsia"/>
                <w:color w:val="auto"/>
              </w:rPr>
              <w:t>经过中水回用系统处理后产生</w:t>
            </w:r>
            <w:r>
              <w:rPr>
                <w:color w:val="auto"/>
              </w:rPr>
              <w:t>浓水进入MVR蒸发器蒸发处理；根据工程设计方案，MVR蒸发器冷凝水回收率可达</w:t>
            </w:r>
            <w:r>
              <w:rPr>
                <w:rFonts w:hint="eastAsia"/>
                <w:color w:val="auto"/>
              </w:rPr>
              <w:t>95</w:t>
            </w:r>
            <w:r>
              <w:rPr>
                <w:color w:val="auto"/>
              </w:rPr>
              <w:t>%，</w:t>
            </w:r>
            <w:r>
              <w:rPr>
                <w:color w:val="auto"/>
                <w:kern w:val="0"/>
                <w:lang w:bidi="ar"/>
              </w:rPr>
              <w:t>剩余</w:t>
            </w:r>
            <w:r>
              <w:rPr>
                <w:color w:val="auto"/>
                <w:kern w:val="0"/>
                <w:szCs w:val="24"/>
                <w:lang w:bidi="ar"/>
              </w:rPr>
              <w:t>约</w:t>
            </w:r>
            <w:r>
              <w:rPr>
                <w:rFonts w:hint="eastAsia"/>
                <w:color w:val="auto"/>
                <w:kern w:val="0"/>
                <w:szCs w:val="24"/>
                <w:lang w:bidi="ar"/>
              </w:rPr>
              <w:t>5</w:t>
            </w:r>
            <w:r>
              <w:rPr>
                <w:color w:val="auto"/>
                <w:kern w:val="0"/>
                <w:szCs w:val="24"/>
                <w:lang w:bidi="ar"/>
              </w:rPr>
              <w:t>%的浓缩废液</w:t>
            </w:r>
            <w:r>
              <w:rPr>
                <w:color w:val="auto"/>
                <w:kern w:val="0"/>
                <w:lang w:bidi="ar"/>
              </w:rPr>
              <w:t>（</w:t>
            </w:r>
            <w:r>
              <w:rPr>
                <w:rFonts w:hint="eastAsia"/>
                <w:color w:val="auto"/>
                <w:kern w:val="0"/>
                <w:lang w:bidi="ar"/>
              </w:rPr>
              <w:t>0.03t</w:t>
            </w:r>
            <w:r>
              <w:rPr>
                <w:color w:val="auto"/>
                <w:kern w:val="0"/>
                <w:lang w:bidi="ar"/>
              </w:rPr>
              <w:t>/d</w:t>
            </w:r>
            <w:r>
              <w:rPr>
                <w:color w:val="auto"/>
                <w:lang w:bidi="ar"/>
              </w:rPr>
              <w:t>，</w:t>
            </w:r>
            <w:r>
              <w:rPr>
                <w:rFonts w:hint="eastAsia"/>
                <w:color w:val="auto"/>
                <w:lang w:bidi="ar"/>
              </w:rPr>
              <w:t xml:space="preserve">   8.987</w:t>
            </w:r>
            <w:r>
              <w:rPr>
                <w:rFonts w:hint="eastAsia"/>
                <w:color w:val="auto"/>
                <w:kern w:val="0"/>
                <w:szCs w:val="24"/>
                <w:lang w:bidi="ar"/>
              </w:rPr>
              <w:t>t</w:t>
            </w:r>
            <w:r>
              <w:rPr>
                <w:color w:val="auto"/>
                <w:lang w:bidi="ar"/>
              </w:rPr>
              <w:t>/a）</w:t>
            </w:r>
            <w:r>
              <w:rPr>
                <w:color w:val="auto"/>
              </w:rPr>
              <w:t>，浓缩废液收集后交有资质单位处理，</w:t>
            </w:r>
            <w:r>
              <w:rPr>
                <w:bCs/>
                <w:color w:val="auto"/>
              </w:rPr>
              <w:t>属于《国家危险废物名录（202</w:t>
            </w:r>
            <w:r>
              <w:rPr>
                <w:rFonts w:hint="eastAsia"/>
                <w:bCs/>
                <w:color w:val="auto"/>
              </w:rPr>
              <w:t>5</w:t>
            </w:r>
            <w:r>
              <w:rPr>
                <w:bCs/>
                <w:color w:val="auto"/>
              </w:rPr>
              <w:t>年版）》中HW49其他废物中“采用物理、化学、物理化学或生物方法处理或处置毒性或感染性危险废物过程中产生的废水处理残渣（液）”，</w:t>
            </w:r>
            <w:r>
              <w:rPr>
                <w:color w:val="auto"/>
                <w:szCs w:val="32"/>
              </w:rPr>
              <w:t>危废代码</w:t>
            </w:r>
            <w:r>
              <w:rPr>
                <w:bCs/>
                <w:color w:val="auto"/>
              </w:rPr>
              <w:t>为772-006-49</w:t>
            </w:r>
            <w:r>
              <w:rPr>
                <w:color w:val="auto"/>
                <w:szCs w:val="32"/>
              </w:rPr>
              <w:t>，</w:t>
            </w:r>
            <w:r>
              <w:rPr>
                <w:color w:val="auto"/>
                <w:kern w:val="0"/>
                <w:lang w:bidi="ar"/>
              </w:rPr>
              <w:t>收集后定期委托有危险废物处理资质的单位回收处理</w:t>
            </w:r>
            <w:r>
              <w:rPr>
                <w:bCs/>
                <w:color w:val="auto"/>
              </w:rPr>
              <w:t>。</w:t>
            </w:r>
          </w:p>
          <w:p w14:paraId="6F3C68CB">
            <w:pPr>
              <w:adjustRightInd w:val="0"/>
              <w:snapToGrid w:val="0"/>
              <w:spacing w:line="360" w:lineRule="auto"/>
              <w:ind w:firstLine="482" w:firstLineChars="200"/>
              <w:jc w:val="left"/>
              <w:rPr>
                <w:b/>
                <w:color w:val="auto"/>
                <w:sz w:val="24"/>
              </w:rPr>
            </w:pPr>
            <w:r>
              <w:rPr>
                <w:b/>
                <w:color w:val="auto"/>
                <w:sz w:val="24"/>
              </w:rPr>
              <w:t>3）废水处理设备污泥</w:t>
            </w:r>
          </w:p>
          <w:p w14:paraId="7B8D25DC">
            <w:pPr>
              <w:adjustRightInd w:val="0"/>
              <w:snapToGrid w:val="0"/>
              <w:spacing w:line="360" w:lineRule="auto"/>
              <w:ind w:firstLine="480" w:firstLineChars="200"/>
              <w:jc w:val="left"/>
              <w:rPr>
                <w:bCs/>
                <w:color w:val="auto"/>
                <w:sz w:val="24"/>
              </w:rPr>
            </w:pPr>
            <w:r>
              <w:rPr>
                <w:bCs/>
                <w:color w:val="auto"/>
                <w:sz w:val="24"/>
              </w:rPr>
              <w:t>项目自建</w:t>
            </w:r>
            <w:r>
              <w:rPr>
                <w:rFonts w:hint="eastAsia"/>
                <w:bCs/>
                <w:color w:val="auto"/>
                <w:sz w:val="24"/>
              </w:rPr>
              <w:t>废水处理设施</w:t>
            </w:r>
            <w:r>
              <w:rPr>
                <w:bCs/>
                <w:color w:val="auto"/>
                <w:sz w:val="24"/>
              </w:rPr>
              <w:t>处理过程会产生一定量的污泥，</w:t>
            </w:r>
            <w:r>
              <w:rPr>
                <w:rFonts w:hint="eastAsia"/>
                <w:bCs/>
                <w:color w:val="auto"/>
                <w:sz w:val="24"/>
              </w:rPr>
              <w:t>污泥产生量</w:t>
            </w:r>
            <w:r>
              <w:rPr>
                <w:bCs/>
                <w:color w:val="auto"/>
                <w:sz w:val="24"/>
              </w:rPr>
              <w:t>参考《排放源统计调查产排污核算方法和系数手册》电镀行业系数手册以及《广东省电镀行业固体废物管理手册》来核算污泥产生量，污泥产生系数为5‰（含水率70%）。项目废水处理规模为</w:t>
            </w:r>
            <w:r>
              <w:rPr>
                <w:rFonts w:hint="eastAsia"/>
                <w:color w:val="auto"/>
                <w:kern w:val="0"/>
                <w:sz w:val="24"/>
                <w:lang w:bidi="ar"/>
              </w:rPr>
              <w:t>1389.286</w:t>
            </w:r>
            <w:r>
              <w:rPr>
                <w:color w:val="auto"/>
                <w:kern w:val="0"/>
                <w:sz w:val="24"/>
                <w:lang w:bidi="ar"/>
              </w:rPr>
              <w:t>t</w:t>
            </w:r>
            <w:r>
              <w:rPr>
                <w:bCs/>
                <w:color w:val="auto"/>
                <w:sz w:val="24"/>
              </w:rPr>
              <w:t>/a，由此计算出项目污泥（含水率约</w:t>
            </w:r>
            <w:r>
              <w:rPr>
                <w:rFonts w:hint="eastAsia"/>
                <w:bCs/>
                <w:color w:val="auto"/>
                <w:sz w:val="24"/>
              </w:rPr>
              <w:t>7</w:t>
            </w:r>
            <w:r>
              <w:rPr>
                <w:bCs/>
                <w:color w:val="auto"/>
                <w:sz w:val="24"/>
              </w:rPr>
              <w:t>0%）的产生量约为</w:t>
            </w:r>
            <w:r>
              <w:rPr>
                <w:rFonts w:hint="eastAsia"/>
                <w:bCs/>
                <w:color w:val="auto"/>
                <w:sz w:val="24"/>
              </w:rPr>
              <w:t>6.95</w:t>
            </w:r>
            <w:r>
              <w:rPr>
                <w:bCs/>
                <w:color w:val="auto"/>
                <w:sz w:val="24"/>
              </w:rPr>
              <w:t>t/a</w:t>
            </w:r>
            <w:r>
              <w:rPr>
                <w:rFonts w:hint="eastAsia"/>
                <w:bCs/>
                <w:color w:val="auto"/>
                <w:sz w:val="24"/>
              </w:rPr>
              <w:t>。项目对前处理线废水进行除磷预处理，采用石灰作混凝剂，根据经验系数，当石灰为前置投加，污泥量增加150%~500%，本报告按325%计，则项目污泥产生量为22.6</w:t>
            </w:r>
            <w:r>
              <w:rPr>
                <w:bCs/>
                <w:color w:val="auto"/>
                <w:sz w:val="24"/>
              </w:rPr>
              <w:t>t/a</w:t>
            </w:r>
            <w:r>
              <w:rPr>
                <w:rFonts w:hint="eastAsia"/>
                <w:bCs/>
                <w:color w:val="auto"/>
                <w:sz w:val="24"/>
              </w:rPr>
              <w:t>。</w:t>
            </w:r>
            <w:r>
              <w:rPr>
                <w:bCs/>
                <w:color w:val="auto"/>
                <w:sz w:val="24"/>
              </w:rPr>
              <w:t>自建</w:t>
            </w:r>
            <w:r>
              <w:rPr>
                <w:rFonts w:hint="eastAsia"/>
                <w:bCs/>
                <w:color w:val="auto"/>
                <w:sz w:val="24"/>
              </w:rPr>
              <w:t>废水处理设施</w:t>
            </w:r>
            <w:r>
              <w:rPr>
                <w:bCs/>
                <w:color w:val="auto"/>
                <w:sz w:val="24"/>
              </w:rPr>
              <w:t>污泥属于《国家危险品名录（</w:t>
            </w:r>
            <w:r>
              <w:rPr>
                <w:rFonts w:hint="eastAsia"/>
                <w:bCs/>
                <w:color w:val="auto"/>
                <w:sz w:val="24"/>
              </w:rPr>
              <w:t>2025年版</w:t>
            </w:r>
            <w:r>
              <w:rPr>
                <w:bCs/>
                <w:color w:val="auto"/>
                <w:sz w:val="24"/>
              </w:rPr>
              <w:t>）》中HW17表面处理废物，代码为336-064-17，集中收集后交由有危险废物处理资质单位处置。</w:t>
            </w:r>
          </w:p>
          <w:p w14:paraId="70F25B56">
            <w:pPr>
              <w:tabs>
                <w:tab w:val="left" w:pos="1081"/>
              </w:tabs>
              <w:adjustRightInd w:val="0"/>
              <w:snapToGrid w:val="0"/>
              <w:spacing w:line="360" w:lineRule="auto"/>
              <w:ind w:firstLine="482" w:firstLineChars="200"/>
              <w:jc w:val="left"/>
              <w:rPr>
                <w:b/>
                <w:bCs/>
                <w:color w:val="auto"/>
                <w:sz w:val="24"/>
              </w:rPr>
            </w:pPr>
            <w:r>
              <w:rPr>
                <w:rFonts w:hint="eastAsia"/>
                <w:b/>
                <w:bCs/>
                <w:color w:val="auto"/>
                <w:sz w:val="24"/>
              </w:rPr>
              <w:t>4</w:t>
            </w:r>
            <w:r>
              <w:rPr>
                <w:b/>
                <w:bCs/>
                <w:color w:val="auto"/>
                <w:sz w:val="24"/>
              </w:rPr>
              <w:t>）废原料空桶</w:t>
            </w:r>
          </w:p>
          <w:p w14:paraId="1CA6DA2C">
            <w:pPr>
              <w:tabs>
                <w:tab w:val="left" w:pos="1081"/>
              </w:tabs>
              <w:adjustRightInd w:val="0"/>
              <w:snapToGrid w:val="0"/>
              <w:spacing w:line="360" w:lineRule="auto"/>
              <w:ind w:firstLine="480" w:firstLineChars="200"/>
              <w:jc w:val="left"/>
              <w:rPr>
                <w:bCs/>
                <w:color w:val="auto"/>
                <w:sz w:val="24"/>
              </w:rPr>
            </w:pPr>
            <w:r>
              <w:rPr>
                <w:color w:val="auto"/>
                <w:kern w:val="0"/>
                <w:sz w:val="24"/>
              </w:rPr>
              <w:t>项目使用的磷化剂、促进剂、硫酸</w:t>
            </w:r>
            <w:r>
              <w:rPr>
                <w:rFonts w:hint="eastAsia"/>
                <w:color w:val="auto"/>
                <w:kern w:val="0"/>
                <w:sz w:val="24"/>
              </w:rPr>
              <w:t>、脱脂剂、水性油漆</w:t>
            </w:r>
            <w:r>
              <w:rPr>
                <w:color w:val="auto"/>
                <w:kern w:val="0"/>
                <w:sz w:val="24"/>
              </w:rPr>
              <w:t>等会产生废原料包装，产生量约为</w:t>
            </w:r>
            <w:r>
              <w:rPr>
                <w:rFonts w:hint="eastAsia"/>
                <w:color w:val="auto"/>
                <w:kern w:val="0"/>
                <w:sz w:val="24"/>
              </w:rPr>
              <w:t>1</w:t>
            </w:r>
            <w:r>
              <w:rPr>
                <w:color w:val="auto"/>
                <w:kern w:val="0"/>
                <w:sz w:val="24"/>
              </w:rPr>
              <w:t>t/a，</w:t>
            </w:r>
            <w:r>
              <w:rPr>
                <w:bCs/>
                <w:color w:val="auto"/>
                <w:sz w:val="24"/>
              </w:rPr>
              <w:t>属于《国家危险品名录（</w:t>
            </w:r>
            <w:r>
              <w:rPr>
                <w:rFonts w:hint="eastAsia"/>
                <w:bCs/>
                <w:color w:val="auto"/>
                <w:sz w:val="24"/>
              </w:rPr>
              <w:t>2025年版</w:t>
            </w:r>
            <w:r>
              <w:rPr>
                <w:bCs/>
                <w:color w:val="auto"/>
                <w:sz w:val="24"/>
              </w:rPr>
              <w:t>）》中HW49其他废物，代码为900-041-49，收集后交由有危险废物处理资质单位处置。</w:t>
            </w:r>
          </w:p>
          <w:p w14:paraId="480C7B10">
            <w:pPr>
              <w:tabs>
                <w:tab w:val="left" w:pos="1081"/>
              </w:tabs>
              <w:adjustRightInd w:val="0"/>
              <w:snapToGrid w:val="0"/>
              <w:spacing w:line="360" w:lineRule="auto"/>
              <w:ind w:firstLine="482"/>
              <w:jc w:val="left"/>
              <w:rPr>
                <w:b/>
                <w:bCs/>
                <w:color w:val="auto"/>
                <w:sz w:val="24"/>
              </w:rPr>
            </w:pPr>
            <w:r>
              <w:rPr>
                <w:b/>
                <w:bCs/>
                <w:color w:val="auto"/>
                <w:sz w:val="24"/>
              </w:rPr>
              <w:t>5）废机油</w:t>
            </w:r>
          </w:p>
          <w:p w14:paraId="21D9EDAE">
            <w:pPr>
              <w:pStyle w:val="43"/>
              <w:ind w:firstLine="420" w:firstLineChars="175"/>
              <w:jc w:val="left"/>
              <w:rPr>
                <w:color w:val="auto"/>
              </w:rPr>
            </w:pPr>
            <w:r>
              <w:rPr>
                <w:color w:val="auto"/>
                <w:szCs w:val="24"/>
              </w:rPr>
              <w:t>本项目设备维修保养过程会产生废机油，产生量约为0.2t/a，根据《国家危险废物名录》（</w:t>
            </w:r>
            <w:r>
              <w:rPr>
                <w:rFonts w:hint="eastAsia"/>
                <w:color w:val="auto"/>
                <w:szCs w:val="24"/>
              </w:rPr>
              <w:t>2025年版</w:t>
            </w:r>
            <w:r>
              <w:rPr>
                <w:color w:val="auto"/>
                <w:szCs w:val="24"/>
              </w:rPr>
              <w:t>），属于HW08废矿物油与含矿物油废物，危废代码为900-249-08，收集后定期委托有危险废物处理资质的单位回收处理。</w:t>
            </w:r>
          </w:p>
          <w:p w14:paraId="407FF005">
            <w:pPr>
              <w:adjustRightInd w:val="0"/>
              <w:snapToGrid w:val="0"/>
              <w:spacing w:line="360" w:lineRule="auto"/>
              <w:ind w:firstLine="472" w:firstLineChars="196"/>
              <w:jc w:val="left"/>
              <w:rPr>
                <w:b/>
                <w:bCs/>
                <w:color w:val="auto"/>
                <w:sz w:val="24"/>
              </w:rPr>
            </w:pPr>
            <w:r>
              <w:rPr>
                <w:b/>
                <w:bCs/>
                <w:color w:val="auto"/>
                <w:sz w:val="24"/>
              </w:rPr>
              <w:t>6）废含油抹布和手套</w:t>
            </w:r>
          </w:p>
          <w:p w14:paraId="0727D86C">
            <w:pPr>
              <w:tabs>
                <w:tab w:val="left" w:pos="480"/>
              </w:tabs>
              <w:adjustRightInd w:val="0"/>
              <w:snapToGrid w:val="0"/>
              <w:spacing w:line="360" w:lineRule="auto"/>
              <w:ind w:firstLine="480" w:firstLineChars="200"/>
              <w:jc w:val="left"/>
              <w:rPr>
                <w:bCs/>
                <w:color w:val="auto"/>
                <w:sz w:val="24"/>
              </w:rPr>
            </w:pPr>
            <w:r>
              <w:rPr>
                <w:color w:val="auto"/>
                <w:sz w:val="24"/>
              </w:rPr>
              <w:t>本项目设备维修保养过程会产生废含油抹布和手套，产生量约0.1t/a，根据《国家危险废物名录》（</w:t>
            </w:r>
            <w:r>
              <w:rPr>
                <w:rFonts w:hint="eastAsia"/>
                <w:color w:val="auto"/>
                <w:sz w:val="24"/>
              </w:rPr>
              <w:t>2025年版</w:t>
            </w:r>
            <w:r>
              <w:rPr>
                <w:color w:val="auto"/>
                <w:sz w:val="24"/>
              </w:rPr>
              <w:t>），属于HW49其他废物，危废代码为900-041-49，</w:t>
            </w:r>
            <w:r>
              <w:rPr>
                <w:color w:val="auto"/>
                <w:kern w:val="0"/>
                <w:sz w:val="24"/>
                <w:lang w:bidi="ar"/>
              </w:rPr>
              <w:t>收集后定期委托有危险废物处理资质的单位回收处理</w:t>
            </w:r>
            <w:r>
              <w:rPr>
                <w:bCs/>
                <w:color w:val="auto"/>
                <w:sz w:val="24"/>
              </w:rPr>
              <w:t>。</w:t>
            </w:r>
          </w:p>
          <w:p w14:paraId="1EA64A3A">
            <w:pPr>
              <w:adjustRightInd w:val="0"/>
              <w:snapToGrid w:val="0"/>
              <w:spacing w:line="360" w:lineRule="auto"/>
              <w:ind w:firstLine="472" w:firstLineChars="196"/>
              <w:jc w:val="left"/>
              <w:rPr>
                <w:b/>
                <w:bCs/>
                <w:color w:val="auto"/>
                <w:sz w:val="24"/>
              </w:rPr>
            </w:pPr>
            <w:r>
              <w:rPr>
                <w:b/>
                <w:bCs/>
                <w:color w:val="auto"/>
                <w:sz w:val="24"/>
              </w:rPr>
              <w:t>7）</w:t>
            </w:r>
            <w:r>
              <w:rPr>
                <w:rFonts w:hint="eastAsia"/>
                <w:b/>
                <w:bCs/>
                <w:color w:val="auto"/>
                <w:sz w:val="24"/>
              </w:rPr>
              <w:t>废RO膜、</w:t>
            </w:r>
            <w:r>
              <w:rPr>
                <w:b/>
                <w:bCs/>
                <w:color w:val="auto"/>
                <w:sz w:val="24"/>
              </w:rPr>
              <w:t>废滤芯</w:t>
            </w:r>
          </w:p>
          <w:p w14:paraId="6C7A663D">
            <w:pPr>
              <w:adjustRightInd w:val="0"/>
              <w:snapToGrid w:val="0"/>
              <w:spacing w:line="360" w:lineRule="auto"/>
              <w:ind w:firstLine="470" w:firstLineChars="196"/>
              <w:jc w:val="left"/>
              <w:rPr>
                <w:color w:val="auto"/>
                <w:sz w:val="24"/>
              </w:rPr>
            </w:pPr>
            <w:r>
              <w:rPr>
                <w:rFonts w:hint="eastAsia"/>
                <w:color w:val="auto"/>
                <w:sz w:val="24"/>
              </w:rPr>
              <w:t>项目RO系统</w:t>
            </w:r>
            <w:r>
              <w:rPr>
                <w:color w:val="auto"/>
                <w:sz w:val="24"/>
              </w:rPr>
              <w:t>的RO膜使用寿命一般是1~2年左右，为保证废水站的稳定达标运行，需定期更换RO膜。根据废水设计单位提供的资料可知，RO膜两年更换一次，更换数量为12支，单支的重量为15kg，则废RO膜产生量约为0.18t/a。属于《国家危险废物名录（</w:t>
            </w:r>
            <w:r>
              <w:rPr>
                <w:rFonts w:hint="eastAsia"/>
                <w:color w:val="auto"/>
                <w:sz w:val="24"/>
              </w:rPr>
              <w:t>2025年版</w:t>
            </w:r>
            <w:r>
              <w:rPr>
                <w:color w:val="auto"/>
                <w:sz w:val="24"/>
              </w:rPr>
              <w:t>）》中HW49其他废物，代码为900-041-49，收集后交由有危险废物处理资质单位处置。</w:t>
            </w:r>
          </w:p>
          <w:p w14:paraId="2EB123D4">
            <w:pPr>
              <w:adjustRightInd w:val="0"/>
              <w:snapToGrid w:val="0"/>
              <w:spacing w:line="360" w:lineRule="auto"/>
              <w:ind w:firstLine="470" w:firstLineChars="196"/>
              <w:jc w:val="left"/>
              <w:rPr>
                <w:color w:val="auto"/>
                <w:sz w:val="24"/>
              </w:rPr>
            </w:pPr>
            <w:r>
              <w:rPr>
                <w:color w:val="auto"/>
                <w:sz w:val="24"/>
              </w:rPr>
              <w:t>项目前处理线槽废滤芯需定期更换，约每月更换一次，每次更换约0.</w:t>
            </w:r>
            <w:r>
              <w:rPr>
                <w:rFonts w:hint="eastAsia"/>
                <w:color w:val="auto"/>
                <w:sz w:val="24"/>
              </w:rPr>
              <w:t>01</w:t>
            </w:r>
            <w:r>
              <w:rPr>
                <w:color w:val="auto"/>
                <w:sz w:val="24"/>
              </w:rPr>
              <w:t>t，则年产生量为</w:t>
            </w:r>
            <w:r>
              <w:rPr>
                <w:rFonts w:hint="eastAsia"/>
                <w:color w:val="auto"/>
                <w:sz w:val="24"/>
              </w:rPr>
              <w:t>0.12</w:t>
            </w:r>
            <w:r>
              <w:rPr>
                <w:color w:val="auto"/>
                <w:sz w:val="24"/>
              </w:rPr>
              <w:t>t/a。属于《国家危险废物名录（</w:t>
            </w:r>
            <w:r>
              <w:rPr>
                <w:rFonts w:hint="eastAsia"/>
                <w:color w:val="auto"/>
                <w:sz w:val="24"/>
              </w:rPr>
              <w:t>2025年版</w:t>
            </w:r>
            <w:r>
              <w:rPr>
                <w:color w:val="auto"/>
                <w:sz w:val="24"/>
              </w:rPr>
              <w:t>）》中HW49其他废物，代码为900-041-49，收集后交由有危险废物处理资质单位处置。</w:t>
            </w:r>
          </w:p>
          <w:p w14:paraId="5CB8449F">
            <w:pPr>
              <w:pStyle w:val="43"/>
              <w:ind w:firstLine="482"/>
              <w:jc w:val="left"/>
              <w:rPr>
                <w:b/>
                <w:bCs/>
                <w:color w:val="auto"/>
                <w:szCs w:val="24"/>
              </w:rPr>
            </w:pPr>
            <w:r>
              <w:rPr>
                <w:b/>
                <w:bCs/>
                <w:color w:val="auto"/>
                <w:szCs w:val="24"/>
              </w:rPr>
              <w:t>8）废槽渣</w:t>
            </w:r>
          </w:p>
          <w:p w14:paraId="242D61FA">
            <w:pPr>
              <w:spacing w:line="360" w:lineRule="auto"/>
              <w:ind w:firstLine="480" w:firstLineChars="200"/>
              <w:jc w:val="left"/>
              <w:rPr>
                <w:color w:val="auto"/>
                <w:sz w:val="24"/>
              </w:rPr>
            </w:pPr>
            <w:r>
              <w:rPr>
                <w:color w:val="auto"/>
                <w:sz w:val="24"/>
              </w:rPr>
              <w:t>项目前处理线</w:t>
            </w:r>
            <w:r>
              <w:rPr>
                <w:rFonts w:hint="eastAsia"/>
                <w:color w:val="auto"/>
                <w:sz w:val="24"/>
              </w:rPr>
              <w:t>磷化槽、需定期捞渣，</w:t>
            </w:r>
            <w:r>
              <w:rPr>
                <w:color w:val="auto"/>
                <w:sz w:val="24"/>
              </w:rPr>
              <w:t>年产生量约</w:t>
            </w:r>
            <w:r>
              <w:rPr>
                <w:rFonts w:hint="eastAsia"/>
                <w:color w:val="auto"/>
                <w:sz w:val="24"/>
              </w:rPr>
              <w:t>4.86</w:t>
            </w:r>
            <w:r>
              <w:rPr>
                <w:color w:val="auto"/>
                <w:sz w:val="24"/>
              </w:rPr>
              <w:t>t/a，属于《国家危险废物名录（</w:t>
            </w:r>
            <w:r>
              <w:rPr>
                <w:rFonts w:hint="eastAsia"/>
                <w:color w:val="auto"/>
                <w:sz w:val="24"/>
              </w:rPr>
              <w:t>2025年版</w:t>
            </w:r>
            <w:r>
              <w:rPr>
                <w:color w:val="auto"/>
                <w:sz w:val="24"/>
              </w:rPr>
              <w:t>）》中HW17表面处理废物，代码为336-064-17，收集后交由有危险废物处理资质单位处置。</w:t>
            </w:r>
          </w:p>
          <w:p w14:paraId="7C1481F8">
            <w:pPr>
              <w:pStyle w:val="43"/>
              <w:ind w:firstLine="482"/>
              <w:jc w:val="left"/>
              <w:rPr>
                <w:b/>
                <w:bCs/>
                <w:color w:val="auto"/>
              </w:rPr>
            </w:pPr>
            <w:r>
              <w:rPr>
                <w:rFonts w:hint="eastAsia"/>
                <w:b/>
                <w:bCs/>
                <w:color w:val="auto"/>
              </w:rPr>
              <w:t>9）水帘柜废水</w:t>
            </w:r>
          </w:p>
          <w:p w14:paraId="39CAF23E">
            <w:pPr>
              <w:spacing w:line="360" w:lineRule="auto"/>
              <w:ind w:firstLine="480" w:firstLineChars="200"/>
              <w:jc w:val="left"/>
              <w:rPr>
                <w:color w:val="auto"/>
                <w:sz w:val="24"/>
              </w:rPr>
            </w:pPr>
            <w:r>
              <w:rPr>
                <w:rFonts w:hint="eastAsia"/>
                <w:color w:val="auto"/>
                <w:sz w:val="24"/>
              </w:rPr>
              <w:t>根据工程分析，水帘柜的换水量为19.76t</w:t>
            </w:r>
            <w:r>
              <w:rPr>
                <w:color w:val="auto"/>
                <w:sz w:val="24"/>
              </w:rPr>
              <w:t>/a，</w:t>
            </w:r>
            <w:r>
              <w:rPr>
                <w:rFonts w:hint="eastAsia"/>
                <w:color w:val="auto"/>
                <w:sz w:val="24"/>
              </w:rPr>
              <w:t>属于《国家危险废物名录》（2025年版）</w:t>
            </w:r>
            <w:r>
              <w:rPr>
                <w:color w:val="auto"/>
                <w:sz w:val="24"/>
              </w:rPr>
              <w:t>HW</w:t>
            </w:r>
            <w:r>
              <w:rPr>
                <w:rFonts w:hint="eastAsia"/>
                <w:color w:val="auto"/>
                <w:sz w:val="24"/>
              </w:rPr>
              <w:t>09油/水、烃/水混合物或乳化液</w:t>
            </w:r>
            <w:r>
              <w:rPr>
                <w:color w:val="auto"/>
                <w:sz w:val="24"/>
              </w:rPr>
              <w:t>，</w:t>
            </w:r>
            <w:r>
              <w:rPr>
                <w:rFonts w:hint="eastAsia"/>
                <w:color w:val="auto"/>
                <w:sz w:val="24"/>
              </w:rPr>
              <w:t>废物</w:t>
            </w:r>
            <w:r>
              <w:rPr>
                <w:color w:val="auto"/>
                <w:sz w:val="24"/>
              </w:rPr>
              <w:t>代码</w:t>
            </w:r>
            <w:r>
              <w:rPr>
                <w:rFonts w:hint="eastAsia"/>
                <w:color w:val="auto"/>
                <w:sz w:val="24"/>
              </w:rPr>
              <w:t>900-007-09，临时存放于危废仓库内，定期由有</w:t>
            </w:r>
            <w:r>
              <w:rPr>
                <w:color w:val="auto"/>
                <w:sz w:val="24"/>
              </w:rPr>
              <w:t>危险废物处理资质的单位回收处理</w:t>
            </w:r>
            <w:r>
              <w:rPr>
                <w:rFonts w:hint="eastAsia"/>
                <w:color w:val="auto"/>
                <w:sz w:val="24"/>
              </w:rPr>
              <w:t>。</w:t>
            </w:r>
          </w:p>
          <w:p w14:paraId="39BC04C6">
            <w:pPr>
              <w:pStyle w:val="43"/>
              <w:ind w:firstLine="482"/>
              <w:jc w:val="left"/>
              <w:rPr>
                <w:b/>
                <w:bCs/>
                <w:color w:val="auto"/>
              </w:rPr>
            </w:pPr>
            <w:r>
              <w:rPr>
                <w:rFonts w:hint="eastAsia"/>
                <w:b/>
                <w:bCs/>
                <w:color w:val="auto"/>
              </w:rPr>
              <w:t>10）废漆渣</w:t>
            </w:r>
          </w:p>
          <w:p w14:paraId="7D0FE802">
            <w:pPr>
              <w:pStyle w:val="43"/>
              <w:jc w:val="left"/>
              <w:rPr>
                <w:b/>
                <w:bCs/>
                <w:color w:val="auto"/>
              </w:rPr>
            </w:pPr>
            <w:r>
              <w:rPr>
                <w:rFonts w:hint="eastAsia"/>
                <w:color w:val="auto"/>
                <w:szCs w:val="24"/>
              </w:rPr>
              <w:t>项目水帘柜需定期捞渣，漆渣产生量为0.5t/a，属于</w:t>
            </w:r>
            <w:r>
              <w:rPr>
                <w:rFonts w:hint="eastAsia"/>
                <w:color w:val="auto"/>
              </w:rPr>
              <w:t>《国家危险废物名录》（2025年版）</w:t>
            </w:r>
            <w:r>
              <w:rPr>
                <w:color w:val="auto"/>
              </w:rPr>
              <w:t>HW</w:t>
            </w:r>
            <w:r>
              <w:rPr>
                <w:rFonts w:hint="eastAsia"/>
                <w:color w:val="auto"/>
              </w:rPr>
              <w:t>12染料、涂料废物</w:t>
            </w:r>
            <w:r>
              <w:rPr>
                <w:color w:val="auto"/>
              </w:rPr>
              <w:t>，</w:t>
            </w:r>
            <w:r>
              <w:rPr>
                <w:rFonts w:hint="eastAsia"/>
                <w:color w:val="auto"/>
              </w:rPr>
              <w:t>废物</w:t>
            </w:r>
            <w:r>
              <w:rPr>
                <w:color w:val="auto"/>
              </w:rPr>
              <w:t>代码</w:t>
            </w:r>
            <w:r>
              <w:rPr>
                <w:rFonts w:hint="eastAsia"/>
                <w:color w:val="auto"/>
              </w:rPr>
              <w:t>900-252-12</w:t>
            </w:r>
            <w:r>
              <w:rPr>
                <w:color w:val="auto"/>
              </w:rPr>
              <w:t>，</w:t>
            </w:r>
            <w:r>
              <w:rPr>
                <w:rFonts w:hint="eastAsia"/>
                <w:color w:val="auto"/>
              </w:rPr>
              <w:t>经收集后</w:t>
            </w:r>
            <w:r>
              <w:rPr>
                <w:color w:val="auto"/>
              </w:rPr>
              <w:t>交由有危险废物处理资质</w:t>
            </w:r>
            <w:r>
              <w:rPr>
                <w:rFonts w:hint="eastAsia"/>
                <w:color w:val="auto"/>
              </w:rPr>
              <w:t>的</w:t>
            </w:r>
            <w:r>
              <w:rPr>
                <w:color w:val="auto"/>
              </w:rPr>
              <w:t>单位处理</w:t>
            </w:r>
            <w:r>
              <w:rPr>
                <w:color w:val="auto"/>
                <w:szCs w:val="24"/>
              </w:rPr>
              <w:t>。</w:t>
            </w:r>
          </w:p>
          <w:p w14:paraId="66448AE3">
            <w:pPr>
              <w:adjustRightInd w:val="0"/>
              <w:snapToGrid w:val="0"/>
              <w:spacing w:line="360" w:lineRule="auto"/>
              <w:ind w:firstLine="480" w:firstLineChars="200"/>
              <w:jc w:val="left"/>
              <w:rPr>
                <w:bCs/>
                <w:color w:val="auto"/>
                <w:sz w:val="24"/>
              </w:rPr>
            </w:pPr>
            <w:r>
              <w:rPr>
                <w:bCs/>
                <w:color w:val="auto"/>
                <w:sz w:val="24"/>
              </w:rPr>
              <w:t>综上，项目危险废物处置情况见下表：</w:t>
            </w:r>
          </w:p>
          <w:p w14:paraId="6E911189">
            <w:pPr>
              <w:pStyle w:val="77"/>
              <w:numPr>
                <w:ilvl w:val="0"/>
                <w:numId w:val="18"/>
              </w:numPr>
              <w:adjustRightInd w:val="0"/>
              <w:snapToGrid w:val="0"/>
              <w:jc w:val="center"/>
              <w:rPr>
                <w:b/>
                <w:bCs/>
                <w:iCs/>
                <w:color w:val="auto"/>
                <w:szCs w:val="21"/>
              </w:rPr>
            </w:pPr>
            <w:r>
              <w:rPr>
                <w:rFonts w:hint="eastAsia"/>
                <w:b/>
                <w:bCs/>
                <w:iCs/>
                <w:color w:val="auto"/>
                <w:szCs w:val="21"/>
              </w:rPr>
              <w:t>项目危险废物处置情况一览表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2"/>
              <w:gridCol w:w="944"/>
              <w:gridCol w:w="788"/>
              <w:gridCol w:w="1261"/>
              <w:gridCol w:w="897"/>
              <w:gridCol w:w="921"/>
              <w:gridCol w:w="409"/>
              <w:gridCol w:w="802"/>
              <w:gridCol w:w="851"/>
              <w:gridCol w:w="628"/>
              <w:gridCol w:w="578"/>
              <w:gridCol w:w="706"/>
            </w:tblGrid>
            <w:tr w14:paraId="07701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271" w:type="pct"/>
                  <w:vAlign w:val="center"/>
                </w:tcPr>
                <w:p w14:paraId="4E5AA443">
                  <w:pPr>
                    <w:adjustRightInd w:val="0"/>
                    <w:snapToGrid w:val="0"/>
                    <w:jc w:val="center"/>
                    <w:rPr>
                      <w:b/>
                      <w:color w:val="auto"/>
                      <w:szCs w:val="21"/>
                    </w:rPr>
                  </w:pPr>
                  <w:r>
                    <w:rPr>
                      <w:b/>
                      <w:color w:val="auto"/>
                      <w:szCs w:val="21"/>
                    </w:rPr>
                    <w:t>序号</w:t>
                  </w:r>
                </w:p>
              </w:tc>
              <w:tc>
                <w:tcPr>
                  <w:tcW w:w="508" w:type="pct"/>
                  <w:vAlign w:val="center"/>
                </w:tcPr>
                <w:p w14:paraId="065C82F9">
                  <w:pPr>
                    <w:adjustRightInd w:val="0"/>
                    <w:snapToGrid w:val="0"/>
                    <w:jc w:val="center"/>
                    <w:rPr>
                      <w:b/>
                      <w:color w:val="auto"/>
                      <w:szCs w:val="21"/>
                    </w:rPr>
                  </w:pPr>
                  <w:r>
                    <w:rPr>
                      <w:b/>
                      <w:color w:val="auto"/>
                      <w:szCs w:val="21"/>
                    </w:rPr>
                    <w:t>名称</w:t>
                  </w:r>
                </w:p>
              </w:tc>
              <w:tc>
                <w:tcPr>
                  <w:tcW w:w="423" w:type="pct"/>
                  <w:vAlign w:val="center"/>
                </w:tcPr>
                <w:p w14:paraId="26193BC3">
                  <w:pPr>
                    <w:adjustRightInd w:val="0"/>
                    <w:snapToGrid w:val="0"/>
                    <w:jc w:val="center"/>
                    <w:rPr>
                      <w:b/>
                      <w:color w:val="auto"/>
                      <w:szCs w:val="21"/>
                    </w:rPr>
                  </w:pPr>
                  <w:r>
                    <w:rPr>
                      <w:b/>
                      <w:color w:val="auto"/>
                      <w:szCs w:val="21"/>
                    </w:rPr>
                    <w:t>危险废物类别</w:t>
                  </w:r>
                </w:p>
              </w:tc>
              <w:tc>
                <w:tcPr>
                  <w:tcW w:w="678" w:type="pct"/>
                  <w:vAlign w:val="center"/>
                </w:tcPr>
                <w:p w14:paraId="31166F3F">
                  <w:pPr>
                    <w:adjustRightInd w:val="0"/>
                    <w:snapToGrid w:val="0"/>
                    <w:jc w:val="center"/>
                    <w:rPr>
                      <w:b/>
                      <w:color w:val="auto"/>
                      <w:szCs w:val="21"/>
                    </w:rPr>
                  </w:pPr>
                  <w:r>
                    <w:rPr>
                      <w:b/>
                      <w:color w:val="auto"/>
                      <w:szCs w:val="21"/>
                    </w:rPr>
                    <w:t>危险废物代码</w:t>
                  </w:r>
                </w:p>
              </w:tc>
              <w:tc>
                <w:tcPr>
                  <w:tcW w:w="482" w:type="pct"/>
                  <w:vAlign w:val="center"/>
                </w:tcPr>
                <w:p w14:paraId="44B6A1B2">
                  <w:pPr>
                    <w:adjustRightInd w:val="0"/>
                    <w:snapToGrid w:val="0"/>
                    <w:jc w:val="center"/>
                    <w:rPr>
                      <w:b/>
                      <w:color w:val="auto"/>
                      <w:szCs w:val="21"/>
                    </w:rPr>
                  </w:pPr>
                  <w:r>
                    <w:rPr>
                      <w:b/>
                      <w:color w:val="auto"/>
                      <w:szCs w:val="21"/>
                    </w:rPr>
                    <w:t>产生量（t/a）</w:t>
                  </w:r>
                </w:p>
              </w:tc>
              <w:tc>
                <w:tcPr>
                  <w:tcW w:w="495" w:type="pct"/>
                  <w:vAlign w:val="center"/>
                </w:tcPr>
                <w:p w14:paraId="2D661364">
                  <w:pPr>
                    <w:adjustRightInd w:val="0"/>
                    <w:snapToGrid w:val="0"/>
                    <w:jc w:val="center"/>
                    <w:rPr>
                      <w:b/>
                      <w:color w:val="auto"/>
                      <w:szCs w:val="21"/>
                    </w:rPr>
                  </w:pPr>
                  <w:r>
                    <w:rPr>
                      <w:b/>
                      <w:color w:val="auto"/>
                      <w:szCs w:val="21"/>
                    </w:rPr>
                    <w:t>产生</w:t>
                  </w:r>
                </w:p>
                <w:p w14:paraId="4002A21E">
                  <w:pPr>
                    <w:adjustRightInd w:val="0"/>
                    <w:snapToGrid w:val="0"/>
                    <w:jc w:val="center"/>
                    <w:rPr>
                      <w:b/>
                      <w:color w:val="auto"/>
                      <w:szCs w:val="21"/>
                    </w:rPr>
                  </w:pPr>
                  <w:r>
                    <w:rPr>
                      <w:b/>
                      <w:color w:val="auto"/>
                      <w:szCs w:val="21"/>
                    </w:rPr>
                    <w:t>环节</w:t>
                  </w:r>
                </w:p>
              </w:tc>
              <w:tc>
                <w:tcPr>
                  <w:tcW w:w="220" w:type="pct"/>
                  <w:vAlign w:val="center"/>
                </w:tcPr>
                <w:p w14:paraId="40123AFB">
                  <w:pPr>
                    <w:adjustRightInd w:val="0"/>
                    <w:snapToGrid w:val="0"/>
                    <w:jc w:val="center"/>
                    <w:rPr>
                      <w:b/>
                      <w:color w:val="auto"/>
                      <w:szCs w:val="21"/>
                    </w:rPr>
                  </w:pPr>
                  <w:r>
                    <w:rPr>
                      <w:b/>
                      <w:color w:val="auto"/>
                      <w:szCs w:val="21"/>
                    </w:rPr>
                    <w:t>形态</w:t>
                  </w:r>
                </w:p>
              </w:tc>
              <w:tc>
                <w:tcPr>
                  <w:tcW w:w="431" w:type="pct"/>
                  <w:vAlign w:val="center"/>
                </w:tcPr>
                <w:p w14:paraId="166D801C">
                  <w:pPr>
                    <w:adjustRightInd w:val="0"/>
                    <w:snapToGrid w:val="0"/>
                    <w:jc w:val="center"/>
                    <w:rPr>
                      <w:b/>
                      <w:color w:val="auto"/>
                      <w:szCs w:val="21"/>
                    </w:rPr>
                  </w:pPr>
                  <w:r>
                    <w:rPr>
                      <w:b/>
                      <w:color w:val="auto"/>
                      <w:szCs w:val="21"/>
                    </w:rPr>
                    <w:t>主要成分</w:t>
                  </w:r>
                </w:p>
              </w:tc>
              <w:tc>
                <w:tcPr>
                  <w:tcW w:w="457" w:type="pct"/>
                  <w:vAlign w:val="center"/>
                </w:tcPr>
                <w:p w14:paraId="01D86C3F">
                  <w:pPr>
                    <w:adjustRightInd w:val="0"/>
                    <w:snapToGrid w:val="0"/>
                    <w:jc w:val="center"/>
                    <w:rPr>
                      <w:b/>
                      <w:color w:val="auto"/>
                      <w:szCs w:val="21"/>
                    </w:rPr>
                  </w:pPr>
                  <w:r>
                    <w:rPr>
                      <w:b/>
                      <w:color w:val="auto"/>
                      <w:szCs w:val="21"/>
                    </w:rPr>
                    <w:t>有毒有害成分</w:t>
                  </w:r>
                </w:p>
              </w:tc>
              <w:tc>
                <w:tcPr>
                  <w:tcW w:w="338" w:type="pct"/>
                  <w:vAlign w:val="center"/>
                </w:tcPr>
                <w:p w14:paraId="66BD5798">
                  <w:pPr>
                    <w:adjustRightInd w:val="0"/>
                    <w:snapToGrid w:val="0"/>
                    <w:jc w:val="center"/>
                    <w:rPr>
                      <w:b/>
                      <w:color w:val="auto"/>
                      <w:szCs w:val="21"/>
                    </w:rPr>
                  </w:pPr>
                  <w:r>
                    <w:rPr>
                      <w:b/>
                      <w:color w:val="auto"/>
                      <w:szCs w:val="21"/>
                    </w:rPr>
                    <w:t>产废</w:t>
                  </w:r>
                </w:p>
                <w:p w14:paraId="08D65098">
                  <w:pPr>
                    <w:adjustRightInd w:val="0"/>
                    <w:snapToGrid w:val="0"/>
                    <w:jc w:val="center"/>
                    <w:rPr>
                      <w:b/>
                      <w:color w:val="auto"/>
                      <w:szCs w:val="21"/>
                    </w:rPr>
                  </w:pPr>
                  <w:r>
                    <w:rPr>
                      <w:b/>
                      <w:color w:val="auto"/>
                      <w:szCs w:val="21"/>
                    </w:rPr>
                    <w:t>周期</w:t>
                  </w:r>
                </w:p>
              </w:tc>
              <w:tc>
                <w:tcPr>
                  <w:tcW w:w="311" w:type="pct"/>
                  <w:vAlign w:val="center"/>
                </w:tcPr>
                <w:p w14:paraId="20DE90B1">
                  <w:pPr>
                    <w:adjustRightInd w:val="0"/>
                    <w:snapToGrid w:val="0"/>
                    <w:jc w:val="center"/>
                    <w:rPr>
                      <w:b/>
                      <w:color w:val="auto"/>
                      <w:szCs w:val="21"/>
                    </w:rPr>
                  </w:pPr>
                  <w:r>
                    <w:rPr>
                      <w:b/>
                      <w:color w:val="auto"/>
                      <w:szCs w:val="21"/>
                    </w:rPr>
                    <w:t>危险</w:t>
                  </w:r>
                </w:p>
                <w:p w14:paraId="156195FE">
                  <w:pPr>
                    <w:adjustRightInd w:val="0"/>
                    <w:snapToGrid w:val="0"/>
                    <w:jc w:val="center"/>
                    <w:rPr>
                      <w:b/>
                      <w:color w:val="auto"/>
                      <w:szCs w:val="21"/>
                    </w:rPr>
                  </w:pPr>
                  <w:r>
                    <w:rPr>
                      <w:b/>
                      <w:color w:val="auto"/>
                      <w:szCs w:val="21"/>
                    </w:rPr>
                    <w:t>特性</w:t>
                  </w:r>
                </w:p>
              </w:tc>
              <w:tc>
                <w:tcPr>
                  <w:tcW w:w="380" w:type="pct"/>
                  <w:vAlign w:val="center"/>
                </w:tcPr>
                <w:p w14:paraId="5BC3F3E2">
                  <w:pPr>
                    <w:adjustRightInd w:val="0"/>
                    <w:snapToGrid w:val="0"/>
                    <w:jc w:val="center"/>
                    <w:rPr>
                      <w:b/>
                      <w:color w:val="auto"/>
                      <w:szCs w:val="21"/>
                    </w:rPr>
                  </w:pPr>
                  <w:r>
                    <w:rPr>
                      <w:b/>
                      <w:color w:val="auto"/>
                      <w:szCs w:val="21"/>
                    </w:rPr>
                    <w:t>贮存方式</w:t>
                  </w:r>
                </w:p>
              </w:tc>
            </w:tr>
            <w:tr w14:paraId="20C55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271" w:type="pct"/>
                  <w:vAlign w:val="center"/>
                </w:tcPr>
                <w:p w14:paraId="71547589">
                  <w:pPr>
                    <w:keepNext/>
                    <w:adjustRightInd w:val="0"/>
                    <w:snapToGrid w:val="0"/>
                    <w:jc w:val="center"/>
                    <w:rPr>
                      <w:color w:val="auto"/>
                      <w:szCs w:val="21"/>
                      <w:lang w:bidi="ar"/>
                    </w:rPr>
                  </w:pPr>
                  <w:r>
                    <w:rPr>
                      <w:color w:val="auto"/>
                      <w:szCs w:val="21"/>
                      <w:lang w:bidi="ar"/>
                    </w:rPr>
                    <w:t>1</w:t>
                  </w:r>
                </w:p>
              </w:tc>
              <w:tc>
                <w:tcPr>
                  <w:tcW w:w="508" w:type="pct"/>
                  <w:vAlign w:val="center"/>
                </w:tcPr>
                <w:p w14:paraId="502DFC4F">
                  <w:pPr>
                    <w:keepNext/>
                    <w:adjustRightInd w:val="0"/>
                    <w:snapToGrid w:val="0"/>
                    <w:jc w:val="center"/>
                    <w:rPr>
                      <w:color w:val="auto"/>
                      <w:szCs w:val="21"/>
                      <w:lang w:bidi="ar"/>
                    </w:rPr>
                  </w:pPr>
                  <w:r>
                    <w:rPr>
                      <w:color w:val="auto"/>
                      <w:szCs w:val="21"/>
                      <w:lang w:bidi="ar"/>
                    </w:rPr>
                    <w:t>废活性炭</w:t>
                  </w:r>
                </w:p>
              </w:tc>
              <w:tc>
                <w:tcPr>
                  <w:tcW w:w="423" w:type="pct"/>
                  <w:vAlign w:val="center"/>
                </w:tcPr>
                <w:p w14:paraId="0F354023">
                  <w:pPr>
                    <w:adjustRightInd w:val="0"/>
                    <w:snapToGrid w:val="0"/>
                    <w:jc w:val="center"/>
                    <w:rPr>
                      <w:bCs/>
                      <w:color w:val="auto"/>
                      <w:szCs w:val="21"/>
                    </w:rPr>
                  </w:pPr>
                  <w:r>
                    <w:rPr>
                      <w:bCs/>
                      <w:color w:val="auto"/>
                      <w:szCs w:val="21"/>
                    </w:rPr>
                    <w:t>HW49</w:t>
                  </w:r>
                </w:p>
              </w:tc>
              <w:tc>
                <w:tcPr>
                  <w:tcW w:w="678" w:type="pct"/>
                  <w:vAlign w:val="center"/>
                </w:tcPr>
                <w:p w14:paraId="08EA459A">
                  <w:pPr>
                    <w:adjustRightInd w:val="0"/>
                    <w:snapToGrid w:val="0"/>
                    <w:jc w:val="center"/>
                    <w:rPr>
                      <w:bCs/>
                      <w:color w:val="auto"/>
                      <w:szCs w:val="21"/>
                    </w:rPr>
                  </w:pPr>
                  <w:r>
                    <w:rPr>
                      <w:bCs/>
                      <w:color w:val="auto"/>
                      <w:szCs w:val="21"/>
                    </w:rPr>
                    <w:t>900-039-49</w:t>
                  </w:r>
                </w:p>
              </w:tc>
              <w:tc>
                <w:tcPr>
                  <w:tcW w:w="482" w:type="pct"/>
                  <w:vAlign w:val="center"/>
                </w:tcPr>
                <w:p w14:paraId="1E7CD1FB">
                  <w:pPr>
                    <w:keepNext/>
                    <w:adjustRightInd w:val="0"/>
                    <w:snapToGrid w:val="0"/>
                    <w:jc w:val="center"/>
                    <w:rPr>
                      <w:color w:val="auto"/>
                      <w:kern w:val="0"/>
                      <w:szCs w:val="21"/>
                    </w:rPr>
                  </w:pPr>
                  <w:r>
                    <w:rPr>
                      <w:color w:val="auto"/>
                      <w:kern w:val="0"/>
                      <w:szCs w:val="21"/>
                    </w:rPr>
                    <w:t>18.6</w:t>
                  </w:r>
                </w:p>
              </w:tc>
              <w:tc>
                <w:tcPr>
                  <w:tcW w:w="495" w:type="pct"/>
                  <w:vAlign w:val="center"/>
                </w:tcPr>
                <w:p w14:paraId="35904407">
                  <w:pPr>
                    <w:adjustRightInd w:val="0"/>
                    <w:snapToGrid w:val="0"/>
                    <w:jc w:val="center"/>
                    <w:rPr>
                      <w:bCs/>
                      <w:color w:val="auto"/>
                      <w:szCs w:val="21"/>
                    </w:rPr>
                  </w:pPr>
                  <w:r>
                    <w:rPr>
                      <w:bCs/>
                      <w:color w:val="auto"/>
                      <w:szCs w:val="21"/>
                    </w:rPr>
                    <w:t>废气处理设施</w:t>
                  </w:r>
                </w:p>
              </w:tc>
              <w:tc>
                <w:tcPr>
                  <w:tcW w:w="220" w:type="pct"/>
                  <w:vAlign w:val="center"/>
                </w:tcPr>
                <w:p w14:paraId="7A8EA312">
                  <w:pPr>
                    <w:adjustRightInd w:val="0"/>
                    <w:snapToGrid w:val="0"/>
                    <w:jc w:val="center"/>
                    <w:rPr>
                      <w:bCs/>
                      <w:color w:val="auto"/>
                      <w:szCs w:val="21"/>
                    </w:rPr>
                  </w:pPr>
                  <w:r>
                    <w:rPr>
                      <w:bCs/>
                      <w:color w:val="auto"/>
                      <w:szCs w:val="21"/>
                    </w:rPr>
                    <w:t>固体</w:t>
                  </w:r>
                </w:p>
              </w:tc>
              <w:tc>
                <w:tcPr>
                  <w:tcW w:w="431" w:type="pct"/>
                  <w:vAlign w:val="center"/>
                </w:tcPr>
                <w:p w14:paraId="4D12E445">
                  <w:pPr>
                    <w:adjustRightInd w:val="0"/>
                    <w:snapToGrid w:val="0"/>
                    <w:jc w:val="center"/>
                    <w:rPr>
                      <w:bCs/>
                      <w:color w:val="auto"/>
                      <w:szCs w:val="21"/>
                    </w:rPr>
                  </w:pPr>
                  <w:r>
                    <w:rPr>
                      <w:bCs/>
                      <w:color w:val="auto"/>
                      <w:szCs w:val="21"/>
                    </w:rPr>
                    <w:t>活性炭</w:t>
                  </w:r>
                </w:p>
              </w:tc>
              <w:tc>
                <w:tcPr>
                  <w:tcW w:w="457" w:type="pct"/>
                  <w:vAlign w:val="center"/>
                </w:tcPr>
                <w:p w14:paraId="68CC1949">
                  <w:pPr>
                    <w:adjustRightInd w:val="0"/>
                    <w:snapToGrid w:val="0"/>
                    <w:jc w:val="center"/>
                    <w:rPr>
                      <w:bCs/>
                      <w:color w:val="auto"/>
                      <w:szCs w:val="21"/>
                    </w:rPr>
                  </w:pPr>
                  <w:r>
                    <w:rPr>
                      <w:bCs/>
                      <w:color w:val="auto"/>
                      <w:szCs w:val="21"/>
                    </w:rPr>
                    <w:t>废活性炭</w:t>
                  </w:r>
                </w:p>
              </w:tc>
              <w:tc>
                <w:tcPr>
                  <w:tcW w:w="338" w:type="pct"/>
                  <w:vAlign w:val="center"/>
                </w:tcPr>
                <w:p w14:paraId="78F2E6C6">
                  <w:pPr>
                    <w:adjustRightInd w:val="0"/>
                    <w:snapToGrid w:val="0"/>
                    <w:jc w:val="center"/>
                    <w:rPr>
                      <w:bCs/>
                      <w:color w:val="auto"/>
                      <w:szCs w:val="21"/>
                    </w:rPr>
                  </w:pPr>
                  <w:r>
                    <w:rPr>
                      <w:bCs/>
                      <w:color w:val="auto"/>
                      <w:kern w:val="0"/>
                      <w:szCs w:val="21"/>
                    </w:rPr>
                    <w:t>3个月</w:t>
                  </w:r>
                </w:p>
              </w:tc>
              <w:tc>
                <w:tcPr>
                  <w:tcW w:w="311" w:type="pct"/>
                  <w:vAlign w:val="center"/>
                </w:tcPr>
                <w:p w14:paraId="198C314B">
                  <w:pPr>
                    <w:adjustRightInd w:val="0"/>
                    <w:snapToGrid w:val="0"/>
                    <w:jc w:val="center"/>
                    <w:rPr>
                      <w:bCs/>
                      <w:color w:val="auto"/>
                      <w:szCs w:val="21"/>
                    </w:rPr>
                  </w:pPr>
                  <w:r>
                    <w:rPr>
                      <w:bCs/>
                      <w:color w:val="auto"/>
                      <w:szCs w:val="21"/>
                    </w:rPr>
                    <w:t>T</w:t>
                  </w:r>
                </w:p>
              </w:tc>
              <w:tc>
                <w:tcPr>
                  <w:tcW w:w="380" w:type="pct"/>
                  <w:vMerge w:val="restart"/>
                  <w:vAlign w:val="center"/>
                </w:tcPr>
                <w:p w14:paraId="324BCB5C">
                  <w:pPr>
                    <w:adjustRightInd w:val="0"/>
                    <w:snapToGrid w:val="0"/>
                    <w:jc w:val="center"/>
                    <w:rPr>
                      <w:bCs/>
                      <w:color w:val="auto"/>
                      <w:kern w:val="0"/>
                      <w:szCs w:val="21"/>
                    </w:rPr>
                  </w:pPr>
                  <w:r>
                    <w:rPr>
                      <w:color w:val="auto"/>
                      <w:szCs w:val="21"/>
                    </w:rPr>
                    <w:t>暂存在危废暂存间内</w:t>
                  </w:r>
                </w:p>
              </w:tc>
            </w:tr>
            <w:tr w14:paraId="0DB99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271" w:type="pct"/>
                  <w:vAlign w:val="center"/>
                </w:tcPr>
                <w:p w14:paraId="4E74603A">
                  <w:pPr>
                    <w:adjustRightInd w:val="0"/>
                    <w:snapToGrid w:val="0"/>
                    <w:jc w:val="center"/>
                    <w:rPr>
                      <w:color w:val="auto"/>
                    </w:rPr>
                  </w:pPr>
                  <w:r>
                    <w:rPr>
                      <w:rFonts w:hint="eastAsia"/>
                      <w:color w:val="auto"/>
                    </w:rPr>
                    <w:t>2</w:t>
                  </w:r>
                </w:p>
              </w:tc>
              <w:tc>
                <w:tcPr>
                  <w:tcW w:w="508" w:type="pct"/>
                  <w:vAlign w:val="center"/>
                </w:tcPr>
                <w:p w14:paraId="619C7D1D">
                  <w:pPr>
                    <w:adjustRightInd w:val="0"/>
                    <w:snapToGrid w:val="0"/>
                    <w:jc w:val="center"/>
                    <w:rPr>
                      <w:color w:val="auto"/>
                      <w:szCs w:val="21"/>
                      <w:lang w:bidi="ar"/>
                    </w:rPr>
                  </w:pPr>
                  <w:r>
                    <w:rPr>
                      <w:rFonts w:hint="eastAsia"/>
                      <w:color w:val="auto"/>
                      <w:szCs w:val="21"/>
                      <w:lang w:bidi="ar"/>
                    </w:rPr>
                    <w:t>浓缩废液</w:t>
                  </w:r>
                </w:p>
              </w:tc>
              <w:tc>
                <w:tcPr>
                  <w:tcW w:w="423" w:type="pct"/>
                  <w:vAlign w:val="center"/>
                </w:tcPr>
                <w:p w14:paraId="4B78BEE4">
                  <w:pPr>
                    <w:adjustRightInd w:val="0"/>
                    <w:snapToGrid w:val="0"/>
                    <w:jc w:val="center"/>
                    <w:rPr>
                      <w:color w:val="auto"/>
                      <w:szCs w:val="21"/>
                      <w:lang w:bidi="ar"/>
                    </w:rPr>
                  </w:pPr>
                  <w:r>
                    <w:rPr>
                      <w:bCs/>
                      <w:color w:val="auto"/>
                      <w:szCs w:val="21"/>
                    </w:rPr>
                    <w:t>HW49</w:t>
                  </w:r>
                </w:p>
              </w:tc>
              <w:tc>
                <w:tcPr>
                  <w:tcW w:w="678" w:type="pct"/>
                  <w:vAlign w:val="center"/>
                </w:tcPr>
                <w:p w14:paraId="7240063E">
                  <w:pPr>
                    <w:adjustRightInd w:val="0"/>
                    <w:snapToGrid w:val="0"/>
                    <w:jc w:val="center"/>
                    <w:rPr>
                      <w:color w:val="auto"/>
                      <w:szCs w:val="21"/>
                      <w:lang w:bidi="ar"/>
                    </w:rPr>
                  </w:pPr>
                  <w:r>
                    <w:rPr>
                      <w:rFonts w:hint="eastAsia"/>
                      <w:color w:val="auto"/>
                      <w:szCs w:val="21"/>
                      <w:lang w:bidi="ar"/>
                    </w:rPr>
                    <w:t>772-006-49</w:t>
                  </w:r>
                </w:p>
              </w:tc>
              <w:tc>
                <w:tcPr>
                  <w:tcW w:w="482" w:type="pct"/>
                  <w:vAlign w:val="center"/>
                </w:tcPr>
                <w:p w14:paraId="1D3C7B6D">
                  <w:pPr>
                    <w:adjustRightInd w:val="0"/>
                    <w:snapToGrid w:val="0"/>
                    <w:jc w:val="center"/>
                    <w:rPr>
                      <w:color w:val="auto"/>
                      <w:szCs w:val="21"/>
                      <w:lang w:bidi="ar"/>
                    </w:rPr>
                  </w:pPr>
                  <w:r>
                    <w:rPr>
                      <w:rFonts w:hint="eastAsia"/>
                      <w:color w:val="auto"/>
                      <w:szCs w:val="21"/>
                      <w:lang w:bidi="ar"/>
                    </w:rPr>
                    <w:t>8.987</w:t>
                  </w:r>
                </w:p>
              </w:tc>
              <w:tc>
                <w:tcPr>
                  <w:tcW w:w="495" w:type="pct"/>
                  <w:vAlign w:val="center"/>
                </w:tcPr>
                <w:p w14:paraId="3457C4AA">
                  <w:pPr>
                    <w:adjustRightInd w:val="0"/>
                    <w:snapToGrid w:val="0"/>
                    <w:jc w:val="center"/>
                    <w:rPr>
                      <w:color w:val="auto"/>
                      <w:szCs w:val="21"/>
                      <w:lang w:bidi="ar"/>
                    </w:rPr>
                  </w:pPr>
                  <w:r>
                    <w:rPr>
                      <w:bCs/>
                      <w:color w:val="auto"/>
                      <w:szCs w:val="21"/>
                    </w:rPr>
                    <w:t>污水处理设施</w:t>
                  </w:r>
                </w:p>
              </w:tc>
              <w:tc>
                <w:tcPr>
                  <w:tcW w:w="220" w:type="pct"/>
                  <w:vAlign w:val="center"/>
                </w:tcPr>
                <w:p w14:paraId="26206CD9">
                  <w:pPr>
                    <w:adjustRightInd w:val="0"/>
                    <w:snapToGrid w:val="0"/>
                    <w:jc w:val="center"/>
                    <w:rPr>
                      <w:color w:val="auto"/>
                      <w:szCs w:val="21"/>
                      <w:lang w:bidi="ar"/>
                    </w:rPr>
                  </w:pPr>
                  <w:r>
                    <w:rPr>
                      <w:rFonts w:hint="eastAsia"/>
                      <w:bCs/>
                      <w:color w:val="auto"/>
                      <w:szCs w:val="21"/>
                    </w:rPr>
                    <w:t>液体</w:t>
                  </w:r>
                </w:p>
              </w:tc>
              <w:tc>
                <w:tcPr>
                  <w:tcW w:w="431" w:type="pct"/>
                  <w:vAlign w:val="center"/>
                </w:tcPr>
                <w:p w14:paraId="44FC986C">
                  <w:pPr>
                    <w:adjustRightInd w:val="0"/>
                    <w:snapToGrid w:val="0"/>
                    <w:jc w:val="center"/>
                    <w:rPr>
                      <w:color w:val="auto"/>
                      <w:szCs w:val="21"/>
                      <w:lang w:bidi="ar"/>
                    </w:rPr>
                  </w:pPr>
                  <w:r>
                    <w:rPr>
                      <w:bCs/>
                      <w:color w:val="auto"/>
                      <w:szCs w:val="21"/>
                    </w:rPr>
                    <w:t>磷化剂、促进剂等</w:t>
                  </w:r>
                </w:p>
              </w:tc>
              <w:tc>
                <w:tcPr>
                  <w:tcW w:w="457" w:type="pct"/>
                  <w:vAlign w:val="center"/>
                </w:tcPr>
                <w:p w14:paraId="29704E0A">
                  <w:pPr>
                    <w:adjustRightInd w:val="0"/>
                    <w:snapToGrid w:val="0"/>
                    <w:jc w:val="center"/>
                    <w:rPr>
                      <w:color w:val="auto"/>
                      <w:szCs w:val="21"/>
                      <w:lang w:bidi="ar"/>
                    </w:rPr>
                  </w:pPr>
                  <w:r>
                    <w:rPr>
                      <w:bCs/>
                      <w:color w:val="auto"/>
                      <w:szCs w:val="21"/>
                    </w:rPr>
                    <w:t>磷化剂、促进剂等</w:t>
                  </w:r>
                </w:p>
              </w:tc>
              <w:tc>
                <w:tcPr>
                  <w:tcW w:w="338" w:type="pct"/>
                  <w:vAlign w:val="center"/>
                </w:tcPr>
                <w:p w14:paraId="546E9133">
                  <w:pPr>
                    <w:adjustRightInd w:val="0"/>
                    <w:snapToGrid w:val="0"/>
                    <w:jc w:val="center"/>
                    <w:rPr>
                      <w:color w:val="auto"/>
                      <w:szCs w:val="21"/>
                      <w:lang w:bidi="ar"/>
                    </w:rPr>
                  </w:pPr>
                  <w:r>
                    <w:rPr>
                      <w:rFonts w:hint="eastAsia"/>
                      <w:bCs/>
                      <w:color w:val="auto"/>
                      <w:kern w:val="0"/>
                      <w:szCs w:val="21"/>
                    </w:rPr>
                    <w:t>每天</w:t>
                  </w:r>
                </w:p>
              </w:tc>
              <w:tc>
                <w:tcPr>
                  <w:tcW w:w="311" w:type="pct"/>
                  <w:vAlign w:val="center"/>
                </w:tcPr>
                <w:p w14:paraId="30C53AE1">
                  <w:pPr>
                    <w:adjustRightInd w:val="0"/>
                    <w:snapToGrid w:val="0"/>
                    <w:jc w:val="center"/>
                    <w:rPr>
                      <w:color w:val="auto"/>
                      <w:szCs w:val="21"/>
                      <w:lang w:bidi="ar"/>
                    </w:rPr>
                  </w:pPr>
                  <w:r>
                    <w:rPr>
                      <w:bCs/>
                      <w:color w:val="auto"/>
                      <w:kern w:val="0"/>
                      <w:szCs w:val="21"/>
                    </w:rPr>
                    <w:t>T/In</w:t>
                  </w:r>
                </w:p>
              </w:tc>
              <w:tc>
                <w:tcPr>
                  <w:tcW w:w="380" w:type="pct"/>
                  <w:vMerge w:val="continue"/>
                  <w:vAlign w:val="center"/>
                </w:tcPr>
                <w:p w14:paraId="19708C0D">
                  <w:pPr>
                    <w:adjustRightInd w:val="0"/>
                    <w:snapToGrid w:val="0"/>
                    <w:jc w:val="center"/>
                    <w:rPr>
                      <w:color w:val="auto"/>
                      <w:szCs w:val="21"/>
                      <w:lang w:bidi="ar"/>
                    </w:rPr>
                  </w:pPr>
                </w:p>
              </w:tc>
            </w:tr>
            <w:tr w14:paraId="06CEA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71" w:type="pct"/>
                  <w:vAlign w:val="center"/>
                </w:tcPr>
                <w:p w14:paraId="25175E69">
                  <w:pPr>
                    <w:adjustRightInd w:val="0"/>
                    <w:snapToGrid w:val="0"/>
                    <w:jc w:val="center"/>
                    <w:rPr>
                      <w:bCs/>
                      <w:color w:val="auto"/>
                      <w:szCs w:val="21"/>
                    </w:rPr>
                  </w:pPr>
                  <w:r>
                    <w:rPr>
                      <w:bCs/>
                      <w:color w:val="auto"/>
                      <w:szCs w:val="21"/>
                    </w:rPr>
                    <w:t>3</w:t>
                  </w:r>
                </w:p>
              </w:tc>
              <w:tc>
                <w:tcPr>
                  <w:tcW w:w="508" w:type="pct"/>
                  <w:vAlign w:val="center"/>
                </w:tcPr>
                <w:p w14:paraId="0C8DADD3">
                  <w:pPr>
                    <w:adjustRightInd w:val="0"/>
                    <w:snapToGrid w:val="0"/>
                    <w:jc w:val="center"/>
                    <w:rPr>
                      <w:bCs/>
                      <w:color w:val="auto"/>
                      <w:szCs w:val="21"/>
                    </w:rPr>
                  </w:pPr>
                  <w:r>
                    <w:rPr>
                      <w:bCs/>
                      <w:color w:val="auto"/>
                      <w:szCs w:val="21"/>
                    </w:rPr>
                    <w:t>污泥</w:t>
                  </w:r>
                </w:p>
              </w:tc>
              <w:tc>
                <w:tcPr>
                  <w:tcW w:w="423" w:type="pct"/>
                  <w:vAlign w:val="center"/>
                </w:tcPr>
                <w:p w14:paraId="32523CAA">
                  <w:pPr>
                    <w:adjustRightInd w:val="0"/>
                    <w:snapToGrid w:val="0"/>
                    <w:jc w:val="center"/>
                    <w:rPr>
                      <w:bCs/>
                      <w:color w:val="auto"/>
                      <w:szCs w:val="21"/>
                    </w:rPr>
                  </w:pPr>
                  <w:r>
                    <w:rPr>
                      <w:bCs/>
                      <w:color w:val="auto"/>
                      <w:szCs w:val="21"/>
                    </w:rPr>
                    <w:t>HW17</w:t>
                  </w:r>
                </w:p>
              </w:tc>
              <w:tc>
                <w:tcPr>
                  <w:tcW w:w="678" w:type="pct"/>
                  <w:vAlign w:val="center"/>
                </w:tcPr>
                <w:p w14:paraId="17EE0467">
                  <w:pPr>
                    <w:adjustRightInd w:val="0"/>
                    <w:snapToGrid w:val="0"/>
                    <w:jc w:val="center"/>
                    <w:rPr>
                      <w:bCs/>
                      <w:color w:val="auto"/>
                      <w:szCs w:val="21"/>
                    </w:rPr>
                  </w:pPr>
                  <w:r>
                    <w:rPr>
                      <w:bCs/>
                      <w:color w:val="auto"/>
                      <w:szCs w:val="21"/>
                    </w:rPr>
                    <w:t>336-064-17</w:t>
                  </w:r>
                </w:p>
              </w:tc>
              <w:tc>
                <w:tcPr>
                  <w:tcW w:w="482" w:type="pct"/>
                  <w:vAlign w:val="center"/>
                </w:tcPr>
                <w:p w14:paraId="212B9134">
                  <w:pPr>
                    <w:keepNext/>
                    <w:adjustRightInd w:val="0"/>
                    <w:snapToGrid w:val="0"/>
                    <w:jc w:val="center"/>
                    <w:rPr>
                      <w:color w:val="auto"/>
                      <w:kern w:val="0"/>
                      <w:szCs w:val="21"/>
                    </w:rPr>
                  </w:pPr>
                  <w:r>
                    <w:rPr>
                      <w:rFonts w:hint="eastAsia"/>
                      <w:bCs/>
                      <w:color w:val="auto"/>
                      <w:szCs w:val="21"/>
                    </w:rPr>
                    <w:t>22.6</w:t>
                  </w:r>
                </w:p>
              </w:tc>
              <w:tc>
                <w:tcPr>
                  <w:tcW w:w="495" w:type="pct"/>
                  <w:vAlign w:val="center"/>
                </w:tcPr>
                <w:p w14:paraId="1F6E2AB2">
                  <w:pPr>
                    <w:adjustRightInd w:val="0"/>
                    <w:snapToGrid w:val="0"/>
                    <w:jc w:val="center"/>
                    <w:rPr>
                      <w:bCs/>
                      <w:color w:val="auto"/>
                      <w:szCs w:val="21"/>
                    </w:rPr>
                  </w:pPr>
                  <w:r>
                    <w:rPr>
                      <w:bCs/>
                      <w:color w:val="auto"/>
                      <w:szCs w:val="21"/>
                    </w:rPr>
                    <w:t>污水处理设施</w:t>
                  </w:r>
                </w:p>
              </w:tc>
              <w:tc>
                <w:tcPr>
                  <w:tcW w:w="220" w:type="pct"/>
                  <w:vAlign w:val="center"/>
                </w:tcPr>
                <w:p w14:paraId="6068A7FC">
                  <w:pPr>
                    <w:adjustRightInd w:val="0"/>
                    <w:snapToGrid w:val="0"/>
                    <w:jc w:val="center"/>
                    <w:rPr>
                      <w:bCs/>
                      <w:color w:val="auto"/>
                      <w:szCs w:val="21"/>
                    </w:rPr>
                  </w:pPr>
                  <w:r>
                    <w:rPr>
                      <w:bCs/>
                      <w:color w:val="auto"/>
                      <w:szCs w:val="21"/>
                    </w:rPr>
                    <w:t>固体</w:t>
                  </w:r>
                </w:p>
              </w:tc>
              <w:tc>
                <w:tcPr>
                  <w:tcW w:w="431" w:type="pct"/>
                  <w:vAlign w:val="center"/>
                </w:tcPr>
                <w:p w14:paraId="2A0146AA">
                  <w:pPr>
                    <w:adjustRightInd w:val="0"/>
                    <w:snapToGrid w:val="0"/>
                    <w:jc w:val="center"/>
                    <w:rPr>
                      <w:bCs/>
                      <w:color w:val="auto"/>
                      <w:szCs w:val="21"/>
                    </w:rPr>
                  </w:pPr>
                  <w:r>
                    <w:rPr>
                      <w:bCs/>
                      <w:color w:val="auto"/>
                      <w:szCs w:val="21"/>
                    </w:rPr>
                    <w:t>磷化剂、促进剂等</w:t>
                  </w:r>
                </w:p>
              </w:tc>
              <w:tc>
                <w:tcPr>
                  <w:tcW w:w="457" w:type="pct"/>
                  <w:vAlign w:val="center"/>
                </w:tcPr>
                <w:p w14:paraId="0E00B29D">
                  <w:pPr>
                    <w:adjustRightInd w:val="0"/>
                    <w:snapToGrid w:val="0"/>
                    <w:jc w:val="center"/>
                    <w:rPr>
                      <w:bCs/>
                      <w:color w:val="auto"/>
                      <w:szCs w:val="21"/>
                    </w:rPr>
                  </w:pPr>
                  <w:r>
                    <w:rPr>
                      <w:bCs/>
                      <w:color w:val="auto"/>
                      <w:szCs w:val="21"/>
                    </w:rPr>
                    <w:t>磷化剂、促进剂等</w:t>
                  </w:r>
                </w:p>
              </w:tc>
              <w:tc>
                <w:tcPr>
                  <w:tcW w:w="338" w:type="pct"/>
                  <w:vAlign w:val="center"/>
                </w:tcPr>
                <w:p w14:paraId="4BD0F61E">
                  <w:pPr>
                    <w:adjustRightInd w:val="0"/>
                    <w:snapToGrid w:val="0"/>
                    <w:jc w:val="center"/>
                    <w:rPr>
                      <w:bCs/>
                      <w:color w:val="auto"/>
                      <w:szCs w:val="21"/>
                    </w:rPr>
                  </w:pPr>
                  <w:r>
                    <w:rPr>
                      <w:bCs/>
                      <w:color w:val="auto"/>
                      <w:kern w:val="0"/>
                      <w:szCs w:val="21"/>
                    </w:rPr>
                    <w:t>每天</w:t>
                  </w:r>
                </w:p>
              </w:tc>
              <w:tc>
                <w:tcPr>
                  <w:tcW w:w="311" w:type="pct"/>
                  <w:vAlign w:val="center"/>
                </w:tcPr>
                <w:p w14:paraId="2A7EC8DF">
                  <w:pPr>
                    <w:adjustRightInd w:val="0"/>
                    <w:snapToGrid w:val="0"/>
                    <w:jc w:val="center"/>
                    <w:rPr>
                      <w:bCs/>
                      <w:color w:val="auto"/>
                      <w:szCs w:val="21"/>
                    </w:rPr>
                  </w:pPr>
                  <w:r>
                    <w:rPr>
                      <w:bCs/>
                      <w:color w:val="auto"/>
                      <w:szCs w:val="21"/>
                    </w:rPr>
                    <w:t>T/C</w:t>
                  </w:r>
                </w:p>
              </w:tc>
              <w:tc>
                <w:tcPr>
                  <w:tcW w:w="380" w:type="pct"/>
                  <w:vMerge w:val="continue"/>
                  <w:vAlign w:val="center"/>
                </w:tcPr>
                <w:p w14:paraId="5CECE309">
                  <w:pPr>
                    <w:adjustRightInd w:val="0"/>
                    <w:snapToGrid w:val="0"/>
                    <w:jc w:val="center"/>
                    <w:rPr>
                      <w:bCs/>
                      <w:color w:val="auto"/>
                      <w:kern w:val="0"/>
                      <w:szCs w:val="21"/>
                    </w:rPr>
                  </w:pPr>
                </w:p>
              </w:tc>
            </w:tr>
            <w:tr w14:paraId="2AFB9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1" w:type="pct"/>
                  <w:vAlign w:val="center"/>
                </w:tcPr>
                <w:p w14:paraId="4155465C">
                  <w:pPr>
                    <w:keepNext/>
                    <w:adjustRightInd w:val="0"/>
                    <w:snapToGrid w:val="0"/>
                    <w:jc w:val="center"/>
                    <w:rPr>
                      <w:color w:val="auto"/>
                      <w:szCs w:val="21"/>
                      <w:lang w:bidi="ar"/>
                    </w:rPr>
                  </w:pPr>
                  <w:r>
                    <w:rPr>
                      <w:color w:val="auto"/>
                      <w:szCs w:val="21"/>
                      <w:lang w:bidi="ar"/>
                    </w:rPr>
                    <w:t>4</w:t>
                  </w:r>
                </w:p>
              </w:tc>
              <w:tc>
                <w:tcPr>
                  <w:tcW w:w="508" w:type="pct"/>
                  <w:vAlign w:val="center"/>
                </w:tcPr>
                <w:p w14:paraId="7F79214B">
                  <w:pPr>
                    <w:keepNext/>
                    <w:adjustRightInd w:val="0"/>
                    <w:snapToGrid w:val="0"/>
                    <w:jc w:val="center"/>
                    <w:rPr>
                      <w:color w:val="auto"/>
                      <w:szCs w:val="21"/>
                      <w:lang w:bidi="ar"/>
                    </w:rPr>
                  </w:pPr>
                  <w:r>
                    <w:rPr>
                      <w:color w:val="auto"/>
                      <w:szCs w:val="21"/>
                      <w:lang w:bidi="ar"/>
                    </w:rPr>
                    <w:t>废原料空桶</w:t>
                  </w:r>
                </w:p>
              </w:tc>
              <w:tc>
                <w:tcPr>
                  <w:tcW w:w="423" w:type="pct"/>
                  <w:vAlign w:val="center"/>
                </w:tcPr>
                <w:p w14:paraId="64FF2D56">
                  <w:pPr>
                    <w:adjustRightInd w:val="0"/>
                    <w:snapToGrid w:val="0"/>
                    <w:jc w:val="center"/>
                    <w:rPr>
                      <w:color w:val="auto"/>
                      <w:szCs w:val="21"/>
                    </w:rPr>
                  </w:pPr>
                  <w:r>
                    <w:rPr>
                      <w:color w:val="auto"/>
                      <w:szCs w:val="21"/>
                    </w:rPr>
                    <w:t>HW49</w:t>
                  </w:r>
                </w:p>
              </w:tc>
              <w:tc>
                <w:tcPr>
                  <w:tcW w:w="678" w:type="pct"/>
                  <w:vAlign w:val="center"/>
                </w:tcPr>
                <w:p w14:paraId="2C7B1615">
                  <w:pPr>
                    <w:adjustRightInd w:val="0"/>
                    <w:snapToGrid w:val="0"/>
                    <w:jc w:val="center"/>
                    <w:rPr>
                      <w:bCs/>
                      <w:color w:val="auto"/>
                      <w:szCs w:val="21"/>
                    </w:rPr>
                  </w:pPr>
                  <w:r>
                    <w:rPr>
                      <w:bCs/>
                      <w:color w:val="auto"/>
                      <w:szCs w:val="21"/>
                    </w:rPr>
                    <w:t>900-041-49</w:t>
                  </w:r>
                </w:p>
              </w:tc>
              <w:tc>
                <w:tcPr>
                  <w:tcW w:w="482" w:type="pct"/>
                  <w:vAlign w:val="center"/>
                </w:tcPr>
                <w:p w14:paraId="090AF54E">
                  <w:pPr>
                    <w:keepNext/>
                    <w:adjustRightInd w:val="0"/>
                    <w:snapToGrid w:val="0"/>
                    <w:jc w:val="center"/>
                    <w:rPr>
                      <w:color w:val="auto"/>
                      <w:kern w:val="0"/>
                      <w:szCs w:val="21"/>
                    </w:rPr>
                  </w:pPr>
                  <w:r>
                    <w:rPr>
                      <w:rFonts w:hint="eastAsia"/>
                      <w:color w:val="auto"/>
                      <w:kern w:val="0"/>
                      <w:szCs w:val="21"/>
                    </w:rPr>
                    <w:t>1</w:t>
                  </w:r>
                </w:p>
              </w:tc>
              <w:tc>
                <w:tcPr>
                  <w:tcW w:w="495" w:type="pct"/>
                  <w:vAlign w:val="center"/>
                </w:tcPr>
                <w:p w14:paraId="0471645E">
                  <w:pPr>
                    <w:adjustRightInd w:val="0"/>
                    <w:snapToGrid w:val="0"/>
                    <w:jc w:val="center"/>
                    <w:rPr>
                      <w:bCs/>
                      <w:color w:val="auto"/>
                      <w:szCs w:val="21"/>
                    </w:rPr>
                  </w:pPr>
                  <w:r>
                    <w:rPr>
                      <w:bCs/>
                      <w:color w:val="auto"/>
                      <w:szCs w:val="21"/>
                    </w:rPr>
                    <w:t>包装</w:t>
                  </w:r>
                </w:p>
              </w:tc>
              <w:tc>
                <w:tcPr>
                  <w:tcW w:w="220" w:type="pct"/>
                  <w:vAlign w:val="center"/>
                </w:tcPr>
                <w:p w14:paraId="0D241204">
                  <w:pPr>
                    <w:adjustRightInd w:val="0"/>
                    <w:snapToGrid w:val="0"/>
                    <w:jc w:val="center"/>
                    <w:rPr>
                      <w:bCs/>
                      <w:color w:val="auto"/>
                      <w:szCs w:val="21"/>
                    </w:rPr>
                  </w:pPr>
                  <w:r>
                    <w:rPr>
                      <w:bCs/>
                      <w:color w:val="auto"/>
                      <w:szCs w:val="21"/>
                    </w:rPr>
                    <w:t>固体</w:t>
                  </w:r>
                </w:p>
              </w:tc>
              <w:tc>
                <w:tcPr>
                  <w:tcW w:w="431" w:type="pct"/>
                  <w:vAlign w:val="center"/>
                </w:tcPr>
                <w:p w14:paraId="3BD3C8D8">
                  <w:pPr>
                    <w:adjustRightInd w:val="0"/>
                    <w:snapToGrid w:val="0"/>
                    <w:jc w:val="center"/>
                    <w:rPr>
                      <w:bCs/>
                      <w:color w:val="auto"/>
                      <w:szCs w:val="21"/>
                    </w:rPr>
                  </w:pPr>
                  <w:r>
                    <w:rPr>
                      <w:bCs/>
                      <w:color w:val="auto"/>
                      <w:szCs w:val="21"/>
                    </w:rPr>
                    <w:t>磷化剂、促进剂</w:t>
                  </w:r>
                  <w:r>
                    <w:rPr>
                      <w:rFonts w:hint="eastAsia"/>
                      <w:bCs/>
                      <w:color w:val="auto"/>
                      <w:szCs w:val="21"/>
                    </w:rPr>
                    <w:t>、涂料</w:t>
                  </w:r>
                  <w:r>
                    <w:rPr>
                      <w:bCs/>
                      <w:color w:val="auto"/>
                      <w:szCs w:val="21"/>
                    </w:rPr>
                    <w:t>等</w:t>
                  </w:r>
                </w:p>
              </w:tc>
              <w:tc>
                <w:tcPr>
                  <w:tcW w:w="457" w:type="pct"/>
                  <w:vAlign w:val="center"/>
                </w:tcPr>
                <w:p w14:paraId="46CCD272">
                  <w:pPr>
                    <w:adjustRightInd w:val="0"/>
                    <w:snapToGrid w:val="0"/>
                    <w:jc w:val="center"/>
                    <w:rPr>
                      <w:bCs/>
                      <w:color w:val="auto"/>
                      <w:szCs w:val="21"/>
                    </w:rPr>
                  </w:pPr>
                  <w:r>
                    <w:rPr>
                      <w:bCs/>
                      <w:color w:val="auto"/>
                      <w:szCs w:val="21"/>
                    </w:rPr>
                    <w:t>磷化剂、促进剂</w:t>
                  </w:r>
                  <w:r>
                    <w:rPr>
                      <w:rFonts w:hint="eastAsia"/>
                      <w:bCs/>
                      <w:color w:val="auto"/>
                      <w:szCs w:val="21"/>
                    </w:rPr>
                    <w:t>、涂料</w:t>
                  </w:r>
                  <w:r>
                    <w:rPr>
                      <w:bCs/>
                      <w:color w:val="auto"/>
                      <w:szCs w:val="21"/>
                    </w:rPr>
                    <w:t>等</w:t>
                  </w:r>
                </w:p>
              </w:tc>
              <w:tc>
                <w:tcPr>
                  <w:tcW w:w="338" w:type="pct"/>
                  <w:vAlign w:val="center"/>
                </w:tcPr>
                <w:p w14:paraId="3AB2404C">
                  <w:pPr>
                    <w:adjustRightInd w:val="0"/>
                    <w:snapToGrid w:val="0"/>
                    <w:jc w:val="center"/>
                    <w:rPr>
                      <w:bCs/>
                      <w:color w:val="auto"/>
                      <w:szCs w:val="21"/>
                    </w:rPr>
                  </w:pPr>
                  <w:r>
                    <w:rPr>
                      <w:bCs/>
                      <w:color w:val="auto"/>
                      <w:kern w:val="0"/>
                      <w:szCs w:val="21"/>
                    </w:rPr>
                    <w:t>每天</w:t>
                  </w:r>
                </w:p>
              </w:tc>
              <w:tc>
                <w:tcPr>
                  <w:tcW w:w="311" w:type="pct"/>
                  <w:vAlign w:val="center"/>
                </w:tcPr>
                <w:p w14:paraId="63597820">
                  <w:pPr>
                    <w:adjustRightInd w:val="0"/>
                    <w:snapToGrid w:val="0"/>
                    <w:jc w:val="center"/>
                    <w:rPr>
                      <w:bCs/>
                      <w:color w:val="auto"/>
                      <w:szCs w:val="21"/>
                    </w:rPr>
                  </w:pPr>
                  <w:r>
                    <w:rPr>
                      <w:bCs/>
                      <w:color w:val="auto"/>
                      <w:kern w:val="0"/>
                      <w:szCs w:val="21"/>
                    </w:rPr>
                    <w:t>T/In</w:t>
                  </w:r>
                </w:p>
              </w:tc>
              <w:tc>
                <w:tcPr>
                  <w:tcW w:w="380" w:type="pct"/>
                  <w:vMerge w:val="continue"/>
                  <w:vAlign w:val="center"/>
                </w:tcPr>
                <w:p w14:paraId="7A625FA1">
                  <w:pPr>
                    <w:adjustRightInd w:val="0"/>
                    <w:snapToGrid w:val="0"/>
                    <w:jc w:val="center"/>
                    <w:rPr>
                      <w:bCs/>
                      <w:color w:val="auto"/>
                      <w:kern w:val="0"/>
                      <w:szCs w:val="21"/>
                    </w:rPr>
                  </w:pPr>
                </w:p>
              </w:tc>
            </w:tr>
            <w:tr w14:paraId="3C597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1" w:type="pct"/>
                  <w:vAlign w:val="center"/>
                </w:tcPr>
                <w:p w14:paraId="108D489A">
                  <w:pPr>
                    <w:keepNext/>
                    <w:adjustRightInd w:val="0"/>
                    <w:snapToGrid w:val="0"/>
                    <w:jc w:val="center"/>
                    <w:rPr>
                      <w:color w:val="auto"/>
                      <w:szCs w:val="21"/>
                      <w:lang w:bidi="ar"/>
                    </w:rPr>
                  </w:pPr>
                  <w:r>
                    <w:rPr>
                      <w:color w:val="auto"/>
                      <w:szCs w:val="21"/>
                      <w:lang w:bidi="ar"/>
                    </w:rPr>
                    <w:t>5</w:t>
                  </w:r>
                </w:p>
              </w:tc>
              <w:tc>
                <w:tcPr>
                  <w:tcW w:w="508" w:type="pct"/>
                  <w:vAlign w:val="center"/>
                </w:tcPr>
                <w:p w14:paraId="17270321">
                  <w:pPr>
                    <w:keepNext/>
                    <w:adjustRightInd w:val="0"/>
                    <w:snapToGrid w:val="0"/>
                    <w:jc w:val="center"/>
                    <w:rPr>
                      <w:color w:val="auto"/>
                      <w:szCs w:val="21"/>
                      <w:lang w:bidi="ar"/>
                    </w:rPr>
                  </w:pPr>
                  <w:r>
                    <w:rPr>
                      <w:color w:val="auto"/>
                      <w:szCs w:val="21"/>
                      <w:lang w:bidi="ar"/>
                    </w:rPr>
                    <w:t>废机油</w:t>
                  </w:r>
                </w:p>
              </w:tc>
              <w:tc>
                <w:tcPr>
                  <w:tcW w:w="423" w:type="pct"/>
                  <w:vAlign w:val="center"/>
                </w:tcPr>
                <w:p w14:paraId="4EAFD1E5">
                  <w:pPr>
                    <w:adjustRightInd w:val="0"/>
                    <w:snapToGrid w:val="0"/>
                    <w:jc w:val="center"/>
                    <w:rPr>
                      <w:color w:val="auto"/>
                      <w:szCs w:val="21"/>
                    </w:rPr>
                  </w:pPr>
                  <w:r>
                    <w:rPr>
                      <w:color w:val="auto"/>
                      <w:szCs w:val="21"/>
                    </w:rPr>
                    <w:t>HW08</w:t>
                  </w:r>
                </w:p>
              </w:tc>
              <w:tc>
                <w:tcPr>
                  <w:tcW w:w="678" w:type="pct"/>
                  <w:vAlign w:val="center"/>
                </w:tcPr>
                <w:p w14:paraId="4A140DEA">
                  <w:pPr>
                    <w:adjustRightInd w:val="0"/>
                    <w:snapToGrid w:val="0"/>
                    <w:jc w:val="center"/>
                    <w:rPr>
                      <w:bCs/>
                      <w:color w:val="auto"/>
                      <w:szCs w:val="21"/>
                    </w:rPr>
                  </w:pPr>
                  <w:r>
                    <w:rPr>
                      <w:bCs/>
                      <w:color w:val="auto"/>
                      <w:szCs w:val="21"/>
                    </w:rPr>
                    <w:t>900-249-08</w:t>
                  </w:r>
                </w:p>
              </w:tc>
              <w:tc>
                <w:tcPr>
                  <w:tcW w:w="482" w:type="pct"/>
                  <w:vAlign w:val="center"/>
                </w:tcPr>
                <w:p w14:paraId="7E66AE09">
                  <w:pPr>
                    <w:keepNext/>
                    <w:adjustRightInd w:val="0"/>
                    <w:snapToGrid w:val="0"/>
                    <w:jc w:val="center"/>
                    <w:rPr>
                      <w:color w:val="auto"/>
                      <w:kern w:val="0"/>
                      <w:szCs w:val="21"/>
                    </w:rPr>
                  </w:pPr>
                  <w:r>
                    <w:rPr>
                      <w:color w:val="auto"/>
                      <w:kern w:val="0"/>
                      <w:szCs w:val="21"/>
                    </w:rPr>
                    <w:t>0.2</w:t>
                  </w:r>
                </w:p>
              </w:tc>
              <w:tc>
                <w:tcPr>
                  <w:tcW w:w="495" w:type="pct"/>
                  <w:vAlign w:val="center"/>
                </w:tcPr>
                <w:p w14:paraId="442F7BEA">
                  <w:pPr>
                    <w:adjustRightInd w:val="0"/>
                    <w:snapToGrid w:val="0"/>
                    <w:jc w:val="center"/>
                    <w:rPr>
                      <w:bCs/>
                      <w:color w:val="auto"/>
                      <w:szCs w:val="21"/>
                    </w:rPr>
                  </w:pPr>
                  <w:r>
                    <w:rPr>
                      <w:bCs/>
                      <w:color w:val="auto"/>
                      <w:szCs w:val="21"/>
                    </w:rPr>
                    <w:t>设备维护</w:t>
                  </w:r>
                </w:p>
              </w:tc>
              <w:tc>
                <w:tcPr>
                  <w:tcW w:w="220" w:type="pct"/>
                  <w:vAlign w:val="center"/>
                </w:tcPr>
                <w:p w14:paraId="6CB1A888">
                  <w:pPr>
                    <w:adjustRightInd w:val="0"/>
                    <w:snapToGrid w:val="0"/>
                    <w:jc w:val="center"/>
                    <w:rPr>
                      <w:bCs/>
                      <w:color w:val="auto"/>
                      <w:szCs w:val="21"/>
                    </w:rPr>
                  </w:pPr>
                  <w:r>
                    <w:rPr>
                      <w:bCs/>
                      <w:color w:val="auto"/>
                      <w:szCs w:val="21"/>
                    </w:rPr>
                    <w:t>液体</w:t>
                  </w:r>
                </w:p>
              </w:tc>
              <w:tc>
                <w:tcPr>
                  <w:tcW w:w="431" w:type="pct"/>
                  <w:vAlign w:val="center"/>
                </w:tcPr>
                <w:p w14:paraId="769B5227">
                  <w:pPr>
                    <w:adjustRightInd w:val="0"/>
                    <w:snapToGrid w:val="0"/>
                    <w:jc w:val="center"/>
                    <w:rPr>
                      <w:bCs/>
                      <w:color w:val="auto"/>
                      <w:szCs w:val="21"/>
                    </w:rPr>
                  </w:pPr>
                  <w:r>
                    <w:rPr>
                      <w:bCs/>
                      <w:color w:val="auto"/>
                      <w:szCs w:val="21"/>
                    </w:rPr>
                    <w:t>废矿物油</w:t>
                  </w:r>
                </w:p>
              </w:tc>
              <w:tc>
                <w:tcPr>
                  <w:tcW w:w="457" w:type="pct"/>
                  <w:vAlign w:val="center"/>
                </w:tcPr>
                <w:p w14:paraId="3FAB9FF9">
                  <w:pPr>
                    <w:adjustRightInd w:val="0"/>
                    <w:snapToGrid w:val="0"/>
                    <w:jc w:val="center"/>
                    <w:rPr>
                      <w:bCs/>
                      <w:color w:val="auto"/>
                      <w:szCs w:val="21"/>
                    </w:rPr>
                  </w:pPr>
                  <w:r>
                    <w:rPr>
                      <w:bCs/>
                      <w:color w:val="auto"/>
                      <w:szCs w:val="21"/>
                    </w:rPr>
                    <w:t>废矿物油</w:t>
                  </w:r>
                </w:p>
              </w:tc>
              <w:tc>
                <w:tcPr>
                  <w:tcW w:w="338" w:type="pct"/>
                  <w:vAlign w:val="center"/>
                </w:tcPr>
                <w:p w14:paraId="3624EC66">
                  <w:pPr>
                    <w:adjustRightInd w:val="0"/>
                    <w:snapToGrid w:val="0"/>
                    <w:jc w:val="center"/>
                    <w:rPr>
                      <w:bCs/>
                      <w:color w:val="auto"/>
                      <w:szCs w:val="21"/>
                    </w:rPr>
                  </w:pPr>
                  <w:r>
                    <w:rPr>
                      <w:bCs/>
                      <w:color w:val="auto"/>
                      <w:kern w:val="0"/>
                      <w:szCs w:val="21"/>
                    </w:rPr>
                    <w:t>每天</w:t>
                  </w:r>
                </w:p>
              </w:tc>
              <w:tc>
                <w:tcPr>
                  <w:tcW w:w="311" w:type="pct"/>
                  <w:vAlign w:val="center"/>
                </w:tcPr>
                <w:p w14:paraId="418DCFD5">
                  <w:pPr>
                    <w:adjustRightInd w:val="0"/>
                    <w:snapToGrid w:val="0"/>
                    <w:jc w:val="center"/>
                    <w:rPr>
                      <w:bCs/>
                      <w:color w:val="auto"/>
                      <w:szCs w:val="21"/>
                    </w:rPr>
                  </w:pPr>
                  <w:r>
                    <w:rPr>
                      <w:bCs/>
                      <w:color w:val="auto"/>
                      <w:szCs w:val="21"/>
                    </w:rPr>
                    <w:t>T，I</w:t>
                  </w:r>
                </w:p>
              </w:tc>
              <w:tc>
                <w:tcPr>
                  <w:tcW w:w="380" w:type="pct"/>
                  <w:vMerge w:val="continue"/>
                  <w:vAlign w:val="center"/>
                </w:tcPr>
                <w:p w14:paraId="786B02DB">
                  <w:pPr>
                    <w:adjustRightInd w:val="0"/>
                    <w:snapToGrid w:val="0"/>
                    <w:jc w:val="center"/>
                    <w:rPr>
                      <w:bCs/>
                      <w:color w:val="auto"/>
                      <w:kern w:val="0"/>
                      <w:szCs w:val="21"/>
                    </w:rPr>
                  </w:pPr>
                </w:p>
              </w:tc>
            </w:tr>
            <w:tr w14:paraId="062F9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1" w:type="pct"/>
                  <w:vAlign w:val="center"/>
                </w:tcPr>
                <w:p w14:paraId="4FE98551">
                  <w:pPr>
                    <w:keepNext/>
                    <w:adjustRightInd w:val="0"/>
                    <w:snapToGrid w:val="0"/>
                    <w:jc w:val="center"/>
                    <w:rPr>
                      <w:color w:val="auto"/>
                      <w:kern w:val="0"/>
                      <w:szCs w:val="21"/>
                    </w:rPr>
                  </w:pPr>
                  <w:r>
                    <w:rPr>
                      <w:color w:val="auto"/>
                      <w:kern w:val="0"/>
                      <w:szCs w:val="21"/>
                    </w:rPr>
                    <w:t>6</w:t>
                  </w:r>
                </w:p>
              </w:tc>
              <w:tc>
                <w:tcPr>
                  <w:tcW w:w="508" w:type="pct"/>
                  <w:vAlign w:val="center"/>
                </w:tcPr>
                <w:p w14:paraId="4CAC517C">
                  <w:pPr>
                    <w:keepNext/>
                    <w:adjustRightInd w:val="0"/>
                    <w:snapToGrid w:val="0"/>
                    <w:jc w:val="center"/>
                    <w:rPr>
                      <w:color w:val="auto"/>
                      <w:szCs w:val="21"/>
                      <w:lang w:bidi="ar"/>
                    </w:rPr>
                  </w:pPr>
                  <w:r>
                    <w:rPr>
                      <w:color w:val="auto"/>
                      <w:szCs w:val="21"/>
                      <w:lang w:bidi="ar"/>
                    </w:rPr>
                    <w:t>废含油抹布和手套</w:t>
                  </w:r>
                </w:p>
              </w:tc>
              <w:tc>
                <w:tcPr>
                  <w:tcW w:w="423" w:type="pct"/>
                  <w:vAlign w:val="center"/>
                </w:tcPr>
                <w:p w14:paraId="09BEF2D1">
                  <w:pPr>
                    <w:adjustRightInd w:val="0"/>
                    <w:snapToGrid w:val="0"/>
                    <w:jc w:val="center"/>
                    <w:rPr>
                      <w:bCs/>
                      <w:color w:val="auto"/>
                      <w:szCs w:val="21"/>
                    </w:rPr>
                  </w:pPr>
                  <w:r>
                    <w:rPr>
                      <w:bCs/>
                      <w:color w:val="auto"/>
                      <w:szCs w:val="21"/>
                    </w:rPr>
                    <w:t>HW49</w:t>
                  </w:r>
                </w:p>
              </w:tc>
              <w:tc>
                <w:tcPr>
                  <w:tcW w:w="678" w:type="pct"/>
                  <w:vAlign w:val="center"/>
                </w:tcPr>
                <w:p w14:paraId="7D75FD8F">
                  <w:pPr>
                    <w:adjustRightInd w:val="0"/>
                    <w:snapToGrid w:val="0"/>
                    <w:jc w:val="center"/>
                    <w:rPr>
                      <w:bCs/>
                      <w:color w:val="auto"/>
                      <w:szCs w:val="21"/>
                    </w:rPr>
                  </w:pPr>
                  <w:r>
                    <w:rPr>
                      <w:bCs/>
                      <w:color w:val="auto"/>
                      <w:szCs w:val="21"/>
                    </w:rPr>
                    <w:t>900-041-49</w:t>
                  </w:r>
                </w:p>
              </w:tc>
              <w:tc>
                <w:tcPr>
                  <w:tcW w:w="482" w:type="pct"/>
                  <w:vAlign w:val="center"/>
                </w:tcPr>
                <w:p w14:paraId="328D5BA6">
                  <w:pPr>
                    <w:keepNext/>
                    <w:adjustRightInd w:val="0"/>
                    <w:snapToGrid w:val="0"/>
                    <w:jc w:val="center"/>
                    <w:rPr>
                      <w:color w:val="auto"/>
                      <w:kern w:val="0"/>
                      <w:szCs w:val="21"/>
                    </w:rPr>
                  </w:pPr>
                  <w:r>
                    <w:rPr>
                      <w:color w:val="auto"/>
                      <w:kern w:val="0"/>
                      <w:szCs w:val="21"/>
                    </w:rPr>
                    <w:t>0.1</w:t>
                  </w:r>
                </w:p>
              </w:tc>
              <w:tc>
                <w:tcPr>
                  <w:tcW w:w="495" w:type="pct"/>
                  <w:vAlign w:val="center"/>
                </w:tcPr>
                <w:p w14:paraId="7401BD27">
                  <w:pPr>
                    <w:adjustRightInd w:val="0"/>
                    <w:snapToGrid w:val="0"/>
                    <w:jc w:val="center"/>
                    <w:rPr>
                      <w:bCs/>
                      <w:color w:val="auto"/>
                      <w:szCs w:val="21"/>
                    </w:rPr>
                  </w:pPr>
                  <w:r>
                    <w:rPr>
                      <w:bCs/>
                      <w:color w:val="auto"/>
                      <w:szCs w:val="21"/>
                    </w:rPr>
                    <w:t>设备维护</w:t>
                  </w:r>
                </w:p>
              </w:tc>
              <w:tc>
                <w:tcPr>
                  <w:tcW w:w="220" w:type="pct"/>
                  <w:vAlign w:val="center"/>
                </w:tcPr>
                <w:p w14:paraId="01C276CF">
                  <w:pPr>
                    <w:adjustRightInd w:val="0"/>
                    <w:snapToGrid w:val="0"/>
                    <w:jc w:val="center"/>
                    <w:rPr>
                      <w:bCs/>
                      <w:color w:val="auto"/>
                      <w:szCs w:val="21"/>
                    </w:rPr>
                  </w:pPr>
                  <w:r>
                    <w:rPr>
                      <w:bCs/>
                      <w:color w:val="auto"/>
                      <w:szCs w:val="21"/>
                    </w:rPr>
                    <w:t>固体</w:t>
                  </w:r>
                </w:p>
              </w:tc>
              <w:tc>
                <w:tcPr>
                  <w:tcW w:w="431" w:type="pct"/>
                  <w:vAlign w:val="center"/>
                </w:tcPr>
                <w:p w14:paraId="1C549D92">
                  <w:pPr>
                    <w:adjustRightInd w:val="0"/>
                    <w:snapToGrid w:val="0"/>
                    <w:jc w:val="center"/>
                    <w:rPr>
                      <w:bCs/>
                      <w:color w:val="auto"/>
                      <w:szCs w:val="21"/>
                    </w:rPr>
                  </w:pPr>
                  <w:r>
                    <w:rPr>
                      <w:rFonts w:hint="eastAsia"/>
                      <w:bCs/>
                      <w:color w:val="auto"/>
                      <w:szCs w:val="21"/>
                    </w:rPr>
                    <w:t>化学纤维</w:t>
                  </w:r>
                </w:p>
              </w:tc>
              <w:tc>
                <w:tcPr>
                  <w:tcW w:w="457" w:type="pct"/>
                  <w:vAlign w:val="center"/>
                </w:tcPr>
                <w:p w14:paraId="752DB09F">
                  <w:pPr>
                    <w:adjustRightInd w:val="0"/>
                    <w:snapToGrid w:val="0"/>
                    <w:jc w:val="center"/>
                    <w:rPr>
                      <w:bCs/>
                      <w:color w:val="auto"/>
                      <w:szCs w:val="21"/>
                    </w:rPr>
                  </w:pPr>
                  <w:r>
                    <w:rPr>
                      <w:bCs/>
                      <w:color w:val="auto"/>
                      <w:szCs w:val="21"/>
                    </w:rPr>
                    <w:t>废矿物油</w:t>
                  </w:r>
                </w:p>
              </w:tc>
              <w:tc>
                <w:tcPr>
                  <w:tcW w:w="338" w:type="pct"/>
                  <w:vAlign w:val="center"/>
                </w:tcPr>
                <w:p w14:paraId="74DDB8A6">
                  <w:pPr>
                    <w:adjustRightInd w:val="0"/>
                    <w:snapToGrid w:val="0"/>
                    <w:jc w:val="center"/>
                    <w:rPr>
                      <w:bCs/>
                      <w:color w:val="auto"/>
                      <w:szCs w:val="21"/>
                    </w:rPr>
                  </w:pPr>
                  <w:r>
                    <w:rPr>
                      <w:bCs/>
                      <w:color w:val="auto"/>
                      <w:szCs w:val="21"/>
                    </w:rPr>
                    <w:t>1个月</w:t>
                  </w:r>
                </w:p>
              </w:tc>
              <w:tc>
                <w:tcPr>
                  <w:tcW w:w="311" w:type="pct"/>
                  <w:vAlign w:val="center"/>
                </w:tcPr>
                <w:p w14:paraId="79019FED">
                  <w:pPr>
                    <w:adjustRightInd w:val="0"/>
                    <w:snapToGrid w:val="0"/>
                    <w:jc w:val="center"/>
                    <w:rPr>
                      <w:bCs/>
                      <w:color w:val="auto"/>
                      <w:szCs w:val="21"/>
                    </w:rPr>
                  </w:pPr>
                  <w:r>
                    <w:rPr>
                      <w:bCs/>
                      <w:color w:val="auto"/>
                      <w:kern w:val="0"/>
                      <w:szCs w:val="21"/>
                    </w:rPr>
                    <w:t>T/In</w:t>
                  </w:r>
                </w:p>
              </w:tc>
              <w:tc>
                <w:tcPr>
                  <w:tcW w:w="380" w:type="pct"/>
                  <w:vMerge w:val="continue"/>
                  <w:vAlign w:val="center"/>
                </w:tcPr>
                <w:p w14:paraId="4E614F64">
                  <w:pPr>
                    <w:adjustRightInd w:val="0"/>
                    <w:snapToGrid w:val="0"/>
                    <w:jc w:val="center"/>
                    <w:rPr>
                      <w:bCs/>
                      <w:color w:val="auto"/>
                      <w:kern w:val="0"/>
                      <w:szCs w:val="21"/>
                    </w:rPr>
                  </w:pPr>
                </w:p>
              </w:tc>
            </w:tr>
            <w:tr w14:paraId="29CFF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1" w:type="pct"/>
                  <w:vAlign w:val="center"/>
                </w:tcPr>
                <w:p w14:paraId="6B03ED64">
                  <w:pPr>
                    <w:keepNext/>
                    <w:adjustRightInd w:val="0"/>
                    <w:snapToGrid w:val="0"/>
                    <w:jc w:val="center"/>
                    <w:rPr>
                      <w:color w:val="auto"/>
                      <w:kern w:val="0"/>
                      <w:szCs w:val="21"/>
                    </w:rPr>
                  </w:pPr>
                  <w:r>
                    <w:rPr>
                      <w:color w:val="auto"/>
                      <w:kern w:val="0"/>
                      <w:szCs w:val="21"/>
                    </w:rPr>
                    <w:t>7</w:t>
                  </w:r>
                </w:p>
              </w:tc>
              <w:tc>
                <w:tcPr>
                  <w:tcW w:w="508" w:type="pct"/>
                  <w:vAlign w:val="center"/>
                </w:tcPr>
                <w:p w14:paraId="10B707E6">
                  <w:pPr>
                    <w:keepNext/>
                    <w:adjustRightInd w:val="0"/>
                    <w:snapToGrid w:val="0"/>
                    <w:jc w:val="center"/>
                    <w:rPr>
                      <w:color w:val="auto"/>
                      <w:kern w:val="0"/>
                      <w:szCs w:val="21"/>
                    </w:rPr>
                  </w:pPr>
                  <w:r>
                    <w:rPr>
                      <w:rFonts w:hint="eastAsia"/>
                      <w:color w:val="auto"/>
                      <w:kern w:val="0"/>
                      <w:szCs w:val="21"/>
                    </w:rPr>
                    <w:t>废RO膜</w:t>
                  </w:r>
                </w:p>
              </w:tc>
              <w:tc>
                <w:tcPr>
                  <w:tcW w:w="423" w:type="pct"/>
                  <w:vAlign w:val="center"/>
                </w:tcPr>
                <w:p w14:paraId="58B6ABB0">
                  <w:pPr>
                    <w:keepNext/>
                    <w:adjustRightInd w:val="0"/>
                    <w:snapToGrid w:val="0"/>
                    <w:jc w:val="center"/>
                    <w:rPr>
                      <w:color w:val="auto"/>
                      <w:kern w:val="0"/>
                      <w:szCs w:val="21"/>
                    </w:rPr>
                  </w:pPr>
                  <w:r>
                    <w:rPr>
                      <w:color w:val="auto"/>
                      <w:kern w:val="0"/>
                      <w:szCs w:val="21"/>
                    </w:rPr>
                    <w:t>HW49</w:t>
                  </w:r>
                </w:p>
              </w:tc>
              <w:tc>
                <w:tcPr>
                  <w:tcW w:w="678" w:type="pct"/>
                  <w:vAlign w:val="center"/>
                </w:tcPr>
                <w:p w14:paraId="72E5746C">
                  <w:pPr>
                    <w:keepNext/>
                    <w:adjustRightInd w:val="0"/>
                    <w:snapToGrid w:val="0"/>
                    <w:jc w:val="center"/>
                    <w:rPr>
                      <w:color w:val="auto"/>
                      <w:kern w:val="0"/>
                      <w:szCs w:val="21"/>
                    </w:rPr>
                  </w:pPr>
                  <w:r>
                    <w:rPr>
                      <w:color w:val="auto"/>
                      <w:kern w:val="0"/>
                      <w:szCs w:val="21"/>
                    </w:rPr>
                    <w:t>900-041-49</w:t>
                  </w:r>
                </w:p>
              </w:tc>
              <w:tc>
                <w:tcPr>
                  <w:tcW w:w="482" w:type="pct"/>
                  <w:vAlign w:val="center"/>
                </w:tcPr>
                <w:p w14:paraId="67B04C3E">
                  <w:pPr>
                    <w:keepNext/>
                    <w:adjustRightInd w:val="0"/>
                    <w:snapToGrid w:val="0"/>
                    <w:jc w:val="center"/>
                    <w:rPr>
                      <w:color w:val="auto"/>
                      <w:kern w:val="0"/>
                      <w:szCs w:val="21"/>
                    </w:rPr>
                  </w:pPr>
                  <w:r>
                    <w:rPr>
                      <w:rFonts w:hint="eastAsia"/>
                      <w:color w:val="auto"/>
                      <w:kern w:val="0"/>
                      <w:szCs w:val="21"/>
                    </w:rPr>
                    <w:t>0.18</w:t>
                  </w:r>
                </w:p>
              </w:tc>
              <w:tc>
                <w:tcPr>
                  <w:tcW w:w="495" w:type="pct"/>
                  <w:vAlign w:val="center"/>
                </w:tcPr>
                <w:p w14:paraId="7169CDD9">
                  <w:pPr>
                    <w:adjustRightInd w:val="0"/>
                    <w:snapToGrid w:val="0"/>
                    <w:jc w:val="center"/>
                    <w:rPr>
                      <w:bCs/>
                      <w:color w:val="auto"/>
                      <w:szCs w:val="21"/>
                    </w:rPr>
                  </w:pPr>
                  <w:r>
                    <w:rPr>
                      <w:bCs/>
                      <w:color w:val="auto"/>
                      <w:szCs w:val="21"/>
                    </w:rPr>
                    <w:t>污水处理设施</w:t>
                  </w:r>
                </w:p>
              </w:tc>
              <w:tc>
                <w:tcPr>
                  <w:tcW w:w="220" w:type="pct"/>
                  <w:vAlign w:val="center"/>
                </w:tcPr>
                <w:p w14:paraId="030AEA2F">
                  <w:pPr>
                    <w:adjustRightInd w:val="0"/>
                    <w:snapToGrid w:val="0"/>
                    <w:jc w:val="center"/>
                    <w:rPr>
                      <w:bCs/>
                      <w:color w:val="auto"/>
                      <w:szCs w:val="21"/>
                    </w:rPr>
                  </w:pPr>
                  <w:r>
                    <w:rPr>
                      <w:bCs/>
                      <w:color w:val="auto"/>
                      <w:szCs w:val="21"/>
                    </w:rPr>
                    <w:t>固体</w:t>
                  </w:r>
                </w:p>
              </w:tc>
              <w:tc>
                <w:tcPr>
                  <w:tcW w:w="431" w:type="pct"/>
                  <w:vAlign w:val="center"/>
                </w:tcPr>
                <w:p w14:paraId="54C6B35D">
                  <w:pPr>
                    <w:adjustRightInd w:val="0"/>
                    <w:snapToGrid w:val="0"/>
                    <w:jc w:val="center"/>
                    <w:rPr>
                      <w:bCs/>
                      <w:color w:val="auto"/>
                      <w:szCs w:val="21"/>
                    </w:rPr>
                  </w:pPr>
                  <w:r>
                    <w:rPr>
                      <w:bCs/>
                      <w:color w:val="auto"/>
                      <w:szCs w:val="21"/>
                    </w:rPr>
                    <w:t>磷化剂、促进剂等</w:t>
                  </w:r>
                </w:p>
              </w:tc>
              <w:tc>
                <w:tcPr>
                  <w:tcW w:w="457" w:type="pct"/>
                  <w:vAlign w:val="center"/>
                </w:tcPr>
                <w:p w14:paraId="65DBC9A8">
                  <w:pPr>
                    <w:adjustRightInd w:val="0"/>
                    <w:snapToGrid w:val="0"/>
                    <w:jc w:val="center"/>
                    <w:rPr>
                      <w:bCs/>
                      <w:color w:val="auto"/>
                      <w:szCs w:val="21"/>
                    </w:rPr>
                  </w:pPr>
                  <w:r>
                    <w:rPr>
                      <w:bCs/>
                      <w:color w:val="auto"/>
                      <w:szCs w:val="21"/>
                    </w:rPr>
                    <w:t>磷化剂、促进剂等</w:t>
                  </w:r>
                </w:p>
              </w:tc>
              <w:tc>
                <w:tcPr>
                  <w:tcW w:w="338" w:type="pct"/>
                  <w:vAlign w:val="center"/>
                </w:tcPr>
                <w:p w14:paraId="3BD41ED4">
                  <w:pPr>
                    <w:keepNext/>
                    <w:adjustRightInd w:val="0"/>
                    <w:snapToGrid w:val="0"/>
                    <w:jc w:val="center"/>
                    <w:rPr>
                      <w:color w:val="auto"/>
                      <w:kern w:val="0"/>
                      <w:szCs w:val="21"/>
                    </w:rPr>
                  </w:pPr>
                  <w:r>
                    <w:rPr>
                      <w:rFonts w:hint="eastAsia"/>
                      <w:color w:val="auto"/>
                      <w:kern w:val="0"/>
                      <w:szCs w:val="21"/>
                    </w:rPr>
                    <w:t>每2年</w:t>
                  </w:r>
                </w:p>
              </w:tc>
              <w:tc>
                <w:tcPr>
                  <w:tcW w:w="311" w:type="pct"/>
                  <w:vAlign w:val="center"/>
                </w:tcPr>
                <w:p w14:paraId="53AF7AF7">
                  <w:pPr>
                    <w:keepNext/>
                    <w:adjustRightInd w:val="0"/>
                    <w:snapToGrid w:val="0"/>
                    <w:jc w:val="center"/>
                    <w:rPr>
                      <w:bCs/>
                      <w:color w:val="auto"/>
                      <w:kern w:val="0"/>
                      <w:szCs w:val="21"/>
                    </w:rPr>
                  </w:pPr>
                  <w:r>
                    <w:rPr>
                      <w:bCs/>
                      <w:color w:val="auto"/>
                      <w:kern w:val="0"/>
                      <w:szCs w:val="21"/>
                    </w:rPr>
                    <w:t>T/In</w:t>
                  </w:r>
                </w:p>
              </w:tc>
              <w:tc>
                <w:tcPr>
                  <w:tcW w:w="380" w:type="pct"/>
                  <w:vMerge w:val="continue"/>
                  <w:vAlign w:val="center"/>
                </w:tcPr>
                <w:p w14:paraId="0E0D284E">
                  <w:pPr>
                    <w:adjustRightInd w:val="0"/>
                    <w:snapToGrid w:val="0"/>
                    <w:jc w:val="center"/>
                    <w:rPr>
                      <w:bCs/>
                      <w:color w:val="auto"/>
                      <w:kern w:val="0"/>
                      <w:szCs w:val="21"/>
                    </w:rPr>
                  </w:pPr>
                </w:p>
              </w:tc>
            </w:tr>
            <w:tr w14:paraId="62359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1" w:type="pct"/>
                  <w:vAlign w:val="center"/>
                </w:tcPr>
                <w:p w14:paraId="298D911D">
                  <w:pPr>
                    <w:keepNext/>
                    <w:adjustRightInd w:val="0"/>
                    <w:snapToGrid w:val="0"/>
                    <w:jc w:val="center"/>
                    <w:rPr>
                      <w:color w:val="auto"/>
                      <w:kern w:val="0"/>
                      <w:szCs w:val="21"/>
                    </w:rPr>
                  </w:pPr>
                  <w:r>
                    <w:rPr>
                      <w:color w:val="auto"/>
                      <w:kern w:val="0"/>
                      <w:szCs w:val="21"/>
                    </w:rPr>
                    <w:t>8</w:t>
                  </w:r>
                </w:p>
              </w:tc>
              <w:tc>
                <w:tcPr>
                  <w:tcW w:w="508" w:type="pct"/>
                  <w:vAlign w:val="center"/>
                </w:tcPr>
                <w:p w14:paraId="3704D5C9">
                  <w:pPr>
                    <w:keepNext/>
                    <w:adjustRightInd w:val="0"/>
                    <w:snapToGrid w:val="0"/>
                    <w:jc w:val="center"/>
                    <w:rPr>
                      <w:color w:val="auto"/>
                      <w:kern w:val="0"/>
                      <w:szCs w:val="21"/>
                    </w:rPr>
                  </w:pPr>
                  <w:r>
                    <w:rPr>
                      <w:color w:val="auto"/>
                      <w:kern w:val="0"/>
                      <w:szCs w:val="21"/>
                    </w:rPr>
                    <w:t>废滤芯</w:t>
                  </w:r>
                </w:p>
              </w:tc>
              <w:tc>
                <w:tcPr>
                  <w:tcW w:w="423" w:type="pct"/>
                  <w:vAlign w:val="center"/>
                </w:tcPr>
                <w:p w14:paraId="4F8A481A">
                  <w:pPr>
                    <w:keepNext/>
                    <w:adjustRightInd w:val="0"/>
                    <w:snapToGrid w:val="0"/>
                    <w:jc w:val="center"/>
                    <w:rPr>
                      <w:color w:val="auto"/>
                      <w:kern w:val="0"/>
                      <w:szCs w:val="21"/>
                    </w:rPr>
                  </w:pPr>
                  <w:r>
                    <w:rPr>
                      <w:color w:val="auto"/>
                      <w:kern w:val="0"/>
                      <w:szCs w:val="21"/>
                    </w:rPr>
                    <w:t>HW49</w:t>
                  </w:r>
                </w:p>
              </w:tc>
              <w:tc>
                <w:tcPr>
                  <w:tcW w:w="678" w:type="pct"/>
                  <w:vAlign w:val="center"/>
                </w:tcPr>
                <w:p w14:paraId="06FCDD3F">
                  <w:pPr>
                    <w:keepNext/>
                    <w:adjustRightInd w:val="0"/>
                    <w:snapToGrid w:val="0"/>
                    <w:jc w:val="center"/>
                    <w:rPr>
                      <w:color w:val="auto"/>
                      <w:kern w:val="0"/>
                      <w:szCs w:val="21"/>
                    </w:rPr>
                  </w:pPr>
                  <w:r>
                    <w:rPr>
                      <w:color w:val="auto"/>
                      <w:kern w:val="0"/>
                      <w:szCs w:val="21"/>
                    </w:rPr>
                    <w:t>900-041-49</w:t>
                  </w:r>
                </w:p>
              </w:tc>
              <w:tc>
                <w:tcPr>
                  <w:tcW w:w="482" w:type="pct"/>
                  <w:vAlign w:val="center"/>
                </w:tcPr>
                <w:p w14:paraId="2DC07E86">
                  <w:pPr>
                    <w:keepNext/>
                    <w:adjustRightInd w:val="0"/>
                    <w:snapToGrid w:val="0"/>
                    <w:jc w:val="center"/>
                    <w:rPr>
                      <w:color w:val="auto"/>
                      <w:kern w:val="0"/>
                      <w:szCs w:val="21"/>
                    </w:rPr>
                  </w:pPr>
                  <w:r>
                    <w:rPr>
                      <w:rFonts w:hint="eastAsia"/>
                      <w:color w:val="auto"/>
                      <w:kern w:val="0"/>
                      <w:szCs w:val="21"/>
                    </w:rPr>
                    <w:t>0.12</w:t>
                  </w:r>
                </w:p>
              </w:tc>
              <w:tc>
                <w:tcPr>
                  <w:tcW w:w="495" w:type="pct"/>
                  <w:vAlign w:val="center"/>
                </w:tcPr>
                <w:p w14:paraId="4CC29CD7">
                  <w:pPr>
                    <w:keepNext/>
                    <w:adjustRightInd w:val="0"/>
                    <w:snapToGrid w:val="0"/>
                    <w:jc w:val="center"/>
                    <w:rPr>
                      <w:color w:val="auto"/>
                      <w:kern w:val="0"/>
                      <w:szCs w:val="21"/>
                    </w:rPr>
                  </w:pPr>
                  <w:r>
                    <w:rPr>
                      <w:color w:val="auto"/>
                      <w:kern w:val="0"/>
                      <w:szCs w:val="21"/>
                    </w:rPr>
                    <w:t>前处理线</w:t>
                  </w:r>
                </w:p>
              </w:tc>
              <w:tc>
                <w:tcPr>
                  <w:tcW w:w="220" w:type="pct"/>
                  <w:vAlign w:val="center"/>
                </w:tcPr>
                <w:p w14:paraId="6107CCDB">
                  <w:pPr>
                    <w:keepNext/>
                    <w:adjustRightInd w:val="0"/>
                    <w:snapToGrid w:val="0"/>
                    <w:jc w:val="center"/>
                    <w:rPr>
                      <w:color w:val="auto"/>
                      <w:kern w:val="0"/>
                      <w:szCs w:val="21"/>
                    </w:rPr>
                  </w:pPr>
                  <w:r>
                    <w:rPr>
                      <w:color w:val="auto"/>
                      <w:kern w:val="0"/>
                      <w:szCs w:val="21"/>
                    </w:rPr>
                    <w:t>固体</w:t>
                  </w:r>
                </w:p>
              </w:tc>
              <w:tc>
                <w:tcPr>
                  <w:tcW w:w="431" w:type="pct"/>
                  <w:vAlign w:val="center"/>
                </w:tcPr>
                <w:p w14:paraId="034AC4DB">
                  <w:pPr>
                    <w:adjustRightInd w:val="0"/>
                    <w:snapToGrid w:val="0"/>
                    <w:jc w:val="center"/>
                    <w:rPr>
                      <w:color w:val="auto"/>
                      <w:kern w:val="0"/>
                      <w:szCs w:val="21"/>
                    </w:rPr>
                  </w:pPr>
                  <w:r>
                    <w:rPr>
                      <w:bCs/>
                      <w:color w:val="auto"/>
                      <w:szCs w:val="21"/>
                    </w:rPr>
                    <w:t>磷化剂、促进剂等</w:t>
                  </w:r>
                </w:p>
              </w:tc>
              <w:tc>
                <w:tcPr>
                  <w:tcW w:w="457" w:type="pct"/>
                  <w:vAlign w:val="center"/>
                </w:tcPr>
                <w:p w14:paraId="666EAA1F">
                  <w:pPr>
                    <w:adjustRightInd w:val="0"/>
                    <w:snapToGrid w:val="0"/>
                    <w:jc w:val="center"/>
                    <w:rPr>
                      <w:color w:val="auto"/>
                      <w:kern w:val="0"/>
                      <w:szCs w:val="21"/>
                    </w:rPr>
                  </w:pPr>
                  <w:r>
                    <w:rPr>
                      <w:bCs/>
                      <w:color w:val="auto"/>
                      <w:szCs w:val="21"/>
                    </w:rPr>
                    <w:t>磷化剂、促进剂等</w:t>
                  </w:r>
                </w:p>
              </w:tc>
              <w:tc>
                <w:tcPr>
                  <w:tcW w:w="338" w:type="pct"/>
                  <w:vAlign w:val="center"/>
                </w:tcPr>
                <w:p w14:paraId="3E8159AE">
                  <w:pPr>
                    <w:keepNext/>
                    <w:adjustRightInd w:val="0"/>
                    <w:snapToGrid w:val="0"/>
                    <w:jc w:val="center"/>
                    <w:rPr>
                      <w:color w:val="auto"/>
                      <w:kern w:val="0"/>
                      <w:szCs w:val="21"/>
                    </w:rPr>
                  </w:pPr>
                  <w:r>
                    <w:rPr>
                      <w:color w:val="auto"/>
                      <w:kern w:val="0"/>
                      <w:szCs w:val="21"/>
                    </w:rPr>
                    <w:t>1年</w:t>
                  </w:r>
                </w:p>
              </w:tc>
              <w:tc>
                <w:tcPr>
                  <w:tcW w:w="311" w:type="pct"/>
                  <w:vAlign w:val="center"/>
                </w:tcPr>
                <w:p w14:paraId="035A40B5">
                  <w:pPr>
                    <w:keepNext/>
                    <w:adjustRightInd w:val="0"/>
                    <w:snapToGrid w:val="0"/>
                    <w:jc w:val="center"/>
                    <w:rPr>
                      <w:color w:val="auto"/>
                      <w:kern w:val="0"/>
                      <w:szCs w:val="21"/>
                    </w:rPr>
                  </w:pPr>
                  <w:r>
                    <w:rPr>
                      <w:bCs/>
                      <w:color w:val="auto"/>
                      <w:kern w:val="0"/>
                      <w:szCs w:val="21"/>
                    </w:rPr>
                    <w:t>T/In</w:t>
                  </w:r>
                </w:p>
              </w:tc>
              <w:tc>
                <w:tcPr>
                  <w:tcW w:w="380" w:type="pct"/>
                  <w:vMerge w:val="continue"/>
                  <w:vAlign w:val="center"/>
                </w:tcPr>
                <w:p w14:paraId="387100B9">
                  <w:pPr>
                    <w:adjustRightInd w:val="0"/>
                    <w:snapToGrid w:val="0"/>
                    <w:jc w:val="center"/>
                    <w:rPr>
                      <w:bCs/>
                      <w:color w:val="auto"/>
                      <w:kern w:val="0"/>
                      <w:szCs w:val="21"/>
                    </w:rPr>
                  </w:pPr>
                </w:p>
              </w:tc>
            </w:tr>
            <w:tr w14:paraId="3BC41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1" w:type="pct"/>
                  <w:vAlign w:val="center"/>
                </w:tcPr>
                <w:p w14:paraId="3BE40A34">
                  <w:pPr>
                    <w:keepNext/>
                    <w:adjustRightInd w:val="0"/>
                    <w:snapToGrid w:val="0"/>
                    <w:jc w:val="center"/>
                    <w:rPr>
                      <w:color w:val="auto"/>
                      <w:kern w:val="0"/>
                      <w:szCs w:val="21"/>
                    </w:rPr>
                  </w:pPr>
                  <w:r>
                    <w:rPr>
                      <w:color w:val="auto"/>
                      <w:kern w:val="0"/>
                      <w:szCs w:val="21"/>
                    </w:rPr>
                    <w:t>9</w:t>
                  </w:r>
                </w:p>
              </w:tc>
              <w:tc>
                <w:tcPr>
                  <w:tcW w:w="508" w:type="pct"/>
                  <w:vAlign w:val="center"/>
                </w:tcPr>
                <w:p w14:paraId="366851AC">
                  <w:pPr>
                    <w:keepNext/>
                    <w:adjustRightInd w:val="0"/>
                    <w:snapToGrid w:val="0"/>
                    <w:jc w:val="center"/>
                    <w:rPr>
                      <w:color w:val="auto"/>
                      <w:kern w:val="0"/>
                      <w:szCs w:val="21"/>
                    </w:rPr>
                  </w:pPr>
                  <w:r>
                    <w:rPr>
                      <w:color w:val="auto"/>
                      <w:kern w:val="0"/>
                      <w:szCs w:val="21"/>
                    </w:rPr>
                    <w:t>废槽渣</w:t>
                  </w:r>
                </w:p>
              </w:tc>
              <w:tc>
                <w:tcPr>
                  <w:tcW w:w="423" w:type="pct"/>
                  <w:vAlign w:val="center"/>
                </w:tcPr>
                <w:p w14:paraId="5B11F2B9">
                  <w:pPr>
                    <w:keepNext/>
                    <w:adjustRightInd w:val="0"/>
                    <w:snapToGrid w:val="0"/>
                    <w:jc w:val="center"/>
                    <w:rPr>
                      <w:color w:val="auto"/>
                      <w:kern w:val="0"/>
                      <w:szCs w:val="21"/>
                    </w:rPr>
                  </w:pPr>
                  <w:r>
                    <w:rPr>
                      <w:color w:val="auto"/>
                      <w:kern w:val="0"/>
                      <w:szCs w:val="21"/>
                    </w:rPr>
                    <w:t>HW17</w:t>
                  </w:r>
                </w:p>
              </w:tc>
              <w:tc>
                <w:tcPr>
                  <w:tcW w:w="678" w:type="pct"/>
                  <w:vAlign w:val="center"/>
                </w:tcPr>
                <w:p w14:paraId="5A9988BC">
                  <w:pPr>
                    <w:keepNext/>
                    <w:adjustRightInd w:val="0"/>
                    <w:snapToGrid w:val="0"/>
                    <w:jc w:val="center"/>
                    <w:rPr>
                      <w:color w:val="auto"/>
                      <w:kern w:val="0"/>
                      <w:szCs w:val="21"/>
                    </w:rPr>
                  </w:pPr>
                  <w:r>
                    <w:rPr>
                      <w:color w:val="auto"/>
                      <w:kern w:val="0"/>
                      <w:szCs w:val="21"/>
                    </w:rPr>
                    <w:t>336-064-17</w:t>
                  </w:r>
                </w:p>
              </w:tc>
              <w:tc>
                <w:tcPr>
                  <w:tcW w:w="482" w:type="pct"/>
                  <w:vAlign w:val="center"/>
                </w:tcPr>
                <w:p w14:paraId="4F1F72DB">
                  <w:pPr>
                    <w:keepNext/>
                    <w:adjustRightInd w:val="0"/>
                    <w:snapToGrid w:val="0"/>
                    <w:jc w:val="center"/>
                    <w:rPr>
                      <w:color w:val="auto"/>
                      <w:kern w:val="0"/>
                      <w:szCs w:val="21"/>
                    </w:rPr>
                  </w:pPr>
                  <w:r>
                    <w:rPr>
                      <w:rFonts w:hint="eastAsia"/>
                      <w:color w:val="auto"/>
                      <w:kern w:val="0"/>
                      <w:szCs w:val="21"/>
                    </w:rPr>
                    <w:t>4.86</w:t>
                  </w:r>
                </w:p>
              </w:tc>
              <w:tc>
                <w:tcPr>
                  <w:tcW w:w="495" w:type="pct"/>
                  <w:vAlign w:val="center"/>
                </w:tcPr>
                <w:p w14:paraId="04861E3E">
                  <w:pPr>
                    <w:keepNext/>
                    <w:adjustRightInd w:val="0"/>
                    <w:snapToGrid w:val="0"/>
                    <w:jc w:val="center"/>
                    <w:rPr>
                      <w:color w:val="auto"/>
                      <w:kern w:val="0"/>
                      <w:szCs w:val="21"/>
                    </w:rPr>
                  </w:pPr>
                  <w:r>
                    <w:rPr>
                      <w:color w:val="auto"/>
                      <w:kern w:val="0"/>
                      <w:szCs w:val="21"/>
                    </w:rPr>
                    <w:t>前处理线</w:t>
                  </w:r>
                </w:p>
              </w:tc>
              <w:tc>
                <w:tcPr>
                  <w:tcW w:w="220" w:type="pct"/>
                  <w:vAlign w:val="center"/>
                </w:tcPr>
                <w:p w14:paraId="2842EC78">
                  <w:pPr>
                    <w:keepNext/>
                    <w:adjustRightInd w:val="0"/>
                    <w:snapToGrid w:val="0"/>
                    <w:jc w:val="center"/>
                    <w:rPr>
                      <w:color w:val="auto"/>
                      <w:kern w:val="0"/>
                      <w:szCs w:val="21"/>
                    </w:rPr>
                  </w:pPr>
                  <w:r>
                    <w:rPr>
                      <w:color w:val="auto"/>
                      <w:kern w:val="0"/>
                      <w:szCs w:val="21"/>
                    </w:rPr>
                    <w:t>固体</w:t>
                  </w:r>
                </w:p>
              </w:tc>
              <w:tc>
                <w:tcPr>
                  <w:tcW w:w="431" w:type="pct"/>
                  <w:vAlign w:val="center"/>
                </w:tcPr>
                <w:p w14:paraId="2A76770F">
                  <w:pPr>
                    <w:adjustRightInd w:val="0"/>
                    <w:snapToGrid w:val="0"/>
                    <w:jc w:val="center"/>
                    <w:rPr>
                      <w:color w:val="auto"/>
                      <w:kern w:val="0"/>
                      <w:szCs w:val="21"/>
                    </w:rPr>
                  </w:pPr>
                  <w:r>
                    <w:rPr>
                      <w:bCs/>
                      <w:color w:val="auto"/>
                      <w:szCs w:val="21"/>
                    </w:rPr>
                    <w:t>磷化剂、促进剂等</w:t>
                  </w:r>
                </w:p>
              </w:tc>
              <w:tc>
                <w:tcPr>
                  <w:tcW w:w="457" w:type="pct"/>
                  <w:vAlign w:val="center"/>
                </w:tcPr>
                <w:p w14:paraId="1DC24E85">
                  <w:pPr>
                    <w:adjustRightInd w:val="0"/>
                    <w:snapToGrid w:val="0"/>
                    <w:jc w:val="center"/>
                    <w:rPr>
                      <w:color w:val="auto"/>
                      <w:kern w:val="0"/>
                      <w:szCs w:val="21"/>
                    </w:rPr>
                  </w:pPr>
                  <w:r>
                    <w:rPr>
                      <w:bCs/>
                      <w:color w:val="auto"/>
                      <w:szCs w:val="21"/>
                    </w:rPr>
                    <w:t>磷化剂、促进剂等</w:t>
                  </w:r>
                </w:p>
              </w:tc>
              <w:tc>
                <w:tcPr>
                  <w:tcW w:w="338" w:type="pct"/>
                  <w:vAlign w:val="center"/>
                </w:tcPr>
                <w:p w14:paraId="424B1683">
                  <w:pPr>
                    <w:keepNext/>
                    <w:adjustRightInd w:val="0"/>
                    <w:snapToGrid w:val="0"/>
                    <w:jc w:val="center"/>
                    <w:rPr>
                      <w:color w:val="auto"/>
                      <w:kern w:val="0"/>
                      <w:szCs w:val="21"/>
                    </w:rPr>
                  </w:pPr>
                  <w:r>
                    <w:rPr>
                      <w:color w:val="auto"/>
                      <w:kern w:val="0"/>
                      <w:szCs w:val="21"/>
                    </w:rPr>
                    <w:t>每月</w:t>
                  </w:r>
                </w:p>
              </w:tc>
              <w:tc>
                <w:tcPr>
                  <w:tcW w:w="311" w:type="pct"/>
                  <w:vAlign w:val="center"/>
                </w:tcPr>
                <w:p w14:paraId="55AB8365">
                  <w:pPr>
                    <w:keepNext/>
                    <w:adjustRightInd w:val="0"/>
                    <w:snapToGrid w:val="0"/>
                    <w:jc w:val="center"/>
                    <w:rPr>
                      <w:bCs/>
                      <w:color w:val="auto"/>
                      <w:kern w:val="0"/>
                      <w:szCs w:val="21"/>
                    </w:rPr>
                  </w:pPr>
                  <w:r>
                    <w:rPr>
                      <w:bCs/>
                      <w:color w:val="auto"/>
                      <w:kern w:val="0"/>
                      <w:szCs w:val="21"/>
                    </w:rPr>
                    <w:t>T/C</w:t>
                  </w:r>
                </w:p>
              </w:tc>
              <w:tc>
                <w:tcPr>
                  <w:tcW w:w="380" w:type="pct"/>
                  <w:vMerge w:val="continue"/>
                  <w:vAlign w:val="center"/>
                </w:tcPr>
                <w:p w14:paraId="2FDC916F">
                  <w:pPr>
                    <w:adjustRightInd w:val="0"/>
                    <w:snapToGrid w:val="0"/>
                    <w:jc w:val="center"/>
                    <w:rPr>
                      <w:bCs/>
                      <w:color w:val="auto"/>
                      <w:kern w:val="0"/>
                      <w:szCs w:val="21"/>
                    </w:rPr>
                  </w:pPr>
                </w:p>
              </w:tc>
            </w:tr>
            <w:tr w14:paraId="2E098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71" w:type="pct"/>
                  <w:vAlign w:val="center"/>
                </w:tcPr>
                <w:p w14:paraId="6DB435B7">
                  <w:pPr>
                    <w:keepNext/>
                    <w:adjustRightInd w:val="0"/>
                    <w:snapToGrid w:val="0"/>
                    <w:jc w:val="center"/>
                    <w:rPr>
                      <w:color w:val="auto"/>
                      <w:kern w:val="0"/>
                      <w:szCs w:val="21"/>
                    </w:rPr>
                  </w:pPr>
                  <w:r>
                    <w:rPr>
                      <w:color w:val="auto"/>
                      <w:kern w:val="0"/>
                      <w:szCs w:val="21"/>
                    </w:rPr>
                    <w:t>10</w:t>
                  </w:r>
                </w:p>
              </w:tc>
              <w:tc>
                <w:tcPr>
                  <w:tcW w:w="508" w:type="pct"/>
                  <w:vAlign w:val="center"/>
                </w:tcPr>
                <w:p w14:paraId="357D9794">
                  <w:pPr>
                    <w:keepNext/>
                    <w:adjustRightInd w:val="0"/>
                    <w:snapToGrid w:val="0"/>
                    <w:jc w:val="center"/>
                    <w:rPr>
                      <w:color w:val="auto"/>
                      <w:kern w:val="0"/>
                      <w:szCs w:val="21"/>
                    </w:rPr>
                  </w:pPr>
                  <w:r>
                    <w:rPr>
                      <w:rFonts w:hint="eastAsia"/>
                      <w:color w:val="auto"/>
                      <w:kern w:val="0"/>
                      <w:szCs w:val="21"/>
                    </w:rPr>
                    <w:t>水帘柜废水</w:t>
                  </w:r>
                </w:p>
              </w:tc>
              <w:tc>
                <w:tcPr>
                  <w:tcW w:w="423" w:type="pct"/>
                  <w:vAlign w:val="center"/>
                </w:tcPr>
                <w:p w14:paraId="2E2CEA66">
                  <w:pPr>
                    <w:keepNext/>
                    <w:adjustRightInd w:val="0"/>
                    <w:snapToGrid w:val="0"/>
                    <w:jc w:val="center"/>
                    <w:rPr>
                      <w:color w:val="auto"/>
                      <w:kern w:val="0"/>
                      <w:szCs w:val="21"/>
                    </w:rPr>
                  </w:pPr>
                  <w:r>
                    <w:rPr>
                      <w:rFonts w:hint="eastAsia"/>
                      <w:color w:val="auto"/>
                      <w:kern w:val="0"/>
                      <w:szCs w:val="21"/>
                    </w:rPr>
                    <w:t>HW09</w:t>
                  </w:r>
                </w:p>
              </w:tc>
              <w:tc>
                <w:tcPr>
                  <w:tcW w:w="678" w:type="pct"/>
                  <w:vAlign w:val="center"/>
                </w:tcPr>
                <w:p w14:paraId="0C291889">
                  <w:pPr>
                    <w:keepNext/>
                    <w:adjustRightInd w:val="0"/>
                    <w:snapToGrid w:val="0"/>
                    <w:jc w:val="center"/>
                    <w:rPr>
                      <w:color w:val="auto"/>
                      <w:kern w:val="0"/>
                      <w:szCs w:val="21"/>
                    </w:rPr>
                  </w:pPr>
                  <w:r>
                    <w:rPr>
                      <w:rFonts w:hint="eastAsia"/>
                      <w:color w:val="auto"/>
                      <w:kern w:val="0"/>
                      <w:szCs w:val="21"/>
                    </w:rPr>
                    <w:t>900-007-09</w:t>
                  </w:r>
                </w:p>
              </w:tc>
              <w:tc>
                <w:tcPr>
                  <w:tcW w:w="482" w:type="pct"/>
                  <w:vAlign w:val="center"/>
                </w:tcPr>
                <w:p w14:paraId="1F9EEC34">
                  <w:pPr>
                    <w:keepNext/>
                    <w:adjustRightInd w:val="0"/>
                    <w:snapToGrid w:val="0"/>
                    <w:jc w:val="center"/>
                    <w:rPr>
                      <w:color w:val="auto"/>
                      <w:kern w:val="0"/>
                      <w:szCs w:val="21"/>
                    </w:rPr>
                  </w:pPr>
                  <w:r>
                    <w:rPr>
                      <w:rFonts w:hint="eastAsia"/>
                      <w:color w:val="auto"/>
                      <w:kern w:val="0"/>
                      <w:szCs w:val="21"/>
                    </w:rPr>
                    <w:t>19.76</w:t>
                  </w:r>
                </w:p>
              </w:tc>
              <w:tc>
                <w:tcPr>
                  <w:tcW w:w="495" w:type="pct"/>
                  <w:vAlign w:val="center"/>
                </w:tcPr>
                <w:p w14:paraId="2ED855B7">
                  <w:pPr>
                    <w:keepNext/>
                    <w:adjustRightInd w:val="0"/>
                    <w:snapToGrid w:val="0"/>
                    <w:jc w:val="center"/>
                    <w:rPr>
                      <w:color w:val="auto"/>
                      <w:kern w:val="0"/>
                      <w:szCs w:val="21"/>
                    </w:rPr>
                  </w:pPr>
                  <w:r>
                    <w:rPr>
                      <w:rFonts w:hint="eastAsia"/>
                      <w:color w:val="auto"/>
                      <w:kern w:val="0"/>
                      <w:szCs w:val="21"/>
                    </w:rPr>
                    <w:t>水帘柜</w:t>
                  </w:r>
                </w:p>
              </w:tc>
              <w:tc>
                <w:tcPr>
                  <w:tcW w:w="220" w:type="pct"/>
                  <w:vAlign w:val="center"/>
                </w:tcPr>
                <w:p w14:paraId="3C5D2A9E">
                  <w:pPr>
                    <w:keepNext/>
                    <w:adjustRightInd w:val="0"/>
                    <w:snapToGrid w:val="0"/>
                    <w:jc w:val="center"/>
                    <w:rPr>
                      <w:color w:val="auto"/>
                      <w:kern w:val="0"/>
                      <w:szCs w:val="21"/>
                    </w:rPr>
                  </w:pPr>
                  <w:r>
                    <w:rPr>
                      <w:rFonts w:hint="eastAsia"/>
                      <w:color w:val="auto"/>
                      <w:kern w:val="0"/>
                      <w:szCs w:val="21"/>
                    </w:rPr>
                    <w:t>液体</w:t>
                  </w:r>
                </w:p>
              </w:tc>
              <w:tc>
                <w:tcPr>
                  <w:tcW w:w="431" w:type="pct"/>
                  <w:vAlign w:val="center"/>
                </w:tcPr>
                <w:p w14:paraId="5D38C0C5">
                  <w:pPr>
                    <w:adjustRightInd w:val="0"/>
                    <w:snapToGrid w:val="0"/>
                    <w:jc w:val="center"/>
                    <w:rPr>
                      <w:color w:val="auto"/>
                      <w:kern w:val="0"/>
                      <w:szCs w:val="21"/>
                    </w:rPr>
                  </w:pPr>
                  <w:r>
                    <w:rPr>
                      <w:rFonts w:hint="eastAsia"/>
                      <w:color w:val="auto"/>
                      <w:kern w:val="0"/>
                      <w:szCs w:val="21"/>
                    </w:rPr>
                    <w:t>水</w:t>
                  </w:r>
                </w:p>
              </w:tc>
              <w:tc>
                <w:tcPr>
                  <w:tcW w:w="457" w:type="pct"/>
                  <w:vAlign w:val="center"/>
                </w:tcPr>
                <w:p w14:paraId="65482972">
                  <w:pPr>
                    <w:adjustRightInd w:val="0"/>
                    <w:snapToGrid w:val="0"/>
                    <w:jc w:val="center"/>
                    <w:rPr>
                      <w:color w:val="auto"/>
                      <w:kern w:val="0"/>
                      <w:szCs w:val="21"/>
                    </w:rPr>
                  </w:pPr>
                  <w:r>
                    <w:rPr>
                      <w:rFonts w:hint="eastAsia"/>
                      <w:color w:val="auto"/>
                      <w:kern w:val="0"/>
                      <w:szCs w:val="21"/>
                    </w:rPr>
                    <w:t>涂料</w:t>
                  </w:r>
                </w:p>
              </w:tc>
              <w:tc>
                <w:tcPr>
                  <w:tcW w:w="338" w:type="pct"/>
                  <w:vAlign w:val="center"/>
                </w:tcPr>
                <w:p w14:paraId="1C6AD920">
                  <w:pPr>
                    <w:keepNext/>
                    <w:adjustRightInd w:val="0"/>
                    <w:snapToGrid w:val="0"/>
                    <w:jc w:val="center"/>
                    <w:rPr>
                      <w:color w:val="auto"/>
                      <w:kern w:val="0"/>
                      <w:szCs w:val="21"/>
                    </w:rPr>
                  </w:pPr>
                  <w:r>
                    <w:rPr>
                      <w:rFonts w:hint="eastAsia"/>
                      <w:color w:val="auto"/>
                      <w:kern w:val="0"/>
                      <w:szCs w:val="21"/>
                    </w:rPr>
                    <w:t>每季度</w:t>
                  </w:r>
                </w:p>
              </w:tc>
              <w:tc>
                <w:tcPr>
                  <w:tcW w:w="311" w:type="pct"/>
                  <w:vAlign w:val="center"/>
                </w:tcPr>
                <w:p w14:paraId="4A186AE1">
                  <w:pPr>
                    <w:keepNext/>
                    <w:adjustRightInd w:val="0"/>
                    <w:snapToGrid w:val="0"/>
                    <w:jc w:val="center"/>
                    <w:rPr>
                      <w:bCs/>
                      <w:color w:val="auto"/>
                      <w:kern w:val="0"/>
                      <w:szCs w:val="21"/>
                    </w:rPr>
                  </w:pPr>
                  <w:r>
                    <w:rPr>
                      <w:rFonts w:hint="eastAsia"/>
                      <w:bCs/>
                      <w:color w:val="auto"/>
                      <w:kern w:val="0"/>
                      <w:szCs w:val="21"/>
                    </w:rPr>
                    <w:t>T</w:t>
                  </w:r>
                </w:p>
              </w:tc>
              <w:tc>
                <w:tcPr>
                  <w:tcW w:w="380" w:type="pct"/>
                  <w:vMerge w:val="continue"/>
                  <w:vAlign w:val="center"/>
                </w:tcPr>
                <w:p w14:paraId="25C913CE">
                  <w:pPr>
                    <w:adjustRightInd w:val="0"/>
                    <w:snapToGrid w:val="0"/>
                    <w:jc w:val="center"/>
                    <w:rPr>
                      <w:bCs/>
                      <w:color w:val="auto"/>
                      <w:kern w:val="0"/>
                      <w:szCs w:val="21"/>
                    </w:rPr>
                  </w:pPr>
                </w:p>
              </w:tc>
            </w:tr>
            <w:tr w14:paraId="5C480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1" w:type="pct"/>
                  <w:vAlign w:val="center"/>
                </w:tcPr>
                <w:p w14:paraId="3E686DC0">
                  <w:pPr>
                    <w:keepNext/>
                    <w:adjustRightInd w:val="0"/>
                    <w:snapToGrid w:val="0"/>
                    <w:jc w:val="center"/>
                    <w:rPr>
                      <w:color w:val="auto"/>
                      <w:kern w:val="0"/>
                      <w:szCs w:val="21"/>
                    </w:rPr>
                  </w:pPr>
                  <w:r>
                    <w:rPr>
                      <w:rFonts w:hint="eastAsia"/>
                      <w:color w:val="auto"/>
                      <w:kern w:val="0"/>
                      <w:szCs w:val="21"/>
                    </w:rPr>
                    <w:t>11</w:t>
                  </w:r>
                </w:p>
              </w:tc>
              <w:tc>
                <w:tcPr>
                  <w:tcW w:w="508" w:type="pct"/>
                  <w:vAlign w:val="center"/>
                </w:tcPr>
                <w:p w14:paraId="47472E19">
                  <w:pPr>
                    <w:keepNext/>
                    <w:adjustRightInd w:val="0"/>
                    <w:snapToGrid w:val="0"/>
                    <w:jc w:val="center"/>
                    <w:rPr>
                      <w:color w:val="auto"/>
                      <w:kern w:val="0"/>
                      <w:szCs w:val="21"/>
                    </w:rPr>
                  </w:pPr>
                  <w:r>
                    <w:rPr>
                      <w:rFonts w:hint="eastAsia"/>
                      <w:color w:val="auto"/>
                      <w:kern w:val="0"/>
                      <w:szCs w:val="21"/>
                    </w:rPr>
                    <w:t>废漆渣</w:t>
                  </w:r>
                </w:p>
              </w:tc>
              <w:tc>
                <w:tcPr>
                  <w:tcW w:w="423" w:type="pct"/>
                  <w:vAlign w:val="center"/>
                </w:tcPr>
                <w:p w14:paraId="10C05CA3">
                  <w:pPr>
                    <w:keepNext/>
                    <w:adjustRightInd w:val="0"/>
                    <w:snapToGrid w:val="0"/>
                    <w:jc w:val="center"/>
                    <w:rPr>
                      <w:color w:val="auto"/>
                      <w:kern w:val="0"/>
                      <w:szCs w:val="21"/>
                    </w:rPr>
                  </w:pPr>
                  <w:r>
                    <w:rPr>
                      <w:rFonts w:hint="eastAsia"/>
                      <w:color w:val="auto"/>
                      <w:kern w:val="0"/>
                      <w:szCs w:val="21"/>
                    </w:rPr>
                    <w:t>HW12</w:t>
                  </w:r>
                </w:p>
              </w:tc>
              <w:tc>
                <w:tcPr>
                  <w:tcW w:w="678" w:type="pct"/>
                  <w:vAlign w:val="center"/>
                </w:tcPr>
                <w:p w14:paraId="3EAE8DBD">
                  <w:pPr>
                    <w:keepNext/>
                    <w:adjustRightInd w:val="0"/>
                    <w:snapToGrid w:val="0"/>
                    <w:jc w:val="center"/>
                    <w:rPr>
                      <w:color w:val="auto"/>
                      <w:kern w:val="0"/>
                      <w:szCs w:val="21"/>
                    </w:rPr>
                  </w:pPr>
                  <w:r>
                    <w:rPr>
                      <w:rFonts w:hint="eastAsia"/>
                      <w:color w:val="auto"/>
                      <w:kern w:val="0"/>
                      <w:szCs w:val="21"/>
                    </w:rPr>
                    <w:t>900-252-12</w:t>
                  </w:r>
                </w:p>
              </w:tc>
              <w:tc>
                <w:tcPr>
                  <w:tcW w:w="482" w:type="pct"/>
                  <w:vAlign w:val="center"/>
                </w:tcPr>
                <w:p w14:paraId="49807229">
                  <w:pPr>
                    <w:keepNext/>
                    <w:adjustRightInd w:val="0"/>
                    <w:snapToGrid w:val="0"/>
                    <w:jc w:val="center"/>
                    <w:rPr>
                      <w:color w:val="auto"/>
                      <w:kern w:val="0"/>
                      <w:szCs w:val="21"/>
                    </w:rPr>
                  </w:pPr>
                  <w:r>
                    <w:rPr>
                      <w:rFonts w:hint="eastAsia"/>
                      <w:color w:val="auto"/>
                      <w:kern w:val="0"/>
                      <w:szCs w:val="21"/>
                    </w:rPr>
                    <w:t>0.5</w:t>
                  </w:r>
                </w:p>
              </w:tc>
              <w:tc>
                <w:tcPr>
                  <w:tcW w:w="495" w:type="pct"/>
                  <w:vAlign w:val="center"/>
                </w:tcPr>
                <w:p w14:paraId="5FA87B50">
                  <w:pPr>
                    <w:keepNext/>
                    <w:adjustRightInd w:val="0"/>
                    <w:snapToGrid w:val="0"/>
                    <w:jc w:val="center"/>
                    <w:rPr>
                      <w:color w:val="auto"/>
                      <w:kern w:val="0"/>
                      <w:szCs w:val="21"/>
                    </w:rPr>
                  </w:pPr>
                  <w:r>
                    <w:rPr>
                      <w:rFonts w:hint="eastAsia"/>
                      <w:color w:val="auto"/>
                      <w:kern w:val="0"/>
                      <w:szCs w:val="21"/>
                    </w:rPr>
                    <w:t>水帘柜</w:t>
                  </w:r>
                </w:p>
              </w:tc>
              <w:tc>
                <w:tcPr>
                  <w:tcW w:w="220" w:type="pct"/>
                  <w:vAlign w:val="center"/>
                </w:tcPr>
                <w:p w14:paraId="5D8FA5E5">
                  <w:pPr>
                    <w:keepNext/>
                    <w:adjustRightInd w:val="0"/>
                    <w:snapToGrid w:val="0"/>
                    <w:jc w:val="center"/>
                    <w:rPr>
                      <w:color w:val="auto"/>
                      <w:kern w:val="0"/>
                      <w:szCs w:val="21"/>
                    </w:rPr>
                  </w:pPr>
                  <w:r>
                    <w:rPr>
                      <w:rFonts w:hint="eastAsia"/>
                      <w:color w:val="auto"/>
                      <w:kern w:val="0"/>
                      <w:szCs w:val="21"/>
                    </w:rPr>
                    <w:t>固体</w:t>
                  </w:r>
                </w:p>
              </w:tc>
              <w:tc>
                <w:tcPr>
                  <w:tcW w:w="431" w:type="pct"/>
                  <w:vAlign w:val="center"/>
                </w:tcPr>
                <w:p w14:paraId="6ADC295E">
                  <w:pPr>
                    <w:keepNext/>
                    <w:adjustRightInd w:val="0"/>
                    <w:snapToGrid w:val="0"/>
                    <w:jc w:val="center"/>
                    <w:rPr>
                      <w:color w:val="auto"/>
                      <w:kern w:val="0"/>
                      <w:szCs w:val="21"/>
                    </w:rPr>
                  </w:pPr>
                  <w:r>
                    <w:rPr>
                      <w:color w:val="auto"/>
                      <w:kern w:val="0"/>
                      <w:szCs w:val="21"/>
                    </w:rPr>
                    <w:t>有机物</w:t>
                  </w:r>
                </w:p>
              </w:tc>
              <w:tc>
                <w:tcPr>
                  <w:tcW w:w="457" w:type="pct"/>
                  <w:vAlign w:val="center"/>
                </w:tcPr>
                <w:p w14:paraId="1B2BD990">
                  <w:pPr>
                    <w:keepNext/>
                    <w:adjustRightInd w:val="0"/>
                    <w:snapToGrid w:val="0"/>
                    <w:jc w:val="center"/>
                    <w:rPr>
                      <w:color w:val="auto"/>
                      <w:kern w:val="0"/>
                      <w:szCs w:val="21"/>
                    </w:rPr>
                  </w:pPr>
                  <w:r>
                    <w:rPr>
                      <w:color w:val="auto"/>
                      <w:kern w:val="0"/>
                      <w:szCs w:val="21"/>
                    </w:rPr>
                    <w:t>有机物</w:t>
                  </w:r>
                </w:p>
              </w:tc>
              <w:tc>
                <w:tcPr>
                  <w:tcW w:w="338" w:type="pct"/>
                  <w:vAlign w:val="center"/>
                </w:tcPr>
                <w:p w14:paraId="7C4617B1">
                  <w:pPr>
                    <w:keepNext/>
                    <w:adjustRightInd w:val="0"/>
                    <w:snapToGrid w:val="0"/>
                    <w:jc w:val="center"/>
                    <w:rPr>
                      <w:color w:val="auto"/>
                      <w:kern w:val="0"/>
                      <w:szCs w:val="21"/>
                    </w:rPr>
                  </w:pPr>
                  <w:r>
                    <w:rPr>
                      <w:rFonts w:hint="eastAsia"/>
                      <w:color w:val="auto"/>
                      <w:kern w:val="0"/>
                      <w:szCs w:val="21"/>
                    </w:rPr>
                    <w:t>每月</w:t>
                  </w:r>
                </w:p>
              </w:tc>
              <w:tc>
                <w:tcPr>
                  <w:tcW w:w="311" w:type="pct"/>
                  <w:vAlign w:val="center"/>
                </w:tcPr>
                <w:p w14:paraId="2807CBDA">
                  <w:pPr>
                    <w:pStyle w:val="138"/>
                    <w:widowControl w:val="0"/>
                    <w:textAlignment w:val="baseline"/>
                    <w:rPr>
                      <w:color w:val="auto"/>
                      <w:sz w:val="18"/>
                      <w:szCs w:val="18"/>
                    </w:rPr>
                  </w:pPr>
                  <w:r>
                    <w:rPr>
                      <w:rFonts w:hint="eastAsia"/>
                      <w:color w:val="auto"/>
                      <w:sz w:val="18"/>
                      <w:szCs w:val="18"/>
                    </w:rPr>
                    <w:t>T</w:t>
                  </w:r>
                </w:p>
              </w:tc>
              <w:tc>
                <w:tcPr>
                  <w:tcW w:w="380" w:type="pct"/>
                  <w:vMerge w:val="continue"/>
                  <w:vAlign w:val="center"/>
                </w:tcPr>
                <w:p w14:paraId="4E24290F">
                  <w:pPr>
                    <w:adjustRightInd w:val="0"/>
                    <w:snapToGrid w:val="0"/>
                    <w:jc w:val="center"/>
                    <w:rPr>
                      <w:bCs/>
                      <w:color w:val="auto"/>
                      <w:kern w:val="0"/>
                      <w:szCs w:val="21"/>
                    </w:rPr>
                  </w:pPr>
                </w:p>
              </w:tc>
            </w:tr>
          </w:tbl>
          <w:p w14:paraId="533AB44D">
            <w:pPr>
              <w:adjustRightInd w:val="0"/>
              <w:snapToGrid w:val="0"/>
              <w:jc w:val="left"/>
              <w:rPr>
                <w:b/>
                <w:bCs/>
                <w:color w:val="auto"/>
                <w:szCs w:val="21"/>
              </w:rPr>
            </w:pPr>
            <w:r>
              <w:rPr>
                <w:b/>
                <w:bCs/>
                <w:color w:val="auto"/>
                <w:szCs w:val="21"/>
              </w:rPr>
              <w:t>备注：T毒性、C腐蚀性、I易燃性、In感染性。</w:t>
            </w:r>
          </w:p>
          <w:p w14:paraId="0E23CEC9">
            <w:pPr>
              <w:pStyle w:val="77"/>
              <w:numPr>
                <w:ilvl w:val="0"/>
                <w:numId w:val="18"/>
              </w:numPr>
              <w:adjustRightInd w:val="0"/>
              <w:snapToGrid w:val="0"/>
              <w:jc w:val="center"/>
              <w:rPr>
                <w:b/>
                <w:bCs/>
                <w:iCs/>
                <w:color w:val="auto"/>
                <w:szCs w:val="21"/>
              </w:rPr>
            </w:pPr>
            <w:r>
              <w:rPr>
                <w:rFonts w:hint="eastAsia"/>
                <w:b/>
                <w:bCs/>
                <w:iCs/>
                <w:color w:val="auto"/>
                <w:szCs w:val="21"/>
              </w:rPr>
              <w:t>项目危险废物贮存场所基本情况表</w:t>
            </w:r>
          </w:p>
          <w:tbl>
            <w:tblPr>
              <w:tblStyle w:val="35"/>
              <w:tblW w:w="498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753"/>
              <w:gridCol w:w="1290"/>
              <w:gridCol w:w="1036"/>
              <w:gridCol w:w="1503"/>
              <w:gridCol w:w="664"/>
              <w:gridCol w:w="729"/>
              <w:gridCol w:w="977"/>
              <w:gridCol w:w="955"/>
              <w:gridCol w:w="883"/>
            </w:tblGrid>
            <w:tr w14:paraId="011BE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 w:type="pct"/>
                  <w:tcBorders>
                    <w:top w:val="single" w:color="auto" w:sz="4" w:space="0"/>
                    <w:bottom w:val="single" w:color="auto" w:sz="4" w:space="0"/>
                    <w:right w:val="single" w:color="auto" w:sz="4" w:space="0"/>
                  </w:tcBorders>
                  <w:vAlign w:val="center"/>
                </w:tcPr>
                <w:p w14:paraId="0EC09C36">
                  <w:pPr>
                    <w:adjustRightInd w:val="0"/>
                    <w:snapToGrid w:val="0"/>
                    <w:jc w:val="center"/>
                    <w:rPr>
                      <w:b/>
                      <w:color w:val="auto"/>
                      <w:szCs w:val="21"/>
                    </w:rPr>
                  </w:pPr>
                  <w:r>
                    <w:rPr>
                      <w:b/>
                      <w:color w:val="auto"/>
                      <w:szCs w:val="21"/>
                    </w:rPr>
                    <w:t>序号</w:t>
                  </w:r>
                </w:p>
              </w:tc>
              <w:tc>
                <w:tcPr>
                  <w:tcW w:w="406" w:type="pct"/>
                  <w:tcBorders>
                    <w:top w:val="single" w:color="auto" w:sz="4" w:space="0"/>
                    <w:left w:val="single" w:color="auto" w:sz="4" w:space="0"/>
                    <w:bottom w:val="single" w:color="auto" w:sz="4" w:space="0"/>
                    <w:right w:val="single" w:color="auto" w:sz="4" w:space="0"/>
                  </w:tcBorders>
                  <w:vAlign w:val="center"/>
                </w:tcPr>
                <w:p w14:paraId="0E357705">
                  <w:pPr>
                    <w:adjustRightInd w:val="0"/>
                    <w:snapToGrid w:val="0"/>
                    <w:jc w:val="center"/>
                    <w:rPr>
                      <w:b/>
                      <w:color w:val="auto"/>
                      <w:szCs w:val="21"/>
                    </w:rPr>
                  </w:pPr>
                  <w:r>
                    <w:rPr>
                      <w:b/>
                      <w:color w:val="auto"/>
                      <w:szCs w:val="21"/>
                    </w:rPr>
                    <w:t>贮存场所名称</w:t>
                  </w:r>
                </w:p>
              </w:tc>
              <w:tc>
                <w:tcPr>
                  <w:tcW w:w="697" w:type="pct"/>
                  <w:tcBorders>
                    <w:top w:val="single" w:color="auto" w:sz="4" w:space="0"/>
                    <w:left w:val="single" w:color="auto" w:sz="4" w:space="0"/>
                    <w:bottom w:val="single" w:color="auto" w:sz="4" w:space="0"/>
                    <w:right w:val="single" w:color="auto" w:sz="4" w:space="0"/>
                  </w:tcBorders>
                  <w:vAlign w:val="center"/>
                </w:tcPr>
                <w:p w14:paraId="3423C585">
                  <w:pPr>
                    <w:adjustRightInd w:val="0"/>
                    <w:snapToGrid w:val="0"/>
                    <w:jc w:val="center"/>
                    <w:rPr>
                      <w:b/>
                      <w:color w:val="auto"/>
                      <w:szCs w:val="21"/>
                    </w:rPr>
                  </w:pPr>
                  <w:r>
                    <w:rPr>
                      <w:b/>
                      <w:color w:val="auto"/>
                      <w:szCs w:val="21"/>
                    </w:rPr>
                    <w:t>危险废物名称</w:t>
                  </w:r>
                </w:p>
              </w:tc>
              <w:tc>
                <w:tcPr>
                  <w:tcW w:w="559" w:type="pct"/>
                  <w:tcBorders>
                    <w:top w:val="single" w:color="auto" w:sz="4" w:space="0"/>
                    <w:left w:val="single" w:color="auto" w:sz="4" w:space="0"/>
                    <w:bottom w:val="single" w:color="auto" w:sz="4" w:space="0"/>
                    <w:right w:val="single" w:color="auto" w:sz="4" w:space="0"/>
                  </w:tcBorders>
                  <w:vAlign w:val="center"/>
                </w:tcPr>
                <w:p w14:paraId="5B5D5CD3">
                  <w:pPr>
                    <w:adjustRightInd w:val="0"/>
                    <w:snapToGrid w:val="0"/>
                    <w:jc w:val="center"/>
                    <w:rPr>
                      <w:b/>
                      <w:color w:val="auto"/>
                      <w:szCs w:val="21"/>
                    </w:rPr>
                  </w:pPr>
                  <w:r>
                    <w:rPr>
                      <w:b/>
                      <w:color w:val="auto"/>
                      <w:szCs w:val="21"/>
                    </w:rPr>
                    <w:t>危险废物类别</w:t>
                  </w:r>
                </w:p>
              </w:tc>
              <w:tc>
                <w:tcPr>
                  <w:tcW w:w="812" w:type="pct"/>
                  <w:tcBorders>
                    <w:top w:val="single" w:color="auto" w:sz="4" w:space="0"/>
                    <w:left w:val="single" w:color="auto" w:sz="4" w:space="0"/>
                    <w:bottom w:val="single" w:color="auto" w:sz="4" w:space="0"/>
                    <w:right w:val="single" w:color="auto" w:sz="4" w:space="0"/>
                  </w:tcBorders>
                  <w:vAlign w:val="center"/>
                </w:tcPr>
                <w:p w14:paraId="27BEFEDE">
                  <w:pPr>
                    <w:adjustRightInd w:val="0"/>
                    <w:snapToGrid w:val="0"/>
                    <w:jc w:val="center"/>
                    <w:rPr>
                      <w:b/>
                      <w:color w:val="auto"/>
                      <w:szCs w:val="21"/>
                    </w:rPr>
                  </w:pPr>
                  <w:r>
                    <w:rPr>
                      <w:b/>
                      <w:color w:val="auto"/>
                      <w:szCs w:val="21"/>
                    </w:rPr>
                    <w:t>危险废物代码</w:t>
                  </w:r>
                </w:p>
              </w:tc>
              <w:tc>
                <w:tcPr>
                  <w:tcW w:w="358" w:type="pct"/>
                  <w:tcBorders>
                    <w:top w:val="single" w:color="auto" w:sz="4" w:space="0"/>
                    <w:left w:val="single" w:color="auto" w:sz="4" w:space="0"/>
                    <w:bottom w:val="single" w:color="auto" w:sz="4" w:space="0"/>
                    <w:right w:val="single" w:color="auto" w:sz="4" w:space="0"/>
                  </w:tcBorders>
                  <w:vAlign w:val="center"/>
                </w:tcPr>
                <w:p w14:paraId="654459EC">
                  <w:pPr>
                    <w:adjustRightInd w:val="0"/>
                    <w:snapToGrid w:val="0"/>
                    <w:jc w:val="center"/>
                    <w:rPr>
                      <w:b/>
                      <w:color w:val="auto"/>
                      <w:szCs w:val="21"/>
                    </w:rPr>
                  </w:pPr>
                  <w:r>
                    <w:rPr>
                      <w:b/>
                      <w:color w:val="auto"/>
                      <w:szCs w:val="21"/>
                    </w:rPr>
                    <w:t>位置</w:t>
                  </w:r>
                </w:p>
              </w:tc>
              <w:tc>
                <w:tcPr>
                  <w:tcW w:w="393" w:type="pct"/>
                  <w:tcBorders>
                    <w:top w:val="single" w:color="auto" w:sz="4" w:space="0"/>
                    <w:left w:val="single" w:color="auto" w:sz="4" w:space="0"/>
                    <w:bottom w:val="single" w:color="auto" w:sz="4" w:space="0"/>
                    <w:right w:val="single" w:color="auto" w:sz="4" w:space="0"/>
                  </w:tcBorders>
                  <w:vAlign w:val="center"/>
                </w:tcPr>
                <w:p w14:paraId="0A3A9352">
                  <w:pPr>
                    <w:adjustRightInd w:val="0"/>
                    <w:snapToGrid w:val="0"/>
                    <w:jc w:val="center"/>
                    <w:rPr>
                      <w:b/>
                      <w:color w:val="auto"/>
                      <w:szCs w:val="21"/>
                    </w:rPr>
                  </w:pPr>
                  <w:r>
                    <w:rPr>
                      <w:b/>
                      <w:color w:val="auto"/>
                      <w:szCs w:val="21"/>
                    </w:rPr>
                    <w:t>占地面积</w:t>
                  </w:r>
                </w:p>
              </w:tc>
              <w:tc>
                <w:tcPr>
                  <w:tcW w:w="527" w:type="pct"/>
                  <w:tcBorders>
                    <w:top w:val="single" w:color="auto" w:sz="4" w:space="0"/>
                    <w:left w:val="single" w:color="auto" w:sz="4" w:space="0"/>
                    <w:bottom w:val="single" w:color="auto" w:sz="4" w:space="0"/>
                    <w:right w:val="single" w:color="auto" w:sz="4" w:space="0"/>
                  </w:tcBorders>
                  <w:vAlign w:val="center"/>
                </w:tcPr>
                <w:p w14:paraId="04326970">
                  <w:pPr>
                    <w:adjustRightInd w:val="0"/>
                    <w:snapToGrid w:val="0"/>
                    <w:jc w:val="center"/>
                    <w:rPr>
                      <w:b/>
                      <w:color w:val="auto"/>
                      <w:szCs w:val="21"/>
                    </w:rPr>
                  </w:pPr>
                  <w:r>
                    <w:rPr>
                      <w:b/>
                      <w:color w:val="auto"/>
                      <w:szCs w:val="21"/>
                    </w:rPr>
                    <w:t>贮存方式</w:t>
                  </w:r>
                </w:p>
              </w:tc>
              <w:tc>
                <w:tcPr>
                  <w:tcW w:w="516" w:type="pct"/>
                  <w:tcBorders>
                    <w:top w:val="single" w:color="auto" w:sz="4" w:space="0"/>
                    <w:left w:val="single" w:color="auto" w:sz="4" w:space="0"/>
                    <w:bottom w:val="single" w:color="auto" w:sz="4" w:space="0"/>
                    <w:right w:val="single" w:color="auto" w:sz="4" w:space="0"/>
                  </w:tcBorders>
                  <w:vAlign w:val="center"/>
                </w:tcPr>
                <w:p w14:paraId="1D03AD74">
                  <w:pPr>
                    <w:adjustRightInd w:val="0"/>
                    <w:snapToGrid w:val="0"/>
                    <w:jc w:val="center"/>
                    <w:rPr>
                      <w:b/>
                      <w:color w:val="auto"/>
                      <w:szCs w:val="21"/>
                    </w:rPr>
                  </w:pPr>
                  <w:r>
                    <w:rPr>
                      <w:b/>
                      <w:color w:val="auto"/>
                      <w:szCs w:val="21"/>
                    </w:rPr>
                    <w:t>最大贮存量t</w:t>
                  </w:r>
                </w:p>
              </w:tc>
              <w:tc>
                <w:tcPr>
                  <w:tcW w:w="477" w:type="pct"/>
                  <w:tcBorders>
                    <w:top w:val="single" w:color="auto" w:sz="4" w:space="0"/>
                    <w:left w:val="single" w:color="auto" w:sz="4" w:space="0"/>
                    <w:bottom w:val="single" w:color="auto" w:sz="4" w:space="0"/>
                    <w:right w:val="single" w:color="auto" w:sz="4" w:space="0"/>
                  </w:tcBorders>
                  <w:vAlign w:val="center"/>
                </w:tcPr>
                <w:p w14:paraId="312204B9">
                  <w:pPr>
                    <w:adjustRightInd w:val="0"/>
                    <w:snapToGrid w:val="0"/>
                    <w:jc w:val="center"/>
                    <w:rPr>
                      <w:b/>
                      <w:color w:val="auto"/>
                      <w:szCs w:val="21"/>
                    </w:rPr>
                  </w:pPr>
                  <w:r>
                    <w:rPr>
                      <w:b/>
                      <w:color w:val="auto"/>
                      <w:szCs w:val="21"/>
                    </w:rPr>
                    <w:t>贮存周期</w:t>
                  </w:r>
                </w:p>
              </w:tc>
            </w:tr>
            <w:tr w14:paraId="23796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249" w:type="pct"/>
                  <w:tcBorders>
                    <w:top w:val="single" w:color="auto" w:sz="4" w:space="0"/>
                    <w:left w:val="single" w:color="auto" w:sz="4" w:space="0"/>
                    <w:bottom w:val="single" w:color="auto" w:sz="4" w:space="0"/>
                    <w:right w:val="single" w:color="auto" w:sz="4" w:space="0"/>
                  </w:tcBorders>
                  <w:vAlign w:val="center"/>
                </w:tcPr>
                <w:p w14:paraId="27A992AD">
                  <w:pPr>
                    <w:adjustRightInd w:val="0"/>
                    <w:snapToGrid w:val="0"/>
                    <w:jc w:val="center"/>
                    <w:rPr>
                      <w:color w:val="auto"/>
                      <w:szCs w:val="21"/>
                    </w:rPr>
                  </w:pPr>
                  <w:r>
                    <w:rPr>
                      <w:color w:val="auto"/>
                      <w:szCs w:val="21"/>
                    </w:rPr>
                    <w:t>1</w:t>
                  </w:r>
                </w:p>
              </w:tc>
              <w:tc>
                <w:tcPr>
                  <w:tcW w:w="406" w:type="pct"/>
                  <w:vMerge w:val="restart"/>
                  <w:tcBorders>
                    <w:top w:val="single" w:color="auto" w:sz="4" w:space="0"/>
                    <w:left w:val="single" w:color="auto" w:sz="4" w:space="0"/>
                    <w:bottom w:val="single" w:color="auto" w:sz="4" w:space="0"/>
                    <w:right w:val="single" w:color="auto" w:sz="4" w:space="0"/>
                  </w:tcBorders>
                  <w:vAlign w:val="center"/>
                </w:tcPr>
                <w:p w14:paraId="2F6CC081">
                  <w:pPr>
                    <w:adjustRightInd w:val="0"/>
                    <w:snapToGrid w:val="0"/>
                    <w:jc w:val="center"/>
                    <w:rPr>
                      <w:color w:val="auto"/>
                      <w:szCs w:val="21"/>
                    </w:rPr>
                  </w:pPr>
                  <w:r>
                    <w:rPr>
                      <w:color w:val="auto"/>
                      <w:szCs w:val="21"/>
                    </w:rPr>
                    <w:t>危废暂存间</w:t>
                  </w:r>
                </w:p>
              </w:tc>
              <w:tc>
                <w:tcPr>
                  <w:tcW w:w="697" w:type="pct"/>
                  <w:tcBorders>
                    <w:top w:val="single" w:color="auto" w:sz="4" w:space="0"/>
                    <w:left w:val="single" w:color="auto" w:sz="4" w:space="0"/>
                    <w:bottom w:val="single" w:color="auto" w:sz="4" w:space="0"/>
                    <w:right w:val="single" w:color="auto" w:sz="4" w:space="0"/>
                  </w:tcBorders>
                  <w:vAlign w:val="center"/>
                </w:tcPr>
                <w:p w14:paraId="7A21E90B">
                  <w:pPr>
                    <w:keepNext/>
                    <w:adjustRightInd w:val="0"/>
                    <w:snapToGrid w:val="0"/>
                    <w:jc w:val="center"/>
                    <w:rPr>
                      <w:color w:val="auto"/>
                      <w:szCs w:val="21"/>
                      <w:lang w:bidi="ar"/>
                    </w:rPr>
                  </w:pPr>
                  <w:r>
                    <w:rPr>
                      <w:color w:val="auto"/>
                      <w:szCs w:val="21"/>
                      <w:lang w:bidi="ar"/>
                    </w:rPr>
                    <w:t>废活性炭</w:t>
                  </w:r>
                </w:p>
              </w:tc>
              <w:tc>
                <w:tcPr>
                  <w:tcW w:w="559" w:type="pct"/>
                  <w:tcBorders>
                    <w:top w:val="single" w:color="auto" w:sz="4" w:space="0"/>
                    <w:left w:val="single" w:color="auto" w:sz="4" w:space="0"/>
                    <w:bottom w:val="single" w:color="auto" w:sz="4" w:space="0"/>
                    <w:right w:val="single" w:color="auto" w:sz="4" w:space="0"/>
                  </w:tcBorders>
                  <w:vAlign w:val="center"/>
                </w:tcPr>
                <w:p w14:paraId="01F63AD5">
                  <w:pPr>
                    <w:adjustRightInd w:val="0"/>
                    <w:snapToGrid w:val="0"/>
                    <w:jc w:val="center"/>
                    <w:rPr>
                      <w:bCs/>
                      <w:color w:val="auto"/>
                      <w:szCs w:val="21"/>
                    </w:rPr>
                  </w:pPr>
                  <w:r>
                    <w:rPr>
                      <w:bCs/>
                      <w:color w:val="auto"/>
                      <w:szCs w:val="21"/>
                    </w:rPr>
                    <w:t>HW49</w:t>
                  </w:r>
                </w:p>
              </w:tc>
              <w:tc>
                <w:tcPr>
                  <w:tcW w:w="812" w:type="pct"/>
                  <w:tcBorders>
                    <w:top w:val="single" w:color="auto" w:sz="4" w:space="0"/>
                    <w:left w:val="single" w:color="auto" w:sz="4" w:space="0"/>
                    <w:bottom w:val="single" w:color="auto" w:sz="4" w:space="0"/>
                    <w:right w:val="single" w:color="auto" w:sz="4" w:space="0"/>
                  </w:tcBorders>
                  <w:vAlign w:val="center"/>
                </w:tcPr>
                <w:p w14:paraId="5E3BA191">
                  <w:pPr>
                    <w:adjustRightInd w:val="0"/>
                    <w:snapToGrid w:val="0"/>
                    <w:jc w:val="center"/>
                    <w:rPr>
                      <w:bCs/>
                      <w:color w:val="auto"/>
                      <w:szCs w:val="21"/>
                    </w:rPr>
                  </w:pPr>
                  <w:r>
                    <w:rPr>
                      <w:bCs/>
                      <w:color w:val="auto"/>
                      <w:szCs w:val="21"/>
                    </w:rPr>
                    <w:t>900-039-49</w:t>
                  </w:r>
                </w:p>
              </w:tc>
              <w:tc>
                <w:tcPr>
                  <w:tcW w:w="358" w:type="pct"/>
                  <w:vMerge w:val="restart"/>
                  <w:tcBorders>
                    <w:top w:val="single" w:color="auto" w:sz="4" w:space="0"/>
                    <w:left w:val="single" w:color="auto" w:sz="4" w:space="0"/>
                    <w:bottom w:val="single" w:color="auto" w:sz="4" w:space="0"/>
                    <w:right w:val="single" w:color="auto" w:sz="4" w:space="0"/>
                  </w:tcBorders>
                  <w:vAlign w:val="center"/>
                </w:tcPr>
                <w:p w14:paraId="30B22D9E">
                  <w:pPr>
                    <w:adjustRightInd w:val="0"/>
                    <w:snapToGrid w:val="0"/>
                    <w:jc w:val="center"/>
                    <w:rPr>
                      <w:color w:val="auto"/>
                      <w:szCs w:val="21"/>
                    </w:rPr>
                  </w:pPr>
                  <w:r>
                    <w:rPr>
                      <w:color w:val="auto"/>
                      <w:szCs w:val="21"/>
                    </w:rPr>
                    <w:t>位于</w:t>
                  </w:r>
                  <w:r>
                    <w:rPr>
                      <w:rFonts w:hint="eastAsia"/>
                      <w:color w:val="auto"/>
                      <w:szCs w:val="21"/>
                    </w:rPr>
                    <w:t>6楼</w:t>
                  </w:r>
                </w:p>
              </w:tc>
              <w:tc>
                <w:tcPr>
                  <w:tcW w:w="393" w:type="pct"/>
                  <w:vMerge w:val="restart"/>
                  <w:tcBorders>
                    <w:top w:val="single" w:color="auto" w:sz="4" w:space="0"/>
                    <w:left w:val="single" w:color="auto" w:sz="4" w:space="0"/>
                    <w:bottom w:val="single" w:color="auto" w:sz="4" w:space="0"/>
                    <w:right w:val="single" w:color="auto" w:sz="4" w:space="0"/>
                  </w:tcBorders>
                  <w:vAlign w:val="center"/>
                </w:tcPr>
                <w:p w14:paraId="3E8CCD22">
                  <w:pPr>
                    <w:adjustRightInd w:val="0"/>
                    <w:snapToGrid w:val="0"/>
                    <w:jc w:val="center"/>
                    <w:rPr>
                      <w:color w:val="auto"/>
                      <w:szCs w:val="21"/>
                    </w:rPr>
                  </w:pPr>
                  <w:r>
                    <w:rPr>
                      <w:rFonts w:hint="eastAsia"/>
                      <w:color w:val="auto"/>
                      <w:szCs w:val="21"/>
                    </w:rPr>
                    <w:t>50</w:t>
                  </w:r>
                  <w:r>
                    <w:rPr>
                      <w:color w:val="auto"/>
                      <w:szCs w:val="21"/>
                    </w:rPr>
                    <w:t>m</w:t>
                  </w:r>
                  <w:r>
                    <w:rPr>
                      <w:color w:val="auto"/>
                      <w:szCs w:val="21"/>
                      <w:vertAlign w:val="superscript"/>
                    </w:rPr>
                    <w:t>2</w:t>
                  </w:r>
                </w:p>
              </w:tc>
              <w:tc>
                <w:tcPr>
                  <w:tcW w:w="527" w:type="pct"/>
                  <w:tcBorders>
                    <w:top w:val="single" w:color="auto" w:sz="4" w:space="0"/>
                    <w:left w:val="single" w:color="auto" w:sz="4" w:space="0"/>
                    <w:bottom w:val="single" w:color="auto" w:sz="4" w:space="0"/>
                    <w:right w:val="single" w:color="auto" w:sz="4" w:space="0"/>
                  </w:tcBorders>
                  <w:vAlign w:val="center"/>
                </w:tcPr>
                <w:p w14:paraId="3AA656D0">
                  <w:pPr>
                    <w:adjustRightInd w:val="0"/>
                    <w:snapToGrid w:val="0"/>
                    <w:jc w:val="center"/>
                    <w:rPr>
                      <w:color w:val="auto"/>
                      <w:szCs w:val="21"/>
                    </w:rPr>
                  </w:pPr>
                  <w:r>
                    <w:rPr>
                      <w:color w:val="auto"/>
                      <w:szCs w:val="21"/>
                    </w:rPr>
                    <w:t>袋装</w:t>
                  </w:r>
                </w:p>
              </w:tc>
              <w:tc>
                <w:tcPr>
                  <w:tcW w:w="516" w:type="pct"/>
                  <w:tcBorders>
                    <w:top w:val="single" w:color="auto" w:sz="4" w:space="0"/>
                    <w:left w:val="single" w:color="auto" w:sz="4" w:space="0"/>
                    <w:bottom w:val="single" w:color="auto" w:sz="4" w:space="0"/>
                    <w:right w:val="single" w:color="auto" w:sz="4" w:space="0"/>
                  </w:tcBorders>
                  <w:vAlign w:val="center"/>
                </w:tcPr>
                <w:p w14:paraId="1A5D2BA7">
                  <w:pPr>
                    <w:adjustRightInd w:val="0"/>
                    <w:snapToGrid w:val="0"/>
                    <w:jc w:val="center"/>
                    <w:rPr>
                      <w:bCs/>
                      <w:color w:val="auto"/>
                      <w:szCs w:val="21"/>
                    </w:rPr>
                  </w:pPr>
                  <w:r>
                    <w:rPr>
                      <w:rFonts w:hint="eastAsia"/>
                      <w:bCs/>
                      <w:color w:val="auto"/>
                      <w:szCs w:val="21"/>
                    </w:rPr>
                    <w:t>5</w:t>
                  </w:r>
                </w:p>
              </w:tc>
              <w:tc>
                <w:tcPr>
                  <w:tcW w:w="477" w:type="pct"/>
                  <w:tcBorders>
                    <w:top w:val="single" w:color="auto" w:sz="4" w:space="0"/>
                    <w:left w:val="single" w:color="auto" w:sz="4" w:space="0"/>
                    <w:bottom w:val="single" w:color="auto" w:sz="4" w:space="0"/>
                    <w:right w:val="single" w:color="auto" w:sz="4" w:space="0"/>
                  </w:tcBorders>
                  <w:vAlign w:val="center"/>
                </w:tcPr>
                <w:p w14:paraId="03606117">
                  <w:pPr>
                    <w:adjustRightInd w:val="0"/>
                    <w:snapToGrid w:val="0"/>
                    <w:jc w:val="center"/>
                    <w:rPr>
                      <w:color w:val="auto"/>
                      <w:szCs w:val="21"/>
                    </w:rPr>
                  </w:pPr>
                  <w:r>
                    <w:rPr>
                      <w:color w:val="auto"/>
                      <w:szCs w:val="21"/>
                    </w:rPr>
                    <w:t>3个月</w:t>
                  </w:r>
                </w:p>
              </w:tc>
            </w:tr>
            <w:tr w14:paraId="4441E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tcBorders>
                    <w:top w:val="single" w:color="auto" w:sz="4" w:space="0"/>
                    <w:left w:val="single" w:color="auto" w:sz="4" w:space="0"/>
                    <w:bottom w:val="single" w:color="auto" w:sz="4" w:space="0"/>
                    <w:right w:val="single" w:color="auto" w:sz="4" w:space="0"/>
                  </w:tcBorders>
                  <w:vAlign w:val="center"/>
                </w:tcPr>
                <w:p w14:paraId="030DB457">
                  <w:pPr>
                    <w:adjustRightInd w:val="0"/>
                    <w:snapToGrid w:val="0"/>
                    <w:jc w:val="center"/>
                    <w:rPr>
                      <w:color w:val="auto"/>
                      <w:szCs w:val="21"/>
                    </w:rPr>
                  </w:pPr>
                  <w:r>
                    <w:rPr>
                      <w:color w:val="auto"/>
                      <w:szCs w:val="21"/>
                    </w:rPr>
                    <w:t>2</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3FCC16D1">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13942606">
                  <w:pPr>
                    <w:adjustRightInd w:val="0"/>
                    <w:snapToGrid w:val="0"/>
                    <w:jc w:val="center"/>
                    <w:rPr>
                      <w:bCs/>
                      <w:color w:val="auto"/>
                      <w:szCs w:val="21"/>
                    </w:rPr>
                  </w:pPr>
                  <w:r>
                    <w:rPr>
                      <w:rFonts w:hint="eastAsia"/>
                      <w:color w:val="auto"/>
                      <w:szCs w:val="21"/>
                      <w:lang w:bidi="ar"/>
                    </w:rPr>
                    <w:t>浓缩废液</w:t>
                  </w:r>
                </w:p>
              </w:tc>
              <w:tc>
                <w:tcPr>
                  <w:tcW w:w="559" w:type="pct"/>
                  <w:tcBorders>
                    <w:top w:val="single" w:color="auto" w:sz="4" w:space="0"/>
                    <w:left w:val="single" w:color="auto" w:sz="4" w:space="0"/>
                    <w:bottom w:val="single" w:color="auto" w:sz="4" w:space="0"/>
                    <w:right w:val="single" w:color="auto" w:sz="4" w:space="0"/>
                  </w:tcBorders>
                  <w:vAlign w:val="center"/>
                </w:tcPr>
                <w:p w14:paraId="35837358">
                  <w:pPr>
                    <w:adjustRightInd w:val="0"/>
                    <w:snapToGrid w:val="0"/>
                    <w:jc w:val="center"/>
                    <w:rPr>
                      <w:bCs/>
                      <w:color w:val="auto"/>
                      <w:szCs w:val="21"/>
                    </w:rPr>
                  </w:pPr>
                  <w:r>
                    <w:rPr>
                      <w:bCs/>
                      <w:color w:val="auto"/>
                      <w:szCs w:val="21"/>
                    </w:rPr>
                    <w:t>HW49</w:t>
                  </w:r>
                </w:p>
              </w:tc>
              <w:tc>
                <w:tcPr>
                  <w:tcW w:w="812" w:type="pct"/>
                  <w:tcBorders>
                    <w:top w:val="single" w:color="auto" w:sz="4" w:space="0"/>
                    <w:left w:val="single" w:color="auto" w:sz="4" w:space="0"/>
                    <w:bottom w:val="single" w:color="auto" w:sz="4" w:space="0"/>
                    <w:right w:val="single" w:color="auto" w:sz="4" w:space="0"/>
                  </w:tcBorders>
                  <w:vAlign w:val="center"/>
                </w:tcPr>
                <w:p w14:paraId="0EECD588">
                  <w:pPr>
                    <w:adjustRightInd w:val="0"/>
                    <w:snapToGrid w:val="0"/>
                    <w:jc w:val="center"/>
                    <w:rPr>
                      <w:bCs/>
                      <w:color w:val="auto"/>
                      <w:szCs w:val="21"/>
                    </w:rPr>
                  </w:pPr>
                  <w:r>
                    <w:rPr>
                      <w:rFonts w:hint="eastAsia"/>
                      <w:color w:val="auto"/>
                      <w:szCs w:val="21"/>
                      <w:lang w:bidi="ar"/>
                    </w:rPr>
                    <w:t>772-006-49</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2EC87EBA">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5CB26183">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4253C46B">
                  <w:pPr>
                    <w:adjustRightInd w:val="0"/>
                    <w:snapToGrid w:val="0"/>
                    <w:jc w:val="center"/>
                    <w:rPr>
                      <w:color w:val="auto"/>
                      <w:szCs w:val="21"/>
                    </w:rPr>
                  </w:pPr>
                  <w:r>
                    <w:rPr>
                      <w:color w:val="auto"/>
                      <w:szCs w:val="21"/>
                    </w:rPr>
                    <w:t>桶装</w:t>
                  </w:r>
                </w:p>
              </w:tc>
              <w:tc>
                <w:tcPr>
                  <w:tcW w:w="516" w:type="pct"/>
                  <w:tcBorders>
                    <w:top w:val="single" w:color="auto" w:sz="4" w:space="0"/>
                    <w:left w:val="single" w:color="auto" w:sz="4" w:space="0"/>
                    <w:bottom w:val="single" w:color="auto" w:sz="4" w:space="0"/>
                    <w:right w:val="single" w:color="auto" w:sz="4" w:space="0"/>
                  </w:tcBorders>
                  <w:vAlign w:val="center"/>
                </w:tcPr>
                <w:p w14:paraId="22A310F1">
                  <w:pPr>
                    <w:adjustRightInd w:val="0"/>
                    <w:snapToGrid w:val="0"/>
                    <w:jc w:val="center"/>
                    <w:rPr>
                      <w:bCs/>
                      <w:color w:val="auto"/>
                      <w:szCs w:val="21"/>
                    </w:rPr>
                  </w:pPr>
                  <w:r>
                    <w:rPr>
                      <w:rFonts w:hint="eastAsia"/>
                      <w:bCs/>
                      <w:color w:val="auto"/>
                      <w:szCs w:val="21"/>
                    </w:rPr>
                    <w:t>3</w:t>
                  </w:r>
                </w:p>
              </w:tc>
              <w:tc>
                <w:tcPr>
                  <w:tcW w:w="477" w:type="pct"/>
                  <w:tcBorders>
                    <w:top w:val="single" w:color="auto" w:sz="4" w:space="0"/>
                    <w:left w:val="single" w:color="auto" w:sz="4" w:space="0"/>
                    <w:bottom w:val="single" w:color="auto" w:sz="4" w:space="0"/>
                    <w:right w:val="single" w:color="auto" w:sz="4" w:space="0"/>
                  </w:tcBorders>
                  <w:vAlign w:val="center"/>
                </w:tcPr>
                <w:p w14:paraId="64CDBFBF">
                  <w:pPr>
                    <w:adjustRightInd w:val="0"/>
                    <w:snapToGrid w:val="0"/>
                    <w:jc w:val="center"/>
                    <w:rPr>
                      <w:color w:val="auto"/>
                      <w:szCs w:val="21"/>
                    </w:rPr>
                  </w:pPr>
                  <w:r>
                    <w:rPr>
                      <w:color w:val="auto"/>
                      <w:szCs w:val="21"/>
                    </w:rPr>
                    <w:t>3个月</w:t>
                  </w:r>
                </w:p>
              </w:tc>
            </w:tr>
            <w:tr w14:paraId="2E92D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tcBorders>
                    <w:top w:val="single" w:color="auto" w:sz="4" w:space="0"/>
                    <w:left w:val="single" w:color="auto" w:sz="4" w:space="0"/>
                    <w:bottom w:val="single" w:color="auto" w:sz="4" w:space="0"/>
                    <w:right w:val="single" w:color="auto" w:sz="4" w:space="0"/>
                  </w:tcBorders>
                  <w:vAlign w:val="center"/>
                </w:tcPr>
                <w:p w14:paraId="2F28BD8B">
                  <w:pPr>
                    <w:adjustRightInd w:val="0"/>
                    <w:snapToGrid w:val="0"/>
                    <w:jc w:val="center"/>
                    <w:rPr>
                      <w:color w:val="auto"/>
                      <w:szCs w:val="21"/>
                    </w:rPr>
                  </w:pPr>
                  <w:r>
                    <w:rPr>
                      <w:color w:val="auto"/>
                      <w:szCs w:val="21"/>
                    </w:rPr>
                    <w:t>3</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48FC4BDF">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11F783B4">
                  <w:pPr>
                    <w:adjustRightInd w:val="0"/>
                    <w:snapToGrid w:val="0"/>
                    <w:jc w:val="center"/>
                    <w:rPr>
                      <w:bCs/>
                      <w:color w:val="auto"/>
                      <w:szCs w:val="21"/>
                    </w:rPr>
                  </w:pPr>
                  <w:r>
                    <w:rPr>
                      <w:bCs/>
                      <w:color w:val="auto"/>
                      <w:szCs w:val="21"/>
                    </w:rPr>
                    <w:t>污泥</w:t>
                  </w:r>
                </w:p>
              </w:tc>
              <w:tc>
                <w:tcPr>
                  <w:tcW w:w="559" w:type="pct"/>
                  <w:tcBorders>
                    <w:top w:val="single" w:color="auto" w:sz="4" w:space="0"/>
                    <w:left w:val="single" w:color="auto" w:sz="4" w:space="0"/>
                    <w:bottom w:val="single" w:color="auto" w:sz="4" w:space="0"/>
                    <w:right w:val="single" w:color="auto" w:sz="4" w:space="0"/>
                  </w:tcBorders>
                  <w:vAlign w:val="center"/>
                </w:tcPr>
                <w:p w14:paraId="5F845420">
                  <w:pPr>
                    <w:adjustRightInd w:val="0"/>
                    <w:snapToGrid w:val="0"/>
                    <w:jc w:val="center"/>
                    <w:rPr>
                      <w:bCs/>
                      <w:color w:val="auto"/>
                      <w:szCs w:val="21"/>
                    </w:rPr>
                  </w:pPr>
                  <w:r>
                    <w:rPr>
                      <w:bCs/>
                      <w:color w:val="auto"/>
                      <w:szCs w:val="21"/>
                    </w:rPr>
                    <w:t>HW17</w:t>
                  </w:r>
                </w:p>
              </w:tc>
              <w:tc>
                <w:tcPr>
                  <w:tcW w:w="812" w:type="pct"/>
                  <w:tcBorders>
                    <w:top w:val="single" w:color="auto" w:sz="4" w:space="0"/>
                    <w:left w:val="single" w:color="auto" w:sz="4" w:space="0"/>
                    <w:bottom w:val="single" w:color="auto" w:sz="4" w:space="0"/>
                    <w:right w:val="single" w:color="auto" w:sz="4" w:space="0"/>
                  </w:tcBorders>
                  <w:vAlign w:val="center"/>
                </w:tcPr>
                <w:p w14:paraId="729C3141">
                  <w:pPr>
                    <w:adjustRightInd w:val="0"/>
                    <w:snapToGrid w:val="0"/>
                    <w:jc w:val="center"/>
                    <w:rPr>
                      <w:bCs/>
                      <w:color w:val="auto"/>
                      <w:szCs w:val="21"/>
                    </w:rPr>
                  </w:pPr>
                  <w:r>
                    <w:rPr>
                      <w:bCs/>
                      <w:color w:val="auto"/>
                      <w:szCs w:val="21"/>
                    </w:rPr>
                    <w:t>336-064-17</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6D1A7E73">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2C71FB16">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2BBA57D4">
                  <w:pPr>
                    <w:adjustRightInd w:val="0"/>
                    <w:snapToGrid w:val="0"/>
                    <w:jc w:val="center"/>
                    <w:rPr>
                      <w:color w:val="auto"/>
                      <w:szCs w:val="21"/>
                    </w:rPr>
                  </w:pPr>
                  <w:r>
                    <w:rPr>
                      <w:color w:val="auto"/>
                      <w:szCs w:val="21"/>
                    </w:rPr>
                    <w:t>桶装</w:t>
                  </w:r>
                </w:p>
              </w:tc>
              <w:tc>
                <w:tcPr>
                  <w:tcW w:w="516" w:type="pct"/>
                  <w:tcBorders>
                    <w:top w:val="single" w:color="auto" w:sz="4" w:space="0"/>
                    <w:left w:val="single" w:color="auto" w:sz="4" w:space="0"/>
                    <w:bottom w:val="single" w:color="auto" w:sz="4" w:space="0"/>
                    <w:right w:val="single" w:color="auto" w:sz="4" w:space="0"/>
                  </w:tcBorders>
                  <w:vAlign w:val="center"/>
                </w:tcPr>
                <w:p w14:paraId="26C83BE1">
                  <w:pPr>
                    <w:adjustRightInd w:val="0"/>
                    <w:snapToGrid w:val="0"/>
                    <w:jc w:val="center"/>
                    <w:rPr>
                      <w:bCs/>
                      <w:color w:val="auto"/>
                      <w:szCs w:val="21"/>
                    </w:rPr>
                  </w:pPr>
                  <w:r>
                    <w:rPr>
                      <w:rFonts w:hint="eastAsia"/>
                      <w:bCs/>
                      <w:color w:val="auto"/>
                      <w:szCs w:val="21"/>
                    </w:rPr>
                    <w:t>3</w:t>
                  </w:r>
                </w:p>
              </w:tc>
              <w:tc>
                <w:tcPr>
                  <w:tcW w:w="477" w:type="pct"/>
                  <w:tcBorders>
                    <w:top w:val="single" w:color="auto" w:sz="4" w:space="0"/>
                    <w:left w:val="single" w:color="auto" w:sz="4" w:space="0"/>
                    <w:bottom w:val="single" w:color="auto" w:sz="4" w:space="0"/>
                    <w:right w:val="single" w:color="auto" w:sz="4" w:space="0"/>
                  </w:tcBorders>
                  <w:vAlign w:val="center"/>
                </w:tcPr>
                <w:p w14:paraId="6AADF4BD">
                  <w:pPr>
                    <w:adjustRightInd w:val="0"/>
                    <w:snapToGrid w:val="0"/>
                    <w:jc w:val="center"/>
                    <w:rPr>
                      <w:color w:val="auto"/>
                      <w:szCs w:val="21"/>
                    </w:rPr>
                  </w:pPr>
                  <w:r>
                    <w:rPr>
                      <w:rFonts w:hint="eastAsia"/>
                      <w:color w:val="auto"/>
                      <w:szCs w:val="21"/>
                    </w:rPr>
                    <w:t>1</w:t>
                  </w:r>
                  <w:r>
                    <w:rPr>
                      <w:color w:val="auto"/>
                      <w:szCs w:val="21"/>
                    </w:rPr>
                    <w:t>个月</w:t>
                  </w:r>
                </w:p>
              </w:tc>
            </w:tr>
            <w:tr w14:paraId="30A9B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49" w:type="pct"/>
                  <w:tcBorders>
                    <w:top w:val="single" w:color="auto" w:sz="4" w:space="0"/>
                    <w:left w:val="single" w:color="auto" w:sz="4" w:space="0"/>
                    <w:bottom w:val="single" w:color="auto" w:sz="4" w:space="0"/>
                    <w:right w:val="single" w:color="auto" w:sz="4" w:space="0"/>
                  </w:tcBorders>
                  <w:vAlign w:val="center"/>
                </w:tcPr>
                <w:p w14:paraId="51D6EA5A">
                  <w:pPr>
                    <w:adjustRightInd w:val="0"/>
                    <w:snapToGrid w:val="0"/>
                    <w:jc w:val="center"/>
                    <w:rPr>
                      <w:color w:val="auto"/>
                      <w:szCs w:val="21"/>
                    </w:rPr>
                  </w:pPr>
                  <w:r>
                    <w:rPr>
                      <w:color w:val="auto"/>
                      <w:szCs w:val="21"/>
                    </w:rPr>
                    <w:t>4</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3CE95E74">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5FD96739">
                  <w:pPr>
                    <w:keepNext/>
                    <w:adjustRightInd w:val="0"/>
                    <w:snapToGrid w:val="0"/>
                    <w:jc w:val="center"/>
                    <w:rPr>
                      <w:color w:val="auto"/>
                      <w:szCs w:val="21"/>
                      <w:lang w:bidi="ar"/>
                    </w:rPr>
                  </w:pPr>
                  <w:r>
                    <w:rPr>
                      <w:color w:val="auto"/>
                      <w:szCs w:val="21"/>
                      <w:lang w:bidi="ar"/>
                    </w:rPr>
                    <w:t>废原料空桶</w:t>
                  </w:r>
                </w:p>
              </w:tc>
              <w:tc>
                <w:tcPr>
                  <w:tcW w:w="559" w:type="pct"/>
                  <w:tcBorders>
                    <w:top w:val="single" w:color="auto" w:sz="4" w:space="0"/>
                    <w:left w:val="single" w:color="auto" w:sz="4" w:space="0"/>
                    <w:bottom w:val="single" w:color="auto" w:sz="4" w:space="0"/>
                    <w:right w:val="single" w:color="auto" w:sz="4" w:space="0"/>
                  </w:tcBorders>
                  <w:vAlign w:val="center"/>
                </w:tcPr>
                <w:p w14:paraId="3259E2CE">
                  <w:pPr>
                    <w:adjustRightInd w:val="0"/>
                    <w:snapToGrid w:val="0"/>
                    <w:jc w:val="center"/>
                    <w:rPr>
                      <w:color w:val="auto"/>
                      <w:szCs w:val="21"/>
                    </w:rPr>
                  </w:pPr>
                  <w:r>
                    <w:rPr>
                      <w:color w:val="auto"/>
                      <w:szCs w:val="21"/>
                    </w:rPr>
                    <w:t>HW49</w:t>
                  </w:r>
                </w:p>
              </w:tc>
              <w:tc>
                <w:tcPr>
                  <w:tcW w:w="812" w:type="pct"/>
                  <w:tcBorders>
                    <w:top w:val="single" w:color="auto" w:sz="4" w:space="0"/>
                    <w:left w:val="single" w:color="auto" w:sz="4" w:space="0"/>
                    <w:bottom w:val="single" w:color="auto" w:sz="4" w:space="0"/>
                    <w:right w:val="single" w:color="auto" w:sz="4" w:space="0"/>
                  </w:tcBorders>
                  <w:vAlign w:val="center"/>
                </w:tcPr>
                <w:p w14:paraId="3D5EBE4C">
                  <w:pPr>
                    <w:adjustRightInd w:val="0"/>
                    <w:snapToGrid w:val="0"/>
                    <w:jc w:val="center"/>
                    <w:rPr>
                      <w:bCs/>
                      <w:color w:val="auto"/>
                      <w:szCs w:val="21"/>
                    </w:rPr>
                  </w:pPr>
                  <w:r>
                    <w:rPr>
                      <w:bCs/>
                      <w:color w:val="auto"/>
                      <w:szCs w:val="21"/>
                    </w:rPr>
                    <w:t>900-041-49</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76B72BB1">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6C142D71">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5D2049E6">
                  <w:pPr>
                    <w:adjustRightInd w:val="0"/>
                    <w:snapToGrid w:val="0"/>
                    <w:jc w:val="center"/>
                    <w:rPr>
                      <w:color w:val="auto"/>
                      <w:szCs w:val="21"/>
                    </w:rPr>
                  </w:pPr>
                  <w:r>
                    <w:rPr>
                      <w:color w:val="auto"/>
                      <w:szCs w:val="21"/>
                    </w:rPr>
                    <w:t>袋装</w:t>
                  </w:r>
                </w:p>
              </w:tc>
              <w:tc>
                <w:tcPr>
                  <w:tcW w:w="516" w:type="pct"/>
                  <w:tcBorders>
                    <w:top w:val="single" w:color="auto" w:sz="4" w:space="0"/>
                    <w:left w:val="single" w:color="auto" w:sz="4" w:space="0"/>
                    <w:bottom w:val="single" w:color="auto" w:sz="4" w:space="0"/>
                    <w:right w:val="single" w:color="auto" w:sz="4" w:space="0"/>
                  </w:tcBorders>
                  <w:vAlign w:val="center"/>
                </w:tcPr>
                <w:p w14:paraId="3ABFF484">
                  <w:pPr>
                    <w:adjustRightInd w:val="0"/>
                    <w:snapToGrid w:val="0"/>
                    <w:jc w:val="center"/>
                    <w:rPr>
                      <w:bCs/>
                      <w:color w:val="auto"/>
                      <w:szCs w:val="21"/>
                    </w:rPr>
                  </w:pPr>
                  <w:r>
                    <w:rPr>
                      <w:rFonts w:hint="eastAsia"/>
                      <w:bCs/>
                      <w:color w:val="auto"/>
                      <w:szCs w:val="21"/>
                    </w:rPr>
                    <w:t>0.5</w:t>
                  </w:r>
                </w:p>
              </w:tc>
              <w:tc>
                <w:tcPr>
                  <w:tcW w:w="477" w:type="pct"/>
                  <w:tcBorders>
                    <w:top w:val="single" w:color="auto" w:sz="4" w:space="0"/>
                    <w:left w:val="single" w:color="auto" w:sz="4" w:space="0"/>
                    <w:bottom w:val="single" w:color="auto" w:sz="4" w:space="0"/>
                    <w:right w:val="single" w:color="auto" w:sz="4" w:space="0"/>
                  </w:tcBorders>
                  <w:vAlign w:val="center"/>
                </w:tcPr>
                <w:p w14:paraId="71143E5F">
                  <w:pPr>
                    <w:adjustRightInd w:val="0"/>
                    <w:snapToGrid w:val="0"/>
                    <w:jc w:val="center"/>
                    <w:rPr>
                      <w:color w:val="auto"/>
                      <w:szCs w:val="21"/>
                    </w:rPr>
                  </w:pPr>
                  <w:r>
                    <w:rPr>
                      <w:rFonts w:hint="eastAsia"/>
                      <w:color w:val="auto"/>
                      <w:szCs w:val="21"/>
                    </w:rPr>
                    <w:t>1年</w:t>
                  </w:r>
                </w:p>
              </w:tc>
            </w:tr>
            <w:tr w14:paraId="204B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49" w:type="pct"/>
                  <w:tcBorders>
                    <w:top w:val="single" w:color="auto" w:sz="4" w:space="0"/>
                    <w:left w:val="single" w:color="auto" w:sz="4" w:space="0"/>
                    <w:bottom w:val="single" w:color="auto" w:sz="4" w:space="0"/>
                    <w:right w:val="single" w:color="auto" w:sz="4" w:space="0"/>
                  </w:tcBorders>
                  <w:vAlign w:val="center"/>
                </w:tcPr>
                <w:p w14:paraId="7A804528">
                  <w:pPr>
                    <w:adjustRightInd w:val="0"/>
                    <w:snapToGrid w:val="0"/>
                    <w:jc w:val="center"/>
                    <w:rPr>
                      <w:color w:val="auto"/>
                      <w:szCs w:val="21"/>
                    </w:rPr>
                  </w:pPr>
                  <w:r>
                    <w:rPr>
                      <w:color w:val="auto"/>
                      <w:szCs w:val="21"/>
                    </w:rPr>
                    <w:t>5</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25EA0C5D">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1EE916F1">
                  <w:pPr>
                    <w:keepNext/>
                    <w:adjustRightInd w:val="0"/>
                    <w:snapToGrid w:val="0"/>
                    <w:jc w:val="center"/>
                    <w:rPr>
                      <w:color w:val="auto"/>
                      <w:szCs w:val="21"/>
                      <w:lang w:bidi="ar"/>
                    </w:rPr>
                  </w:pPr>
                  <w:r>
                    <w:rPr>
                      <w:color w:val="auto"/>
                      <w:szCs w:val="21"/>
                      <w:lang w:bidi="ar"/>
                    </w:rPr>
                    <w:t>废机油</w:t>
                  </w:r>
                </w:p>
              </w:tc>
              <w:tc>
                <w:tcPr>
                  <w:tcW w:w="559" w:type="pct"/>
                  <w:tcBorders>
                    <w:top w:val="single" w:color="auto" w:sz="4" w:space="0"/>
                    <w:left w:val="single" w:color="auto" w:sz="4" w:space="0"/>
                    <w:bottom w:val="single" w:color="auto" w:sz="4" w:space="0"/>
                    <w:right w:val="single" w:color="auto" w:sz="4" w:space="0"/>
                  </w:tcBorders>
                  <w:vAlign w:val="center"/>
                </w:tcPr>
                <w:p w14:paraId="6F21D624">
                  <w:pPr>
                    <w:adjustRightInd w:val="0"/>
                    <w:snapToGrid w:val="0"/>
                    <w:jc w:val="center"/>
                    <w:rPr>
                      <w:color w:val="auto"/>
                      <w:szCs w:val="21"/>
                    </w:rPr>
                  </w:pPr>
                  <w:r>
                    <w:rPr>
                      <w:color w:val="auto"/>
                      <w:szCs w:val="21"/>
                    </w:rPr>
                    <w:t>HW08</w:t>
                  </w:r>
                </w:p>
              </w:tc>
              <w:tc>
                <w:tcPr>
                  <w:tcW w:w="812" w:type="pct"/>
                  <w:tcBorders>
                    <w:top w:val="single" w:color="auto" w:sz="4" w:space="0"/>
                    <w:left w:val="single" w:color="auto" w:sz="4" w:space="0"/>
                    <w:bottom w:val="single" w:color="auto" w:sz="4" w:space="0"/>
                    <w:right w:val="single" w:color="auto" w:sz="4" w:space="0"/>
                  </w:tcBorders>
                  <w:vAlign w:val="center"/>
                </w:tcPr>
                <w:p w14:paraId="002124EF">
                  <w:pPr>
                    <w:adjustRightInd w:val="0"/>
                    <w:snapToGrid w:val="0"/>
                    <w:jc w:val="center"/>
                    <w:rPr>
                      <w:bCs/>
                      <w:color w:val="auto"/>
                      <w:szCs w:val="21"/>
                    </w:rPr>
                  </w:pPr>
                  <w:r>
                    <w:rPr>
                      <w:bCs/>
                      <w:color w:val="auto"/>
                      <w:szCs w:val="21"/>
                    </w:rPr>
                    <w:t>900-249-08</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12929010">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1BAD61E0">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659088B9">
                  <w:pPr>
                    <w:adjustRightInd w:val="0"/>
                    <w:snapToGrid w:val="0"/>
                    <w:jc w:val="center"/>
                    <w:rPr>
                      <w:color w:val="auto"/>
                      <w:szCs w:val="21"/>
                    </w:rPr>
                  </w:pPr>
                  <w:r>
                    <w:rPr>
                      <w:color w:val="auto"/>
                      <w:szCs w:val="21"/>
                    </w:rPr>
                    <w:t>桶装</w:t>
                  </w:r>
                </w:p>
              </w:tc>
              <w:tc>
                <w:tcPr>
                  <w:tcW w:w="516" w:type="pct"/>
                  <w:tcBorders>
                    <w:top w:val="single" w:color="auto" w:sz="4" w:space="0"/>
                    <w:left w:val="single" w:color="auto" w:sz="4" w:space="0"/>
                    <w:bottom w:val="single" w:color="auto" w:sz="4" w:space="0"/>
                    <w:right w:val="single" w:color="auto" w:sz="4" w:space="0"/>
                  </w:tcBorders>
                  <w:vAlign w:val="center"/>
                </w:tcPr>
                <w:p w14:paraId="74DA1604">
                  <w:pPr>
                    <w:adjustRightInd w:val="0"/>
                    <w:snapToGrid w:val="0"/>
                    <w:jc w:val="center"/>
                    <w:rPr>
                      <w:bCs/>
                      <w:color w:val="auto"/>
                      <w:szCs w:val="21"/>
                    </w:rPr>
                  </w:pPr>
                  <w:r>
                    <w:rPr>
                      <w:rFonts w:hint="eastAsia"/>
                      <w:bCs/>
                      <w:color w:val="auto"/>
                      <w:szCs w:val="21"/>
                    </w:rPr>
                    <w:t>0.5</w:t>
                  </w:r>
                </w:p>
              </w:tc>
              <w:tc>
                <w:tcPr>
                  <w:tcW w:w="477" w:type="pct"/>
                  <w:tcBorders>
                    <w:top w:val="single" w:color="auto" w:sz="4" w:space="0"/>
                    <w:left w:val="single" w:color="auto" w:sz="4" w:space="0"/>
                    <w:bottom w:val="single" w:color="auto" w:sz="4" w:space="0"/>
                    <w:right w:val="single" w:color="auto" w:sz="4" w:space="0"/>
                  </w:tcBorders>
                  <w:vAlign w:val="center"/>
                </w:tcPr>
                <w:p w14:paraId="6D8B9E79">
                  <w:pPr>
                    <w:adjustRightInd w:val="0"/>
                    <w:snapToGrid w:val="0"/>
                    <w:jc w:val="center"/>
                    <w:rPr>
                      <w:color w:val="auto"/>
                      <w:szCs w:val="21"/>
                    </w:rPr>
                  </w:pPr>
                  <w:r>
                    <w:rPr>
                      <w:rFonts w:hint="eastAsia"/>
                      <w:color w:val="auto"/>
                      <w:szCs w:val="21"/>
                    </w:rPr>
                    <w:t>1年</w:t>
                  </w:r>
                </w:p>
              </w:tc>
            </w:tr>
            <w:tr w14:paraId="2CA9A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249" w:type="pct"/>
                  <w:tcBorders>
                    <w:top w:val="single" w:color="auto" w:sz="4" w:space="0"/>
                    <w:left w:val="single" w:color="auto" w:sz="4" w:space="0"/>
                    <w:bottom w:val="single" w:color="auto" w:sz="4" w:space="0"/>
                    <w:right w:val="single" w:color="auto" w:sz="4" w:space="0"/>
                  </w:tcBorders>
                  <w:vAlign w:val="center"/>
                </w:tcPr>
                <w:p w14:paraId="08CB0BA7">
                  <w:pPr>
                    <w:adjustRightInd w:val="0"/>
                    <w:snapToGrid w:val="0"/>
                    <w:jc w:val="center"/>
                    <w:rPr>
                      <w:color w:val="auto"/>
                      <w:szCs w:val="21"/>
                    </w:rPr>
                  </w:pPr>
                  <w:r>
                    <w:rPr>
                      <w:color w:val="auto"/>
                      <w:szCs w:val="21"/>
                    </w:rPr>
                    <w:t>6</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708AA7FC">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125B4FBB">
                  <w:pPr>
                    <w:keepNext/>
                    <w:adjustRightInd w:val="0"/>
                    <w:snapToGrid w:val="0"/>
                    <w:jc w:val="center"/>
                    <w:rPr>
                      <w:color w:val="auto"/>
                      <w:szCs w:val="21"/>
                      <w:lang w:bidi="ar"/>
                    </w:rPr>
                  </w:pPr>
                  <w:r>
                    <w:rPr>
                      <w:color w:val="auto"/>
                      <w:szCs w:val="21"/>
                      <w:lang w:bidi="ar"/>
                    </w:rPr>
                    <w:t>废含油抹布和手套</w:t>
                  </w:r>
                </w:p>
              </w:tc>
              <w:tc>
                <w:tcPr>
                  <w:tcW w:w="559" w:type="pct"/>
                  <w:tcBorders>
                    <w:top w:val="single" w:color="auto" w:sz="4" w:space="0"/>
                    <w:left w:val="single" w:color="auto" w:sz="4" w:space="0"/>
                    <w:bottom w:val="single" w:color="auto" w:sz="4" w:space="0"/>
                    <w:right w:val="single" w:color="auto" w:sz="4" w:space="0"/>
                  </w:tcBorders>
                  <w:vAlign w:val="center"/>
                </w:tcPr>
                <w:p w14:paraId="540E8309">
                  <w:pPr>
                    <w:adjustRightInd w:val="0"/>
                    <w:snapToGrid w:val="0"/>
                    <w:jc w:val="center"/>
                    <w:rPr>
                      <w:bCs/>
                      <w:color w:val="auto"/>
                      <w:szCs w:val="21"/>
                    </w:rPr>
                  </w:pPr>
                  <w:r>
                    <w:rPr>
                      <w:bCs/>
                      <w:color w:val="auto"/>
                      <w:szCs w:val="21"/>
                    </w:rPr>
                    <w:t>HW49</w:t>
                  </w:r>
                </w:p>
              </w:tc>
              <w:tc>
                <w:tcPr>
                  <w:tcW w:w="812" w:type="pct"/>
                  <w:tcBorders>
                    <w:top w:val="single" w:color="auto" w:sz="4" w:space="0"/>
                    <w:left w:val="single" w:color="auto" w:sz="4" w:space="0"/>
                    <w:bottom w:val="single" w:color="auto" w:sz="4" w:space="0"/>
                    <w:right w:val="single" w:color="auto" w:sz="4" w:space="0"/>
                  </w:tcBorders>
                  <w:vAlign w:val="center"/>
                </w:tcPr>
                <w:p w14:paraId="4BC5E2C2">
                  <w:pPr>
                    <w:adjustRightInd w:val="0"/>
                    <w:snapToGrid w:val="0"/>
                    <w:jc w:val="center"/>
                    <w:rPr>
                      <w:bCs/>
                      <w:color w:val="auto"/>
                      <w:szCs w:val="21"/>
                    </w:rPr>
                  </w:pPr>
                  <w:r>
                    <w:rPr>
                      <w:bCs/>
                      <w:color w:val="auto"/>
                      <w:szCs w:val="21"/>
                    </w:rPr>
                    <w:t>900-041-49</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01991B4D">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69B8FEE2">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791720DB">
                  <w:pPr>
                    <w:adjustRightInd w:val="0"/>
                    <w:snapToGrid w:val="0"/>
                    <w:jc w:val="center"/>
                    <w:rPr>
                      <w:color w:val="auto"/>
                      <w:szCs w:val="21"/>
                    </w:rPr>
                  </w:pPr>
                  <w:r>
                    <w:rPr>
                      <w:color w:val="auto"/>
                      <w:szCs w:val="21"/>
                    </w:rPr>
                    <w:t>袋装</w:t>
                  </w:r>
                </w:p>
              </w:tc>
              <w:tc>
                <w:tcPr>
                  <w:tcW w:w="516" w:type="pct"/>
                  <w:tcBorders>
                    <w:top w:val="single" w:color="auto" w:sz="4" w:space="0"/>
                    <w:left w:val="single" w:color="auto" w:sz="4" w:space="0"/>
                    <w:bottom w:val="single" w:color="auto" w:sz="4" w:space="0"/>
                    <w:right w:val="single" w:color="auto" w:sz="4" w:space="0"/>
                  </w:tcBorders>
                  <w:vAlign w:val="center"/>
                </w:tcPr>
                <w:p w14:paraId="0754676D">
                  <w:pPr>
                    <w:adjustRightInd w:val="0"/>
                    <w:snapToGrid w:val="0"/>
                    <w:jc w:val="center"/>
                    <w:rPr>
                      <w:bCs/>
                      <w:color w:val="auto"/>
                      <w:szCs w:val="21"/>
                    </w:rPr>
                  </w:pPr>
                  <w:r>
                    <w:rPr>
                      <w:rFonts w:hint="eastAsia"/>
                      <w:bCs/>
                      <w:color w:val="auto"/>
                      <w:szCs w:val="21"/>
                    </w:rPr>
                    <w:t>0.5</w:t>
                  </w:r>
                </w:p>
              </w:tc>
              <w:tc>
                <w:tcPr>
                  <w:tcW w:w="477" w:type="pct"/>
                  <w:tcBorders>
                    <w:top w:val="single" w:color="auto" w:sz="4" w:space="0"/>
                    <w:left w:val="single" w:color="auto" w:sz="4" w:space="0"/>
                    <w:bottom w:val="single" w:color="auto" w:sz="4" w:space="0"/>
                    <w:right w:val="single" w:color="auto" w:sz="4" w:space="0"/>
                  </w:tcBorders>
                  <w:vAlign w:val="center"/>
                </w:tcPr>
                <w:p w14:paraId="4C10696F">
                  <w:pPr>
                    <w:adjustRightInd w:val="0"/>
                    <w:snapToGrid w:val="0"/>
                    <w:jc w:val="center"/>
                    <w:rPr>
                      <w:color w:val="auto"/>
                      <w:szCs w:val="21"/>
                    </w:rPr>
                  </w:pPr>
                  <w:r>
                    <w:rPr>
                      <w:rFonts w:hint="eastAsia"/>
                      <w:color w:val="auto"/>
                      <w:szCs w:val="21"/>
                    </w:rPr>
                    <w:t>1年</w:t>
                  </w:r>
                </w:p>
              </w:tc>
            </w:tr>
            <w:tr w14:paraId="6CC54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9" w:type="pct"/>
                  <w:tcBorders>
                    <w:top w:val="single" w:color="auto" w:sz="4" w:space="0"/>
                    <w:left w:val="single" w:color="auto" w:sz="4" w:space="0"/>
                    <w:bottom w:val="single" w:color="auto" w:sz="4" w:space="0"/>
                    <w:right w:val="single" w:color="auto" w:sz="4" w:space="0"/>
                  </w:tcBorders>
                  <w:vAlign w:val="center"/>
                </w:tcPr>
                <w:p w14:paraId="028FFA52">
                  <w:pPr>
                    <w:adjustRightInd w:val="0"/>
                    <w:snapToGrid w:val="0"/>
                    <w:jc w:val="center"/>
                    <w:rPr>
                      <w:color w:val="auto"/>
                      <w:szCs w:val="21"/>
                    </w:rPr>
                  </w:pPr>
                  <w:r>
                    <w:rPr>
                      <w:color w:val="auto"/>
                      <w:szCs w:val="21"/>
                    </w:rPr>
                    <w:t>7</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6882DB2D">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7F1F40D0">
                  <w:pPr>
                    <w:keepNext/>
                    <w:adjustRightInd w:val="0"/>
                    <w:snapToGrid w:val="0"/>
                    <w:jc w:val="center"/>
                    <w:rPr>
                      <w:color w:val="auto"/>
                      <w:kern w:val="0"/>
                      <w:szCs w:val="21"/>
                    </w:rPr>
                  </w:pPr>
                  <w:r>
                    <w:rPr>
                      <w:rFonts w:hint="eastAsia"/>
                      <w:color w:val="auto"/>
                      <w:kern w:val="0"/>
                      <w:szCs w:val="21"/>
                    </w:rPr>
                    <w:t>废RO膜</w:t>
                  </w:r>
                </w:p>
              </w:tc>
              <w:tc>
                <w:tcPr>
                  <w:tcW w:w="559" w:type="pct"/>
                  <w:tcBorders>
                    <w:top w:val="single" w:color="auto" w:sz="4" w:space="0"/>
                    <w:left w:val="single" w:color="auto" w:sz="4" w:space="0"/>
                    <w:bottom w:val="single" w:color="auto" w:sz="4" w:space="0"/>
                    <w:right w:val="single" w:color="auto" w:sz="4" w:space="0"/>
                  </w:tcBorders>
                  <w:vAlign w:val="center"/>
                </w:tcPr>
                <w:p w14:paraId="6D0658E1">
                  <w:pPr>
                    <w:keepNext/>
                    <w:adjustRightInd w:val="0"/>
                    <w:snapToGrid w:val="0"/>
                    <w:jc w:val="center"/>
                    <w:rPr>
                      <w:color w:val="auto"/>
                      <w:kern w:val="0"/>
                      <w:szCs w:val="21"/>
                    </w:rPr>
                  </w:pPr>
                  <w:r>
                    <w:rPr>
                      <w:color w:val="auto"/>
                      <w:kern w:val="0"/>
                      <w:szCs w:val="21"/>
                    </w:rPr>
                    <w:t>HW49</w:t>
                  </w:r>
                </w:p>
              </w:tc>
              <w:tc>
                <w:tcPr>
                  <w:tcW w:w="812" w:type="pct"/>
                  <w:tcBorders>
                    <w:top w:val="single" w:color="auto" w:sz="4" w:space="0"/>
                    <w:left w:val="single" w:color="auto" w:sz="4" w:space="0"/>
                    <w:bottom w:val="single" w:color="auto" w:sz="4" w:space="0"/>
                    <w:right w:val="single" w:color="auto" w:sz="4" w:space="0"/>
                  </w:tcBorders>
                  <w:vAlign w:val="center"/>
                </w:tcPr>
                <w:p w14:paraId="278CB08B">
                  <w:pPr>
                    <w:keepNext/>
                    <w:adjustRightInd w:val="0"/>
                    <w:snapToGrid w:val="0"/>
                    <w:jc w:val="center"/>
                    <w:rPr>
                      <w:color w:val="auto"/>
                      <w:kern w:val="0"/>
                      <w:szCs w:val="21"/>
                    </w:rPr>
                  </w:pPr>
                  <w:r>
                    <w:rPr>
                      <w:color w:val="auto"/>
                      <w:kern w:val="0"/>
                      <w:szCs w:val="21"/>
                    </w:rPr>
                    <w:t>900-041-49</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5B5D8143">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2D34CD18">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5DACDED2">
                  <w:pPr>
                    <w:adjustRightInd w:val="0"/>
                    <w:snapToGrid w:val="0"/>
                    <w:jc w:val="center"/>
                    <w:rPr>
                      <w:color w:val="auto"/>
                      <w:szCs w:val="21"/>
                    </w:rPr>
                  </w:pPr>
                  <w:r>
                    <w:rPr>
                      <w:color w:val="auto"/>
                      <w:szCs w:val="21"/>
                    </w:rPr>
                    <w:t>袋装</w:t>
                  </w:r>
                </w:p>
              </w:tc>
              <w:tc>
                <w:tcPr>
                  <w:tcW w:w="516" w:type="pct"/>
                  <w:tcBorders>
                    <w:top w:val="single" w:color="auto" w:sz="4" w:space="0"/>
                    <w:left w:val="single" w:color="auto" w:sz="4" w:space="0"/>
                    <w:bottom w:val="single" w:color="auto" w:sz="4" w:space="0"/>
                    <w:right w:val="single" w:color="auto" w:sz="4" w:space="0"/>
                  </w:tcBorders>
                  <w:vAlign w:val="center"/>
                </w:tcPr>
                <w:p w14:paraId="4BECF49B">
                  <w:pPr>
                    <w:adjustRightInd w:val="0"/>
                    <w:snapToGrid w:val="0"/>
                    <w:jc w:val="center"/>
                    <w:rPr>
                      <w:bCs/>
                      <w:color w:val="auto"/>
                      <w:szCs w:val="21"/>
                    </w:rPr>
                  </w:pPr>
                  <w:r>
                    <w:rPr>
                      <w:rFonts w:hint="eastAsia"/>
                      <w:bCs/>
                      <w:color w:val="auto"/>
                      <w:szCs w:val="21"/>
                    </w:rPr>
                    <w:t>0.5</w:t>
                  </w:r>
                </w:p>
              </w:tc>
              <w:tc>
                <w:tcPr>
                  <w:tcW w:w="477" w:type="pct"/>
                  <w:tcBorders>
                    <w:top w:val="single" w:color="auto" w:sz="4" w:space="0"/>
                    <w:left w:val="single" w:color="auto" w:sz="4" w:space="0"/>
                    <w:bottom w:val="single" w:color="auto" w:sz="4" w:space="0"/>
                    <w:right w:val="single" w:color="auto" w:sz="4" w:space="0"/>
                  </w:tcBorders>
                  <w:vAlign w:val="center"/>
                </w:tcPr>
                <w:p w14:paraId="5C70C1BD">
                  <w:pPr>
                    <w:adjustRightInd w:val="0"/>
                    <w:snapToGrid w:val="0"/>
                    <w:jc w:val="center"/>
                    <w:rPr>
                      <w:color w:val="auto"/>
                      <w:szCs w:val="21"/>
                    </w:rPr>
                  </w:pPr>
                  <w:r>
                    <w:rPr>
                      <w:rFonts w:hint="eastAsia"/>
                      <w:color w:val="auto"/>
                      <w:szCs w:val="21"/>
                    </w:rPr>
                    <w:t>1年</w:t>
                  </w:r>
                </w:p>
              </w:tc>
            </w:tr>
            <w:tr w14:paraId="2B288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9" w:type="pct"/>
                  <w:tcBorders>
                    <w:top w:val="single" w:color="auto" w:sz="4" w:space="0"/>
                    <w:left w:val="single" w:color="auto" w:sz="4" w:space="0"/>
                    <w:bottom w:val="single" w:color="auto" w:sz="4" w:space="0"/>
                    <w:right w:val="single" w:color="auto" w:sz="4" w:space="0"/>
                  </w:tcBorders>
                  <w:vAlign w:val="center"/>
                </w:tcPr>
                <w:p w14:paraId="67D822B6">
                  <w:pPr>
                    <w:adjustRightInd w:val="0"/>
                    <w:snapToGrid w:val="0"/>
                    <w:jc w:val="center"/>
                    <w:rPr>
                      <w:color w:val="auto"/>
                      <w:szCs w:val="21"/>
                    </w:rPr>
                  </w:pPr>
                  <w:r>
                    <w:rPr>
                      <w:color w:val="auto"/>
                      <w:szCs w:val="21"/>
                    </w:rPr>
                    <w:t>8</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69B89E5E">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6AA07ED2">
                  <w:pPr>
                    <w:keepNext/>
                    <w:adjustRightInd w:val="0"/>
                    <w:snapToGrid w:val="0"/>
                    <w:jc w:val="center"/>
                    <w:rPr>
                      <w:color w:val="auto"/>
                      <w:kern w:val="0"/>
                      <w:szCs w:val="21"/>
                    </w:rPr>
                  </w:pPr>
                  <w:r>
                    <w:rPr>
                      <w:color w:val="auto"/>
                      <w:kern w:val="0"/>
                      <w:szCs w:val="21"/>
                    </w:rPr>
                    <w:t>废滤芯</w:t>
                  </w:r>
                </w:p>
              </w:tc>
              <w:tc>
                <w:tcPr>
                  <w:tcW w:w="559" w:type="pct"/>
                  <w:tcBorders>
                    <w:top w:val="single" w:color="auto" w:sz="4" w:space="0"/>
                    <w:left w:val="single" w:color="auto" w:sz="4" w:space="0"/>
                    <w:bottom w:val="single" w:color="auto" w:sz="4" w:space="0"/>
                    <w:right w:val="single" w:color="auto" w:sz="4" w:space="0"/>
                  </w:tcBorders>
                  <w:vAlign w:val="center"/>
                </w:tcPr>
                <w:p w14:paraId="2A2E361A">
                  <w:pPr>
                    <w:keepNext/>
                    <w:adjustRightInd w:val="0"/>
                    <w:snapToGrid w:val="0"/>
                    <w:jc w:val="center"/>
                    <w:rPr>
                      <w:color w:val="auto"/>
                      <w:kern w:val="0"/>
                      <w:szCs w:val="21"/>
                    </w:rPr>
                  </w:pPr>
                  <w:r>
                    <w:rPr>
                      <w:color w:val="auto"/>
                      <w:kern w:val="0"/>
                      <w:szCs w:val="21"/>
                    </w:rPr>
                    <w:t>HW49</w:t>
                  </w:r>
                </w:p>
              </w:tc>
              <w:tc>
                <w:tcPr>
                  <w:tcW w:w="812" w:type="pct"/>
                  <w:tcBorders>
                    <w:top w:val="single" w:color="auto" w:sz="4" w:space="0"/>
                    <w:left w:val="single" w:color="auto" w:sz="4" w:space="0"/>
                    <w:bottom w:val="single" w:color="auto" w:sz="4" w:space="0"/>
                    <w:right w:val="single" w:color="auto" w:sz="4" w:space="0"/>
                  </w:tcBorders>
                  <w:vAlign w:val="center"/>
                </w:tcPr>
                <w:p w14:paraId="49DE47EE">
                  <w:pPr>
                    <w:keepNext/>
                    <w:adjustRightInd w:val="0"/>
                    <w:snapToGrid w:val="0"/>
                    <w:jc w:val="center"/>
                    <w:rPr>
                      <w:color w:val="auto"/>
                      <w:kern w:val="0"/>
                      <w:szCs w:val="21"/>
                    </w:rPr>
                  </w:pPr>
                  <w:r>
                    <w:rPr>
                      <w:color w:val="auto"/>
                      <w:kern w:val="0"/>
                      <w:szCs w:val="21"/>
                    </w:rPr>
                    <w:t>900-041-49</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6F7A500C">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425DCD5A">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239BCC3D">
                  <w:pPr>
                    <w:adjustRightInd w:val="0"/>
                    <w:snapToGrid w:val="0"/>
                    <w:jc w:val="center"/>
                    <w:rPr>
                      <w:color w:val="auto"/>
                      <w:szCs w:val="21"/>
                    </w:rPr>
                  </w:pPr>
                  <w:r>
                    <w:rPr>
                      <w:color w:val="auto"/>
                      <w:szCs w:val="21"/>
                    </w:rPr>
                    <w:t>袋装</w:t>
                  </w:r>
                </w:p>
              </w:tc>
              <w:tc>
                <w:tcPr>
                  <w:tcW w:w="516" w:type="pct"/>
                  <w:tcBorders>
                    <w:top w:val="single" w:color="auto" w:sz="4" w:space="0"/>
                    <w:left w:val="single" w:color="auto" w:sz="4" w:space="0"/>
                    <w:bottom w:val="single" w:color="auto" w:sz="4" w:space="0"/>
                    <w:right w:val="single" w:color="auto" w:sz="4" w:space="0"/>
                  </w:tcBorders>
                  <w:vAlign w:val="center"/>
                </w:tcPr>
                <w:p w14:paraId="2AF71222">
                  <w:pPr>
                    <w:adjustRightInd w:val="0"/>
                    <w:snapToGrid w:val="0"/>
                    <w:jc w:val="center"/>
                    <w:rPr>
                      <w:bCs/>
                      <w:color w:val="auto"/>
                      <w:szCs w:val="21"/>
                    </w:rPr>
                  </w:pPr>
                  <w:r>
                    <w:rPr>
                      <w:rFonts w:hint="eastAsia"/>
                      <w:bCs/>
                      <w:color w:val="auto"/>
                      <w:szCs w:val="21"/>
                    </w:rPr>
                    <w:t>0.2</w:t>
                  </w:r>
                </w:p>
              </w:tc>
              <w:tc>
                <w:tcPr>
                  <w:tcW w:w="477" w:type="pct"/>
                  <w:tcBorders>
                    <w:top w:val="single" w:color="auto" w:sz="4" w:space="0"/>
                    <w:left w:val="single" w:color="auto" w:sz="4" w:space="0"/>
                    <w:bottom w:val="single" w:color="auto" w:sz="4" w:space="0"/>
                    <w:right w:val="single" w:color="auto" w:sz="4" w:space="0"/>
                  </w:tcBorders>
                  <w:vAlign w:val="center"/>
                </w:tcPr>
                <w:p w14:paraId="637F7140">
                  <w:pPr>
                    <w:adjustRightInd w:val="0"/>
                    <w:snapToGrid w:val="0"/>
                    <w:jc w:val="center"/>
                    <w:rPr>
                      <w:color w:val="auto"/>
                      <w:szCs w:val="21"/>
                    </w:rPr>
                  </w:pPr>
                  <w:r>
                    <w:rPr>
                      <w:rFonts w:hint="eastAsia"/>
                      <w:color w:val="auto"/>
                      <w:szCs w:val="21"/>
                    </w:rPr>
                    <w:t>1年</w:t>
                  </w:r>
                </w:p>
              </w:tc>
            </w:tr>
            <w:tr w14:paraId="41AC6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49" w:type="pct"/>
                  <w:tcBorders>
                    <w:top w:val="single" w:color="auto" w:sz="4" w:space="0"/>
                    <w:left w:val="single" w:color="auto" w:sz="4" w:space="0"/>
                    <w:bottom w:val="single" w:color="auto" w:sz="4" w:space="0"/>
                    <w:right w:val="single" w:color="auto" w:sz="4" w:space="0"/>
                  </w:tcBorders>
                  <w:vAlign w:val="center"/>
                </w:tcPr>
                <w:p w14:paraId="4D03D84F">
                  <w:pPr>
                    <w:adjustRightInd w:val="0"/>
                    <w:snapToGrid w:val="0"/>
                    <w:jc w:val="center"/>
                    <w:rPr>
                      <w:color w:val="auto"/>
                      <w:szCs w:val="21"/>
                    </w:rPr>
                  </w:pPr>
                  <w:r>
                    <w:rPr>
                      <w:color w:val="auto"/>
                      <w:szCs w:val="21"/>
                    </w:rPr>
                    <w:t>9</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278E32F5">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154595D5">
                  <w:pPr>
                    <w:keepNext/>
                    <w:adjustRightInd w:val="0"/>
                    <w:snapToGrid w:val="0"/>
                    <w:jc w:val="center"/>
                    <w:rPr>
                      <w:color w:val="auto"/>
                      <w:kern w:val="0"/>
                      <w:szCs w:val="21"/>
                    </w:rPr>
                  </w:pPr>
                  <w:r>
                    <w:rPr>
                      <w:color w:val="auto"/>
                      <w:kern w:val="0"/>
                      <w:szCs w:val="21"/>
                    </w:rPr>
                    <w:t>废槽渣</w:t>
                  </w:r>
                </w:p>
              </w:tc>
              <w:tc>
                <w:tcPr>
                  <w:tcW w:w="559" w:type="pct"/>
                  <w:tcBorders>
                    <w:top w:val="single" w:color="auto" w:sz="4" w:space="0"/>
                    <w:left w:val="single" w:color="auto" w:sz="4" w:space="0"/>
                    <w:bottom w:val="single" w:color="auto" w:sz="4" w:space="0"/>
                    <w:right w:val="single" w:color="auto" w:sz="4" w:space="0"/>
                  </w:tcBorders>
                  <w:vAlign w:val="center"/>
                </w:tcPr>
                <w:p w14:paraId="2991C207">
                  <w:pPr>
                    <w:keepNext/>
                    <w:adjustRightInd w:val="0"/>
                    <w:snapToGrid w:val="0"/>
                    <w:jc w:val="center"/>
                    <w:rPr>
                      <w:color w:val="auto"/>
                      <w:kern w:val="0"/>
                      <w:szCs w:val="21"/>
                    </w:rPr>
                  </w:pPr>
                  <w:r>
                    <w:rPr>
                      <w:color w:val="auto"/>
                      <w:kern w:val="0"/>
                      <w:szCs w:val="21"/>
                    </w:rPr>
                    <w:t>HW17</w:t>
                  </w:r>
                </w:p>
              </w:tc>
              <w:tc>
                <w:tcPr>
                  <w:tcW w:w="812" w:type="pct"/>
                  <w:tcBorders>
                    <w:top w:val="single" w:color="auto" w:sz="4" w:space="0"/>
                    <w:left w:val="single" w:color="auto" w:sz="4" w:space="0"/>
                    <w:bottom w:val="single" w:color="auto" w:sz="4" w:space="0"/>
                    <w:right w:val="single" w:color="auto" w:sz="4" w:space="0"/>
                  </w:tcBorders>
                  <w:vAlign w:val="center"/>
                </w:tcPr>
                <w:p w14:paraId="57CD627B">
                  <w:pPr>
                    <w:keepNext/>
                    <w:adjustRightInd w:val="0"/>
                    <w:snapToGrid w:val="0"/>
                    <w:jc w:val="center"/>
                    <w:rPr>
                      <w:color w:val="auto"/>
                      <w:kern w:val="0"/>
                      <w:szCs w:val="21"/>
                    </w:rPr>
                  </w:pPr>
                  <w:r>
                    <w:rPr>
                      <w:color w:val="auto"/>
                      <w:kern w:val="0"/>
                      <w:szCs w:val="21"/>
                    </w:rPr>
                    <w:t>336-064-17</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7D47DDA6">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490F28C2">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659B7344">
                  <w:pPr>
                    <w:adjustRightInd w:val="0"/>
                    <w:snapToGrid w:val="0"/>
                    <w:jc w:val="center"/>
                    <w:rPr>
                      <w:color w:val="auto"/>
                      <w:szCs w:val="21"/>
                    </w:rPr>
                  </w:pPr>
                  <w:r>
                    <w:rPr>
                      <w:color w:val="auto"/>
                      <w:szCs w:val="21"/>
                    </w:rPr>
                    <w:t>桶装</w:t>
                  </w:r>
                </w:p>
              </w:tc>
              <w:tc>
                <w:tcPr>
                  <w:tcW w:w="516" w:type="pct"/>
                  <w:tcBorders>
                    <w:top w:val="single" w:color="auto" w:sz="4" w:space="0"/>
                    <w:left w:val="single" w:color="auto" w:sz="4" w:space="0"/>
                    <w:bottom w:val="single" w:color="auto" w:sz="4" w:space="0"/>
                    <w:right w:val="single" w:color="auto" w:sz="4" w:space="0"/>
                  </w:tcBorders>
                  <w:vAlign w:val="center"/>
                </w:tcPr>
                <w:p w14:paraId="17A1DAE9">
                  <w:pPr>
                    <w:adjustRightInd w:val="0"/>
                    <w:snapToGrid w:val="0"/>
                    <w:jc w:val="center"/>
                    <w:rPr>
                      <w:bCs/>
                      <w:color w:val="auto"/>
                      <w:szCs w:val="21"/>
                    </w:rPr>
                  </w:pPr>
                  <w:r>
                    <w:rPr>
                      <w:rFonts w:hint="eastAsia"/>
                      <w:bCs/>
                      <w:color w:val="auto"/>
                      <w:szCs w:val="21"/>
                    </w:rPr>
                    <w:t>3</w:t>
                  </w:r>
                </w:p>
              </w:tc>
              <w:tc>
                <w:tcPr>
                  <w:tcW w:w="477" w:type="pct"/>
                  <w:tcBorders>
                    <w:top w:val="single" w:color="auto" w:sz="4" w:space="0"/>
                    <w:left w:val="single" w:color="auto" w:sz="4" w:space="0"/>
                    <w:bottom w:val="single" w:color="auto" w:sz="4" w:space="0"/>
                    <w:right w:val="single" w:color="auto" w:sz="4" w:space="0"/>
                  </w:tcBorders>
                  <w:vAlign w:val="center"/>
                </w:tcPr>
                <w:p w14:paraId="3757E301">
                  <w:pPr>
                    <w:adjustRightInd w:val="0"/>
                    <w:snapToGrid w:val="0"/>
                    <w:jc w:val="center"/>
                    <w:rPr>
                      <w:color w:val="auto"/>
                      <w:szCs w:val="21"/>
                    </w:rPr>
                  </w:pPr>
                  <w:r>
                    <w:rPr>
                      <w:color w:val="auto"/>
                      <w:szCs w:val="21"/>
                    </w:rPr>
                    <w:t>3个月</w:t>
                  </w:r>
                </w:p>
              </w:tc>
            </w:tr>
            <w:tr w14:paraId="5AC5C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op w:val="single" w:color="auto" w:sz="4" w:space="0"/>
                    <w:left w:val="single" w:color="auto" w:sz="4" w:space="0"/>
                    <w:bottom w:val="single" w:color="auto" w:sz="4" w:space="0"/>
                    <w:right w:val="single" w:color="auto" w:sz="4" w:space="0"/>
                  </w:tcBorders>
                  <w:vAlign w:val="center"/>
                </w:tcPr>
                <w:p w14:paraId="0DDF14AA">
                  <w:pPr>
                    <w:adjustRightInd w:val="0"/>
                    <w:snapToGrid w:val="0"/>
                    <w:jc w:val="center"/>
                    <w:rPr>
                      <w:color w:val="auto"/>
                      <w:szCs w:val="21"/>
                    </w:rPr>
                  </w:pPr>
                  <w:r>
                    <w:rPr>
                      <w:rFonts w:hint="eastAsia"/>
                      <w:color w:val="auto"/>
                      <w:szCs w:val="21"/>
                    </w:rPr>
                    <w:t>10</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4228774E">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2575B1FF">
                  <w:pPr>
                    <w:keepNext/>
                    <w:adjustRightInd w:val="0"/>
                    <w:snapToGrid w:val="0"/>
                    <w:jc w:val="center"/>
                    <w:rPr>
                      <w:color w:val="auto"/>
                      <w:kern w:val="0"/>
                      <w:szCs w:val="21"/>
                    </w:rPr>
                  </w:pPr>
                  <w:r>
                    <w:rPr>
                      <w:rFonts w:hint="eastAsia"/>
                      <w:color w:val="auto"/>
                      <w:kern w:val="0"/>
                      <w:szCs w:val="21"/>
                    </w:rPr>
                    <w:t>水帘柜废水</w:t>
                  </w:r>
                </w:p>
              </w:tc>
              <w:tc>
                <w:tcPr>
                  <w:tcW w:w="559" w:type="pct"/>
                  <w:tcBorders>
                    <w:top w:val="single" w:color="auto" w:sz="4" w:space="0"/>
                    <w:left w:val="single" w:color="auto" w:sz="4" w:space="0"/>
                    <w:bottom w:val="single" w:color="auto" w:sz="4" w:space="0"/>
                    <w:right w:val="single" w:color="auto" w:sz="4" w:space="0"/>
                  </w:tcBorders>
                  <w:vAlign w:val="center"/>
                </w:tcPr>
                <w:p w14:paraId="2F3A4221">
                  <w:pPr>
                    <w:keepNext/>
                    <w:adjustRightInd w:val="0"/>
                    <w:snapToGrid w:val="0"/>
                    <w:jc w:val="center"/>
                    <w:rPr>
                      <w:color w:val="auto"/>
                      <w:kern w:val="0"/>
                      <w:szCs w:val="21"/>
                    </w:rPr>
                  </w:pPr>
                  <w:r>
                    <w:rPr>
                      <w:rFonts w:hint="eastAsia"/>
                      <w:color w:val="auto"/>
                      <w:kern w:val="0"/>
                      <w:szCs w:val="21"/>
                    </w:rPr>
                    <w:t>HW09</w:t>
                  </w:r>
                </w:p>
              </w:tc>
              <w:tc>
                <w:tcPr>
                  <w:tcW w:w="812" w:type="pct"/>
                  <w:tcBorders>
                    <w:top w:val="single" w:color="auto" w:sz="4" w:space="0"/>
                    <w:left w:val="single" w:color="auto" w:sz="4" w:space="0"/>
                    <w:bottom w:val="single" w:color="auto" w:sz="4" w:space="0"/>
                    <w:right w:val="single" w:color="auto" w:sz="4" w:space="0"/>
                  </w:tcBorders>
                  <w:vAlign w:val="center"/>
                </w:tcPr>
                <w:p w14:paraId="6907B232">
                  <w:pPr>
                    <w:keepNext/>
                    <w:adjustRightInd w:val="0"/>
                    <w:snapToGrid w:val="0"/>
                    <w:jc w:val="center"/>
                    <w:rPr>
                      <w:color w:val="auto"/>
                      <w:kern w:val="0"/>
                      <w:szCs w:val="21"/>
                    </w:rPr>
                  </w:pPr>
                  <w:r>
                    <w:rPr>
                      <w:rFonts w:hint="eastAsia"/>
                      <w:color w:val="auto"/>
                      <w:kern w:val="0"/>
                      <w:szCs w:val="21"/>
                    </w:rPr>
                    <w:t>900-007-09</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674C0992">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6B1804F9">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1383A39E">
                  <w:pPr>
                    <w:adjustRightInd w:val="0"/>
                    <w:snapToGrid w:val="0"/>
                    <w:jc w:val="center"/>
                    <w:rPr>
                      <w:color w:val="auto"/>
                      <w:szCs w:val="21"/>
                    </w:rPr>
                  </w:pPr>
                  <w:r>
                    <w:rPr>
                      <w:color w:val="auto"/>
                      <w:szCs w:val="21"/>
                    </w:rPr>
                    <w:t>桶装</w:t>
                  </w:r>
                </w:p>
              </w:tc>
              <w:tc>
                <w:tcPr>
                  <w:tcW w:w="516" w:type="pct"/>
                  <w:tcBorders>
                    <w:top w:val="single" w:color="auto" w:sz="4" w:space="0"/>
                    <w:left w:val="single" w:color="auto" w:sz="4" w:space="0"/>
                    <w:bottom w:val="single" w:color="auto" w:sz="4" w:space="0"/>
                    <w:right w:val="single" w:color="auto" w:sz="4" w:space="0"/>
                  </w:tcBorders>
                  <w:vAlign w:val="center"/>
                </w:tcPr>
                <w:p w14:paraId="3C28B240">
                  <w:pPr>
                    <w:adjustRightInd w:val="0"/>
                    <w:snapToGrid w:val="0"/>
                    <w:jc w:val="center"/>
                    <w:rPr>
                      <w:bCs/>
                      <w:color w:val="auto"/>
                      <w:szCs w:val="21"/>
                    </w:rPr>
                  </w:pPr>
                  <w:r>
                    <w:rPr>
                      <w:rFonts w:hint="eastAsia"/>
                      <w:bCs/>
                      <w:color w:val="auto"/>
                      <w:szCs w:val="21"/>
                    </w:rPr>
                    <w:t>5</w:t>
                  </w:r>
                </w:p>
              </w:tc>
              <w:tc>
                <w:tcPr>
                  <w:tcW w:w="477" w:type="pct"/>
                  <w:tcBorders>
                    <w:top w:val="single" w:color="auto" w:sz="4" w:space="0"/>
                    <w:left w:val="single" w:color="auto" w:sz="4" w:space="0"/>
                    <w:bottom w:val="single" w:color="auto" w:sz="4" w:space="0"/>
                    <w:right w:val="single" w:color="auto" w:sz="4" w:space="0"/>
                  </w:tcBorders>
                  <w:vAlign w:val="center"/>
                </w:tcPr>
                <w:p w14:paraId="004B1087">
                  <w:pPr>
                    <w:adjustRightInd w:val="0"/>
                    <w:snapToGrid w:val="0"/>
                    <w:jc w:val="center"/>
                    <w:rPr>
                      <w:color w:val="auto"/>
                      <w:szCs w:val="21"/>
                    </w:rPr>
                  </w:pPr>
                  <w:r>
                    <w:rPr>
                      <w:rFonts w:hint="eastAsia"/>
                      <w:color w:val="auto"/>
                      <w:szCs w:val="21"/>
                    </w:rPr>
                    <w:t>3</w:t>
                  </w:r>
                  <w:r>
                    <w:rPr>
                      <w:color w:val="auto"/>
                      <w:szCs w:val="21"/>
                    </w:rPr>
                    <w:t>个月</w:t>
                  </w:r>
                </w:p>
              </w:tc>
            </w:tr>
            <w:tr w14:paraId="0C2C9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49" w:type="pct"/>
                  <w:tcBorders>
                    <w:top w:val="single" w:color="auto" w:sz="4" w:space="0"/>
                    <w:left w:val="single" w:color="auto" w:sz="4" w:space="0"/>
                    <w:bottom w:val="single" w:color="auto" w:sz="4" w:space="0"/>
                    <w:right w:val="single" w:color="auto" w:sz="4" w:space="0"/>
                  </w:tcBorders>
                  <w:vAlign w:val="center"/>
                </w:tcPr>
                <w:p w14:paraId="702D7A59">
                  <w:pPr>
                    <w:adjustRightInd w:val="0"/>
                    <w:snapToGrid w:val="0"/>
                    <w:jc w:val="center"/>
                    <w:rPr>
                      <w:color w:val="auto"/>
                      <w:szCs w:val="21"/>
                    </w:rPr>
                  </w:pPr>
                  <w:r>
                    <w:rPr>
                      <w:color w:val="auto"/>
                      <w:szCs w:val="21"/>
                    </w:rPr>
                    <w:t>1</w:t>
                  </w:r>
                  <w:r>
                    <w:rPr>
                      <w:rFonts w:hint="eastAsia"/>
                      <w:color w:val="auto"/>
                      <w:szCs w:val="21"/>
                    </w:rPr>
                    <w:t>1</w:t>
                  </w:r>
                </w:p>
              </w:tc>
              <w:tc>
                <w:tcPr>
                  <w:tcW w:w="406" w:type="pct"/>
                  <w:vMerge w:val="continue"/>
                  <w:tcBorders>
                    <w:top w:val="single" w:color="auto" w:sz="4" w:space="0"/>
                    <w:left w:val="single" w:color="auto" w:sz="4" w:space="0"/>
                    <w:bottom w:val="single" w:color="auto" w:sz="4" w:space="0"/>
                    <w:right w:val="single" w:color="auto" w:sz="4" w:space="0"/>
                  </w:tcBorders>
                  <w:vAlign w:val="center"/>
                </w:tcPr>
                <w:p w14:paraId="1BBB9CD9">
                  <w:pPr>
                    <w:adjustRightInd w:val="0"/>
                    <w:snapToGrid w:val="0"/>
                    <w:jc w:val="center"/>
                    <w:rPr>
                      <w:color w:val="auto"/>
                      <w:szCs w:val="21"/>
                    </w:rPr>
                  </w:pPr>
                </w:p>
              </w:tc>
              <w:tc>
                <w:tcPr>
                  <w:tcW w:w="697" w:type="pct"/>
                  <w:tcBorders>
                    <w:top w:val="single" w:color="auto" w:sz="4" w:space="0"/>
                    <w:left w:val="single" w:color="auto" w:sz="4" w:space="0"/>
                    <w:bottom w:val="single" w:color="auto" w:sz="4" w:space="0"/>
                    <w:right w:val="single" w:color="auto" w:sz="4" w:space="0"/>
                  </w:tcBorders>
                  <w:vAlign w:val="center"/>
                </w:tcPr>
                <w:p w14:paraId="077CF5B2">
                  <w:pPr>
                    <w:keepNext/>
                    <w:adjustRightInd w:val="0"/>
                    <w:snapToGrid w:val="0"/>
                    <w:jc w:val="center"/>
                    <w:rPr>
                      <w:color w:val="auto"/>
                      <w:kern w:val="0"/>
                      <w:szCs w:val="21"/>
                    </w:rPr>
                  </w:pPr>
                  <w:r>
                    <w:rPr>
                      <w:rFonts w:hint="eastAsia"/>
                      <w:color w:val="auto"/>
                      <w:kern w:val="0"/>
                      <w:szCs w:val="21"/>
                    </w:rPr>
                    <w:t>废漆渣</w:t>
                  </w:r>
                </w:p>
              </w:tc>
              <w:tc>
                <w:tcPr>
                  <w:tcW w:w="559" w:type="pct"/>
                  <w:tcBorders>
                    <w:top w:val="single" w:color="auto" w:sz="4" w:space="0"/>
                    <w:left w:val="single" w:color="auto" w:sz="4" w:space="0"/>
                    <w:bottom w:val="single" w:color="auto" w:sz="4" w:space="0"/>
                    <w:right w:val="single" w:color="auto" w:sz="4" w:space="0"/>
                  </w:tcBorders>
                  <w:vAlign w:val="center"/>
                </w:tcPr>
                <w:p w14:paraId="5FEA5E5E">
                  <w:pPr>
                    <w:keepNext/>
                    <w:adjustRightInd w:val="0"/>
                    <w:snapToGrid w:val="0"/>
                    <w:jc w:val="center"/>
                    <w:rPr>
                      <w:color w:val="auto"/>
                      <w:kern w:val="0"/>
                      <w:szCs w:val="21"/>
                    </w:rPr>
                  </w:pPr>
                  <w:r>
                    <w:rPr>
                      <w:rFonts w:hint="eastAsia"/>
                      <w:color w:val="auto"/>
                      <w:kern w:val="0"/>
                      <w:szCs w:val="21"/>
                    </w:rPr>
                    <w:t>HW12</w:t>
                  </w:r>
                </w:p>
              </w:tc>
              <w:tc>
                <w:tcPr>
                  <w:tcW w:w="812" w:type="pct"/>
                  <w:tcBorders>
                    <w:top w:val="single" w:color="auto" w:sz="4" w:space="0"/>
                    <w:left w:val="single" w:color="auto" w:sz="4" w:space="0"/>
                    <w:bottom w:val="single" w:color="auto" w:sz="4" w:space="0"/>
                    <w:right w:val="single" w:color="auto" w:sz="4" w:space="0"/>
                  </w:tcBorders>
                  <w:vAlign w:val="center"/>
                </w:tcPr>
                <w:p w14:paraId="3D331889">
                  <w:pPr>
                    <w:keepNext/>
                    <w:adjustRightInd w:val="0"/>
                    <w:snapToGrid w:val="0"/>
                    <w:jc w:val="center"/>
                    <w:rPr>
                      <w:color w:val="auto"/>
                      <w:kern w:val="0"/>
                      <w:szCs w:val="21"/>
                    </w:rPr>
                  </w:pPr>
                  <w:r>
                    <w:rPr>
                      <w:rFonts w:hint="eastAsia"/>
                      <w:color w:val="auto"/>
                      <w:kern w:val="0"/>
                      <w:szCs w:val="21"/>
                    </w:rPr>
                    <w:t>900-252-12</w:t>
                  </w:r>
                </w:p>
              </w:tc>
              <w:tc>
                <w:tcPr>
                  <w:tcW w:w="358" w:type="pct"/>
                  <w:vMerge w:val="continue"/>
                  <w:tcBorders>
                    <w:top w:val="single" w:color="auto" w:sz="4" w:space="0"/>
                    <w:left w:val="single" w:color="auto" w:sz="4" w:space="0"/>
                    <w:bottom w:val="single" w:color="auto" w:sz="4" w:space="0"/>
                    <w:right w:val="single" w:color="auto" w:sz="4" w:space="0"/>
                  </w:tcBorders>
                  <w:vAlign w:val="center"/>
                </w:tcPr>
                <w:p w14:paraId="6C41182F">
                  <w:pPr>
                    <w:adjustRightInd w:val="0"/>
                    <w:snapToGrid w:val="0"/>
                    <w:jc w:val="center"/>
                    <w:rPr>
                      <w:color w:val="auto"/>
                      <w:szCs w:val="21"/>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1849A9CE">
                  <w:pPr>
                    <w:adjustRightInd w:val="0"/>
                    <w:snapToGrid w:val="0"/>
                    <w:jc w:val="center"/>
                    <w:rPr>
                      <w:color w:val="auto"/>
                      <w:szCs w:val="21"/>
                    </w:rPr>
                  </w:pPr>
                </w:p>
              </w:tc>
              <w:tc>
                <w:tcPr>
                  <w:tcW w:w="527" w:type="pct"/>
                  <w:tcBorders>
                    <w:top w:val="single" w:color="auto" w:sz="4" w:space="0"/>
                    <w:left w:val="single" w:color="auto" w:sz="4" w:space="0"/>
                    <w:bottom w:val="single" w:color="auto" w:sz="4" w:space="0"/>
                    <w:right w:val="single" w:color="auto" w:sz="4" w:space="0"/>
                  </w:tcBorders>
                  <w:vAlign w:val="center"/>
                </w:tcPr>
                <w:p w14:paraId="5D03F882">
                  <w:pPr>
                    <w:adjustRightInd w:val="0"/>
                    <w:snapToGrid w:val="0"/>
                    <w:jc w:val="center"/>
                    <w:rPr>
                      <w:color w:val="auto"/>
                      <w:szCs w:val="21"/>
                    </w:rPr>
                  </w:pPr>
                  <w:r>
                    <w:rPr>
                      <w:color w:val="auto"/>
                      <w:szCs w:val="21"/>
                    </w:rPr>
                    <w:t>袋装</w:t>
                  </w:r>
                </w:p>
              </w:tc>
              <w:tc>
                <w:tcPr>
                  <w:tcW w:w="516" w:type="pct"/>
                  <w:tcBorders>
                    <w:top w:val="single" w:color="auto" w:sz="4" w:space="0"/>
                    <w:left w:val="single" w:color="auto" w:sz="4" w:space="0"/>
                    <w:bottom w:val="single" w:color="auto" w:sz="4" w:space="0"/>
                    <w:right w:val="single" w:color="auto" w:sz="4" w:space="0"/>
                  </w:tcBorders>
                  <w:vAlign w:val="center"/>
                </w:tcPr>
                <w:p w14:paraId="7C6187A9">
                  <w:pPr>
                    <w:adjustRightInd w:val="0"/>
                    <w:snapToGrid w:val="0"/>
                    <w:jc w:val="center"/>
                    <w:rPr>
                      <w:bCs/>
                      <w:color w:val="auto"/>
                      <w:szCs w:val="21"/>
                    </w:rPr>
                  </w:pPr>
                  <w:r>
                    <w:rPr>
                      <w:rFonts w:hint="eastAsia"/>
                      <w:bCs/>
                      <w:color w:val="auto"/>
                      <w:szCs w:val="21"/>
                    </w:rPr>
                    <w:t>1</w:t>
                  </w:r>
                </w:p>
              </w:tc>
              <w:tc>
                <w:tcPr>
                  <w:tcW w:w="477" w:type="pct"/>
                  <w:tcBorders>
                    <w:top w:val="single" w:color="auto" w:sz="4" w:space="0"/>
                    <w:left w:val="single" w:color="auto" w:sz="4" w:space="0"/>
                    <w:bottom w:val="single" w:color="auto" w:sz="4" w:space="0"/>
                    <w:right w:val="single" w:color="auto" w:sz="4" w:space="0"/>
                  </w:tcBorders>
                  <w:vAlign w:val="center"/>
                </w:tcPr>
                <w:p w14:paraId="449E68F0">
                  <w:pPr>
                    <w:adjustRightInd w:val="0"/>
                    <w:snapToGrid w:val="0"/>
                    <w:jc w:val="center"/>
                    <w:rPr>
                      <w:color w:val="auto"/>
                      <w:szCs w:val="21"/>
                    </w:rPr>
                  </w:pPr>
                  <w:r>
                    <w:rPr>
                      <w:rFonts w:hint="eastAsia"/>
                      <w:color w:val="auto"/>
                      <w:szCs w:val="21"/>
                    </w:rPr>
                    <w:t>1年</w:t>
                  </w:r>
                </w:p>
              </w:tc>
            </w:tr>
          </w:tbl>
          <w:p w14:paraId="2522BCC9">
            <w:pPr>
              <w:pStyle w:val="43"/>
              <w:jc w:val="left"/>
              <w:rPr>
                <w:color w:val="auto"/>
              </w:rPr>
            </w:pPr>
            <w:r>
              <w:rPr>
                <w:color w:val="auto"/>
              </w:rPr>
              <w:t>本项目拟设危险废物暂存间面积为50m</w:t>
            </w:r>
            <w:r>
              <w:rPr>
                <w:color w:val="auto"/>
                <w:vertAlign w:val="superscript"/>
              </w:rPr>
              <w:t>2</w:t>
            </w:r>
            <w:r>
              <w:rPr>
                <w:color w:val="auto"/>
              </w:rPr>
              <w:t>，最大可贮存</w:t>
            </w:r>
            <w:r>
              <w:rPr>
                <w:rFonts w:hint="eastAsia"/>
                <w:color w:val="auto"/>
              </w:rPr>
              <w:t>3</w:t>
            </w:r>
            <w:r>
              <w:rPr>
                <w:color w:val="auto"/>
              </w:rPr>
              <w:t>0吨危险废物，本项目危险废物最大贮存量为</w:t>
            </w:r>
            <w:r>
              <w:rPr>
                <w:rFonts w:hint="eastAsia"/>
                <w:color w:val="auto"/>
              </w:rPr>
              <w:t>22.2</w:t>
            </w:r>
            <w:r>
              <w:rPr>
                <w:color w:val="auto"/>
              </w:rPr>
              <w:t>吨，拟设危险废物暂存间能满足要求。</w:t>
            </w:r>
          </w:p>
          <w:p w14:paraId="40B14276">
            <w:pPr>
              <w:adjustRightInd w:val="0"/>
              <w:snapToGrid w:val="0"/>
              <w:spacing w:line="360" w:lineRule="auto"/>
              <w:ind w:left="420"/>
              <w:jc w:val="left"/>
              <w:rPr>
                <w:b/>
                <w:bCs/>
                <w:color w:val="auto"/>
                <w:sz w:val="24"/>
              </w:rPr>
            </w:pPr>
            <w:r>
              <w:rPr>
                <w:b/>
                <w:bCs/>
                <w:color w:val="auto"/>
                <w:sz w:val="24"/>
              </w:rPr>
              <w:t>（3）员工生活垃圾</w:t>
            </w:r>
          </w:p>
          <w:p w14:paraId="6B4F81BB">
            <w:pPr>
              <w:pStyle w:val="43"/>
              <w:ind w:firstLine="420" w:firstLineChars="175"/>
              <w:jc w:val="left"/>
              <w:rPr>
                <w:color w:val="auto"/>
              </w:rPr>
            </w:pPr>
            <w:r>
              <w:rPr>
                <w:color w:val="auto"/>
              </w:rPr>
              <w:t>项目拟定员工</w:t>
            </w:r>
            <w:r>
              <w:rPr>
                <w:rFonts w:hint="eastAsia"/>
                <w:color w:val="auto"/>
              </w:rPr>
              <w:t>50</w:t>
            </w:r>
            <w:r>
              <w:rPr>
                <w:color w:val="auto"/>
              </w:rPr>
              <w:t>人，均不在厂区内食宿。员工生活垃圾产生量为0.5kg/人·d，则项目运营期员工生活垃圾产生量为</w:t>
            </w:r>
            <w:r>
              <w:rPr>
                <w:rFonts w:hint="eastAsia"/>
                <w:color w:val="auto"/>
              </w:rPr>
              <w:t>0.025</w:t>
            </w:r>
            <w:r>
              <w:rPr>
                <w:color w:val="auto"/>
              </w:rPr>
              <w:t>t/d、</w:t>
            </w:r>
            <w:r>
              <w:rPr>
                <w:rFonts w:hint="eastAsia"/>
                <w:color w:val="auto"/>
              </w:rPr>
              <w:t>7.5</w:t>
            </w:r>
            <w:r>
              <w:rPr>
                <w:color w:val="auto"/>
              </w:rPr>
              <w:t>t/a。生活垃圾经定点、集中收集后由当地环卫部门定期清运。</w:t>
            </w:r>
            <w:r>
              <w:rPr>
                <w:bCs/>
                <w:color w:val="auto"/>
                <w:kern w:val="21"/>
                <w:szCs w:val="21"/>
              </w:rPr>
              <w:t>根据《固体废物分类与代码目录》（生态环境部公告 2024年第4号），属于SW64其他垃圾。园林垃圾和清扫垃圾之外的生活垃圾，废物代码为900-099-S64。</w:t>
            </w:r>
          </w:p>
          <w:p w14:paraId="6430CD1B">
            <w:pPr>
              <w:adjustRightInd w:val="0"/>
              <w:snapToGrid w:val="0"/>
              <w:spacing w:line="360" w:lineRule="auto"/>
              <w:ind w:left="420" w:leftChars="200"/>
              <w:jc w:val="left"/>
              <w:rPr>
                <w:b/>
                <w:bCs/>
                <w:color w:val="auto"/>
                <w:sz w:val="24"/>
              </w:rPr>
            </w:pPr>
            <w:r>
              <w:rPr>
                <w:b/>
                <w:bCs/>
                <w:color w:val="auto"/>
                <w:sz w:val="24"/>
              </w:rPr>
              <w:t>2、项目营运期固体废物产生量及去向</w:t>
            </w:r>
          </w:p>
          <w:p w14:paraId="3F396D7C">
            <w:pPr>
              <w:adjustRightInd w:val="0"/>
              <w:snapToGrid w:val="0"/>
              <w:spacing w:line="360" w:lineRule="auto"/>
              <w:ind w:firstLine="480" w:firstLineChars="200"/>
              <w:jc w:val="left"/>
              <w:rPr>
                <w:b/>
                <w:bCs/>
                <w:color w:val="auto"/>
                <w:sz w:val="24"/>
              </w:rPr>
            </w:pPr>
            <w:r>
              <w:rPr>
                <w:bCs/>
                <w:color w:val="auto"/>
                <w:sz w:val="24"/>
              </w:rPr>
              <w:t>固体废物产生量及去向情况汇总详见下表：</w:t>
            </w:r>
          </w:p>
          <w:p w14:paraId="1929FE5F">
            <w:pPr>
              <w:pStyle w:val="77"/>
              <w:numPr>
                <w:ilvl w:val="0"/>
                <w:numId w:val="18"/>
              </w:numPr>
              <w:adjustRightInd w:val="0"/>
              <w:snapToGrid w:val="0"/>
              <w:jc w:val="center"/>
              <w:rPr>
                <w:b/>
                <w:bCs/>
                <w:iCs/>
                <w:color w:val="auto"/>
                <w:szCs w:val="21"/>
              </w:rPr>
            </w:pPr>
            <w:r>
              <w:rPr>
                <w:rFonts w:hint="eastAsia"/>
                <w:b/>
                <w:bCs/>
                <w:iCs/>
                <w:color w:val="auto"/>
                <w:szCs w:val="21"/>
              </w:rPr>
              <w:t>项目营运期固体废物产生量及去向一览表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941"/>
              <w:gridCol w:w="1453"/>
              <w:gridCol w:w="1522"/>
              <w:gridCol w:w="1038"/>
              <w:gridCol w:w="2558"/>
            </w:tblGrid>
            <w:tr w14:paraId="7FCCD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Align w:val="center"/>
                </w:tcPr>
                <w:p w14:paraId="7B10518F">
                  <w:pPr>
                    <w:adjustRightInd w:val="0"/>
                    <w:snapToGrid w:val="0"/>
                    <w:jc w:val="center"/>
                    <w:rPr>
                      <w:b/>
                      <w:bCs/>
                      <w:color w:val="auto"/>
                      <w:szCs w:val="21"/>
                    </w:rPr>
                  </w:pPr>
                  <w:r>
                    <w:rPr>
                      <w:b/>
                      <w:bCs/>
                      <w:color w:val="auto"/>
                      <w:szCs w:val="21"/>
                      <w:lang w:bidi="ar"/>
                    </w:rPr>
                    <w:t>废物属性</w:t>
                  </w:r>
                </w:p>
              </w:tc>
              <w:tc>
                <w:tcPr>
                  <w:tcW w:w="1045" w:type="pct"/>
                  <w:vAlign w:val="center"/>
                </w:tcPr>
                <w:p w14:paraId="3C15CCFE">
                  <w:pPr>
                    <w:adjustRightInd w:val="0"/>
                    <w:snapToGrid w:val="0"/>
                    <w:jc w:val="center"/>
                    <w:rPr>
                      <w:b/>
                      <w:bCs/>
                      <w:color w:val="auto"/>
                      <w:szCs w:val="21"/>
                    </w:rPr>
                  </w:pPr>
                  <w:r>
                    <w:rPr>
                      <w:b/>
                      <w:bCs/>
                      <w:color w:val="auto"/>
                      <w:szCs w:val="21"/>
                      <w:lang w:bidi="ar"/>
                    </w:rPr>
                    <w:t>废弃物种类</w:t>
                  </w:r>
                </w:p>
              </w:tc>
              <w:tc>
                <w:tcPr>
                  <w:tcW w:w="783" w:type="pct"/>
                  <w:vAlign w:val="center"/>
                </w:tcPr>
                <w:p w14:paraId="2B65F16F">
                  <w:pPr>
                    <w:adjustRightInd w:val="0"/>
                    <w:snapToGrid w:val="0"/>
                    <w:jc w:val="center"/>
                    <w:rPr>
                      <w:b/>
                      <w:bCs/>
                      <w:color w:val="auto"/>
                      <w:szCs w:val="21"/>
                      <w:lang w:bidi="ar"/>
                    </w:rPr>
                  </w:pPr>
                  <w:r>
                    <w:rPr>
                      <w:b/>
                      <w:bCs/>
                      <w:color w:val="auto"/>
                      <w:szCs w:val="21"/>
                      <w:lang w:bidi="ar"/>
                    </w:rPr>
                    <w:t>废物类别</w:t>
                  </w:r>
                </w:p>
              </w:tc>
              <w:tc>
                <w:tcPr>
                  <w:tcW w:w="820" w:type="pct"/>
                  <w:vAlign w:val="center"/>
                </w:tcPr>
                <w:p w14:paraId="00EBFBE8">
                  <w:pPr>
                    <w:adjustRightInd w:val="0"/>
                    <w:snapToGrid w:val="0"/>
                    <w:jc w:val="center"/>
                    <w:rPr>
                      <w:b/>
                      <w:bCs/>
                      <w:color w:val="auto"/>
                      <w:szCs w:val="21"/>
                    </w:rPr>
                  </w:pPr>
                  <w:r>
                    <w:rPr>
                      <w:b/>
                      <w:bCs/>
                      <w:color w:val="auto"/>
                      <w:szCs w:val="21"/>
                      <w:lang w:bidi="ar"/>
                    </w:rPr>
                    <w:t>废物代码</w:t>
                  </w:r>
                </w:p>
              </w:tc>
              <w:tc>
                <w:tcPr>
                  <w:tcW w:w="559" w:type="pct"/>
                  <w:vAlign w:val="center"/>
                </w:tcPr>
                <w:p w14:paraId="782B98D1">
                  <w:pPr>
                    <w:adjustRightInd w:val="0"/>
                    <w:snapToGrid w:val="0"/>
                    <w:jc w:val="center"/>
                    <w:rPr>
                      <w:b/>
                      <w:bCs/>
                      <w:color w:val="auto"/>
                      <w:szCs w:val="21"/>
                    </w:rPr>
                  </w:pPr>
                  <w:r>
                    <w:rPr>
                      <w:b/>
                      <w:bCs/>
                      <w:color w:val="auto"/>
                      <w:szCs w:val="21"/>
                      <w:lang w:bidi="ar"/>
                    </w:rPr>
                    <w:t>产生量（t/a）</w:t>
                  </w:r>
                </w:p>
              </w:tc>
              <w:tc>
                <w:tcPr>
                  <w:tcW w:w="1377" w:type="pct"/>
                  <w:vAlign w:val="center"/>
                </w:tcPr>
                <w:p w14:paraId="3B928A34">
                  <w:pPr>
                    <w:adjustRightInd w:val="0"/>
                    <w:snapToGrid w:val="0"/>
                    <w:jc w:val="center"/>
                    <w:rPr>
                      <w:b/>
                      <w:bCs/>
                      <w:color w:val="auto"/>
                      <w:szCs w:val="21"/>
                    </w:rPr>
                  </w:pPr>
                  <w:r>
                    <w:rPr>
                      <w:b/>
                      <w:bCs/>
                      <w:color w:val="auto"/>
                      <w:szCs w:val="21"/>
                    </w:rPr>
                    <w:t>利用处置方式及去向</w:t>
                  </w:r>
                </w:p>
              </w:tc>
            </w:tr>
            <w:tr w14:paraId="54A43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413" w:type="pct"/>
                  <w:vMerge w:val="restart"/>
                  <w:vAlign w:val="center"/>
                </w:tcPr>
                <w:p w14:paraId="6F7D73C2">
                  <w:pPr>
                    <w:adjustRightInd w:val="0"/>
                    <w:snapToGrid w:val="0"/>
                    <w:jc w:val="center"/>
                    <w:rPr>
                      <w:color w:val="auto"/>
                      <w:szCs w:val="21"/>
                      <w:lang w:bidi="ar"/>
                    </w:rPr>
                  </w:pPr>
                  <w:r>
                    <w:rPr>
                      <w:color w:val="auto"/>
                      <w:szCs w:val="21"/>
                      <w:lang w:bidi="ar"/>
                    </w:rPr>
                    <w:t>一般工业固体废物</w:t>
                  </w:r>
                </w:p>
              </w:tc>
              <w:tc>
                <w:tcPr>
                  <w:tcW w:w="1045" w:type="pct"/>
                  <w:vAlign w:val="center"/>
                </w:tcPr>
                <w:p w14:paraId="3ACEB99C">
                  <w:pPr>
                    <w:keepNext/>
                    <w:adjustRightInd w:val="0"/>
                    <w:snapToGrid w:val="0"/>
                    <w:jc w:val="center"/>
                    <w:rPr>
                      <w:color w:val="auto"/>
                      <w:szCs w:val="21"/>
                      <w:lang w:bidi="ar"/>
                    </w:rPr>
                  </w:pPr>
                  <w:r>
                    <w:rPr>
                      <w:rFonts w:hint="eastAsia"/>
                      <w:color w:val="auto"/>
                      <w:szCs w:val="21"/>
                      <w:lang w:bidi="ar"/>
                    </w:rPr>
                    <w:t>边角料</w:t>
                  </w:r>
                </w:p>
              </w:tc>
              <w:tc>
                <w:tcPr>
                  <w:tcW w:w="783" w:type="pct"/>
                  <w:vAlign w:val="center"/>
                </w:tcPr>
                <w:p w14:paraId="27B37150">
                  <w:pPr>
                    <w:adjustRightInd w:val="0"/>
                    <w:snapToGrid w:val="0"/>
                    <w:jc w:val="center"/>
                    <w:rPr>
                      <w:bCs/>
                      <w:color w:val="auto"/>
                      <w:szCs w:val="21"/>
                    </w:rPr>
                  </w:pPr>
                  <w:r>
                    <w:rPr>
                      <w:rFonts w:hint="eastAsia"/>
                      <w:bCs/>
                      <w:color w:val="auto"/>
                      <w:szCs w:val="21"/>
                    </w:rPr>
                    <w:t>SW17</w:t>
                  </w:r>
                </w:p>
              </w:tc>
              <w:tc>
                <w:tcPr>
                  <w:tcW w:w="820" w:type="pct"/>
                  <w:vAlign w:val="center"/>
                </w:tcPr>
                <w:p w14:paraId="2A0EC329">
                  <w:pPr>
                    <w:adjustRightInd w:val="0"/>
                    <w:snapToGrid w:val="0"/>
                    <w:jc w:val="center"/>
                    <w:rPr>
                      <w:bCs/>
                      <w:color w:val="auto"/>
                      <w:szCs w:val="21"/>
                    </w:rPr>
                  </w:pPr>
                  <w:r>
                    <w:rPr>
                      <w:bCs/>
                      <w:color w:val="auto"/>
                      <w:szCs w:val="21"/>
                    </w:rPr>
                    <w:t>900-001-S17、900-0</w:t>
                  </w:r>
                  <w:r>
                    <w:rPr>
                      <w:rFonts w:hint="eastAsia"/>
                      <w:bCs/>
                      <w:color w:val="auto"/>
                      <w:szCs w:val="21"/>
                    </w:rPr>
                    <w:t>02</w:t>
                  </w:r>
                  <w:r>
                    <w:rPr>
                      <w:bCs/>
                      <w:color w:val="auto"/>
                      <w:szCs w:val="21"/>
                    </w:rPr>
                    <w:t>-S17</w:t>
                  </w:r>
                </w:p>
              </w:tc>
              <w:tc>
                <w:tcPr>
                  <w:tcW w:w="559" w:type="pct"/>
                  <w:vAlign w:val="center"/>
                </w:tcPr>
                <w:p w14:paraId="1361BF1C">
                  <w:pPr>
                    <w:adjustRightInd w:val="0"/>
                    <w:snapToGrid w:val="0"/>
                    <w:jc w:val="center"/>
                    <w:rPr>
                      <w:bCs/>
                      <w:color w:val="auto"/>
                      <w:szCs w:val="21"/>
                    </w:rPr>
                  </w:pPr>
                  <w:r>
                    <w:rPr>
                      <w:rFonts w:hint="eastAsia"/>
                      <w:bCs/>
                      <w:color w:val="auto"/>
                      <w:szCs w:val="21"/>
                    </w:rPr>
                    <w:t>10.7</w:t>
                  </w:r>
                </w:p>
              </w:tc>
              <w:tc>
                <w:tcPr>
                  <w:tcW w:w="1377" w:type="pct"/>
                  <w:vMerge w:val="restart"/>
                  <w:vAlign w:val="center"/>
                </w:tcPr>
                <w:p w14:paraId="27ED4607">
                  <w:pPr>
                    <w:adjustRightInd w:val="0"/>
                    <w:snapToGrid w:val="0"/>
                    <w:jc w:val="center"/>
                    <w:rPr>
                      <w:color w:val="auto"/>
                      <w:szCs w:val="21"/>
                    </w:rPr>
                  </w:pPr>
                  <w:r>
                    <w:rPr>
                      <w:color w:val="auto"/>
                    </w:rPr>
                    <w:t>一般固废回收利用/处置单位处理</w:t>
                  </w:r>
                </w:p>
              </w:tc>
            </w:tr>
            <w:tr w14:paraId="46941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3BFEAB0A">
                  <w:pPr>
                    <w:adjustRightInd w:val="0"/>
                    <w:snapToGrid w:val="0"/>
                    <w:jc w:val="center"/>
                    <w:rPr>
                      <w:color w:val="auto"/>
                      <w:szCs w:val="21"/>
                      <w:lang w:bidi="ar"/>
                    </w:rPr>
                  </w:pPr>
                </w:p>
              </w:tc>
              <w:tc>
                <w:tcPr>
                  <w:tcW w:w="1045" w:type="pct"/>
                  <w:vAlign w:val="center"/>
                </w:tcPr>
                <w:p w14:paraId="33F45FBF">
                  <w:pPr>
                    <w:keepNext/>
                    <w:adjustRightInd w:val="0"/>
                    <w:snapToGrid w:val="0"/>
                    <w:jc w:val="center"/>
                    <w:rPr>
                      <w:color w:val="auto"/>
                      <w:szCs w:val="21"/>
                      <w:lang w:bidi="ar"/>
                    </w:rPr>
                  </w:pPr>
                  <w:r>
                    <w:rPr>
                      <w:rFonts w:hint="eastAsia"/>
                      <w:color w:val="auto"/>
                      <w:szCs w:val="21"/>
                      <w:lang w:bidi="ar"/>
                    </w:rPr>
                    <w:t>包装固废</w:t>
                  </w:r>
                </w:p>
              </w:tc>
              <w:tc>
                <w:tcPr>
                  <w:tcW w:w="783" w:type="pct"/>
                  <w:vAlign w:val="center"/>
                </w:tcPr>
                <w:p w14:paraId="4109F64F">
                  <w:pPr>
                    <w:adjustRightInd w:val="0"/>
                    <w:snapToGrid w:val="0"/>
                    <w:jc w:val="center"/>
                    <w:rPr>
                      <w:bCs/>
                      <w:color w:val="auto"/>
                      <w:szCs w:val="21"/>
                    </w:rPr>
                  </w:pPr>
                  <w:r>
                    <w:rPr>
                      <w:rFonts w:hint="eastAsia"/>
                      <w:bCs/>
                      <w:color w:val="auto"/>
                      <w:szCs w:val="21"/>
                    </w:rPr>
                    <w:t>SW17</w:t>
                  </w:r>
                </w:p>
              </w:tc>
              <w:tc>
                <w:tcPr>
                  <w:tcW w:w="820" w:type="pct"/>
                  <w:vAlign w:val="center"/>
                </w:tcPr>
                <w:p w14:paraId="363AF8F6">
                  <w:pPr>
                    <w:adjustRightInd w:val="0"/>
                    <w:snapToGrid w:val="0"/>
                    <w:jc w:val="center"/>
                    <w:rPr>
                      <w:bCs/>
                      <w:color w:val="auto"/>
                      <w:szCs w:val="21"/>
                    </w:rPr>
                  </w:pPr>
                  <w:r>
                    <w:rPr>
                      <w:bCs/>
                      <w:color w:val="auto"/>
                      <w:szCs w:val="21"/>
                    </w:rPr>
                    <w:t>900-003-S17、900-005-S17</w:t>
                  </w:r>
                </w:p>
              </w:tc>
              <w:tc>
                <w:tcPr>
                  <w:tcW w:w="559" w:type="pct"/>
                  <w:vAlign w:val="center"/>
                </w:tcPr>
                <w:p w14:paraId="0F6DBB0E">
                  <w:pPr>
                    <w:adjustRightInd w:val="0"/>
                    <w:snapToGrid w:val="0"/>
                    <w:jc w:val="center"/>
                    <w:rPr>
                      <w:bCs/>
                      <w:color w:val="auto"/>
                      <w:szCs w:val="21"/>
                    </w:rPr>
                  </w:pPr>
                  <w:r>
                    <w:rPr>
                      <w:rFonts w:hint="eastAsia"/>
                      <w:bCs/>
                      <w:color w:val="auto"/>
                      <w:szCs w:val="21"/>
                    </w:rPr>
                    <w:t>0.3</w:t>
                  </w:r>
                </w:p>
              </w:tc>
              <w:tc>
                <w:tcPr>
                  <w:tcW w:w="1377" w:type="pct"/>
                  <w:vMerge w:val="continue"/>
                  <w:vAlign w:val="center"/>
                </w:tcPr>
                <w:p w14:paraId="7FADB8B6">
                  <w:pPr>
                    <w:adjustRightInd w:val="0"/>
                    <w:snapToGrid w:val="0"/>
                    <w:jc w:val="center"/>
                    <w:rPr>
                      <w:color w:val="auto"/>
                      <w:szCs w:val="21"/>
                    </w:rPr>
                  </w:pPr>
                </w:p>
              </w:tc>
            </w:tr>
            <w:tr w14:paraId="5B479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3AB26917">
                  <w:pPr>
                    <w:adjustRightInd w:val="0"/>
                    <w:snapToGrid w:val="0"/>
                    <w:jc w:val="center"/>
                    <w:rPr>
                      <w:color w:val="auto"/>
                      <w:szCs w:val="21"/>
                      <w:lang w:bidi="ar"/>
                    </w:rPr>
                  </w:pPr>
                </w:p>
              </w:tc>
              <w:tc>
                <w:tcPr>
                  <w:tcW w:w="1045" w:type="pct"/>
                  <w:vAlign w:val="center"/>
                </w:tcPr>
                <w:p w14:paraId="69767DB5">
                  <w:pPr>
                    <w:keepNext/>
                    <w:adjustRightInd w:val="0"/>
                    <w:snapToGrid w:val="0"/>
                    <w:jc w:val="center"/>
                    <w:rPr>
                      <w:color w:val="auto"/>
                      <w:szCs w:val="21"/>
                      <w:lang w:bidi="ar"/>
                    </w:rPr>
                  </w:pPr>
                  <w:r>
                    <w:rPr>
                      <w:rFonts w:hint="eastAsia"/>
                      <w:color w:val="auto"/>
                      <w:szCs w:val="21"/>
                      <w:lang w:bidi="ar"/>
                    </w:rPr>
                    <w:t>金属粉尘</w:t>
                  </w:r>
                </w:p>
              </w:tc>
              <w:tc>
                <w:tcPr>
                  <w:tcW w:w="783" w:type="pct"/>
                  <w:vAlign w:val="center"/>
                </w:tcPr>
                <w:p w14:paraId="01C1673E">
                  <w:pPr>
                    <w:adjustRightInd w:val="0"/>
                    <w:snapToGrid w:val="0"/>
                    <w:jc w:val="center"/>
                    <w:rPr>
                      <w:bCs/>
                      <w:color w:val="auto"/>
                      <w:szCs w:val="21"/>
                    </w:rPr>
                  </w:pPr>
                  <w:r>
                    <w:rPr>
                      <w:rFonts w:hint="eastAsia"/>
                      <w:bCs/>
                      <w:color w:val="auto"/>
                      <w:szCs w:val="21"/>
                    </w:rPr>
                    <w:t>SW59</w:t>
                  </w:r>
                </w:p>
              </w:tc>
              <w:tc>
                <w:tcPr>
                  <w:tcW w:w="820" w:type="pct"/>
                  <w:vAlign w:val="center"/>
                </w:tcPr>
                <w:p w14:paraId="73A26ADF">
                  <w:pPr>
                    <w:adjustRightInd w:val="0"/>
                    <w:snapToGrid w:val="0"/>
                    <w:jc w:val="center"/>
                    <w:rPr>
                      <w:bCs/>
                      <w:color w:val="auto"/>
                      <w:szCs w:val="21"/>
                    </w:rPr>
                  </w:pPr>
                  <w:r>
                    <w:rPr>
                      <w:bCs/>
                      <w:color w:val="auto"/>
                      <w:szCs w:val="21"/>
                    </w:rPr>
                    <w:t>900-099-S59</w:t>
                  </w:r>
                </w:p>
              </w:tc>
              <w:tc>
                <w:tcPr>
                  <w:tcW w:w="559" w:type="pct"/>
                  <w:vAlign w:val="center"/>
                </w:tcPr>
                <w:p w14:paraId="38EAD371">
                  <w:pPr>
                    <w:adjustRightInd w:val="0"/>
                    <w:snapToGrid w:val="0"/>
                    <w:jc w:val="center"/>
                    <w:rPr>
                      <w:bCs/>
                      <w:color w:val="auto"/>
                      <w:szCs w:val="21"/>
                    </w:rPr>
                  </w:pPr>
                  <w:r>
                    <w:rPr>
                      <w:rFonts w:hint="eastAsia"/>
                      <w:bCs/>
                      <w:color w:val="auto"/>
                      <w:szCs w:val="21"/>
                    </w:rPr>
                    <w:t>0.4879</w:t>
                  </w:r>
                </w:p>
              </w:tc>
              <w:tc>
                <w:tcPr>
                  <w:tcW w:w="1377" w:type="pct"/>
                  <w:vMerge w:val="continue"/>
                  <w:vAlign w:val="center"/>
                </w:tcPr>
                <w:p w14:paraId="23BE6C25">
                  <w:pPr>
                    <w:adjustRightInd w:val="0"/>
                    <w:snapToGrid w:val="0"/>
                    <w:jc w:val="center"/>
                    <w:rPr>
                      <w:color w:val="auto"/>
                      <w:szCs w:val="21"/>
                    </w:rPr>
                  </w:pPr>
                </w:p>
              </w:tc>
            </w:tr>
            <w:tr w14:paraId="5756A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64510C5B">
                  <w:pPr>
                    <w:adjustRightInd w:val="0"/>
                    <w:snapToGrid w:val="0"/>
                    <w:jc w:val="center"/>
                    <w:rPr>
                      <w:color w:val="auto"/>
                      <w:szCs w:val="21"/>
                      <w:lang w:bidi="ar"/>
                    </w:rPr>
                  </w:pPr>
                </w:p>
              </w:tc>
              <w:tc>
                <w:tcPr>
                  <w:tcW w:w="1045" w:type="pct"/>
                  <w:vAlign w:val="center"/>
                </w:tcPr>
                <w:p w14:paraId="1453E0EB">
                  <w:pPr>
                    <w:keepNext/>
                    <w:adjustRightInd w:val="0"/>
                    <w:snapToGrid w:val="0"/>
                    <w:jc w:val="center"/>
                    <w:rPr>
                      <w:color w:val="auto"/>
                      <w:szCs w:val="21"/>
                      <w:lang w:bidi="ar"/>
                    </w:rPr>
                  </w:pPr>
                  <w:r>
                    <w:rPr>
                      <w:rFonts w:hint="eastAsia"/>
                      <w:color w:val="auto"/>
                      <w:szCs w:val="21"/>
                      <w:lang w:bidi="ar"/>
                    </w:rPr>
                    <w:t>废布袋</w:t>
                  </w:r>
                </w:p>
              </w:tc>
              <w:tc>
                <w:tcPr>
                  <w:tcW w:w="783" w:type="pct"/>
                  <w:vAlign w:val="center"/>
                </w:tcPr>
                <w:p w14:paraId="70E85363">
                  <w:pPr>
                    <w:adjustRightInd w:val="0"/>
                    <w:snapToGrid w:val="0"/>
                    <w:jc w:val="center"/>
                    <w:rPr>
                      <w:bCs/>
                      <w:color w:val="auto"/>
                      <w:szCs w:val="21"/>
                    </w:rPr>
                  </w:pPr>
                  <w:r>
                    <w:rPr>
                      <w:rFonts w:hint="eastAsia"/>
                      <w:bCs/>
                      <w:color w:val="auto"/>
                      <w:szCs w:val="21"/>
                    </w:rPr>
                    <w:t>SW59</w:t>
                  </w:r>
                </w:p>
              </w:tc>
              <w:tc>
                <w:tcPr>
                  <w:tcW w:w="820" w:type="pct"/>
                  <w:vAlign w:val="center"/>
                </w:tcPr>
                <w:p w14:paraId="1BD3E9C3">
                  <w:pPr>
                    <w:adjustRightInd w:val="0"/>
                    <w:snapToGrid w:val="0"/>
                    <w:jc w:val="center"/>
                    <w:rPr>
                      <w:bCs/>
                      <w:color w:val="auto"/>
                      <w:szCs w:val="21"/>
                    </w:rPr>
                  </w:pPr>
                  <w:r>
                    <w:rPr>
                      <w:bCs/>
                      <w:color w:val="auto"/>
                      <w:szCs w:val="21"/>
                    </w:rPr>
                    <w:t>900-0</w:t>
                  </w:r>
                  <w:r>
                    <w:rPr>
                      <w:rFonts w:hint="eastAsia"/>
                      <w:bCs/>
                      <w:color w:val="auto"/>
                      <w:szCs w:val="21"/>
                    </w:rPr>
                    <w:t>0</w:t>
                  </w:r>
                  <w:r>
                    <w:rPr>
                      <w:bCs/>
                      <w:color w:val="auto"/>
                      <w:szCs w:val="21"/>
                    </w:rPr>
                    <w:t>9-S59</w:t>
                  </w:r>
                </w:p>
              </w:tc>
              <w:tc>
                <w:tcPr>
                  <w:tcW w:w="559" w:type="pct"/>
                  <w:vAlign w:val="center"/>
                </w:tcPr>
                <w:p w14:paraId="2BBBADCA">
                  <w:pPr>
                    <w:adjustRightInd w:val="0"/>
                    <w:snapToGrid w:val="0"/>
                    <w:jc w:val="center"/>
                    <w:rPr>
                      <w:bCs/>
                      <w:color w:val="auto"/>
                      <w:szCs w:val="21"/>
                    </w:rPr>
                  </w:pPr>
                  <w:r>
                    <w:rPr>
                      <w:rFonts w:hint="eastAsia"/>
                      <w:bCs/>
                      <w:color w:val="auto"/>
                      <w:szCs w:val="21"/>
                    </w:rPr>
                    <w:t>0.1</w:t>
                  </w:r>
                </w:p>
              </w:tc>
              <w:tc>
                <w:tcPr>
                  <w:tcW w:w="1377" w:type="pct"/>
                  <w:vMerge w:val="continue"/>
                  <w:vAlign w:val="center"/>
                </w:tcPr>
                <w:p w14:paraId="5A06F0F4">
                  <w:pPr>
                    <w:adjustRightInd w:val="0"/>
                    <w:snapToGrid w:val="0"/>
                    <w:jc w:val="center"/>
                    <w:rPr>
                      <w:color w:val="auto"/>
                      <w:szCs w:val="21"/>
                    </w:rPr>
                  </w:pPr>
                </w:p>
              </w:tc>
            </w:tr>
            <w:tr w14:paraId="657AE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3168673C">
                  <w:pPr>
                    <w:adjustRightInd w:val="0"/>
                    <w:snapToGrid w:val="0"/>
                    <w:jc w:val="center"/>
                    <w:rPr>
                      <w:color w:val="auto"/>
                      <w:szCs w:val="21"/>
                      <w:lang w:bidi="ar"/>
                    </w:rPr>
                  </w:pPr>
                </w:p>
              </w:tc>
              <w:tc>
                <w:tcPr>
                  <w:tcW w:w="1045" w:type="pct"/>
                  <w:vAlign w:val="center"/>
                </w:tcPr>
                <w:p w14:paraId="0D4D390C">
                  <w:pPr>
                    <w:pStyle w:val="43"/>
                    <w:spacing w:line="240" w:lineRule="auto"/>
                    <w:ind w:firstLine="0" w:firstLineChars="0"/>
                    <w:jc w:val="center"/>
                    <w:rPr>
                      <w:color w:val="auto"/>
                      <w:sz w:val="21"/>
                      <w:szCs w:val="21"/>
                    </w:rPr>
                  </w:pPr>
                  <w:r>
                    <w:rPr>
                      <w:rFonts w:hint="eastAsia"/>
                      <w:color w:val="auto"/>
                      <w:sz w:val="21"/>
                      <w:szCs w:val="21"/>
                    </w:rPr>
                    <w:t>废滤筒</w:t>
                  </w:r>
                </w:p>
              </w:tc>
              <w:tc>
                <w:tcPr>
                  <w:tcW w:w="783" w:type="pct"/>
                  <w:vAlign w:val="center"/>
                </w:tcPr>
                <w:p w14:paraId="66924970">
                  <w:pPr>
                    <w:adjustRightInd w:val="0"/>
                    <w:snapToGrid w:val="0"/>
                    <w:jc w:val="center"/>
                    <w:rPr>
                      <w:bCs/>
                      <w:color w:val="auto"/>
                      <w:szCs w:val="21"/>
                    </w:rPr>
                  </w:pPr>
                  <w:r>
                    <w:rPr>
                      <w:rFonts w:hint="eastAsia"/>
                      <w:bCs/>
                      <w:color w:val="auto"/>
                      <w:szCs w:val="21"/>
                    </w:rPr>
                    <w:t>SW59</w:t>
                  </w:r>
                </w:p>
              </w:tc>
              <w:tc>
                <w:tcPr>
                  <w:tcW w:w="820" w:type="pct"/>
                  <w:vAlign w:val="center"/>
                </w:tcPr>
                <w:p w14:paraId="151843DA">
                  <w:pPr>
                    <w:adjustRightInd w:val="0"/>
                    <w:snapToGrid w:val="0"/>
                    <w:jc w:val="center"/>
                    <w:rPr>
                      <w:bCs/>
                      <w:color w:val="auto"/>
                      <w:szCs w:val="21"/>
                    </w:rPr>
                  </w:pPr>
                  <w:r>
                    <w:rPr>
                      <w:bCs/>
                      <w:color w:val="auto"/>
                      <w:szCs w:val="21"/>
                    </w:rPr>
                    <w:t>900-0</w:t>
                  </w:r>
                  <w:r>
                    <w:rPr>
                      <w:rFonts w:hint="eastAsia"/>
                      <w:bCs/>
                      <w:color w:val="auto"/>
                      <w:szCs w:val="21"/>
                    </w:rPr>
                    <w:t>0</w:t>
                  </w:r>
                  <w:r>
                    <w:rPr>
                      <w:bCs/>
                      <w:color w:val="auto"/>
                      <w:szCs w:val="21"/>
                    </w:rPr>
                    <w:t>9-S59</w:t>
                  </w:r>
                </w:p>
              </w:tc>
              <w:tc>
                <w:tcPr>
                  <w:tcW w:w="559" w:type="pct"/>
                  <w:vAlign w:val="center"/>
                </w:tcPr>
                <w:p w14:paraId="5EEFC6D4">
                  <w:pPr>
                    <w:adjustRightInd w:val="0"/>
                    <w:snapToGrid w:val="0"/>
                    <w:jc w:val="center"/>
                    <w:rPr>
                      <w:bCs/>
                      <w:color w:val="auto"/>
                      <w:szCs w:val="21"/>
                    </w:rPr>
                  </w:pPr>
                  <w:r>
                    <w:rPr>
                      <w:rFonts w:hint="eastAsia"/>
                      <w:bCs/>
                      <w:color w:val="auto"/>
                      <w:szCs w:val="21"/>
                    </w:rPr>
                    <w:t>0.2</w:t>
                  </w:r>
                </w:p>
              </w:tc>
              <w:tc>
                <w:tcPr>
                  <w:tcW w:w="1377" w:type="pct"/>
                  <w:vMerge w:val="continue"/>
                  <w:vAlign w:val="center"/>
                </w:tcPr>
                <w:p w14:paraId="2FAB9B8B">
                  <w:pPr>
                    <w:adjustRightInd w:val="0"/>
                    <w:snapToGrid w:val="0"/>
                    <w:jc w:val="center"/>
                    <w:rPr>
                      <w:color w:val="auto"/>
                      <w:szCs w:val="21"/>
                    </w:rPr>
                  </w:pPr>
                </w:p>
              </w:tc>
            </w:tr>
            <w:tr w14:paraId="4C0A1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36D1E665">
                  <w:pPr>
                    <w:adjustRightInd w:val="0"/>
                    <w:snapToGrid w:val="0"/>
                    <w:jc w:val="center"/>
                    <w:rPr>
                      <w:color w:val="auto"/>
                      <w:szCs w:val="21"/>
                      <w:lang w:bidi="ar"/>
                    </w:rPr>
                  </w:pPr>
                </w:p>
              </w:tc>
              <w:tc>
                <w:tcPr>
                  <w:tcW w:w="1045" w:type="pct"/>
                  <w:vAlign w:val="center"/>
                </w:tcPr>
                <w:p w14:paraId="2D807B9F">
                  <w:pPr>
                    <w:pStyle w:val="43"/>
                    <w:spacing w:line="240" w:lineRule="auto"/>
                    <w:ind w:firstLine="0" w:firstLineChars="0"/>
                    <w:jc w:val="center"/>
                    <w:rPr>
                      <w:color w:val="auto"/>
                      <w:sz w:val="21"/>
                      <w:szCs w:val="21"/>
                    </w:rPr>
                  </w:pPr>
                  <w:r>
                    <w:rPr>
                      <w:rFonts w:hint="eastAsia"/>
                      <w:color w:val="auto"/>
                      <w:sz w:val="21"/>
                      <w:szCs w:val="21"/>
                    </w:rPr>
                    <w:t>废塑粉</w:t>
                  </w:r>
                </w:p>
              </w:tc>
              <w:tc>
                <w:tcPr>
                  <w:tcW w:w="783" w:type="pct"/>
                  <w:vAlign w:val="center"/>
                </w:tcPr>
                <w:p w14:paraId="35134ED1">
                  <w:pPr>
                    <w:adjustRightInd w:val="0"/>
                    <w:snapToGrid w:val="0"/>
                    <w:jc w:val="center"/>
                    <w:rPr>
                      <w:bCs/>
                      <w:color w:val="auto"/>
                      <w:szCs w:val="21"/>
                    </w:rPr>
                  </w:pPr>
                  <w:r>
                    <w:rPr>
                      <w:rFonts w:hint="eastAsia"/>
                      <w:bCs/>
                      <w:color w:val="auto"/>
                      <w:szCs w:val="21"/>
                    </w:rPr>
                    <w:t>SW59</w:t>
                  </w:r>
                </w:p>
              </w:tc>
              <w:tc>
                <w:tcPr>
                  <w:tcW w:w="820" w:type="pct"/>
                  <w:vAlign w:val="center"/>
                </w:tcPr>
                <w:p w14:paraId="40C3696A">
                  <w:pPr>
                    <w:adjustRightInd w:val="0"/>
                    <w:snapToGrid w:val="0"/>
                    <w:jc w:val="center"/>
                    <w:rPr>
                      <w:bCs/>
                      <w:color w:val="auto"/>
                      <w:szCs w:val="21"/>
                    </w:rPr>
                  </w:pPr>
                  <w:r>
                    <w:rPr>
                      <w:bCs/>
                      <w:color w:val="auto"/>
                      <w:szCs w:val="21"/>
                    </w:rPr>
                    <w:t>900-099-S59</w:t>
                  </w:r>
                </w:p>
              </w:tc>
              <w:tc>
                <w:tcPr>
                  <w:tcW w:w="559" w:type="pct"/>
                  <w:vAlign w:val="center"/>
                </w:tcPr>
                <w:p w14:paraId="23AFD7E8">
                  <w:pPr>
                    <w:adjustRightInd w:val="0"/>
                    <w:snapToGrid w:val="0"/>
                    <w:jc w:val="center"/>
                    <w:rPr>
                      <w:bCs/>
                      <w:color w:val="auto"/>
                      <w:szCs w:val="21"/>
                    </w:rPr>
                  </w:pPr>
                  <w:r>
                    <w:rPr>
                      <w:rFonts w:hint="eastAsia"/>
                      <w:bCs/>
                      <w:color w:val="auto"/>
                      <w:szCs w:val="21"/>
                    </w:rPr>
                    <w:t>0.61</w:t>
                  </w:r>
                </w:p>
              </w:tc>
              <w:tc>
                <w:tcPr>
                  <w:tcW w:w="1377" w:type="pct"/>
                  <w:vMerge w:val="continue"/>
                  <w:vAlign w:val="center"/>
                </w:tcPr>
                <w:p w14:paraId="2BFAB54D">
                  <w:pPr>
                    <w:adjustRightInd w:val="0"/>
                    <w:snapToGrid w:val="0"/>
                    <w:jc w:val="center"/>
                    <w:rPr>
                      <w:color w:val="auto"/>
                      <w:szCs w:val="21"/>
                    </w:rPr>
                  </w:pPr>
                </w:p>
              </w:tc>
            </w:tr>
            <w:tr w14:paraId="65365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3975B0CA">
                  <w:pPr>
                    <w:adjustRightInd w:val="0"/>
                    <w:snapToGrid w:val="0"/>
                    <w:jc w:val="center"/>
                    <w:rPr>
                      <w:color w:val="auto"/>
                      <w:szCs w:val="21"/>
                      <w:lang w:bidi="ar"/>
                    </w:rPr>
                  </w:pPr>
                </w:p>
              </w:tc>
              <w:tc>
                <w:tcPr>
                  <w:tcW w:w="1045" w:type="pct"/>
                  <w:vAlign w:val="center"/>
                </w:tcPr>
                <w:p w14:paraId="730C16DD">
                  <w:pPr>
                    <w:pStyle w:val="43"/>
                    <w:spacing w:line="240" w:lineRule="auto"/>
                    <w:ind w:firstLine="0" w:firstLineChars="0"/>
                    <w:jc w:val="center"/>
                    <w:rPr>
                      <w:color w:val="auto"/>
                      <w:sz w:val="21"/>
                      <w:szCs w:val="21"/>
                    </w:rPr>
                  </w:pPr>
                  <w:r>
                    <w:rPr>
                      <w:rFonts w:hint="eastAsia"/>
                      <w:color w:val="auto"/>
                      <w:sz w:val="21"/>
                      <w:szCs w:val="21"/>
                    </w:rPr>
                    <w:t>废砂纸</w:t>
                  </w:r>
                </w:p>
              </w:tc>
              <w:tc>
                <w:tcPr>
                  <w:tcW w:w="783" w:type="pct"/>
                  <w:vAlign w:val="center"/>
                </w:tcPr>
                <w:p w14:paraId="31D60230">
                  <w:pPr>
                    <w:adjustRightInd w:val="0"/>
                    <w:snapToGrid w:val="0"/>
                    <w:jc w:val="center"/>
                    <w:rPr>
                      <w:bCs/>
                      <w:color w:val="auto"/>
                      <w:szCs w:val="21"/>
                    </w:rPr>
                  </w:pPr>
                  <w:r>
                    <w:rPr>
                      <w:rFonts w:hint="eastAsia"/>
                      <w:bCs/>
                      <w:color w:val="auto"/>
                      <w:szCs w:val="21"/>
                    </w:rPr>
                    <w:t>SW59</w:t>
                  </w:r>
                </w:p>
              </w:tc>
              <w:tc>
                <w:tcPr>
                  <w:tcW w:w="820" w:type="pct"/>
                  <w:vAlign w:val="center"/>
                </w:tcPr>
                <w:p w14:paraId="7A1EC679">
                  <w:pPr>
                    <w:adjustRightInd w:val="0"/>
                    <w:snapToGrid w:val="0"/>
                    <w:jc w:val="center"/>
                    <w:rPr>
                      <w:bCs/>
                      <w:color w:val="auto"/>
                      <w:szCs w:val="21"/>
                    </w:rPr>
                  </w:pPr>
                  <w:r>
                    <w:rPr>
                      <w:bCs/>
                      <w:color w:val="auto"/>
                      <w:szCs w:val="21"/>
                    </w:rPr>
                    <w:t>900-099-S59</w:t>
                  </w:r>
                </w:p>
              </w:tc>
              <w:tc>
                <w:tcPr>
                  <w:tcW w:w="559" w:type="pct"/>
                  <w:vAlign w:val="center"/>
                </w:tcPr>
                <w:p w14:paraId="09B10466">
                  <w:pPr>
                    <w:adjustRightInd w:val="0"/>
                    <w:snapToGrid w:val="0"/>
                    <w:jc w:val="center"/>
                    <w:rPr>
                      <w:bCs/>
                      <w:color w:val="auto"/>
                      <w:szCs w:val="21"/>
                    </w:rPr>
                  </w:pPr>
                  <w:r>
                    <w:rPr>
                      <w:rFonts w:hint="eastAsia"/>
                      <w:bCs/>
                      <w:color w:val="auto"/>
                      <w:szCs w:val="21"/>
                    </w:rPr>
                    <w:t>0.2</w:t>
                  </w:r>
                </w:p>
              </w:tc>
              <w:tc>
                <w:tcPr>
                  <w:tcW w:w="1377" w:type="pct"/>
                  <w:vMerge w:val="continue"/>
                  <w:vAlign w:val="center"/>
                </w:tcPr>
                <w:p w14:paraId="67027B05">
                  <w:pPr>
                    <w:adjustRightInd w:val="0"/>
                    <w:snapToGrid w:val="0"/>
                    <w:jc w:val="center"/>
                    <w:rPr>
                      <w:color w:val="auto"/>
                      <w:szCs w:val="21"/>
                    </w:rPr>
                  </w:pPr>
                </w:p>
              </w:tc>
            </w:tr>
            <w:tr w14:paraId="2F9BF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restart"/>
                  <w:vAlign w:val="center"/>
                </w:tcPr>
                <w:p w14:paraId="6FCD3858">
                  <w:pPr>
                    <w:adjustRightInd w:val="0"/>
                    <w:snapToGrid w:val="0"/>
                    <w:jc w:val="center"/>
                    <w:rPr>
                      <w:color w:val="auto"/>
                      <w:szCs w:val="21"/>
                      <w:lang w:bidi="ar"/>
                    </w:rPr>
                  </w:pPr>
                  <w:r>
                    <w:rPr>
                      <w:color w:val="auto"/>
                      <w:szCs w:val="21"/>
                      <w:lang w:bidi="ar"/>
                    </w:rPr>
                    <w:t>危险废物</w:t>
                  </w:r>
                </w:p>
              </w:tc>
              <w:tc>
                <w:tcPr>
                  <w:tcW w:w="1045" w:type="pct"/>
                  <w:vAlign w:val="center"/>
                </w:tcPr>
                <w:p w14:paraId="2EF78AA5">
                  <w:pPr>
                    <w:keepNext/>
                    <w:adjustRightInd w:val="0"/>
                    <w:snapToGrid w:val="0"/>
                    <w:jc w:val="center"/>
                    <w:rPr>
                      <w:color w:val="auto"/>
                      <w:szCs w:val="21"/>
                      <w:lang w:bidi="ar"/>
                    </w:rPr>
                  </w:pPr>
                  <w:r>
                    <w:rPr>
                      <w:color w:val="auto"/>
                      <w:szCs w:val="21"/>
                      <w:lang w:bidi="ar"/>
                    </w:rPr>
                    <w:t>废活性炭</w:t>
                  </w:r>
                </w:p>
              </w:tc>
              <w:tc>
                <w:tcPr>
                  <w:tcW w:w="783" w:type="pct"/>
                  <w:vAlign w:val="center"/>
                </w:tcPr>
                <w:p w14:paraId="698EAD63">
                  <w:pPr>
                    <w:adjustRightInd w:val="0"/>
                    <w:snapToGrid w:val="0"/>
                    <w:jc w:val="center"/>
                    <w:rPr>
                      <w:bCs/>
                      <w:color w:val="auto"/>
                      <w:szCs w:val="21"/>
                    </w:rPr>
                  </w:pPr>
                  <w:r>
                    <w:rPr>
                      <w:bCs/>
                      <w:color w:val="auto"/>
                      <w:szCs w:val="21"/>
                    </w:rPr>
                    <w:t>HW49</w:t>
                  </w:r>
                </w:p>
              </w:tc>
              <w:tc>
                <w:tcPr>
                  <w:tcW w:w="820" w:type="pct"/>
                  <w:vAlign w:val="center"/>
                </w:tcPr>
                <w:p w14:paraId="219E99D1">
                  <w:pPr>
                    <w:adjustRightInd w:val="0"/>
                    <w:snapToGrid w:val="0"/>
                    <w:jc w:val="center"/>
                    <w:rPr>
                      <w:bCs/>
                      <w:color w:val="auto"/>
                      <w:szCs w:val="21"/>
                    </w:rPr>
                  </w:pPr>
                  <w:r>
                    <w:rPr>
                      <w:bCs/>
                      <w:color w:val="auto"/>
                      <w:szCs w:val="21"/>
                    </w:rPr>
                    <w:t>900-039-49</w:t>
                  </w:r>
                </w:p>
              </w:tc>
              <w:tc>
                <w:tcPr>
                  <w:tcW w:w="559" w:type="pct"/>
                  <w:vAlign w:val="center"/>
                </w:tcPr>
                <w:p w14:paraId="5C7F9B26">
                  <w:pPr>
                    <w:keepNext/>
                    <w:adjustRightInd w:val="0"/>
                    <w:snapToGrid w:val="0"/>
                    <w:jc w:val="center"/>
                    <w:rPr>
                      <w:color w:val="auto"/>
                      <w:kern w:val="0"/>
                      <w:szCs w:val="21"/>
                    </w:rPr>
                  </w:pPr>
                  <w:r>
                    <w:rPr>
                      <w:color w:val="auto"/>
                      <w:kern w:val="0"/>
                      <w:szCs w:val="21"/>
                    </w:rPr>
                    <w:t>18.6</w:t>
                  </w:r>
                </w:p>
              </w:tc>
              <w:tc>
                <w:tcPr>
                  <w:tcW w:w="1377" w:type="pct"/>
                  <w:vMerge w:val="restart"/>
                  <w:vAlign w:val="center"/>
                </w:tcPr>
                <w:p w14:paraId="266FF1CC">
                  <w:pPr>
                    <w:adjustRightInd w:val="0"/>
                    <w:snapToGrid w:val="0"/>
                    <w:jc w:val="center"/>
                    <w:rPr>
                      <w:color w:val="auto"/>
                      <w:szCs w:val="21"/>
                    </w:rPr>
                  </w:pPr>
                  <w:r>
                    <w:rPr>
                      <w:color w:val="auto"/>
                      <w:szCs w:val="21"/>
                    </w:rPr>
                    <w:t>交有危险废物处理资质单位处理</w:t>
                  </w:r>
                </w:p>
              </w:tc>
            </w:tr>
            <w:tr w14:paraId="6162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0D2BD9A5">
                  <w:pPr>
                    <w:adjustRightInd w:val="0"/>
                    <w:snapToGrid w:val="0"/>
                    <w:jc w:val="center"/>
                    <w:rPr>
                      <w:color w:val="auto"/>
                      <w:szCs w:val="21"/>
                      <w:lang w:bidi="ar"/>
                    </w:rPr>
                  </w:pPr>
                </w:p>
              </w:tc>
              <w:tc>
                <w:tcPr>
                  <w:tcW w:w="1045" w:type="pct"/>
                  <w:vAlign w:val="center"/>
                </w:tcPr>
                <w:p w14:paraId="6649377A">
                  <w:pPr>
                    <w:adjustRightInd w:val="0"/>
                    <w:snapToGrid w:val="0"/>
                    <w:jc w:val="center"/>
                    <w:rPr>
                      <w:bCs/>
                      <w:color w:val="auto"/>
                      <w:szCs w:val="21"/>
                    </w:rPr>
                  </w:pPr>
                  <w:r>
                    <w:rPr>
                      <w:rFonts w:hint="eastAsia"/>
                      <w:color w:val="auto"/>
                      <w:szCs w:val="21"/>
                      <w:lang w:bidi="ar"/>
                    </w:rPr>
                    <w:t>浓缩废液</w:t>
                  </w:r>
                </w:p>
              </w:tc>
              <w:tc>
                <w:tcPr>
                  <w:tcW w:w="783" w:type="pct"/>
                  <w:vAlign w:val="center"/>
                </w:tcPr>
                <w:p w14:paraId="21E2276D">
                  <w:pPr>
                    <w:adjustRightInd w:val="0"/>
                    <w:snapToGrid w:val="0"/>
                    <w:jc w:val="center"/>
                    <w:rPr>
                      <w:bCs/>
                      <w:color w:val="auto"/>
                      <w:szCs w:val="21"/>
                    </w:rPr>
                  </w:pPr>
                  <w:r>
                    <w:rPr>
                      <w:bCs/>
                      <w:color w:val="auto"/>
                      <w:szCs w:val="21"/>
                    </w:rPr>
                    <w:t>HW49</w:t>
                  </w:r>
                </w:p>
              </w:tc>
              <w:tc>
                <w:tcPr>
                  <w:tcW w:w="820" w:type="pct"/>
                  <w:vAlign w:val="center"/>
                </w:tcPr>
                <w:p w14:paraId="7C0F4DD8">
                  <w:pPr>
                    <w:adjustRightInd w:val="0"/>
                    <w:snapToGrid w:val="0"/>
                    <w:jc w:val="center"/>
                    <w:rPr>
                      <w:bCs/>
                      <w:color w:val="auto"/>
                      <w:szCs w:val="21"/>
                    </w:rPr>
                  </w:pPr>
                  <w:r>
                    <w:rPr>
                      <w:rFonts w:hint="eastAsia"/>
                      <w:color w:val="auto"/>
                      <w:szCs w:val="21"/>
                      <w:lang w:bidi="ar"/>
                    </w:rPr>
                    <w:t>772-006-49</w:t>
                  </w:r>
                </w:p>
              </w:tc>
              <w:tc>
                <w:tcPr>
                  <w:tcW w:w="559" w:type="pct"/>
                  <w:vAlign w:val="center"/>
                </w:tcPr>
                <w:p w14:paraId="722A6215">
                  <w:pPr>
                    <w:adjustRightInd w:val="0"/>
                    <w:snapToGrid w:val="0"/>
                    <w:jc w:val="center"/>
                    <w:rPr>
                      <w:color w:val="auto"/>
                      <w:kern w:val="0"/>
                      <w:szCs w:val="21"/>
                    </w:rPr>
                  </w:pPr>
                  <w:r>
                    <w:rPr>
                      <w:rFonts w:hint="eastAsia"/>
                      <w:color w:val="auto"/>
                      <w:szCs w:val="21"/>
                      <w:lang w:bidi="ar"/>
                    </w:rPr>
                    <w:t>8.987</w:t>
                  </w:r>
                </w:p>
              </w:tc>
              <w:tc>
                <w:tcPr>
                  <w:tcW w:w="1377" w:type="pct"/>
                  <w:vMerge w:val="continue"/>
                  <w:vAlign w:val="center"/>
                </w:tcPr>
                <w:p w14:paraId="5F01C154">
                  <w:pPr>
                    <w:adjustRightInd w:val="0"/>
                    <w:snapToGrid w:val="0"/>
                    <w:jc w:val="center"/>
                    <w:rPr>
                      <w:color w:val="auto"/>
                      <w:szCs w:val="21"/>
                    </w:rPr>
                  </w:pPr>
                </w:p>
              </w:tc>
            </w:tr>
            <w:tr w14:paraId="565EC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1F4291CC">
                  <w:pPr>
                    <w:adjustRightInd w:val="0"/>
                    <w:snapToGrid w:val="0"/>
                    <w:jc w:val="center"/>
                    <w:rPr>
                      <w:color w:val="auto"/>
                      <w:szCs w:val="21"/>
                      <w:lang w:bidi="ar"/>
                    </w:rPr>
                  </w:pPr>
                </w:p>
              </w:tc>
              <w:tc>
                <w:tcPr>
                  <w:tcW w:w="1045" w:type="pct"/>
                  <w:vAlign w:val="center"/>
                </w:tcPr>
                <w:p w14:paraId="57E010B5">
                  <w:pPr>
                    <w:adjustRightInd w:val="0"/>
                    <w:snapToGrid w:val="0"/>
                    <w:jc w:val="center"/>
                    <w:rPr>
                      <w:bCs/>
                      <w:color w:val="auto"/>
                      <w:szCs w:val="21"/>
                    </w:rPr>
                  </w:pPr>
                  <w:r>
                    <w:rPr>
                      <w:bCs/>
                      <w:color w:val="auto"/>
                      <w:szCs w:val="21"/>
                    </w:rPr>
                    <w:t>污泥</w:t>
                  </w:r>
                </w:p>
              </w:tc>
              <w:tc>
                <w:tcPr>
                  <w:tcW w:w="783" w:type="pct"/>
                  <w:vAlign w:val="center"/>
                </w:tcPr>
                <w:p w14:paraId="49EDC22D">
                  <w:pPr>
                    <w:adjustRightInd w:val="0"/>
                    <w:snapToGrid w:val="0"/>
                    <w:jc w:val="center"/>
                    <w:rPr>
                      <w:bCs/>
                      <w:color w:val="auto"/>
                      <w:szCs w:val="21"/>
                    </w:rPr>
                  </w:pPr>
                  <w:r>
                    <w:rPr>
                      <w:bCs/>
                      <w:color w:val="auto"/>
                      <w:szCs w:val="21"/>
                    </w:rPr>
                    <w:t>HW17</w:t>
                  </w:r>
                </w:p>
              </w:tc>
              <w:tc>
                <w:tcPr>
                  <w:tcW w:w="820" w:type="pct"/>
                  <w:vAlign w:val="center"/>
                </w:tcPr>
                <w:p w14:paraId="413F0AB2">
                  <w:pPr>
                    <w:adjustRightInd w:val="0"/>
                    <w:snapToGrid w:val="0"/>
                    <w:jc w:val="center"/>
                    <w:rPr>
                      <w:bCs/>
                      <w:color w:val="auto"/>
                      <w:szCs w:val="21"/>
                    </w:rPr>
                  </w:pPr>
                  <w:r>
                    <w:rPr>
                      <w:bCs/>
                      <w:color w:val="auto"/>
                      <w:szCs w:val="21"/>
                    </w:rPr>
                    <w:t>336-064-17</w:t>
                  </w:r>
                </w:p>
              </w:tc>
              <w:tc>
                <w:tcPr>
                  <w:tcW w:w="559" w:type="pct"/>
                  <w:vAlign w:val="center"/>
                </w:tcPr>
                <w:p w14:paraId="2A8A1A0B">
                  <w:pPr>
                    <w:keepNext/>
                    <w:adjustRightInd w:val="0"/>
                    <w:snapToGrid w:val="0"/>
                    <w:jc w:val="center"/>
                    <w:rPr>
                      <w:color w:val="auto"/>
                      <w:kern w:val="0"/>
                      <w:szCs w:val="21"/>
                    </w:rPr>
                  </w:pPr>
                  <w:r>
                    <w:rPr>
                      <w:rFonts w:hint="eastAsia"/>
                      <w:bCs/>
                      <w:color w:val="auto"/>
                      <w:szCs w:val="21"/>
                    </w:rPr>
                    <w:t>22.6</w:t>
                  </w:r>
                </w:p>
              </w:tc>
              <w:tc>
                <w:tcPr>
                  <w:tcW w:w="1377" w:type="pct"/>
                  <w:vMerge w:val="continue"/>
                  <w:vAlign w:val="center"/>
                </w:tcPr>
                <w:p w14:paraId="0F15E780">
                  <w:pPr>
                    <w:adjustRightInd w:val="0"/>
                    <w:snapToGrid w:val="0"/>
                    <w:jc w:val="center"/>
                    <w:rPr>
                      <w:color w:val="auto"/>
                      <w:szCs w:val="21"/>
                    </w:rPr>
                  </w:pPr>
                </w:p>
              </w:tc>
            </w:tr>
            <w:tr w14:paraId="4A368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0C4F56FD">
                  <w:pPr>
                    <w:adjustRightInd w:val="0"/>
                    <w:snapToGrid w:val="0"/>
                    <w:jc w:val="center"/>
                    <w:rPr>
                      <w:color w:val="auto"/>
                      <w:szCs w:val="21"/>
                      <w:lang w:bidi="ar"/>
                    </w:rPr>
                  </w:pPr>
                </w:p>
              </w:tc>
              <w:tc>
                <w:tcPr>
                  <w:tcW w:w="1045" w:type="pct"/>
                  <w:vAlign w:val="center"/>
                </w:tcPr>
                <w:p w14:paraId="5AC8E8CC">
                  <w:pPr>
                    <w:keepNext/>
                    <w:adjustRightInd w:val="0"/>
                    <w:snapToGrid w:val="0"/>
                    <w:jc w:val="center"/>
                    <w:rPr>
                      <w:color w:val="auto"/>
                      <w:szCs w:val="21"/>
                      <w:lang w:bidi="ar"/>
                    </w:rPr>
                  </w:pPr>
                  <w:r>
                    <w:rPr>
                      <w:color w:val="auto"/>
                      <w:szCs w:val="21"/>
                      <w:lang w:bidi="ar"/>
                    </w:rPr>
                    <w:t>废原料空桶</w:t>
                  </w:r>
                </w:p>
              </w:tc>
              <w:tc>
                <w:tcPr>
                  <w:tcW w:w="783" w:type="pct"/>
                  <w:vAlign w:val="center"/>
                </w:tcPr>
                <w:p w14:paraId="6897BF7C">
                  <w:pPr>
                    <w:adjustRightInd w:val="0"/>
                    <w:snapToGrid w:val="0"/>
                    <w:jc w:val="center"/>
                    <w:rPr>
                      <w:color w:val="auto"/>
                      <w:szCs w:val="21"/>
                    </w:rPr>
                  </w:pPr>
                  <w:r>
                    <w:rPr>
                      <w:color w:val="auto"/>
                      <w:szCs w:val="21"/>
                    </w:rPr>
                    <w:t>HW49</w:t>
                  </w:r>
                </w:p>
              </w:tc>
              <w:tc>
                <w:tcPr>
                  <w:tcW w:w="820" w:type="pct"/>
                  <w:vAlign w:val="center"/>
                </w:tcPr>
                <w:p w14:paraId="2099EF09">
                  <w:pPr>
                    <w:adjustRightInd w:val="0"/>
                    <w:snapToGrid w:val="0"/>
                    <w:jc w:val="center"/>
                    <w:rPr>
                      <w:bCs/>
                      <w:color w:val="auto"/>
                      <w:szCs w:val="21"/>
                    </w:rPr>
                  </w:pPr>
                  <w:r>
                    <w:rPr>
                      <w:bCs/>
                      <w:color w:val="auto"/>
                      <w:szCs w:val="21"/>
                    </w:rPr>
                    <w:t>900-041-49</w:t>
                  </w:r>
                </w:p>
              </w:tc>
              <w:tc>
                <w:tcPr>
                  <w:tcW w:w="559" w:type="pct"/>
                  <w:vAlign w:val="center"/>
                </w:tcPr>
                <w:p w14:paraId="4C73F0D4">
                  <w:pPr>
                    <w:keepNext/>
                    <w:adjustRightInd w:val="0"/>
                    <w:snapToGrid w:val="0"/>
                    <w:jc w:val="center"/>
                    <w:rPr>
                      <w:color w:val="auto"/>
                      <w:kern w:val="0"/>
                      <w:szCs w:val="21"/>
                    </w:rPr>
                  </w:pPr>
                  <w:r>
                    <w:rPr>
                      <w:rFonts w:hint="eastAsia"/>
                      <w:color w:val="auto"/>
                      <w:kern w:val="0"/>
                      <w:szCs w:val="21"/>
                    </w:rPr>
                    <w:t>1</w:t>
                  </w:r>
                </w:p>
              </w:tc>
              <w:tc>
                <w:tcPr>
                  <w:tcW w:w="1377" w:type="pct"/>
                  <w:vMerge w:val="continue"/>
                  <w:vAlign w:val="center"/>
                </w:tcPr>
                <w:p w14:paraId="16EAD693">
                  <w:pPr>
                    <w:adjustRightInd w:val="0"/>
                    <w:snapToGrid w:val="0"/>
                    <w:jc w:val="center"/>
                    <w:rPr>
                      <w:color w:val="auto"/>
                      <w:szCs w:val="21"/>
                    </w:rPr>
                  </w:pPr>
                </w:p>
              </w:tc>
            </w:tr>
            <w:tr w14:paraId="32C3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29A24090">
                  <w:pPr>
                    <w:adjustRightInd w:val="0"/>
                    <w:snapToGrid w:val="0"/>
                    <w:jc w:val="center"/>
                    <w:rPr>
                      <w:color w:val="auto"/>
                      <w:szCs w:val="21"/>
                      <w:lang w:bidi="ar"/>
                    </w:rPr>
                  </w:pPr>
                </w:p>
              </w:tc>
              <w:tc>
                <w:tcPr>
                  <w:tcW w:w="1045" w:type="pct"/>
                  <w:vAlign w:val="center"/>
                </w:tcPr>
                <w:p w14:paraId="5093A2C3">
                  <w:pPr>
                    <w:keepNext/>
                    <w:adjustRightInd w:val="0"/>
                    <w:snapToGrid w:val="0"/>
                    <w:jc w:val="center"/>
                    <w:rPr>
                      <w:color w:val="auto"/>
                      <w:szCs w:val="21"/>
                      <w:lang w:bidi="ar"/>
                    </w:rPr>
                  </w:pPr>
                  <w:r>
                    <w:rPr>
                      <w:color w:val="auto"/>
                      <w:szCs w:val="21"/>
                      <w:lang w:bidi="ar"/>
                    </w:rPr>
                    <w:t>废机油</w:t>
                  </w:r>
                </w:p>
              </w:tc>
              <w:tc>
                <w:tcPr>
                  <w:tcW w:w="783" w:type="pct"/>
                  <w:vAlign w:val="center"/>
                </w:tcPr>
                <w:p w14:paraId="4AD7F37F">
                  <w:pPr>
                    <w:adjustRightInd w:val="0"/>
                    <w:snapToGrid w:val="0"/>
                    <w:jc w:val="center"/>
                    <w:rPr>
                      <w:color w:val="auto"/>
                      <w:szCs w:val="21"/>
                    </w:rPr>
                  </w:pPr>
                  <w:r>
                    <w:rPr>
                      <w:color w:val="auto"/>
                      <w:szCs w:val="21"/>
                    </w:rPr>
                    <w:t>HW08</w:t>
                  </w:r>
                </w:p>
              </w:tc>
              <w:tc>
                <w:tcPr>
                  <w:tcW w:w="820" w:type="pct"/>
                  <w:vAlign w:val="center"/>
                </w:tcPr>
                <w:p w14:paraId="59A5351D">
                  <w:pPr>
                    <w:adjustRightInd w:val="0"/>
                    <w:snapToGrid w:val="0"/>
                    <w:jc w:val="center"/>
                    <w:rPr>
                      <w:bCs/>
                      <w:color w:val="auto"/>
                      <w:szCs w:val="21"/>
                    </w:rPr>
                  </w:pPr>
                  <w:r>
                    <w:rPr>
                      <w:bCs/>
                      <w:color w:val="auto"/>
                      <w:szCs w:val="21"/>
                    </w:rPr>
                    <w:t>900-249-08</w:t>
                  </w:r>
                </w:p>
              </w:tc>
              <w:tc>
                <w:tcPr>
                  <w:tcW w:w="559" w:type="pct"/>
                  <w:vAlign w:val="center"/>
                </w:tcPr>
                <w:p w14:paraId="31F37B8B">
                  <w:pPr>
                    <w:keepNext/>
                    <w:adjustRightInd w:val="0"/>
                    <w:snapToGrid w:val="0"/>
                    <w:jc w:val="center"/>
                    <w:rPr>
                      <w:color w:val="auto"/>
                      <w:kern w:val="0"/>
                      <w:szCs w:val="21"/>
                    </w:rPr>
                  </w:pPr>
                  <w:r>
                    <w:rPr>
                      <w:color w:val="auto"/>
                      <w:kern w:val="0"/>
                      <w:szCs w:val="21"/>
                    </w:rPr>
                    <w:t>0.2</w:t>
                  </w:r>
                </w:p>
              </w:tc>
              <w:tc>
                <w:tcPr>
                  <w:tcW w:w="1377" w:type="pct"/>
                  <w:vMerge w:val="continue"/>
                  <w:vAlign w:val="center"/>
                </w:tcPr>
                <w:p w14:paraId="64D74D73">
                  <w:pPr>
                    <w:adjustRightInd w:val="0"/>
                    <w:snapToGrid w:val="0"/>
                    <w:jc w:val="center"/>
                    <w:rPr>
                      <w:color w:val="auto"/>
                      <w:szCs w:val="21"/>
                      <w:lang w:bidi="ar"/>
                    </w:rPr>
                  </w:pPr>
                </w:p>
              </w:tc>
            </w:tr>
            <w:tr w14:paraId="382B6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01AFA295">
                  <w:pPr>
                    <w:adjustRightInd w:val="0"/>
                    <w:snapToGrid w:val="0"/>
                    <w:jc w:val="center"/>
                    <w:rPr>
                      <w:color w:val="auto"/>
                      <w:szCs w:val="21"/>
                      <w:lang w:bidi="ar"/>
                    </w:rPr>
                  </w:pPr>
                </w:p>
              </w:tc>
              <w:tc>
                <w:tcPr>
                  <w:tcW w:w="1045" w:type="pct"/>
                  <w:vAlign w:val="center"/>
                </w:tcPr>
                <w:p w14:paraId="49FCD34B">
                  <w:pPr>
                    <w:keepNext/>
                    <w:adjustRightInd w:val="0"/>
                    <w:snapToGrid w:val="0"/>
                    <w:jc w:val="center"/>
                    <w:rPr>
                      <w:color w:val="auto"/>
                      <w:szCs w:val="21"/>
                      <w:lang w:bidi="ar"/>
                    </w:rPr>
                  </w:pPr>
                  <w:r>
                    <w:rPr>
                      <w:color w:val="auto"/>
                      <w:szCs w:val="21"/>
                      <w:lang w:bidi="ar"/>
                    </w:rPr>
                    <w:t>废含油抹布和手套</w:t>
                  </w:r>
                </w:p>
              </w:tc>
              <w:tc>
                <w:tcPr>
                  <w:tcW w:w="783" w:type="pct"/>
                  <w:vAlign w:val="center"/>
                </w:tcPr>
                <w:p w14:paraId="0342C1B0">
                  <w:pPr>
                    <w:adjustRightInd w:val="0"/>
                    <w:snapToGrid w:val="0"/>
                    <w:jc w:val="center"/>
                    <w:rPr>
                      <w:bCs/>
                      <w:color w:val="auto"/>
                      <w:szCs w:val="21"/>
                    </w:rPr>
                  </w:pPr>
                  <w:r>
                    <w:rPr>
                      <w:bCs/>
                      <w:color w:val="auto"/>
                      <w:szCs w:val="21"/>
                    </w:rPr>
                    <w:t>HW49</w:t>
                  </w:r>
                </w:p>
              </w:tc>
              <w:tc>
                <w:tcPr>
                  <w:tcW w:w="820" w:type="pct"/>
                  <w:vAlign w:val="center"/>
                </w:tcPr>
                <w:p w14:paraId="330D3476">
                  <w:pPr>
                    <w:adjustRightInd w:val="0"/>
                    <w:snapToGrid w:val="0"/>
                    <w:jc w:val="center"/>
                    <w:rPr>
                      <w:bCs/>
                      <w:color w:val="auto"/>
                      <w:szCs w:val="21"/>
                    </w:rPr>
                  </w:pPr>
                  <w:r>
                    <w:rPr>
                      <w:bCs/>
                      <w:color w:val="auto"/>
                      <w:szCs w:val="21"/>
                    </w:rPr>
                    <w:t>900-041-49</w:t>
                  </w:r>
                </w:p>
              </w:tc>
              <w:tc>
                <w:tcPr>
                  <w:tcW w:w="559" w:type="pct"/>
                  <w:vAlign w:val="center"/>
                </w:tcPr>
                <w:p w14:paraId="1CA25D33">
                  <w:pPr>
                    <w:keepNext/>
                    <w:adjustRightInd w:val="0"/>
                    <w:snapToGrid w:val="0"/>
                    <w:jc w:val="center"/>
                    <w:rPr>
                      <w:color w:val="auto"/>
                      <w:kern w:val="0"/>
                      <w:szCs w:val="21"/>
                    </w:rPr>
                  </w:pPr>
                  <w:r>
                    <w:rPr>
                      <w:color w:val="auto"/>
                      <w:kern w:val="0"/>
                      <w:szCs w:val="21"/>
                    </w:rPr>
                    <w:t>0.1</w:t>
                  </w:r>
                </w:p>
              </w:tc>
              <w:tc>
                <w:tcPr>
                  <w:tcW w:w="1377" w:type="pct"/>
                  <w:vMerge w:val="continue"/>
                  <w:vAlign w:val="center"/>
                </w:tcPr>
                <w:p w14:paraId="1BDE3F34">
                  <w:pPr>
                    <w:adjustRightInd w:val="0"/>
                    <w:snapToGrid w:val="0"/>
                    <w:jc w:val="center"/>
                    <w:rPr>
                      <w:color w:val="auto"/>
                      <w:szCs w:val="21"/>
                      <w:lang w:bidi="ar"/>
                    </w:rPr>
                  </w:pPr>
                </w:p>
              </w:tc>
            </w:tr>
            <w:tr w14:paraId="59D0D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7331E598">
                  <w:pPr>
                    <w:adjustRightInd w:val="0"/>
                    <w:snapToGrid w:val="0"/>
                    <w:jc w:val="center"/>
                    <w:rPr>
                      <w:color w:val="auto"/>
                      <w:szCs w:val="21"/>
                      <w:lang w:bidi="ar"/>
                    </w:rPr>
                  </w:pPr>
                </w:p>
              </w:tc>
              <w:tc>
                <w:tcPr>
                  <w:tcW w:w="1045" w:type="pct"/>
                  <w:vAlign w:val="center"/>
                </w:tcPr>
                <w:p w14:paraId="5C41EA55">
                  <w:pPr>
                    <w:keepNext/>
                    <w:adjustRightInd w:val="0"/>
                    <w:snapToGrid w:val="0"/>
                    <w:jc w:val="center"/>
                    <w:rPr>
                      <w:color w:val="auto"/>
                      <w:kern w:val="0"/>
                      <w:szCs w:val="21"/>
                    </w:rPr>
                  </w:pPr>
                  <w:r>
                    <w:rPr>
                      <w:rFonts w:hint="eastAsia"/>
                      <w:color w:val="auto"/>
                      <w:kern w:val="0"/>
                      <w:szCs w:val="21"/>
                    </w:rPr>
                    <w:t>废RO膜</w:t>
                  </w:r>
                </w:p>
              </w:tc>
              <w:tc>
                <w:tcPr>
                  <w:tcW w:w="783" w:type="pct"/>
                  <w:vAlign w:val="center"/>
                </w:tcPr>
                <w:p w14:paraId="67C7B14B">
                  <w:pPr>
                    <w:keepNext/>
                    <w:adjustRightInd w:val="0"/>
                    <w:snapToGrid w:val="0"/>
                    <w:jc w:val="center"/>
                    <w:rPr>
                      <w:color w:val="auto"/>
                      <w:kern w:val="0"/>
                      <w:szCs w:val="21"/>
                    </w:rPr>
                  </w:pPr>
                  <w:r>
                    <w:rPr>
                      <w:color w:val="auto"/>
                      <w:kern w:val="0"/>
                      <w:szCs w:val="21"/>
                    </w:rPr>
                    <w:t>HW49</w:t>
                  </w:r>
                </w:p>
              </w:tc>
              <w:tc>
                <w:tcPr>
                  <w:tcW w:w="820" w:type="pct"/>
                  <w:vAlign w:val="center"/>
                </w:tcPr>
                <w:p w14:paraId="72E97218">
                  <w:pPr>
                    <w:keepNext/>
                    <w:adjustRightInd w:val="0"/>
                    <w:snapToGrid w:val="0"/>
                    <w:jc w:val="center"/>
                    <w:rPr>
                      <w:color w:val="auto"/>
                      <w:kern w:val="0"/>
                      <w:szCs w:val="21"/>
                    </w:rPr>
                  </w:pPr>
                  <w:r>
                    <w:rPr>
                      <w:color w:val="auto"/>
                      <w:kern w:val="0"/>
                      <w:szCs w:val="21"/>
                    </w:rPr>
                    <w:t>900-041-49</w:t>
                  </w:r>
                </w:p>
              </w:tc>
              <w:tc>
                <w:tcPr>
                  <w:tcW w:w="559" w:type="pct"/>
                  <w:vAlign w:val="center"/>
                </w:tcPr>
                <w:p w14:paraId="00CAF97C">
                  <w:pPr>
                    <w:keepNext/>
                    <w:adjustRightInd w:val="0"/>
                    <w:snapToGrid w:val="0"/>
                    <w:jc w:val="center"/>
                    <w:rPr>
                      <w:color w:val="auto"/>
                      <w:kern w:val="0"/>
                      <w:szCs w:val="21"/>
                    </w:rPr>
                  </w:pPr>
                  <w:r>
                    <w:rPr>
                      <w:rFonts w:hint="eastAsia"/>
                      <w:color w:val="auto"/>
                      <w:kern w:val="0"/>
                      <w:szCs w:val="21"/>
                    </w:rPr>
                    <w:t>0.18</w:t>
                  </w:r>
                </w:p>
              </w:tc>
              <w:tc>
                <w:tcPr>
                  <w:tcW w:w="1377" w:type="pct"/>
                  <w:vMerge w:val="continue"/>
                  <w:vAlign w:val="center"/>
                </w:tcPr>
                <w:p w14:paraId="05D1B9C8">
                  <w:pPr>
                    <w:adjustRightInd w:val="0"/>
                    <w:snapToGrid w:val="0"/>
                    <w:jc w:val="center"/>
                    <w:rPr>
                      <w:color w:val="auto"/>
                      <w:szCs w:val="21"/>
                      <w:lang w:bidi="ar"/>
                    </w:rPr>
                  </w:pPr>
                </w:p>
              </w:tc>
            </w:tr>
            <w:tr w14:paraId="362FE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3BA7A60D">
                  <w:pPr>
                    <w:adjustRightInd w:val="0"/>
                    <w:snapToGrid w:val="0"/>
                    <w:jc w:val="center"/>
                    <w:rPr>
                      <w:color w:val="auto"/>
                      <w:szCs w:val="21"/>
                      <w:lang w:bidi="ar"/>
                    </w:rPr>
                  </w:pPr>
                </w:p>
              </w:tc>
              <w:tc>
                <w:tcPr>
                  <w:tcW w:w="1045" w:type="pct"/>
                  <w:vAlign w:val="center"/>
                </w:tcPr>
                <w:p w14:paraId="299A0343">
                  <w:pPr>
                    <w:keepNext/>
                    <w:adjustRightInd w:val="0"/>
                    <w:snapToGrid w:val="0"/>
                    <w:jc w:val="center"/>
                    <w:rPr>
                      <w:color w:val="auto"/>
                      <w:kern w:val="0"/>
                      <w:szCs w:val="21"/>
                    </w:rPr>
                  </w:pPr>
                  <w:r>
                    <w:rPr>
                      <w:color w:val="auto"/>
                      <w:kern w:val="0"/>
                      <w:szCs w:val="21"/>
                    </w:rPr>
                    <w:t>废滤芯</w:t>
                  </w:r>
                </w:p>
              </w:tc>
              <w:tc>
                <w:tcPr>
                  <w:tcW w:w="783" w:type="pct"/>
                  <w:vAlign w:val="center"/>
                </w:tcPr>
                <w:p w14:paraId="147BE035">
                  <w:pPr>
                    <w:keepNext/>
                    <w:adjustRightInd w:val="0"/>
                    <w:snapToGrid w:val="0"/>
                    <w:jc w:val="center"/>
                    <w:rPr>
                      <w:color w:val="auto"/>
                      <w:kern w:val="0"/>
                      <w:szCs w:val="21"/>
                    </w:rPr>
                  </w:pPr>
                  <w:r>
                    <w:rPr>
                      <w:color w:val="auto"/>
                      <w:kern w:val="0"/>
                      <w:szCs w:val="21"/>
                    </w:rPr>
                    <w:t>HW49</w:t>
                  </w:r>
                </w:p>
              </w:tc>
              <w:tc>
                <w:tcPr>
                  <w:tcW w:w="820" w:type="pct"/>
                  <w:vAlign w:val="center"/>
                </w:tcPr>
                <w:p w14:paraId="6F5513F0">
                  <w:pPr>
                    <w:keepNext/>
                    <w:adjustRightInd w:val="0"/>
                    <w:snapToGrid w:val="0"/>
                    <w:jc w:val="center"/>
                    <w:rPr>
                      <w:color w:val="auto"/>
                      <w:kern w:val="0"/>
                      <w:szCs w:val="21"/>
                    </w:rPr>
                  </w:pPr>
                  <w:r>
                    <w:rPr>
                      <w:color w:val="auto"/>
                      <w:kern w:val="0"/>
                      <w:szCs w:val="21"/>
                    </w:rPr>
                    <w:t>900-041-49</w:t>
                  </w:r>
                </w:p>
              </w:tc>
              <w:tc>
                <w:tcPr>
                  <w:tcW w:w="559" w:type="pct"/>
                  <w:vAlign w:val="center"/>
                </w:tcPr>
                <w:p w14:paraId="2DEAD15B">
                  <w:pPr>
                    <w:keepNext/>
                    <w:adjustRightInd w:val="0"/>
                    <w:snapToGrid w:val="0"/>
                    <w:jc w:val="center"/>
                    <w:rPr>
                      <w:color w:val="auto"/>
                      <w:kern w:val="0"/>
                      <w:szCs w:val="21"/>
                    </w:rPr>
                  </w:pPr>
                  <w:r>
                    <w:rPr>
                      <w:rFonts w:hint="eastAsia"/>
                      <w:color w:val="auto"/>
                      <w:kern w:val="0"/>
                      <w:szCs w:val="21"/>
                    </w:rPr>
                    <w:t>0.12</w:t>
                  </w:r>
                </w:p>
              </w:tc>
              <w:tc>
                <w:tcPr>
                  <w:tcW w:w="1377" w:type="pct"/>
                  <w:vMerge w:val="continue"/>
                  <w:vAlign w:val="center"/>
                </w:tcPr>
                <w:p w14:paraId="246E4A94">
                  <w:pPr>
                    <w:adjustRightInd w:val="0"/>
                    <w:snapToGrid w:val="0"/>
                    <w:jc w:val="center"/>
                    <w:rPr>
                      <w:color w:val="auto"/>
                      <w:szCs w:val="21"/>
                      <w:lang w:bidi="ar"/>
                    </w:rPr>
                  </w:pPr>
                </w:p>
              </w:tc>
            </w:tr>
            <w:tr w14:paraId="67688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66559A29">
                  <w:pPr>
                    <w:adjustRightInd w:val="0"/>
                    <w:snapToGrid w:val="0"/>
                    <w:jc w:val="center"/>
                    <w:rPr>
                      <w:color w:val="auto"/>
                      <w:szCs w:val="21"/>
                      <w:lang w:bidi="ar"/>
                    </w:rPr>
                  </w:pPr>
                </w:p>
              </w:tc>
              <w:tc>
                <w:tcPr>
                  <w:tcW w:w="1045" w:type="pct"/>
                  <w:vAlign w:val="center"/>
                </w:tcPr>
                <w:p w14:paraId="7D080855">
                  <w:pPr>
                    <w:keepNext/>
                    <w:adjustRightInd w:val="0"/>
                    <w:snapToGrid w:val="0"/>
                    <w:jc w:val="center"/>
                    <w:rPr>
                      <w:color w:val="auto"/>
                      <w:kern w:val="0"/>
                      <w:szCs w:val="21"/>
                    </w:rPr>
                  </w:pPr>
                  <w:r>
                    <w:rPr>
                      <w:color w:val="auto"/>
                      <w:kern w:val="0"/>
                      <w:szCs w:val="21"/>
                    </w:rPr>
                    <w:t>废槽渣</w:t>
                  </w:r>
                </w:p>
              </w:tc>
              <w:tc>
                <w:tcPr>
                  <w:tcW w:w="783" w:type="pct"/>
                  <w:vAlign w:val="center"/>
                </w:tcPr>
                <w:p w14:paraId="3834A53B">
                  <w:pPr>
                    <w:keepNext/>
                    <w:adjustRightInd w:val="0"/>
                    <w:snapToGrid w:val="0"/>
                    <w:jc w:val="center"/>
                    <w:rPr>
                      <w:color w:val="auto"/>
                      <w:kern w:val="0"/>
                      <w:szCs w:val="21"/>
                    </w:rPr>
                  </w:pPr>
                  <w:r>
                    <w:rPr>
                      <w:color w:val="auto"/>
                      <w:kern w:val="0"/>
                      <w:szCs w:val="21"/>
                    </w:rPr>
                    <w:t>HW17</w:t>
                  </w:r>
                </w:p>
              </w:tc>
              <w:tc>
                <w:tcPr>
                  <w:tcW w:w="820" w:type="pct"/>
                  <w:vAlign w:val="center"/>
                </w:tcPr>
                <w:p w14:paraId="56B3A81E">
                  <w:pPr>
                    <w:keepNext/>
                    <w:adjustRightInd w:val="0"/>
                    <w:snapToGrid w:val="0"/>
                    <w:jc w:val="center"/>
                    <w:rPr>
                      <w:color w:val="auto"/>
                      <w:kern w:val="0"/>
                      <w:szCs w:val="21"/>
                    </w:rPr>
                  </w:pPr>
                  <w:r>
                    <w:rPr>
                      <w:color w:val="auto"/>
                      <w:kern w:val="0"/>
                      <w:szCs w:val="21"/>
                    </w:rPr>
                    <w:t>336-064-17</w:t>
                  </w:r>
                </w:p>
              </w:tc>
              <w:tc>
                <w:tcPr>
                  <w:tcW w:w="559" w:type="pct"/>
                  <w:vAlign w:val="center"/>
                </w:tcPr>
                <w:p w14:paraId="45455F04">
                  <w:pPr>
                    <w:keepNext/>
                    <w:adjustRightInd w:val="0"/>
                    <w:snapToGrid w:val="0"/>
                    <w:jc w:val="center"/>
                    <w:rPr>
                      <w:color w:val="auto"/>
                      <w:kern w:val="0"/>
                      <w:szCs w:val="21"/>
                    </w:rPr>
                  </w:pPr>
                  <w:r>
                    <w:rPr>
                      <w:rFonts w:hint="eastAsia"/>
                      <w:color w:val="auto"/>
                      <w:kern w:val="0"/>
                      <w:szCs w:val="21"/>
                    </w:rPr>
                    <w:t>4.86</w:t>
                  </w:r>
                </w:p>
              </w:tc>
              <w:tc>
                <w:tcPr>
                  <w:tcW w:w="1377" w:type="pct"/>
                  <w:vMerge w:val="continue"/>
                  <w:vAlign w:val="center"/>
                </w:tcPr>
                <w:p w14:paraId="115AE74F">
                  <w:pPr>
                    <w:adjustRightInd w:val="0"/>
                    <w:snapToGrid w:val="0"/>
                    <w:jc w:val="center"/>
                    <w:rPr>
                      <w:color w:val="auto"/>
                      <w:szCs w:val="21"/>
                      <w:lang w:bidi="ar"/>
                    </w:rPr>
                  </w:pPr>
                </w:p>
              </w:tc>
            </w:tr>
            <w:tr w14:paraId="448E6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300792A1">
                  <w:pPr>
                    <w:adjustRightInd w:val="0"/>
                    <w:snapToGrid w:val="0"/>
                    <w:jc w:val="center"/>
                    <w:rPr>
                      <w:color w:val="auto"/>
                      <w:szCs w:val="21"/>
                      <w:lang w:bidi="ar"/>
                    </w:rPr>
                  </w:pPr>
                </w:p>
              </w:tc>
              <w:tc>
                <w:tcPr>
                  <w:tcW w:w="1045" w:type="pct"/>
                  <w:vAlign w:val="center"/>
                </w:tcPr>
                <w:p w14:paraId="2D90FA83">
                  <w:pPr>
                    <w:keepNext/>
                    <w:adjustRightInd w:val="0"/>
                    <w:snapToGrid w:val="0"/>
                    <w:jc w:val="center"/>
                    <w:rPr>
                      <w:color w:val="auto"/>
                      <w:kern w:val="0"/>
                      <w:szCs w:val="21"/>
                    </w:rPr>
                  </w:pPr>
                  <w:r>
                    <w:rPr>
                      <w:rFonts w:hint="eastAsia"/>
                      <w:color w:val="auto"/>
                      <w:kern w:val="0"/>
                      <w:szCs w:val="21"/>
                    </w:rPr>
                    <w:t>水帘柜废水</w:t>
                  </w:r>
                </w:p>
              </w:tc>
              <w:tc>
                <w:tcPr>
                  <w:tcW w:w="783" w:type="pct"/>
                  <w:vAlign w:val="center"/>
                </w:tcPr>
                <w:p w14:paraId="2DE74D21">
                  <w:pPr>
                    <w:keepNext/>
                    <w:adjustRightInd w:val="0"/>
                    <w:snapToGrid w:val="0"/>
                    <w:jc w:val="center"/>
                    <w:rPr>
                      <w:color w:val="auto"/>
                      <w:kern w:val="0"/>
                      <w:szCs w:val="21"/>
                    </w:rPr>
                  </w:pPr>
                  <w:r>
                    <w:rPr>
                      <w:rFonts w:hint="eastAsia"/>
                      <w:color w:val="auto"/>
                      <w:kern w:val="0"/>
                      <w:szCs w:val="21"/>
                    </w:rPr>
                    <w:t>HW09</w:t>
                  </w:r>
                </w:p>
              </w:tc>
              <w:tc>
                <w:tcPr>
                  <w:tcW w:w="820" w:type="pct"/>
                  <w:vAlign w:val="center"/>
                </w:tcPr>
                <w:p w14:paraId="1D86C727">
                  <w:pPr>
                    <w:keepNext/>
                    <w:adjustRightInd w:val="0"/>
                    <w:snapToGrid w:val="0"/>
                    <w:jc w:val="center"/>
                    <w:rPr>
                      <w:color w:val="auto"/>
                      <w:kern w:val="0"/>
                      <w:szCs w:val="21"/>
                    </w:rPr>
                  </w:pPr>
                  <w:r>
                    <w:rPr>
                      <w:rFonts w:hint="eastAsia"/>
                      <w:color w:val="auto"/>
                      <w:kern w:val="0"/>
                      <w:szCs w:val="21"/>
                    </w:rPr>
                    <w:t>900-007-09</w:t>
                  </w:r>
                </w:p>
              </w:tc>
              <w:tc>
                <w:tcPr>
                  <w:tcW w:w="559" w:type="pct"/>
                  <w:vAlign w:val="center"/>
                </w:tcPr>
                <w:p w14:paraId="5692E6AD">
                  <w:pPr>
                    <w:keepNext/>
                    <w:adjustRightInd w:val="0"/>
                    <w:snapToGrid w:val="0"/>
                    <w:jc w:val="center"/>
                    <w:rPr>
                      <w:color w:val="auto"/>
                      <w:kern w:val="0"/>
                      <w:szCs w:val="21"/>
                    </w:rPr>
                  </w:pPr>
                  <w:r>
                    <w:rPr>
                      <w:rFonts w:hint="eastAsia"/>
                      <w:color w:val="auto"/>
                      <w:kern w:val="0"/>
                      <w:szCs w:val="21"/>
                    </w:rPr>
                    <w:t>19.76</w:t>
                  </w:r>
                </w:p>
              </w:tc>
              <w:tc>
                <w:tcPr>
                  <w:tcW w:w="1377" w:type="pct"/>
                  <w:vMerge w:val="continue"/>
                  <w:vAlign w:val="center"/>
                </w:tcPr>
                <w:p w14:paraId="5CA86DF0">
                  <w:pPr>
                    <w:adjustRightInd w:val="0"/>
                    <w:snapToGrid w:val="0"/>
                    <w:jc w:val="center"/>
                    <w:rPr>
                      <w:color w:val="auto"/>
                      <w:szCs w:val="21"/>
                      <w:lang w:bidi="ar"/>
                    </w:rPr>
                  </w:pPr>
                </w:p>
              </w:tc>
            </w:tr>
            <w:tr w14:paraId="0ED7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vAlign w:val="center"/>
                </w:tcPr>
                <w:p w14:paraId="26866037">
                  <w:pPr>
                    <w:adjustRightInd w:val="0"/>
                    <w:snapToGrid w:val="0"/>
                    <w:jc w:val="center"/>
                    <w:rPr>
                      <w:color w:val="auto"/>
                      <w:szCs w:val="21"/>
                      <w:lang w:bidi="ar"/>
                    </w:rPr>
                  </w:pPr>
                </w:p>
              </w:tc>
              <w:tc>
                <w:tcPr>
                  <w:tcW w:w="1045" w:type="pct"/>
                  <w:vAlign w:val="center"/>
                </w:tcPr>
                <w:p w14:paraId="0C25F760">
                  <w:pPr>
                    <w:keepNext/>
                    <w:adjustRightInd w:val="0"/>
                    <w:snapToGrid w:val="0"/>
                    <w:jc w:val="center"/>
                    <w:rPr>
                      <w:color w:val="auto"/>
                      <w:kern w:val="0"/>
                      <w:szCs w:val="21"/>
                    </w:rPr>
                  </w:pPr>
                  <w:r>
                    <w:rPr>
                      <w:rFonts w:hint="eastAsia"/>
                      <w:color w:val="auto"/>
                      <w:kern w:val="0"/>
                      <w:szCs w:val="21"/>
                    </w:rPr>
                    <w:t>废漆渣</w:t>
                  </w:r>
                </w:p>
              </w:tc>
              <w:tc>
                <w:tcPr>
                  <w:tcW w:w="783" w:type="pct"/>
                  <w:vAlign w:val="center"/>
                </w:tcPr>
                <w:p w14:paraId="278FC5BD">
                  <w:pPr>
                    <w:keepNext/>
                    <w:adjustRightInd w:val="0"/>
                    <w:snapToGrid w:val="0"/>
                    <w:jc w:val="center"/>
                    <w:rPr>
                      <w:color w:val="auto"/>
                      <w:kern w:val="0"/>
                      <w:szCs w:val="21"/>
                    </w:rPr>
                  </w:pPr>
                  <w:r>
                    <w:rPr>
                      <w:rFonts w:hint="eastAsia"/>
                      <w:color w:val="auto"/>
                      <w:kern w:val="0"/>
                      <w:szCs w:val="21"/>
                    </w:rPr>
                    <w:t>HW12</w:t>
                  </w:r>
                </w:p>
              </w:tc>
              <w:tc>
                <w:tcPr>
                  <w:tcW w:w="820" w:type="pct"/>
                  <w:vAlign w:val="center"/>
                </w:tcPr>
                <w:p w14:paraId="51A1AF69">
                  <w:pPr>
                    <w:keepNext/>
                    <w:adjustRightInd w:val="0"/>
                    <w:snapToGrid w:val="0"/>
                    <w:jc w:val="center"/>
                    <w:rPr>
                      <w:color w:val="auto"/>
                      <w:kern w:val="0"/>
                      <w:szCs w:val="21"/>
                    </w:rPr>
                  </w:pPr>
                  <w:r>
                    <w:rPr>
                      <w:rFonts w:hint="eastAsia"/>
                      <w:color w:val="auto"/>
                      <w:kern w:val="0"/>
                      <w:szCs w:val="21"/>
                    </w:rPr>
                    <w:t>900-252-12</w:t>
                  </w:r>
                </w:p>
              </w:tc>
              <w:tc>
                <w:tcPr>
                  <w:tcW w:w="559" w:type="pct"/>
                  <w:vAlign w:val="center"/>
                </w:tcPr>
                <w:p w14:paraId="42D3417C">
                  <w:pPr>
                    <w:keepNext/>
                    <w:adjustRightInd w:val="0"/>
                    <w:snapToGrid w:val="0"/>
                    <w:jc w:val="center"/>
                    <w:rPr>
                      <w:color w:val="auto"/>
                      <w:kern w:val="0"/>
                      <w:szCs w:val="21"/>
                    </w:rPr>
                  </w:pPr>
                  <w:r>
                    <w:rPr>
                      <w:rFonts w:hint="eastAsia"/>
                      <w:color w:val="auto"/>
                      <w:kern w:val="0"/>
                      <w:szCs w:val="21"/>
                    </w:rPr>
                    <w:t>0.5</w:t>
                  </w:r>
                </w:p>
              </w:tc>
              <w:tc>
                <w:tcPr>
                  <w:tcW w:w="1377" w:type="pct"/>
                  <w:vMerge w:val="continue"/>
                  <w:vAlign w:val="center"/>
                </w:tcPr>
                <w:p w14:paraId="3D8412EE">
                  <w:pPr>
                    <w:adjustRightInd w:val="0"/>
                    <w:snapToGrid w:val="0"/>
                    <w:jc w:val="center"/>
                    <w:rPr>
                      <w:color w:val="auto"/>
                      <w:szCs w:val="21"/>
                      <w:lang w:bidi="ar"/>
                    </w:rPr>
                  </w:pPr>
                </w:p>
              </w:tc>
            </w:tr>
            <w:tr w14:paraId="19252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Align w:val="center"/>
                </w:tcPr>
                <w:p w14:paraId="6A805AD3">
                  <w:pPr>
                    <w:adjustRightInd w:val="0"/>
                    <w:snapToGrid w:val="0"/>
                    <w:jc w:val="center"/>
                    <w:rPr>
                      <w:color w:val="auto"/>
                      <w:szCs w:val="21"/>
                      <w:lang w:bidi="ar"/>
                    </w:rPr>
                  </w:pPr>
                  <w:r>
                    <w:rPr>
                      <w:color w:val="auto"/>
                      <w:szCs w:val="21"/>
                      <w:lang w:bidi="ar"/>
                    </w:rPr>
                    <w:t>生活垃圾</w:t>
                  </w:r>
                </w:p>
              </w:tc>
              <w:tc>
                <w:tcPr>
                  <w:tcW w:w="1045" w:type="pct"/>
                  <w:vAlign w:val="center"/>
                </w:tcPr>
                <w:p w14:paraId="59294218">
                  <w:pPr>
                    <w:keepNext/>
                    <w:adjustRightInd w:val="0"/>
                    <w:snapToGrid w:val="0"/>
                    <w:jc w:val="center"/>
                    <w:rPr>
                      <w:color w:val="auto"/>
                      <w:szCs w:val="21"/>
                      <w:lang w:bidi="ar"/>
                    </w:rPr>
                  </w:pPr>
                  <w:r>
                    <w:rPr>
                      <w:color w:val="auto"/>
                      <w:szCs w:val="21"/>
                      <w:lang w:bidi="ar"/>
                    </w:rPr>
                    <w:t>员工生活垃圾</w:t>
                  </w:r>
                </w:p>
              </w:tc>
              <w:tc>
                <w:tcPr>
                  <w:tcW w:w="783" w:type="pct"/>
                  <w:vAlign w:val="center"/>
                </w:tcPr>
                <w:p w14:paraId="1ED96CB6">
                  <w:pPr>
                    <w:adjustRightInd w:val="0"/>
                    <w:snapToGrid w:val="0"/>
                    <w:jc w:val="center"/>
                    <w:rPr>
                      <w:color w:val="auto"/>
                      <w:szCs w:val="21"/>
                    </w:rPr>
                  </w:pPr>
                  <w:r>
                    <w:rPr>
                      <w:bCs/>
                      <w:color w:val="auto"/>
                      <w:kern w:val="21"/>
                      <w:szCs w:val="21"/>
                    </w:rPr>
                    <w:t>SW64</w:t>
                  </w:r>
                </w:p>
              </w:tc>
              <w:tc>
                <w:tcPr>
                  <w:tcW w:w="820" w:type="pct"/>
                  <w:vAlign w:val="center"/>
                </w:tcPr>
                <w:p w14:paraId="162C3B5E">
                  <w:pPr>
                    <w:adjustRightInd w:val="0"/>
                    <w:snapToGrid w:val="0"/>
                    <w:jc w:val="center"/>
                    <w:rPr>
                      <w:color w:val="auto"/>
                      <w:szCs w:val="21"/>
                    </w:rPr>
                  </w:pPr>
                  <w:r>
                    <w:rPr>
                      <w:bCs/>
                      <w:color w:val="auto"/>
                      <w:kern w:val="21"/>
                      <w:szCs w:val="21"/>
                    </w:rPr>
                    <w:t>900-099-S64</w:t>
                  </w:r>
                </w:p>
              </w:tc>
              <w:tc>
                <w:tcPr>
                  <w:tcW w:w="559" w:type="pct"/>
                  <w:vAlign w:val="center"/>
                </w:tcPr>
                <w:p w14:paraId="39EE2FEF">
                  <w:pPr>
                    <w:adjustRightInd w:val="0"/>
                    <w:snapToGrid w:val="0"/>
                    <w:jc w:val="center"/>
                    <w:rPr>
                      <w:bCs/>
                      <w:color w:val="auto"/>
                      <w:szCs w:val="21"/>
                    </w:rPr>
                  </w:pPr>
                  <w:r>
                    <w:rPr>
                      <w:rFonts w:hint="eastAsia"/>
                      <w:bCs/>
                      <w:color w:val="auto"/>
                      <w:szCs w:val="21"/>
                    </w:rPr>
                    <w:t>7.5</w:t>
                  </w:r>
                </w:p>
              </w:tc>
              <w:tc>
                <w:tcPr>
                  <w:tcW w:w="1377" w:type="pct"/>
                  <w:vAlign w:val="center"/>
                </w:tcPr>
                <w:p w14:paraId="01B1B2CE">
                  <w:pPr>
                    <w:adjustRightInd w:val="0"/>
                    <w:snapToGrid w:val="0"/>
                    <w:jc w:val="center"/>
                    <w:rPr>
                      <w:color w:val="auto"/>
                      <w:szCs w:val="21"/>
                      <w:lang w:bidi="ar"/>
                    </w:rPr>
                  </w:pPr>
                  <w:r>
                    <w:rPr>
                      <w:color w:val="auto"/>
                      <w:szCs w:val="21"/>
                      <w:lang w:bidi="ar"/>
                    </w:rPr>
                    <w:t>定点、集中收集后由当地环卫部门定期清运</w:t>
                  </w:r>
                </w:p>
              </w:tc>
            </w:tr>
          </w:tbl>
          <w:p w14:paraId="415CFF35">
            <w:pPr>
              <w:pStyle w:val="31"/>
              <w:adjustRightInd w:val="0"/>
              <w:snapToGrid w:val="0"/>
              <w:spacing w:before="120" w:beforeLines="50" w:beforeAutospacing="0" w:after="0" w:afterAutospacing="0" w:line="360" w:lineRule="auto"/>
              <w:ind w:left="420" w:leftChars="200"/>
              <w:outlineLvl w:val="0"/>
              <w:rPr>
                <w:rFonts w:ascii="Times New Roman" w:hAnsi="Times New Roman"/>
                <w:b/>
                <w:bCs/>
                <w:color w:val="auto"/>
                <w:szCs w:val="24"/>
              </w:rPr>
            </w:pPr>
            <w:r>
              <w:rPr>
                <w:rFonts w:ascii="Times New Roman" w:hAnsi="Times New Roman"/>
                <w:b/>
                <w:bCs/>
                <w:color w:val="auto"/>
                <w:szCs w:val="24"/>
              </w:rPr>
              <w:t>3、固体废物环境管理要求</w:t>
            </w:r>
          </w:p>
          <w:p w14:paraId="27B76986">
            <w:pPr>
              <w:pStyle w:val="43"/>
              <w:ind w:firstLine="420" w:firstLineChars="175"/>
              <w:jc w:val="left"/>
              <w:rPr>
                <w:color w:val="auto"/>
                <w:szCs w:val="24"/>
              </w:rPr>
            </w:pPr>
            <w:r>
              <w:rPr>
                <w:color w:val="auto"/>
                <w:szCs w:val="24"/>
              </w:rPr>
              <w:t>a、贮存仓库的设置要求</w:t>
            </w:r>
          </w:p>
          <w:p w14:paraId="42580848">
            <w:pPr>
              <w:pStyle w:val="43"/>
              <w:ind w:firstLine="420" w:firstLineChars="175"/>
              <w:jc w:val="left"/>
              <w:rPr>
                <w:color w:val="auto"/>
                <w:szCs w:val="24"/>
              </w:rPr>
            </w:pPr>
            <w:r>
              <w:rPr>
                <w:color w:val="auto"/>
                <w:szCs w:val="24"/>
              </w:rPr>
              <w:t>一般工业固体废物采用包装工具（罐、桶、包装袋等）贮存。其贮存过程应满足相应防渗漏、防雨淋、防扬尘等环境保护要求；贮存区按照《环境保护图形标志——固体废物贮存（处置）场》</w:t>
            </w:r>
            <w:r>
              <w:rPr>
                <w:rFonts w:hint="eastAsia"/>
                <w:color w:val="auto"/>
                <w:szCs w:val="24"/>
              </w:rPr>
              <w:t>（GB 15562.2-1995）及2023年修改单</w:t>
            </w:r>
            <w:r>
              <w:rPr>
                <w:color w:val="auto"/>
                <w:szCs w:val="24"/>
              </w:rPr>
              <w:t>的要求设置环保图形标志；指定专人进行日常管理。</w:t>
            </w:r>
          </w:p>
          <w:p w14:paraId="46427A63">
            <w:pPr>
              <w:pStyle w:val="43"/>
              <w:ind w:firstLine="420" w:firstLineChars="175"/>
              <w:jc w:val="left"/>
              <w:rPr>
                <w:color w:val="auto"/>
                <w:szCs w:val="24"/>
              </w:rPr>
            </w:pPr>
            <w:r>
              <w:rPr>
                <w:color w:val="auto"/>
                <w:szCs w:val="24"/>
              </w:rPr>
              <w:t>危险废物仓库建设应满足《危险废物贮存污染控制标准》（GB18597-2023）相关要求，主要包括：</w:t>
            </w:r>
          </w:p>
          <w:p w14:paraId="7F5E05B2">
            <w:pPr>
              <w:pStyle w:val="43"/>
              <w:ind w:firstLine="420" w:firstLineChars="175"/>
              <w:jc w:val="left"/>
              <w:rPr>
                <w:color w:val="auto"/>
                <w:szCs w:val="24"/>
              </w:rPr>
            </w:pPr>
            <w:r>
              <w:rPr>
                <w:rFonts w:hint="eastAsia" w:ascii="宋体" w:hAnsi="宋体" w:cs="宋体"/>
                <w:color w:val="auto"/>
                <w:szCs w:val="24"/>
              </w:rPr>
              <w:t>①</w:t>
            </w:r>
            <w:r>
              <w:rPr>
                <w:color w:val="auto"/>
                <w:szCs w:val="24"/>
              </w:rPr>
              <w:t>贮存设施应根据危险废物的形态、物理化学性质、包装形式和污染物迁移途径，采取必要的防风、防晒、防雨、防漏、防渗、防腐以及其他环境污染防治措施，不应露天堆放危险废物。</w:t>
            </w:r>
          </w:p>
          <w:p w14:paraId="550D86C8">
            <w:pPr>
              <w:pStyle w:val="43"/>
              <w:ind w:firstLine="420" w:firstLineChars="175"/>
              <w:jc w:val="left"/>
              <w:rPr>
                <w:color w:val="auto"/>
                <w:szCs w:val="24"/>
              </w:rPr>
            </w:pPr>
            <w:r>
              <w:rPr>
                <w:rFonts w:hint="eastAsia" w:ascii="宋体" w:hAnsi="宋体" w:cs="宋体"/>
                <w:color w:val="auto"/>
                <w:szCs w:val="24"/>
              </w:rPr>
              <w:t>②</w:t>
            </w:r>
            <w:r>
              <w:rPr>
                <w:color w:val="auto"/>
                <w:szCs w:val="24"/>
              </w:rPr>
              <w:t>贮存设施应根据危险废物的类别、数量、形态、物理化学性质和污染防治等要求设置必要的贮存分区，避免不相容的危险废物接触、混合。</w:t>
            </w:r>
          </w:p>
          <w:p w14:paraId="02F89016">
            <w:pPr>
              <w:pStyle w:val="43"/>
              <w:ind w:firstLine="420" w:firstLineChars="175"/>
              <w:jc w:val="left"/>
              <w:rPr>
                <w:color w:val="auto"/>
                <w:szCs w:val="24"/>
              </w:rPr>
            </w:pPr>
            <w:r>
              <w:rPr>
                <w:rFonts w:hint="eastAsia" w:ascii="宋体" w:hAnsi="宋体" w:cs="宋体"/>
                <w:color w:val="auto"/>
                <w:szCs w:val="24"/>
              </w:rPr>
              <w:t>③</w:t>
            </w:r>
            <w:r>
              <w:rPr>
                <w:color w:val="auto"/>
                <w:szCs w:val="24"/>
              </w:rPr>
              <w:t>贮存设施或贮存分区内地面、墙面裙脚、堵截泄漏的围堰、接触危险废物的隔板和墙体等应采用坚固的材料建造，表面无裂缝。</w:t>
            </w:r>
          </w:p>
          <w:p w14:paraId="14BC3EE9">
            <w:pPr>
              <w:pStyle w:val="43"/>
              <w:ind w:firstLine="420" w:firstLineChars="175"/>
              <w:jc w:val="left"/>
              <w:rPr>
                <w:color w:val="auto"/>
                <w:szCs w:val="24"/>
              </w:rPr>
            </w:pPr>
            <w:r>
              <w:rPr>
                <w:rFonts w:hint="eastAsia" w:ascii="宋体" w:hAnsi="宋体" w:cs="宋体"/>
                <w:color w:val="auto"/>
                <w:szCs w:val="24"/>
              </w:rPr>
              <w:t>④</w:t>
            </w:r>
            <w:r>
              <w:rPr>
                <w:color w:val="auto"/>
                <w:szCs w:val="24"/>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color w:val="auto"/>
                <w:szCs w:val="24"/>
                <w:vertAlign w:val="superscript"/>
              </w:rPr>
              <w:t>-7</w:t>
            </w:r>
            <w:r>
              <w:rPr>
                <w:color w:val="auto"/>
                <w:szCs w:val="24"/>
              </w:rPr>
              <w:t>cm/s），或至少2mm厚高密度聚乙烯膜等人工防渗材料（渗透系数不大于10</w:t>
            </w:r>
            <w:r>
              <w:rPr>
                <w:color w:val="auto"/>
                <w:szCs w:val="24"/>
                <w:vertAlign w:val="superscript"/>
              </w:rPr>
              <w:t>-10</w:t>
            </w:r>
            <w:r>
              <w:rPr>
                <w:color w:val="auto"/>
                <w:szCs w:val="24"/>
              </w:rPr>
              <w:t>cm/s），或其他防渗性能等效的材料。</w:t>
            </w:r>
          </w:p>
          <w:p w14:paraId="14C63CDA">
            <w:pPr>
              <w:pStyle w:val="43"/>
              <w:ind w:firstLine="420" w:firstLineChars="175"/>
              <w:jc w:val="left"/>
              <w:rPr>
                <w:color w:val="auto"/>
                <w:szCs w:val="24"/>
              </w:rPr>
            </w:pPr>
            <w:r>
              <w:rPr>
                <w:rFonts w:hint="eastAsia" w:ascii="宋体" w:hAnsi="宋体" w:cs="宋体"/>
                <w:color w:val="auto"/>
                <w:szCs w:val="24"/>
              </w:rPr>
              <w:t>⑤</w:t>
            </w:r>
            <w:r>
              <w:rPr>
                <w:color w:val="auto"/>
                <w:szCs w:val="24"/>
              </w:rPr>
              <w:t>容器和包装物材质、内衬应与盛装的危险废物相容。针对不同类别、形态、物理化学性质的危险废物，其容器和包装物应满足相应的防渗、防漏、防腐和强度等要求。硬质容器和包装物及其支护结构堆叠码放时不应有明显变形，无破损泄漏。柔性容器和包装物堆叠码放时应封口严密，无破损泄漏。使用容器盛装液态、半固态危险废物时，容器内部应留有适当的空间，以适应因温度变化等可能引发的收缩和膨胀，防止其导致容器渗漏或永久变形。</w:t>
            </w:r>
          </w:p>
          <w:p w14:paraId="14193743">
            <w:pPr>
              <w:pStyle w:val="43"/>
              <w:ind w:firstLine="420" w:firstLineChars="175"/>
              <w:jc w:val="left"/>
              <w:rPr>
                <w:color w:val="auto"/>
                <w:szCs w:val="24"/>
              </w:rPr>
            </w:pPr>
            <w:r>
              <w:rPr>
                <w:rFonts w:hint="eastAsia" w:ascii="宋体" w:hAnsi="宋体" w:cs="宋体"/>
                <w:color w:val="auto"/>
                <w:szCs w:val="24"/>
              </w:rPr>
              <w:t>⑥</w:t>
            </w:r>
            <w:r>
              <w:rPr>
                <w:color w:val="auto"/>
                <w:szCs w:val="24"/>
              </w:rPr>
              <w:t>在常温常压下不易水解、不易挥发的固态危险废物可分类堆放贮存，其他固态危险废物应装入容器或包装物内贮存。液态危险废物应装入容器内贮存，或直接采用贮存池、贮存罐区贮存。半固态危险废物应装入容器或包装袋内贮存，或直接采用贮存池贮存。易产生粉尘、VOCs、酸雾、有毒有害大气污染物和刺激性气味气体的危险废物应装入闭口容器或包装物内贮存。</w:t>
            </w:r>
          </w:p>
          <w:p w14:paraId="2669C46E">
            <w:pPr>
              <w:pStyle w:val="43"/>
              <w:ind w:firstLine="420" w:firstLineChars="175"/>
              <w:jc w:val="left"/>
              <w:rPr>
                <w:color w:val="auto"/>
                <w:szCs w:val="24"/>
              </w:rPr>
            </w:pPr>
            <w:r>
              <w:rPr>
                <w:rFonts w:hint="eastAsia" w:ascii="宋体" w:hAnsi="宋体" w:cs="宋体"/>
                <w:color w:val="auto"/>
                <w:szCs w:val="24"/>
              </w:rPr>
              <w:t>⑦</w:t>
            </w:r>
            <w:r>
              <w:rPr>
                <w:color w:val="auto"/>
                <w:szCs w:val="24"/>
              </w:rPr>
              <w:t>危险废物存入贮存设施前应对危险废物类别和特性与危险废物标签等危险废物识别标志的一致性进行核验，不一致的或类别、特性不明的不应存入。应定期检查危险废物的贮存状况，及时清理贮存设施地面，更换破损泄漏的危险废物贮存容器和包装物，保证堆存危险废物的防雨、防风、防扬尘等设施功能完好。贮存设施运行期间，应按国家有关标准和规定建立危险废物管理台账并保存。贮存设施所有者或运营者应建立贮存设施环境管理制度、管理人员岗位职责制度、设施运行操作制度、人员岗位培训制度等。</w:t>
            </w:r>
          </w:p>
          <w:p w14:paraId="42A1878D">
            <w:pPr>
              <w:pStyle w:val="43"/>
              <w:ind w:firstLine="420" w:firstLineChars="175"/>
              <w:jc w:val="left"/>
              <w:rPr>
                <w:color w:val="auto"/>
                <w:szCs w:val="24"/>
              </w:rPr>
            </w:pPr>
            <w:r>
              <w:rPr>
                <w:color w:val="auto"/>
                <w:szCs w:val="24"/>
              </w:rPr>
              <w:t>b、日常管理和台账要求</w:t>
            </w:r>
          </w:p>
          <w:p w14:paraId="49DA1306">
            <w:pPr>
              <w:pStyle w:val="43"/>
              <w:ind w:firstLine="420" w:firstLineChars="175"/>
              <w:jc w:val="left"/>
              <w:rPr>
                <w:color w:val="auto"/>
                <w:szCs w:val="24"/>
              </w:rPr>
            </w:pPr>
            <w:r>
              <w:rPr>
                <w:color w:val="auto"/>
                <w:szCs w:val="24"/>
              </w:rPr>
              <w:t>一般工业固废交由合法、合规的单位收集处理。建设单位应建立严格危险废物管理体系，将危险委托具有</w:t>
            </w:r>
            <w:r>
              <w:rPr>
                <w:color w:val="auto"/>
              </w:rPr>
              <w:t>危险废物处理资质</w:t>
            </w:r>
            <w:r>
              <w:rPr>
                <w:color w:val="auto"/>
                <w:szCs w:val="24"/>
              </w:rPr>
              <w:t>单位处置，禁止将危险废物提供或委托给无危险废物经营许可证的单位。严格执行危废五联单转移制度等管理要求，并落实《广东省生态环境厅关于加快推进危险废物处理设施建设工作的通知》（粤环函〔2020〕329号）相关要求，做到：坚持减量化、资源化、无害化原则，妥善利用或处置产生的危险废物；规范危险废物贮存场所建设，根据危险废物的种类和特性进行分区、分类贮存，按照相关规范要求，设置防雨、防扬散、防渗漏等设施，最大贮存期限一般不超过一年；按照国家和本市有关要求制定危险废物年度管理计划，并进行在线申报备案；结合自身实际，建立危险废物台账，如实记载危险废物的种类、数量、性质、产生环节、流向、贮存、利用处置等信息，并在信息系统中及时申报，申报数据应与台账、管理计划数据相一致。</w:t>
            </w:r>
          </w:p>
          <w:p w14:paraId="4E18AF1C">
            <w:pPr>
              <w:pStyle w:val="43"/>
              <w:ind w:firstLine="422" w:firstLineChars="175"/>
              <w:jc w:val="left"/>
              <w:rPr>
                <w:b/>
                <w:bCs/>
                <w:color w:val="auto"/>
                <w:szCs w:val="24"/>
              </w:rPr>
            </w:pPr>
            <w:r>
              <w:rPr>
                <w:rFonts w:hint="eastAsia"/>
                <w:b/>
                <w:bCs/>
                <w:color w:val="auto"/>
                <w:szCs w:val="24"/>
              </w:rPr>
              <w:t>（五）排污许可管理要求</w:t>
            </w:r>
          </w:p>
          <w:p w14:paraId="2402AE86">
            <w:pPr>
              <w:pStyle w:val="43"/>
              <w:ind w:firstLine="420" w:firstLineChars="175"/>
              <w:jc w:val="left"/>
              <w:rPr>
                <w:color w:val="auto"/>
                <w:szCs w:val="24"/>
              </w:rPr>
            </w:pPr>
            <w:r>
              <w:rPr>
                <w:rFonts w:hint="eastAsia"/>
                <w:color w:val="auto"/>
                <w:szCs w:val="24"/>
              </w:rPr>
              <w:t>项目</w:t>
            </w:r>
            <w:r>
              <w:rPr>
                <w:color w:val="auto"/>
                <w:szCs w:val="24"/>
              </w:rPr>
              <w:t>所属行业为</w:t>
            </w:r>
            <w:r>
              <w:rPr>
                <w:color w:val="auto"/>
              </w:rPr>
              <w:t>C3360金属表面处理及热处理加工</w:t>
            </w:r>
            <w:r>
              <w:rPr>
                <w:color w:val="auto"/>
                <w:szCs w:val="24"/>
              </w:rPr>
              <w:t>，根据《固定污染源排污许可分类管理名录(2019年版)》要求，属于管理名录中实施</w:t>
            </w:r>
            <w:r>
              <w:rPr>
                <w:rFonts w:hint="eastAsia"/>
                <w:color w:val="auto"/>
                <w:szCs w:val="24"/>
              </w:rPr>
              <w:t>简化</w:t>
            </w:r>
            <w:r>
              <w:rPr>
                <w:color w:val="auto"/>
                <w:szCs w:val="24"/>
              </w:rPr>
              <w:t>管理的企业，具体见下表：</w:t>
            </w:r>
          </w:p>
          <w:p w14:paraId="15EE0CFE">
            <w:pPr>
              <w:pStyle w:val="77"/>
              <w:numPr>
                <w:ilvl w:val="0"/>
                <w:numId w:val="18"/>
              </w:numPr>
              <w:adjustRightInd w:val="0"/>
              <w:snapToGrid w:val="0"/>
              <w:jc w:val="center"/>
              <w:rPr>
                <w:b/>
                <w:bCs/>
                <w:iCs/>
                <w:color w:val="auto"/>
                <w:szCs w:val="21"/>
              </w:rPr>
            </w:pPr>
            <w:r>
              <w:rPr>
                <w:rFonts w:hint="eastAsia"/>
                <w:b/>
                <w:bCs/>
                <w:iCs/>
                <w:color w:val="auto"/>
                <w:szCs w:val="21"/>
              </w:rPr>
              <w:t>《固定污染源排污许可分类管理名录(2019年版)》摘录</w:t>
            </w:r>
          </w:p>
          <w:tbl>
            <w:tblPr>
              <w:tblStyle w:val="35"/>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55"/>
              <w:gridCol w:w="3122"/>
              <w:gridCol w:w="2971"/>
              <w:gridCol w:w="1222"/>
            </w:tblGrid>
            <w:tr w14:paraId="27F2C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Pr>
                <w:p w14:paraId="68753C98">
                  <w:pPr>
                    <w:pStyle w:val="127"/>
                    <w:rPr>
                      <w:b/>
                      <w:bCs/>
                      <w:color w:val="auto"/>
                    </w:rPr>
                  </w:pPr>
                  <w:r>
                    <w:rPr>
                      <w:b/>
                      <w:bCs/>
                      <w:color w:val="auto"/>
                    </w:rPr>
                    <w:t>序号</w:t>
                  </w:r>
                </w:p>
              </w:tc>
              <w:tc>
                <w:tcPr>
                  <w:tcW w:w="676" w:type="pct"/>
                </w:tcPr>
                <w:p w14:paraId="74A288A1">
                  <w:pPr>
                    <w:pStyle w:val="127"/>
                    <w:rPr>
                      <w:b/>
                      <w:bCs/>
                      <w:color w:val="auto"/>
                    </w:rPr>
                  </w:pPr>
                  <w:r>
                    <w:rPr>
                      <w:b/>
                      <w:bCs/>
                      <w:color w:val="auto"/>
                    </w:rPr>
                    <w:t>行业类别</w:t>
                  </w:r>
                </w:p>
              </w:tc>
              <w:tc>
                <w:tcPr>
                  <w:tcW w:w="1683" w:type="pct"/>
                </w:tcPr>
                <w:p w14:paraId="1A607A88">
                  <w:pPr>
                    <w:pStyle w:val="127"/>
                    <w:rPr>
                      <w:b/>
                      <w:bCs/>
                      <w:color w:val="auto"/>
                    </w:rPr>
                  </w:pPr>
                  <w:r>
                    <w:rPr>
                      <w:b/>
                      <w:bCs/>
                      <w:color w:val="auto"/>
                    </w:rPr>
                    <w:t>重点管理</w:t>
                  </w:r>
                </w:p>
              </w:tc>
              <w:tc>
                <w:tcPr>
                  <w:tcW w:w="1602" w:type="pct"/>
                </w:tcPr>
                <w:p w14:paraId="02497892">
                  <w:pPr>
                    <w:pStyle w:val="127"/>
                    <w:rPr>
                      <w:b/>
                      <w:bCs/>
                      <w:color w:val="auto"/>
                    </w:rPr>
                  </w:pPr>
                  <w:r>
                    <w:rPr>
                      <w:b/>
                      <w:bCs/>
                      <w:color w:val="auto"/>
                    </w:rPr>
                    <w:t>简化管理</w:t>
                  </w:r>
                </w:p>
              </w:tc>
              <w:tc>
                <w:tcPr>
                  <w:tcW w:w="659" w:type="pct"/>
                </w:tcPr>
                <w:p w14:paraId="57A31F40">
                  <w:pPr>
                    <w:pStyle w:val="127"/>
                    <w:rPr>
                      <w:b/>
                      <w:bCs/>
                      <w:color w:val="auto"/>
                    </w:rPr>
                  </w:pPr>
                  <w:r>
                    <w:rPr>
                      <w:b/>
                      <w:bCs/>
                      <w:color w:val="auto"/>
                    </w:rPr>
                    <w:t>登记管理</w:t>
                  </w:r>
                </w:p>
              </w:tc>
            </w:tr>
            <w:tr w14:paraId="37DB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vAlign w:val="center"/>
                </w:tcPr>
                <w:p w14:paraId="289CD4DF">
                  <w:pPr>
                    <w:pStyle w:val="127"/>
                    <w:rPr>
                      <w:color w:val="auto"/>
                    </w:rPr>
                  </w:pPr>
                  <w:r>
                    <w:rPr>
                      <w:rFonts w:hint="eastAsia"/>
                      <w:color w:val="auto"/>
                    </w:rPr>
                    <w:t>81</w:t>
                  </w:r>
                </w:p>
              </w:tc>
              <w:tc>
                <w:tcPr>
                  <w:tcW w:w="676" w:type="pct"/>
                  <w:vAlign w:val="center"/>
                </w:tcPr>
                <w:p w14:paraId="239F3E96">
                  <w:pPr>
                    <w:pStyle w:val="127"/>
                    <w:rPr>
                      <w:color w:val="auto"/>
                    </w:rPr>
                  </w:pPr>
                  <w:r>
                    <w:rPr>
                      <w:rFonts w:hint="eastAsia"/>
                      <w:color w:val="auto"/>
                    </w:rPr>
                    <w:t>金属表面处理及热处理加工336</w:t>
                  </w:r>
                </w:p>
              </w:tc>
              <w:tc>
                <w:tcPr>
                  <w:tcW w:w="1683" w:type="pct"/>
                  <w:vAlign w:val="center"/>
                </w:tcPr>
                <w:p w14:paraId="2F30D696">
                  <w:pPr>
                    <w:pStyle w:val="127"/>
                    <w:rPr>
                      <w:color w:val="auto"/>
                    </w:rPr>
                  </w:pPr>
                  <w:r>
                    <w:rPr>
                      <w:rFonts w:hint="eastAsia"/>
                      <w:color w:val="auto"/>
                    </w:rPr>
                    <w:t>纳入重点排污单位名录的，专业电镀企业（含电镀园区中电镀企业），专门处理电镀废水的集中处理设施，有电镀工序的，有含铬钝化工序的</w:t>
                  </w:r>
                </w:p>
              </w:tc>
              <w:tc>
                <w:tcPr>
                  <w:tcW w:w="1602" w:type="pct"/>
                  <w:vAlign w:val="center"/>
                </w:tcPr>
                <w:p w14:paraId="7FA50703">
                  <w:pPr>
                    <w:pStyle w:val="127"/>
                    <w:rPr>
                      <w:color w:val="auto"/>
                    </w:rPr>
                  </w:pPr>
                  <w:r>
                    <w:rPr>
                      <w:rFonts w:hint="eastAsia"/>
                      <w:color w:val="auto"/>
                    </w:rPr>
                    <w:t>除重点管理以外的有酸洗、抛光（电解抛光和化学抛光）、热浸镀（溶剂法）、淬火或者无铬钝化等工序的、年使用10吨及以上有机溶剂的</w:t>
                  </w:r>
                </w:p>
              </w:tc>
              <w:tc>
                <w:tcPr>
                  <w:tcW w:w="659" w:type="pct"/>
                  <w:vAlign w:val="center"/>
                </w:tcPr>
                <w:p w14:paraId="790B0C13">
                  <w:pPr>
                    <w:pStyle w:val="127"/>
                    <w:rPr>
                      <w:color w:val="auto"/>
                    </w:rPr>
                  </w:pPr>
                  <w:r>
                    <w:rPr>
                      <w:rFonts w:hint="eastAsia"/>
                      <w:color w:val="auto"/>
                    </w:rPr>
                    <w:t>其他</w:t>
                  </w:r>
                </w:p>
              </w:tc>
            </w:tr>
          </w:tbl>
          <w:p w14:paraId="70C79096">
            <w:pPr>
              <w:pStyle w:val="43"/>
              <w:ind w:firstLine="422" w:firstLineChars="175"/>
              <w:jc w:val="left"/>
              <w:rPr>
                <w:b/>
                <w:bCs/>
                <w:color w:val="auto"/>
                <w:szCs w:val="24"/>
              </w:rPr>
            </w:pPr>
            <w:r>
              <w:rPr>
                <w:rFonts w:hint="eastAsia"/>
                <w:b/>
                <w:bCs/>
                <w:color w:val="auto"/>
                <w:szCs w:val="24"/>
              </w:rPr>
              <w:t>（六）地下水、土壤</w:t>
            </w:r>
          </w:p>
          <w:p w14:paraId="3302BA23">
            <w:pPr>
              <w:pStyle w:val="77"/>
              <w:tabs>
                <w:tab w:val="left" w:pos="1059"/>
              </w:tabs>
              <w:autoSpaceDE w:val="0"/>
              <w:autoSpaceDN w:val="0"/>
              <w:adjustRightInd w:val="0"/>
              <w:snapToGrid w:val="0"/>
              <w:spacing w:line="360" w:lineRule="auto"/>
              <w:ind w:left="420" w:leftChars="200"/>
              <w:jc w:val="left"/>
              <w:rPr>
                <w:b/>
                <w:bCs/>
                <w:color w:val="auto"/>
                <w:sz w:val="24"/>
              </w:rPr>
            </w:pPr>
            <w:r>
              <w:rPr>
                <w:b/>
                <w:bCs/>
                <w:color w:val="auto"/>
                <w:sz w:val="24"/>
              </w:rPr>
              <w:t>1、地下水</w:t>
            </w:r>
          </w:p>
          <w:p w14:paraId="0AAB9D12">
            <w:pPr>
              <w:pStyle w:val="77"/>
              <w:autoSpaceDE w:val="0"/>
              <w:autoSpaceDN w:val="0"/>
              <w:adjustRightInd w:val="0"/>
              <w:snapToGrid w:val="0"/>
              <w:spacing w:line="360" w:lineRule="auto"/>
              <w:ind w:firstLine="480" w:firstLineChars="200"/>
              <w:jc w:val="left"/>
              <w:rPr>
                <w:color w:val="auto"/>
                <w:sz w:val="24"/>
              </w:rPr>
            </w:pPr>
            <w:r>
              <w:rPr>
                <w:color w:val="auto"/>
                <w:sz w:val="24"/>
              </w:rPr>
              <w:t>项目不涉及地下水开采，不会影响当地地下水水位，不会产生地面沉降、岩溶塌陷等不良水文地质灾害；地下水污染主要是由于污染物迁移穿过包气带进入含水层造成，项目占地范围内已进行全面硬底化，生产车间、生产废水处理</w:t>
            </w:r>
            <w:r>
              <w:rPr>
                <w:rFonts w:hint="eastAsia"/>
                <w:color w:val="auto"/>
                <w:sz w:val="24"/>
              </w:rPr>
              <w:t>设施</w:t>
            </w:r>
            <w:r>
              <w:rPr>
                <w:color w:val="auto"/>
                <w:sz w:val="24"/>
              </w:rPr>
              <w:t>、危废</w:t>
            </w:r>
            <w:r>
              <w:rPr>
                <w:rFonts w:hint="eastAsia"/>
                <w:color w:val="auto"/>
                <w:sz w:val="24"/>
              </w:rPr>
              <w:t>仓库</w:t>
            </w:r>
            <w:r>
              <w:rPr>
                <w:color w:val="auto"/>
                <w:sz w:val="24"/>
              </w:rPr>
              <w:t>、一般固体废物</w:t>
            </w:r>
            <w:r>
              <w:rPr>
                <w:rFonts w:hint="eastAsia"/>
                <w:color w:val="auto"/>
                <w:sz w:val="24"/>
              </w:rPr>
              <w:t>仓库</w:t>
            </w:r>
            <w:r>
              <w:rPr>
                <w:color w:val="auto"/>
                <w:sz w:val="24"/>
              </w:rPr>
              <w:t>均按照要求做好防渗措施，在生产运营过程中加强维护，如发生防渗层破损，应及时修补，避免污染物渗入地下水。</w:t>
            </w:r>
          </w:p>
          <w:p w14:paraId="74B57289">
            <w:pPr>
              <w:widowControl/>
              <w:numPr>
                <w:ilvl w:val="0"/>
                <w:numId w:val="22"/>
              </w:numPr>
              <w:adjustRightInd w:val="0"/>
              <w:snapToGrid w:val="0"/>
              <w:spacing w:line="360" w:lineRule="auto"/>
              <w:ind w:firstLine="482" w:firstLineChars="200"/>
              <w:jc w:val="left"/>
              <w:rPr>
                <w:b/>
                <w:bCs/>
                <w:color w:val="auto"/>
                <w:kern w:val="0"/>
                <w:sz w:val="24"/>
                <w:lang w:bidi="ar"/>
              </w:rPr>
            </w:pPr>
            <w:r>
              <w:rPr>
                <w:b/>
                <w:bCs/>
                <w:color w:val="auto"/>
                <w:kern w:val="0"/>
                <w:sz w:val="24"/>
                <w:lang w:bidi="ar"/>
              </w:rPr>
              <w:t>土壤影响分析</w:t>
            </w:r>
          </w:p>
          <w:p w14:paraId="6FF7D80B">
            <w:pPr>
              <w:pStyle w:val="77"/>
              <w:autoSpaceDE w:val="0"/>
              <w:autoSpaceDN w:val="0"/>
              <w:adjustRightInd w:val="0"/>
              <w:snapToGrid w:val="0"/>
              <w:spacing w:line="360" w:lineRule="auto"/>
              <w:ind w:firstLine="480" w:firstLineChars="200"/>
              <w:jc w:val="left"/>
              <w:rPr>
                <w:color w:val="auto"/>
                <w:sz w:val="24"/>
              </w:rPr>
            </w:pPr>
            <w:r>
              <w:rPr>
                <w:color w:val="auto"/>
                <w:sz w:val="24"/>
              </w:rPr>
              <w:t>土壤的影响主要表现在大气沉降、废水垂直入渗、固废污染对土壤的影响。项目排放的大气污染物为</w:t>
            </w:r>
            <w:r>
              <w:rPr>
                <w:rFonts w:hint="eastAsia"/>
                <w:color w:val="auto"/>
                <w:sz w:val="24"/>
              </w:rPr>
              <w:t>T</w:t>
            </w:r>
            <w:r>
              <w:rPr>
                <w:color w:val="auto"/>
                <w:sz w:val="24"/>
              </w:rPr>
              <w:t>VOC、颗粒物、二氧化硫、氮氧化物、</w:t>
            </w:r>
            <w:r>
              <w:rPr>
                <w:rFonts w:hint="eastAsia"/>
                <w:color w:val="auto"/>
                <w:sz w:val="24"/>
              </w:rPr>
              <w:t>硫酸雾</w:t>
            </w:r>
            <w:r>
              <w:rPr>
                <w:color w:val="auto"/>
                <w:sz w:val="24"/>
              </w:rPr>
              <w:t>，不属于《重金属及有毒有害化学物质污染防治“十三五”规划》、《两高司法解释的有毒有害物质》（法释（2016）29号）、《有毒有害大气污染物名录（2018年）》的公告（生环部公告2019年：第4号）、《土壤环境质量建设用地土壤污染风险管控标准（试行）》（GB36600-2018）、《土壤环境质量农用土地污染风险管控标准（试行）》（GB15618-2018）文件标准所述的土壤污染物质</w:t>
            </w:r>
            <w:r>
              <w:rPr>
                <w:rFonts w:hint="eastAsia"/>
                <w:color w:val="auto"/>
                <w:sz w:val="24"/>
              </w:rPr>
              <w:t>，且项目所在位置为厂房的4-7楼，各车间涉及产废区域均做好防控措施，因此不存在</w:t>
            </w:r>
            <w:r>
              <w:rPr>
                <w:color w:val="auto"/>
                <w:sz w:val="24"/>
              </w:rPr>
              <w:t>大气沉降、废水垂直入渗、固废污染</w:t>
            </w:r>
            <w:r>
              <w:rPr>
                <w:rFonts w:hint="eastAsia"/>
                <w:color w:val="auto"/>
                <w:sz w:val="24"/>
              </w:rPr>
              <w:t>的情况</w:t>
            </w:r>
            <w:r>
              <w:rPr>
                <w:color w:val="auto"/>
                <w:sz w:val="24"/>
              </w:rPr>
              <w:t>。</w:t>
            </w:r>
          </w:p>
          <w:p w14:paraId="12281BF4">
            <w:pPr>
              <w:pStyle w:val="77"/>
              <w:autoSpaceDE w:val="0"/>
              <w:autoSpaceDN w:val="0"/>
              <w:adjustRightInd w:val="0"/>
              <w:snapToGrid w:val="0"/>
              <w:spacing w:line="360" w:lineRule="auto"/>
              <w:ind w:firstLine="482" w:firstLineChars="200"/>
              <w:jc w:val="left"/>
              <w:rPr>
                <w:b/>
                <w:color w:val="auto"/>
                <w:sz w:val="24"/>
              </w:rPr>
            </w:pPr>
            <w:r>
              <w:rPr>
                <w:b/>
                <w:color w:val="auto"/>
                <w:sz w:val="24"/>
              </w:rPr>
              <w:t>3、地下水和土壤防治措施</w:t>
            </w:r>
          </w:p>
          <w:p w14:paraId="27C52028">
            <w:pPr>
              <w:pStyle w:val="77"/>
              <w:autoSpaceDE w:val="0"/>
              <w:autoSpaceDN w:val="0"/>
              <w:adjustRightInd w:val="0"/>
              <w:snapToGrid w:val="0"/>
              <w:spacing w:line="360" w:lineRule="auto"/>
              <w:ind w:firstLine="480" w:firstLineChars="200"/>
              <w:jc w:val="left"/>
              <w:rPr>
                <w:color w:val="auto"/>
                <w:sz w:val="24"/>
              </w:rPr>
            </w:pPr>
            <w:r>
              <w:rPr>
                <w:color w:val="auto"/>
                <w:sz w:val="24"/>
              </w:rPr>
              <w:t>针对地下水和土壤防治措施，项目拟采取源头控制、分区防渗，加强对重点区域的防渗，防范地下水和土壤污染。</w:t>
            </w:r>
          </w:p>
          <w:p w14:paraId="506F6111">
            <w:pPr>
              <w:pStyle w:val="77"/>
              <w:autoSpaceDE w:val="0"/>
              <w:autoSpaceDN w:val="0"/>
              <w:adjustRightInd w:val="0"/>
              <w:snapToGrid w:val="0"/>
              <w:spacing w:line="360" w:lineRule="auto"/>
              <w:ind w:firstLine="480" w:firstLineChars="200"/>
              <w:jc w:val="left"/>
              <w:rPr>
                <w:color w:val="auto"/>
                <w:sz w:val="24"/>
              </w:rPr>
            </w:pPr>
            <w:r>
              <w:rPr>
                <w:color w:val="auto"/>
                <w:sz w:val="24"/>
              </w:rPr>
              <w:t>为了降低地下水污染，建议前处理槽体、废水收集管线采用地面架空布设，污水处理设施除收集池设为地下池，其他采用地面装置，做到污染物“早发现、早处理”，减少由于埋地管道泄漏而造成的地下水污染。</w:t>
            </w:r>
          </w:p>
          <w:p w14:paraId="5BEBAE67">
            <w:pPr>
              <w:pStyle w:val="77"/>
              <w:autoSpaceDE w:val="0"/>
              <w:autoSpaceDN w:val="0"/>
              <w:adjustRightInd w:val="0"/>
              <w:snapToGrid w:val="0"/>
              <w:spacing w:line="360" w:lineRule="auto"/>
              <w:ind w:firstLine="480" w:firstLineChars="200"/>
              <w:jc w:val="left"/>
              <w:rPr>
                <w:color w:val="auto"/>
                <w:sz w:val="24"/>
              </w:rPr>
            </w:pPr>
            <w:r>
              <w:rPr>
                <w:color w:val="auto"/>
                <w:sz w:val="24"/>
              </w:rPr>
              <w:t>项目拟参照《环境影响评价技术导则地下水环境》（HJ610-2016）表7和《石油化工工程防渗技术规范》（GB/T50934-2013）表4.0.3开展分区防渗。</w:t>
            </w:r>
          </w:p>
          <w:p w14:paraId="7B8E8E77">
            <w:pPr>
              <w:pStyle w:val="77"/>
              <w:autoSpaceDE w:val="0"/>
              <w:autoSpaceDN w:val="0"/>
              <w:adjustRightInd w:val="0"/>
              <w:snapToGrid w:val="0"/>
              <w:spacing w:line="360" w:lineRule="auto"/>
              <w:ind w:firstLine="482" w:firstLineChars="200"/>
              <w:jc w:val="left"/>
              <w:rPr>
                <w:b/>
                <w:bCs/>
                <w:color w:val="auto"/>
                <w:sz w:val="24"/>
              </w:rPr>
            </w:pPr>
            <w:r>
              <w:rPr>
                <w:b/>
                <w:bCs/>
                <w:color w:val="auto"/>
                <w:sz w:val="24"/>
              </w:rPr>
              <w:t>（1）重点防渗区</w:t>
            </w:r>
          </w:p>
          <w:p w14:paraId="26FC5E66">
            <w:pPr>
              <w:pStyle w:val="77"/>
              <w:autoSpaceDE w:val="0"/>
              <w:autoSpaceDN w:val="0"/>
              <w:adjustRightInd w:val="0"/>
              <w:snapToGrid w:val="0"/>
              <w:spacing w:line="360" w:lineRule="auto"/>
              <w:ind w:firstLine="480" w:firstLineChars="200"/>
              <w:jc w:val="left"/>
              <w:rPr>
                <w:color w:val="auto"/>
                <w:sz w:val="24"/>
              </w:rPr>
            </w:pPr>
            <w:r>
              <w:rPr>
                <w:color w:val="auto"/>
                <w:sz w:val="24"/>
              </w:rPr>
              <w:t>重点污染防治区指位于地下或半地下的生产功能单元，污染地下水环境的物料泄漏后，不容易被及时发现和处理的区域。主要包括</w:t>
            </w:r>
            <w:r>
              <w:rPr>
                <w:rFonts w:hint="eastAsia"/>
                <w:color w:val="auto"/>
                <w:sz w:val="24"/>
              </w:rPr>
              <w:t>危废仓库</w:t>
            </w:r>
            <w:r>
              <w:rPr>
                <w:color w:val="auto"/>
                <w:sz w:val="24"/>
              </w:rPr>
              <w:t>、废水处理设施区域、前处理区域、</w:t>
            </w:r>
            <w:r>
              <w:rPr>
                <w:rFonts w:hint="eastAsia"/>
                <w:color w:val="auto"/>
                <w:sz w:val="24"/>
              </w:rPr>
              <w:t>粉线房</w:t>
            </w:r>
            <w:r>
              <w:rPr>
                <w:color w:val="auto"/>
                <w:sz w:val="24"/>
              </w:rPr>
              <w:t>、</w:t>
            </w:r>
            <w:r>
              <w:rPr>
                <w:rFonts w:hint="eastAsia"/>
                <w:color w:val="auto"/>
                <w:sz w:val="24"/>
              </w:rPr>
              <w:t>喷漆房、尾数房、</w:t>
            </w:r>
            <w:r>
              <w:rPr>
                <w:color w:val="auto"/>
                <w:sz w:val="24"/>
              </w:rPr>
              <w:t>烘干固化区域、污水管道布置区域。</w:t>
            </w:r>
          </w:p>
          <w:p w14:paraId="3ABE2993">
            <w:pPr>
              <w:pStyle w:val="77"/>
              <w:autoSpaceDE w:val="0"/>
              <w:autoSpaceDN w:val="0"/>
              <w:adjustRightInd w:val="0"/>
              <w:snapToGrid w:val="0"/>
              <w:spacing w:line="360" w:lineRule="auto"/>
              <w:ind w:firstLine="480" w:firstLineChars="200"/>
              <w:jc w:val="left"/>
              <w:rPr>
                <w:color w:val="auto"/>
                <w:sz w:val="24"/>
              </w:rPr>
            </w:pPr>
            <w:r>
              <w:rPr>
                <w:color w:val="auto"/>
                <w:sz w:val="24"/>
              </w:rPr>
              <w:t>根据《环境影响评价技术导则地下水环境》（HJ610-2016）表7，重点防渗区防渗要求为等效黏土防渗层Mb≥6.0m，渗透系数K≤1.0×10</w:t>
            </w:r>
            <w:r>
              <w:rPr>
                <w:color w:val="auto"/>
                <w:sz w:val="24"/>
                <w:vertAlign w:val="superscript"/>
              </w:rPr>
              <w:t>-7</w:t>
            </w:r>
            <w:r>
              <w:rPr>
                <w:color w:val="auto"/>
                <w:sz w:val="24"/>
              </w:rPr>
              <w:t>cm/s的防渗性能。</w:t>
            </w:r>
          </w:p>
          <w:p w14:paraId="2C4DC0EC">
            <w:pPr>
              <w:pStyle w:val="77"/>
              <w:autoSpaceDE w:val="0"/>
              <w:autoSpaceDN w:val="0"/>
              <w:adjustRightInd w:val="0"/>
              <w:snapToGrid w:val="0"/>
              <w:spacing w:line="360" w:lineRule="auto"/>
              <w:ind w:firstLine="482" w:firstLineChars="200"/>
              <w:jc w:val="left"/>
              <w:rPr>
                <w:b/>
                <w:bCs/>
                <w:color w:val="auto"/>
                <w:sz w:val="24"/>
              </w:rPr>
            </w:pPr>
            <w:r>
              <w:rPr>
                <w:b/>
                <w:bCs/>
                <w:color w:val="auto"/>
                <w:sz w:val="24"/>
              </w:rPr>
              <w:t>（2）一般防渗区</w:t>
            </w:r>
          </w:p>
          <w:p w14:paraId="3DEEF361">
            <w:pPr>
              <w:pStyle w:val="77"/>
              <w:autoSpaceDE w:val="0"/>
              <w:autoSpaceDN w:val="0"/>
              <w:adjustRightInd w:val="0"/>
              <w:snapToGrid w:val="0"/>
              <w:spacing w:line="360" w:lineRule="auto"/>
              <w:ind w:firstLine="480" w:firstLineChars="200"/>
              <w:jc w:val="left"/>
              <w:rPr>
                <w:color w:val="auto"/>
                <w:sz w:val="24"/>
              </w:rPr>
            </w:pPr>
            <w:r>
              <w:rPr>
                <w:rFonts w:hint="eastAsia" w:ascii="宋体" w:hAnsi="宋体" w:cs="宋体"/>
                <w:color w:val="auto"/>
                <w:sz w:val="24"/>
              </w:rPr>
              <w:t>①</w:t>
            </w:r>
            <w:r>
              <w:rPr>
                <w:rFonts w:hint="eastAsia"/>
                <w:color w:val="auto"/>
                <w:sz w:val="24"/>
              </w:rPr>
              <w:t>项目办公区、原料仓库、成品仓库等</w:t>
            </w:r>
            <w:r>
              <w:rPr>
                <w:color w:val="auto"/>
                <w:sz w:val="24"/>
              </w:rPr>
              <w:t>不涉及重金属、持久性有机物按照一般污染防渗区。</w:t>
            </w:r>
          </w:p>
          <w:p w14:paraId="12FB9B52">
            <w:pPr>
              <w:pStyle w:val="77"/>
              <w:autoSpaceDE w:val="0"/>
              <w:autoSpaceDN w:val="0"/>
              <w:adjustRightInd w:val="0"/>
              <w:snapToGrid w:val="0"/>
              <w:spacing w:line="360" w:lineRule="auto"/>
              <w:ind w:firstLine="480" w:firstLineChars="200"/>
              <w:jc w:val="left"/>
              <w:rPr>
                <w:color w:val="auto"/>
                <w:sz w:val="24"/>
              </w:rPr>
            </w:pPr>
            <w:r>
              <w:rPr>
                <w:color w:val="auto"/>
                <w:sz w:val="24"/>
              </w:rPr>
              <w:t>一般防渗区要求为等效黏土防渗层Mb≥1.5m，渗透系数K≤1.0×10</w:t>
            </w:r>
            <w:r>
              <w:rPr>
                <w:color w:val="auto"/>
                <w:sz w:val="24"/>
                <w:vertAlign w:val="superscript"/>
              </w:rPr>
              <w:t>-7</w:t>
            </w:r>
            <w:r>
              <w:rPr>
                <w:color w:val="auto"/>
                <w:sz w:val="24"/>
              </w:rPr>
              <w:t>cm/s的防渗性能；或参照GB16889执行。</w:t>
            </w:r>
          </w:p>
          <w:p w14:paraId="59824C6A">
            <w:pPr>
              <w:pStyle w:val="77"/>
              <w:autoSpaceDE w:val="0"/>
              <w:autoSpaceDN w:val="0"/>
              <w:adjustRightInd w:val="0"/>
              <w:snapToGrid w:val="0"/>
              <w:spacing w:line="360" w:lineRule="auto"/>
              <w:ind w:firstLine="482" w:firstLineChars="200"/>
              <w:jc w:val="left"/>
              <w:rPr>
                <w:b/>
                <w:bCs/>
                <w:color w:val="auto"/>
                <w:sz w:val="24"/>
              </w:rPr>
            </w:pPr>
            <w:r>
              <w:rPr>
                <w:b/>
                <w:bCs/>
                <w:color w:val="auto"/>
                <w:sz w:val="24"/>
              </w:rPr>
              <w:t>（3）简单防渗区</w:t>
            </w:r>
          </w:p>
          <w:p w14:paraId="76BA5E1D">
            <w:pPr>
              <w:pStyle w:val="104"/>
              <w:ind w:firstLine="480"/>
              <w:jc w:val="left"/>
              <w:rPr>
                <w:color w:val="auto"/>
              </w:rPr>
            </w:pPr>
            <w:r>
              <w:rPr>
                <w:color w:val="auto"/>
              </w:rPr>
              <w:t>配电房</w:t>
            </w:r>
            <w:r>
              <w:rPr>
                <w:rFonts w:hint="eastAsia"/>
                <w:color w:val="auto"/>
              </w:rPr>
              <w:t>等</w:t>
            </w:r>
            <w:r>
              <w:rPr>
                <w:color w:val="auto"/>
              </w:rPr>
              <w:t>属于简单防渗区。</w:t>
            </w:r>
          </w:p>
          <w:p w14:paraId="66B9760B">
            <w:pPr>
              <w:pStyle w:val="77"/>
              <w:autoSpaceDE w:val="0"/>
              <w:autoSpaceDN w:val="0"/>
              <w:adjustRightInd w:val="0"/>
              <w:snapToGrid w:val="0"/>
              <w:spacing w:line="360" w:lineRule="auto"/>
              <w:ind w:firstLine="482" w:firstLineChars="200"/>
              <w:jc w:val="left"/>
              <w:rPr>
                <w:b/>
                <w:color w:val="auto"/>
                <w:sz w:val="24"/>
              </w:rPr>
            </w:pPr>
            <w:r>
              <w:rPr>
                <w:rFonts w:hint="eastAsia"/>
                <w:b/>
                <w:color w:val="auto"/>
                <w:sz w:val="24"/>
              </w:rPr>
              <w:t>4、跟踪监测</w:t>
            </w:r>
          </w:p>
          <w:p w14:paraId="73F27968">
            <w:pPr>
              <w:pStyle w:val="104"/>
              <w:ind w:firstLine="480"/>
              <w:jc w:val="left"/>
              <w:rPr>
                <w:color w:val="auto"/>
              </w:rPr>
            </w:pPr>
            <w:r>
              <w:rPr>
                <w:color w:val="auto"/>
              </w:rPr>
              <w:t>经上述土壤</w:t>
            </w:r>
            <w:r>
              <w:rPr>
                <w:rFonts w:hint="eastAsia"/>
                <w:color w:val="auto"/>
              </w:rPr>
              <w:t>及地下水</w:t>
            </w:r>
            <w:r>
              <w:rPr>
                <w:color w:val="auto"/>
              </w:rPr>
              <w:t>环境影响</w:t>
            </w:r>
            <w:r>
              <w:rPr>
                <w:rFonts w:hint="eastAsia"/>
                <w:color w:val="auto"/>
              </w:rPr>
              <w:t>途径</w:t>
            </w:r>
            <w:r>
              <w:rPr>
                <w:color w:val="auto"/>
              </w:rPr>
              <w:t>分析</w:t>
            </w:r>
            <w:r>
              <w:rPr>
                <w:rFonts w:hint="eastAsia"/>
                <w:color w:val="auto"/>
              </w:rPr>
              <w:t>，项目</w:t>
            </w:r>
            <w:r>
              <w:rPr>
                <w:color w:val="auto"/>
              </w:rPr>
              <w:t>运行期间</w:t>
            </w:r>
            <w:r>
              <w:rPr>
                <w:rFonts w:hint="eastAsia"/>
                <w:color w:val="auto"/>
              </w:rPr>
              <w:t>对地下水和土壤无污染</w:t>
            </w:r>
            <w:r>
              <w:rPr>
                <w:color w:val="auto"/>
              </w:rPr>
              <w:t>影响途径</w:t>
            </w:r>
            <w:r>
              <w:rPr>
                <w:rFonts w:hint="eastAsia"/>
                <w:color w:val="auto"/>
              </w:rPr>
              <w:t>，不再布设跟踪监测点。</w:t>
            </w:r>
          </w:p>
          <w:p w14:paraId="38287CD3">
            <w:pPr>
              <w:adjustRightInd w:val="0"/>
              <w:snapToGrid w:val="0"/>
              <w:spacing w:before="120" w:beforeLines="50" w:line="360" w:lineRule="auto"/>
              <w:ind w:firstLine="482" w:firstLineChars="200"/>
              <w:jc w:val="left"/>
              <w:rPr>
                <w:b/>
                <w:bCs/>
                <w:color w:val="auto"/>
                <w:kern w:val="0"/>
                <w:sz w:val="24"/>
                <w:lang w:bidi="ar"/>
              </w:rPr>
            </w:pPr>
            <w:r>
              <w:rPr>
                <w:rFonts w:hint="eastAsia"/>
                <w:b/>
                <w:bCs/>
                <w:color w:val="auto"/>
                <w:kern w:val="0"/>
                <w:sz w:val="24"/>
                <w:lang w:bidi="ar"/>
              </w:rPr>
              <w:t>（七）</w:t>
            </w:r>
            <w:r>
              <w:rPr>
                <w:b/>
                <w:bCs/>
                <w:color w:val="auto"/>
                <w:kern w:val="0"/>
                <w:sz w:val="24"/>
                <w:lang w:bidi="ar"/>
              </w:rPr>
              <w:t>环境风险</w:t>
            </w:r>
          </w:p>
          <w:p w14:paraId="04496FD1">
            <w:pPr>
              <w:adjustRightInd w:val="0"/>
              <w:snapToGrid w:val="0"/>
              <w:spacing w:line="360" w:lineRule="auto"/>
              <w:ind w:firstLine="482" w:firstLineChars="200"/>
              <w:jc w:val="left"/>
              <w:rPr>
                <w:b/>
                <w:bCs/>
                <w:color w:val="auto"/>
                <w:sz w:val="24"/>
              </w:rPr>
            </w:pPr>
            <w:r>
              <w:rPr>
                <w:b/>
                <w:bCs/>
                <w:color w:val="auto"/>
                <w:sz w:val="24"/>
              </w:rPr>
              <w:t>1、风险源调查</w:t>
            </w:r>
          </w:p>
          <w:p w14:paraId="10534B24">
            <w:pPr>
              <w:adjustRightInd w:val="0"/>
              <w:snapToGrid w:val="0"/>
              <w:spacing w:line="360" w:lineRule="auto"/>
              <w:ind w:firstLine="480" w:firstLineChars="200"/>
              <w:jc w:val="left"/>
              <w:rPr>
                <w:b/>
                <w:bCs/>
                <w:color w:val="auto"/>
                <w:sz w:val="24"/>
              </w:rPr>
            </w:pPr>
            <w:r>
              <w:rPr>
                <w:rFonts w:hint="eastAsia"/>
                <w:color w:val="auto"/>
                <w:sz w:val="24"/>
              </w:rPr>
              <w:t>根据</w:t>
            </w:r>
            <w:r>
              <w:rPr>
                <w:color w:val="auto"/>
                <w:sz w:val="24"/>
              </w:rPr>
              <w:t>《建设项目环境风险评价技术导则》（HJ169-2018）中附录B，并依据附录B中表B.2中推荐的GB30000.18和GB30000.28对项目原辅材料进行识别，项目涉及的有毒有害、易燃易爆物质为生产过程使用的原辅材料为促进剂、除油粉、磷化剂、硫酸、氢氧化钠、切削液、机油等，贮存在原料仓，以及涉及的管道天然气。</w:t>
            </w:r>
          </w:p>
          <w:p w14:paraId="66766FFA">
            <w:pPr>
              <w:adjustRightInd w:val="0"/>
              <w:snapToGrid w:val="0"/>
              <w:spacing w:line="360" w:lineRule="auto"/>
              <w:ind w:firstLine="482" w:firstLineChars="200"/>
              <w:jc w:val="left"/>
              <w:rPr>
                <w:b/>
                <w:bCs/>
                <w:color w:val="auto"/>
                <w:sz w:val="24"/>
              </w:rPr>
            </w:pPr>
            <w:r>
              <w:rPr>
                <w:b/>
                <w:bCs/>
                <w:color w:val="auto"/>
                <w:sz w:val="24"/>
              </w:rPr>
              <w:t>2、风险潜势初判及风险评价等级</w:t>
            </w:r>
          </w:p>
          <w:p w14:paraId="68B2CA18">
            <w:pPr>
              <w:snapToGrid w:val="0"/>
              <w:spacing w:line="360" w:lineRule="auto"/>
              <w:ind w:right="-63" w:rightChars="-30" w:firstLine="480" w:firstLineChars="200"/>
              <w:jc w:val="left"/>
              <w:rPr>
                <w:color w:val="auto"/>
                <w:sz w:val="24"/>
              </w:rPr>
            </w:pPr>
            <w:r>
              <w:rPr>
                <w:color w:val="auto"/>
                <w:sz w:val="24"/>
              </w:rPr>
              <w:t>通过查询《建设项目环境风险评价技术导则》（HJ169-2018）中附录B，并依据附录B中表B.2中推荐的GB30000.18和GB30000.28对项目原辅材料进行识别，项目涉及的有毒有害、易燃易爆物质为生产过程使用的原辅材料为促进剂、除油粉、磷化剂、硫酸、氢氧化钠、切削液、机油、管道天然气等。根据《建设项目环境风险评价技术导则》（HJ169-2018）附录C，危险物质数量与临界量比值Q定义如下：</w:t>
            </w:r>
          </w:p>
          <w:p w14:paraId="2DFFF9B9">
            <w:pPr>
              <w:snapToGrid w:val="0"/>
              <w:spacing w:line="360" w:lineRule="auto"/>
              <w:ind w:right="-63" w:rightChars="-30" w:firstLine="480" w:firstLineChars="200"/>
              <w:jc w:val="left"/>
              <w:rPr>
                <w:color w:val="auto"/>
                <w:sz w:val="24"/>
              </w:rPr>
            </w:pPr>
            <w:r>
              <w:rPr>
                <w:color w:val="auto"/>
                <w:sz w:val="24"/>
              </w:rPr>
              <w:t>当只涉及一种危险物质时，计算该物质的总量与其临界量比值，即为Q；</w:t>
            </w:r>
          </w:p>
          <w:p w14:paraId="501C037A">
            <w:pPr>
              <w:snapToGrid w:val="0"/>
              <w:spacing w:line="360" w:lineRule="auto"/>
              <w:ind w:right="-63" w:rightChars="-30" w:firstLine="480" w:firstLineChars="200"/>
              <w:jc w:val="left"/>
              <w:rPr>
                <w:color w:val="auto"/>
                <w:sz w:val="24"/>
              </w:rPr>
            </w:pPr>
            <w:r>
              <w:rPr>
                <w:color w:val="auto"/>
                <w:sz w:val="24"/>
              </w:rPr>
              <w:t>当存在多种危险物质时，则按式（1.5-1）计算物质总量与其临界量比值（Q）：</w:t>
            </w:r>
          </w:p>
          <w:p w14:paraId="5DBE2DEB">
            <w:pPr>
              <w:snapToGrid w:val="0"/>
              <w:spacing w:line="360" w:lineRule="auto"/>
              <w:ind w:right="-63" w:rightChars="-30" w:firstLine="480" w:firstLineChars="200"/>
              <w:jc w:val="left"/>
              <w:rPr>
                <w:color w:val="auto"/>
                <w:sz w:val="24"/>
              </w:rPr>
            </w:pPr>
            <w:r>
              <w:rPr>
                <w:color w:val="auto"/>
                <w:sz w:val="24"/>
              </w:rPr>
              <w:drawing>
                <wp:inline distT="0" distB="0" distL="114300" distR="114300">
                  <wp:extent cx="1990725" cy="485775"/>
                  <wp:effectExtent l="0" t="0" r="3175" b="9525"/>
                  <wp:docPr id="166"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52"/>
                          <pic:cNvPicPr>
                            <a:picLocks noChangeAspect="1"/>
                          </pic:cNvPicPr>
                        </pic:nvPicPr>
                        <pic:blipFill>
                          <a:blip r:embed="rId56"/>
                          <a:stretch>
                            <a:fillRect/>
                          </a:stretch>
                        </pic:blipFill>
                        <pic:spPr>
                          <a:xfrm>
                            <a:off x="0" y="0"/>
                            <a:ext cx="1990725" cy="485775"/>
                          </a:xfrm>
                          <a:prstGeom prst="rect">
                            <a:avLst/>
                          </a:prstGeom>
                          <a:noFill/>
                          <a:ln>
                            <a:noFill/>
                          </a:ln>
                        </pic:spPr>
                      </pic:pic>
                    </a:graphicData>
                  </a:graphic>
                </wp:inline>
              </w:drawing>
            </w:r>
            <w:r>
              <w:rPr>
                <w:color w:val="auto"/>
                <w:sz w:val="24"/>
              </w:rPr>
              <w:t>（1.5-1）</w:t>
            </w:r>
          </w:p>
          <w:p w14:paraId="63F47EF7">
            <w:pPr>
              <w:snapToGrid w:val="0"/>
              <w:spacing w:line="360" w:lineRule="auto"/>
              <w:ind w:right="-63" w:rightChars="-30" w:firstLine="480" w:firstLineChars="200"/>
              <w:jc w:val="left"/>
              <w:rPr>
                <w:color w:val="auto"/>
                <w:sz w:val="24"/>
              </w:rPr>
            </w:pPr>
            <w:r>
              <w:rPr>
                <w:color w:val="auto"/>
                <w:sz w:val="24"/>
              </w:rPr>
              <w:t>式中：q</w:t>
            </w:r>
            <w:r>
              <w:rPr>
                <w:color w:val="auto"/>
                <w:sz w:val="24"/>
                <w:vertAlign w:val="subscript"/>
              </w:rPr>
              <w:t>1</w:t>
            </w:r>
            <w:r>
              <w:rPr>
                <w:color w:val="auto"/>
                <w:sz w:val="24"/>
              </w:rPr>
              <w:t>，q</w:t>
            </w:r>
            <w:r>
              <w:rPr>
                <w:color w:val="auto"/>
                <w:sz w:val="24"/>
                <w:vertAlign w:val="subscript"/>
              </w:rPr>
              <w:t>2</w:t>
            </w:r>
            <w:r>
              <w:rPr>
                <w:color w:val="auto"/>
                <w:sz w:val="24"/>
              </w:rPr>
              <w:t>，…，qn——每种危险物质的最大存在总量，t；</w:t>
            </w:r>
          </w:p>
          <w:p w14:paraId="35B7A777">
            <w:pPr>
              <w:snapToGrid w:val="0"/>
              <w:spacing w:line="360" w:lineRule="auto"/>
              <w:ind w:right="-63" w:rightChars="-30" w:firstLine="480" w:firstLineChars="200"/>
              <w:jc w:val="left"/>
              <w:rPr>
                <w:color w:val="auto"/>
                <w:sz w:val="24"/>
              </w:rPr>
            </w:pPr>
            <w:r>
              <w:rPr>
                <w:color w:val="auto"/>
                <w:sz w:val="24"/>
              </w:rPr>
              <w:t>Q</w:t>
            </w:r>
            <w:r>
              <w:rPr>
                <w:color w:val="auto"/>
                <w:sz w:val="24"/>
                <w:vertAlign w:val="subscript"/>
              </w:rPr>
              <w:t>1</w:t>
            </w:r>
            <w:r>
              <w:rPr>
                <w:color w:val="auto"/>
                <w:sz w:val="24"/>
              </w:rPr>
              <w:t>，Q</w:t>
            </w:r>
            <w:r>
              <w:rPr>
                <w:color w:val="auto"/>
                <w:sz w:val="24"/>
                <w:vertAlign w:val="subscript"/>
              </w:rPr>
              <w:t>2</w:t>
            </w:r>
            <w:r>
              <w:rPr>
                <w:color w:val="auto"/>
                <w:sz w:val="24"/>
              </w:rPr>
              <w:t>，…，Qn——每种危险物质的临界量，t；</w:t>
            </w:r>
          </w:p>
          <w:p w14:paraId="61A062FC">
            <w:pPr>
              <w:snapToGrid w:val="0"/>
              <w:spacing w:line="360" w:lineRule="auto"/>
              <w:ind w:right="-63" w:rightChars="-30" w:firstLine="480" w:firstLineChars="200"/>
              <w:jc w:val="left"/>
              <w:rPr>
                <w:color w:val="auto"/>
                <w:sz w:val="24"/>
              </w:rPr>
            </w:pPr>
            <w:r>
              <w:rPr>
                <w:color w:val="auto"/>
                <w:sz w:val="24"/>
              </w:rPr>
              <w:t>当Q＜1时，该项目环境风险潜势为I；</w:t>
            </w:r>
          </w:p>
          <w:p w14:paraId="610246D2">
            <w:pPr>
              <w:snapToGrid w:val="0"/>
              <w:spacing w:line="360" w:lineRule="auto"/>
              <w:ind w:right="-63" w:rightChars="-30" w:firstLine="480" w:firstLineChars="200"/>
              <w:jc w:val="left"/>
              <w:rPr>
                <w:color w:val="auto"/>
                <w:sz w:val="24"/>
              </w:rPr>
            </w:pPr>
            <w:r>
              <w:rPr>
                <w:color w:val="auto"/>
                <w:sz w:val="24"/>
              </w:rPr>
              <w:t>当Q≥1时，将Q值划分为：（1）1≤Q＜10；（2）10≤Q＜100；（3）Q≥100。</w:t>
            </w:r>
          </w:p>
          <w:p w14:paraId="72B9A988">
            <w:pPr>
              <w:pStyle w:val="77"/>
              <w:numPr>
                <w:ilvl w:val="0"/>
                <w:numId w:val="18"/>
              </w:numPr>
              <w:adjustRightInd w:val="0"/>
              <w:snapToGrid w:val="0"/>
              <w:jc w:val="center"/>
              <w:rPr>
                <w:b/>
                <w:bCs/>
                <w:iCs/>
                <w:color w:val="auto"/>
                <w:szCs w:val="21"/>
              </w:rPr>
            </w:pPr>
            <w:r>
              <w:rPr>
                <w:rFonts w:hint="eastAsia"/>
                <w:b/>
                <w:bCs/>
                <w:iCs/>
                <w:color w:val="auto"/>
                <w:szCs w:val="21"/>
              </w:rPr>
              <w:t>项目危险物质最大储存量及临界量</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958"/>
              <w:gridCol w:w="1086"/>
              <w:gridCol w:w="1279"/>
              <w:gridCol w:w="1099"/>
              <w:gridCol w:w="2608"/>
              <w:gridCol w:w="820"/>
              <w:gridCol w:w="1002"/>
            </w:tblGrid>
            <w:tr w14:paraId="5B44E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0" w:type="pct"/>
                  <w:vAlign w:val="center"/>
                </w:tcPr>
                <w:p w14:paraId="57A9C662">
                  <w:pPr>
                    <w:pStyle w:val="92"/>
                    <w:rPr>
                      <w:rFonts w:ascii="Times New Roman" w:hAnsi="Times New Roman"/>
                      <w:b/>
                      <w:color w:val="auto"/>
                    </w:rPr>
                  </w:pPr>
                  <w:r>
                    <w:rPr>
                      <w:rFonts w:ascii="Times New Roman" w:hAnsi="Times New Roman"/>
                      <w:b/>
                      <w:color w:val="auto"/>
                    </w:rPr>
                    <w:t>类型</w:t>
                  </w:r>
                </w:p>
              </w:tc>
              <w:tc>
                <w:tcPr>
                  <w:tcW w:w="1101" w:type="pct"/>
                  <w:gridSpan w:val="2"/>
                  <w:vAlign w:val="center"/>
                </w:tcPr>
                <w:p w14:paraId="272C80BC">
                  <w:pPr>
                    <w:pStyle w:val="92"/>
                    <w:rPr>
                      <w:rFonts w:ascii="Times New Roman" w:hAnsi="Times New Roman"/>
                      <w:b/>
                      <w:color w:val="auto"/>
                    </w:rPr>
                  </w:pPr>
                  <w:r>
                    <w:rPr>
                      <w:rFonts w:ascii="Times New Roman" w:hAnsi="Times New Roman"/>
                      <w:b/>
                      <w:color w:val="auto"/>
                    </w:rPr>
                    <w:t>风险物质名称</w:t>
                  </w:r>
                </w:p>
              </w:tc>
              <w:tc>
                <w:tcPr>
                  <w:tcW w:w="689" w:type="pct"/>
                  <w:vAlign w:val="center"/>
                </w:tcPr>
                <w:p w14:paraId="71536BAF">
                  <w:pPr>
                    <w:pStyle w:val="92"/>
                    <w:rPr>
                      <w:rFonts w:ascii="Times New Roman" w:hAnsi="Times New Roman"/>
                      <w:b/>
                      <w:color w:val="auto"/>
                    </w:rPr>
                  </w:pPr>
                  <w:r>
                    <w:rPr>
                      <w:rFonts w:ascii="Times New Roman" w:hAnsi="Times New Roman"/>
                      <w:b/>
                      <w:color w:val="auto"/>
                    </w:rPr>
                    <w:t>最大存在总量（t）</w:t>
                  </w:r>
                </w:p>
              </w:tc>
              <w:tc>
                <w:tcPr>
                  <w:tcW w:w="592" w:type="pct"/>
                  <w:vAlign w:val="center"/>
                </w:tcPr>
                <w:p w14:paraId="28570C0A">
                  <w:pPr>
                    <w:pStyle w:val="92"/>
                    <w:rPr>
                      <w:rFonts w:ascii="Times New Roman" w:hAnsi="Times New Roman"/>
                      <w:b/>
                      <w:color w:val="auto"/>
                    </w:rPr>
                  </w:pPr>
                  <w:r>
                    <w:rPr>
                      <w:rFonts w:ascii="Times New Roman" w:hAnsi="Times New Roman"/>
                      <w:b/>
                      <w:color w:val="auto"/>
                    </w:rPr>
                    <w:t>CAS号</w:t>
                  </w:r>
                </w:p>
              </w:tc>
              <w:tc>
                <w:tcPr>
                  <w:tcW w:w="1405" w:type="pct"/>
                  <w:vAlign w:val="center"/>
                </w:tcPr>
                <w:p w14:paraId="2E75B207">
                  <w:pPr>
                    <w:pStyle w:val="92"/>
                    <w:rPr>
                      <w:rFonts w:ascii="Times New Roman" w:hAnsi="Times New Roman"/>
                      <w:b/>
                      <w:color w:val="auto"/>
                    </w:rPr>
                  </w:pPr>
                  <w:r>
                    <w:rPr>
                      <w:rFonts w:ascii="Times New Roman" w:hAnsi="Times New Roman"/>
                      <w:b/>
                      <w:color w:val="auto"/>
                    </w:rPr>
                    <w:t>突发事件案例以及遇水反应生成的物质</w:t>
                  </w:r>
                </w:p>
              </w:tc>
              <w:tc>
                <w:tcPr>
                  <w:tcW w:w="441" w:type="pct"/>
                  <w:vAlign w:val="center"/>
                </w:tcPr>
                <w:p w14:paraId="743B7A93">
                  <w:pPr>
                    <w:pStyle w:val="92"/>
                    <w:rPr>
                      <w:rFonts w:ascii="Times New Roman" w:hAnsi="Times New Roman"/>
                      <w:b/>
                      <w:color w:val="auto"/>
                    </w:rPr>
                  </w:pPr>
                  <w:r>
                    <w:rPr>
                      <w:rFonts w:ascii="Times New Roman" w:hAnsi="Times New Roman"/>
                      <w:b/>
                      <w:color w:val="auto"/>
                    </w:rPr>
                    <w:t>临界量（t）</w:t>
                  </w:r>
                </w:p>
              </w:tc>
              <w:tc>
                <w:tcPr>
                  <w:tcW w:w="539" w:type="pct"/>
                  <w:vAlign w:val="center"/>
                </w:tcPr>
                <w:p w14:paraId="28DA56E9">
                  <w:pPr>
                    <w:pStyle w:val="92"/>
                    <w:rPr>
                      <w:rFonts w:ascii="Times New Roman" w:hAnsi="Times New Roman"/>
                      <w:b/>
                      <w:color w:val="auto"/>
                    </w:rPr>
                  </w:pPr>
                  <w:r>
                    <w:rPr>
                      <w:rFonts w:ascii="Times New Roman" w:hAnsi="Times New Roman"/>
                      <w:b/>
                      <w:color w:val="auto"/>
                    </w:rPr>
                    <w:t>q/Q</w:t>
                  </w:r>
                </w:p>
              </w:tc>
            </w:tr>
            <w:tr w14:paraId="2CB38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30" w:type="pct"/>
                  <w:vMerge w:val="restart"/>
                  <w:vAlign w:val="center"/>
                </w:tcPr>
                <w:p w14:paraId="7D2D5260">
                  <w:pPr>
                    <w:pStyle w:val="92"/>
                    <w:rPr>
                      <w:rFonts w:ascii="Times New Roman" w:hAnsi="Times New Roman"/>
                      <w:color w:val="auto"/>
                    </w:rPr>
                  </w:pPr>
                  <w:r>
                    <w:rPr>
                      <w:rFonts w:ascii="Times New Roman" w:hAnsi="Times New Roman"/>
                      <w:color w:val="auto"/>
                    </w:rPr>
                    <w:t>原辅料</w:t>
                  </w:r>
                </w:p>
              </w:tc>
              <w:tc>
                <w:tcPr>
                  <w:tcW w:w="1101" w:type="pct"/>
                  <w:gridSpan w:val="2"/>
                  <w:vAlign w:val="center"/>
                </w:tcPr>
                <w:p w14:paraId="4EBE3638">
                  <w:pPr>
                    <w:pStyle w:val="127"/>
                    <w:rPr>
                      <w:snapToGrid w:val="0"/>
                      <w:color w:val="auto"/>
                    </w:rPr>
                  </w:pPr>
                  <w:r>
                    <w:rPr>
                      <w:snapToGrid w:val="0"/>
                      <w:color w:val="auto"/>
                    </w:rPr>
                    <w:t>除油粉</w:t>
                  </w:r>
                </w:p>
              </w:tc>
              <w:tc>
                <w:tcPr>
                  <w:tcW w:w="689" w:type="pct"/>
                  <w:vAlign w:val="center"/>
                </w:tcPr>
                <w:p w14:paraId="7232DA3B">
                  <w:pPr>
                    <w:pStyle w:val="127"/>
                    <w:rPr>
                      <w:color w:val="auto"/>
                      <w:szCs w:val="21"/>
                    </w:rPr>
                  </w:pPr>
                  <w:r>
                    <w:rPr>
                      <w:rFonts w:hint="eastAsia"/>
                      <w:color w:val="auto"/>
                    </w:rPr>
                    <w:t>0.5</w:t>
                  </w:r>
                </w:p>
              </w:tc>
              <w:tc>
                <w:tcPr>
                  <w:tcW w:w="592" w:type="pct"/>
                  <w:vAlign w:val="center"/>
                </w:tcPr>
                <w:p w14:paraId="23EB0C1C">
                  <w:pPr>
                    <w:pStyle w:val="127"/>
                    <w:rPr>
                      <w:color w:val="auto"/>
                    </w:rPr>
                  </w:pPr>
                  <w:r>
                    <w:rPr>
                      <w:color w:val="auto"/>
                    </w:rPr>
                    <w:t>/</w:t>
                  </w:r>
                </w:p>
              </w:tc>
              <w:tc>
                <w:tcPr>
                  <w:tcW w:w="1405" w:type="pct"/>
                  <w:vAlign w:val="center"/>
                </w:tcPr>
                <w:p w14:paraId="0B3C5F9F">
                  <w:pPr>
                    <w:jc w:val="center"/>
                    <w:rPr>
                      <w:color w:val="auto"/>
                      <w:szCs w:val="21"/>
                    </w:rPr>
                  </w:pPr>
                  <w:r>
                    <w:rPr>
                      <w:color w:val="auto"/>
                      <w:szCs w:val="21"/>
                    </w:rPr>
                    <w:t>危害水环境物质（急性毒性类别1）</w:t>
                  </w:r>
                </w:p>
              </w:tc>
              <w:tc>
                <w:tcPr>
                  <w:tcW w:w="441" w:type="pct"/>
                  <w:vAlign w:val="center"/>
                </w:tcPr>
                <w:p w14:paraId="262D1B40">
                  <w:pPr>
                    <w:jc w:val="center"/>
                    <w:rPr>
                      <w:color w:val="auto"/>
                      <w:szCs w:val="21"/>
                    </w:rPr>
                  </w:pPr>
                  <w:r>
                    <w:rPr>
                      <w:color w:val="auto"/>
                      <w:szCs w:val="21"/>
                    </w:rPr>
                    <w:t>100</w:t>
                  </w:r>
                </w:p>
              </w:tc>
              <w:tc>
                <w:tcPr>
                  <w:tcW w:w="539" w:type="pct"/>
                  <w:vAlign w:val="center"/>
                </w:tcPr>
                <w:p w14:paraId="2B7B1A7A">
                  <w:pPr>
                    <w:widowControl/>
                    <w:jc w:val="center"/>
                    <w:textAlignment w:val="center"/>
                    <w:rPr>
                      <w:color w:val="auto"/>
                      <w:szCs w:val="21"/>
                    </w:rPr>
                  </w:pPr>
                  <w:r>
                    <w:rPr>
                      <w:color w:val="auto"/>
                      <w:kern w:val="0"/>
                      <w:szCs w:val="21"/>
                      <w:lang w:bidi="ar"/>
                    </w:rPr>
                    <w:t>0.005</w:t>
                  </w:r>
                </w:p>
              </w:tc>
            </w:tr>
            <w:tr w14:paraId="4EF97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30" w:type="pct"/>
                  <w:vMerge w:val="continue"/>
                  <w:vAlign w:val="center"/>
                </w:tcPr>
                <w:p w14:paraId="7E0034D1">
                  <w:pPr>
                    <w:pStyle w:val="92"/>
                    <w:rPr>
                      <w:rFonts w:ascii="Times New Roman" w:hAnsi="Times New Roman"/>
                      <w:color w:val="auto"/>
                    </w:rPr>
                  </w:pPr>
                </w:p>
              </w:tc>
              <w:tc>
                <w:tcPr>
                  <w:tcW w:w="1101" w:type="pct"/>
                  <w:gridSpan w:val="2"/>
                  <w:vAlign w:val="center"/>
                </w:tcPr>
                <w:p w14:paraId="68F72E42">
                  <w:pPr>
                    <w:pStyle w:val="127"/>
                    <w:rPr>
                      <w:snapToGrid w:val="0"/>
                      <w:color w:val="auto"/>
                    </w:rPr>
                  </w:pPr>
                  <w:r>
                    <w:rPr>
                      <w:rFonts w:hint="eastAsia"/>
                      <w:snapToGrid w:val="0"/>
                      <w:color w:val="auto"/>
                    </w:rPr>
                    <w:t>脱脂剂</w:t>
                  </w:r>
                </w:p>
              </w:tc>
              <w:tc>
                <w:tcPr>
                  <w:tcW w:w="689" w:type="pct"/>
                  <w:vAlign w:val="center"/>
                </w:tcPr>
                <w:p w14:paraId="6DB68F63">
                  <w:pPr>
                    <w:pStyle w:val="127"/>
                    <w:rPr>
                      <w:color w:val="auto"/>
                    </w:rPr>
                  </w:pPr>
                  <w:r>
                    <w:rPr>
                      <w:rFonts w:hint="eastAsia"/>
                      <w:color w:val="auto"/>
                    </w:rPr>
                    <w:t>0.3</w:t>
                  </w:r>
                </w:p>
              </w:tc>
              <w:tc>
                <w:tcPr>
                  <w:tcW w:w="592" w:type="pct"/>
                  <w:vAlign w:val="center"/>
                </w:tcPr>
                <w:p w14:paraId="0FA7BB02">
                  <w:pPr>
                    <w:pStyle w:val="127"/>
                    <w:rPr>
                      <w:color w:val="auto"/>
                    </w:rPr>
                  </w:pPr>
                  <w:r>
                    <w:rPr>
                      <w:color w:val="auto"/>
                    </w:rPr>
                    <w:t>/</w:t>
                  </w:r>
                </w:p>
              </w:tc>
              <w:tc>
                <w:tcPr>
                  <w:tcW w:w="1405" w:type="pct"/>
                  <w:vAlign w:val="center"/>
                </w:tcPr>
                <w:p w14:paraId="30BE00E3">
                  <w:pPr>
                    <w:jc w:val="center"/>
                    <w:rPr>
                      <w:color w:val="auto"/>
                      <w:szCs w:val="21"/>
                    </w:rPr>
                  </w:pPr>
                  <w:r>
                    <w:rPr>
                      <w:color w:val="auto"/>
                      <w:szCs w:val="21"/>
                    </w:rPr>
                    <w:t>危害水环境物质（急性毒性类别1）</w:t>
                  </w:r>
                </w:p>
              </w:tc>
              <w:tc>
                <w:tcPr>
                  <w:tcW w:w="441" w:type="pct"/>
                  <w:vAlign w:val="center"/>
                </w:tcPr>
                <w:p w14:paraId="0434D10C">
                  <w:pPr>
                    <w:jc w:val="center"/>
                    <w:rPr>
                      <w:color w:val="auto"/>
                      <w:szCs w:val="21"/>
                    </w:rPr>
                  </w:pPr>
                  <w:r>
                    <w:rPr>
                      <w:color w:val="auto"/>
                      <w:szCs w:val="21"/>
                    </w:rPr>
                    <w:t>100</w:t>
                  </w:r>
                </w:p>
              </w:tc>
              <w:tc>
                <w:tcPr>
                  <w:tcW w:w="539" w:type="pct"/>
                  <w:vAlign w:val="center"/>
                </w:tcPr>
                <w:p w14:paraId="79445EE5">
                  <w:pPr>
                    <w:widowControl/>
                    <w:jc w:val="center"/>
                    <w:textAlignment w:val="center"/>
                    <w:rPr>
                      <w:color w:val="auto"/>
                      <w:kern w:val="0"/>
                      <w:szCs w:val="21"/>
                      <w:lang w:bidi="ar"/>
                    </w:rPr>
                  </w:pPr>
                  <w:r>
                    <w:rPr>
                      <w:color w:val="auto"/>
                      <w:kern w:val="0"/>
                      <w:szCs w:val="21"/>
                      <w:lang w:bidi="ar"/>
                    </w:rPr>
                    <w:t>0.003</w:t>
                  </w:r>
                </w:p>
              </w:tc>
            </w:tr>
            <w:tr w14:paraId="670E3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30" w:type="pct"/>
                  <w:vMerge w:val="continue"/>
                  <w:vAlign w:val="center"/>
                </w:tcPr>
                <w:p w14:paraId="53690F3C">
                  <w:pPr>
                    <w:pStyle w:val="92"/>
                    <w:rPr>
                      <w:rFonts w:ascii="Times New Roman" w:hAnsi="Times New Roman"/>
                      <w:color w:val="auto"/>
                    </w:rPr>
                  </w:pPr>
                </w:p>
              </w:tc>
              <w:tc>
                <w:tcPr>
                  <w:tcW w:w="1101" w:type="pct"/>
                  <w:gridSpan w:val="2"/>
                  <w:vMerge w:val="restart"/>
                  <w:vAlign w:val="center"/>
                </w:tcPr>
                <w:p w14:paraId="007A4612">
                  <w:pPr>
                    <w:pStyle w:val="127"/>
                    <w:rPr>
                      <w:snapToGrid w:val="0"/>
                      <w:color w:val="auto"/>
                    </w:rPr>
                  </w:pPr>
                  <w:r>
                    <w:rPr>
                      <w:snapToGrid w:val="0"/>
                      <w:color w:val="auto"/>
                    </w:rPr>
                    <w:t>磷化剂</w:t>
                  </w:r>
                </w:p>
              </w:tc>
              <w:tc>
                <w:tcPr>
                  <w:tcW w:w="689" w:type="pct"/>
                  <w:vAlign w:val="center"/>
                </w:tcPr>
                <w:p w14:paraId="6DDEC8C6">
                  <w:pPr>
                    <w:pStyle w:val="127"/>
                    <w:rPr>
                      <w:color w:val="auto"/>
                      <w:szCs w:val="21"/>
                    </w:rPr>
                  </w:pPr>
                  <w:r>
                    <w:rPr>
                      <w:rFonts w:hint="eastAsia"/>
                      <w:color w:val="auto"/>
                    </w:rPr>
                    <w:t>0.21（按磷酸计算）</w:t>
                  </w:r>
                </w:p>
              </w:tc>
              <w:tc>
                <w:tcPr>
                  <w:tcW w:w="592" w:type="pct"/>
                  <w:vAlign w:val="center"/>
                </w:tcPr>
                <w:p w14:paraId="16C94287">
                  <w:pPr>
                    <w:pStyle w:val="127"/>
                    <w:rPr>
                      <w:color w:val="auto"/>
                    </w:rPr>
                  </w:pPr>
                  <w:r>
                    <w:rPr>
                      <w:rFonts w:hint="eastAsia"/>
                      <w:color w:val="auto"/>
                    </w:rPr>
                    <w:t>7664-38-2</w:t>
                  </w:r>
                </w:p>
              </w:tc>
              <w:tc>
                <w:tcPr>
                  <w:tcW w:w="1405" w:type="pct"/>
                  <w:vAlign w:val="center"/>
                </w:tcPr>
                <w:p w14:paraId="4209F7F4">
                  <w:pPr>
                    <w:jc w:val="center"/>
                    <w:rPr>
                      <w:color w:val="auto"/>
                      <w:szCs w:val="21"/>
                    </w:rPr>
                  </w:pPr>
                  <w:r>
                    <w:rPr>
                      <w:color w:val="auto"/>
                      <w:szCs w:val="21"/>
                    </w:rPr>
                    <w:t>表 B.1 突发环境事件风险物质及临界量</w:t>
                  </w:r>
                </w:p>
              </w:tc>
              <w:tc>
                <w:tcPr>
                  <w:tcW w:w="441" w:type="pct"/>
                  <w:vAlign w:val="center"/>
                </w:tcPr>
                <w:p w14:paraId="137A2D5A">
                  <w:pPr>
                    <w:jc w:val="center"/>
                    <w:rPr>
                      <w:color w:val="auto"/>
                      <w:szCs w:val="21"/>
                    </w:rPr>
                  </w:pPr>
                  <w:r>
                    <w:rPr>
                      <w:color w:val="auto"/>
                      <w:szCs w:val="21"/>
                    </w:rPr>
                    <w:t>10</w:t>
                  </w:r>
                </w:p>
              </w:tc>
              <w:tc>
                <w:tcPr>
                  <w:tcW w:w="539" w:type="pct"/>
                  <w:vAlign w:val="center"/>
                </w:tcPr>
                <w:p w14:paraId="512A83C7">
                  <w:pPr>
                    <w:widowControl/>
                    <w:jc w:val="center"/>
                    <w:textAlignment w:val="center"/>
                    <w:rPr>
                      <w:color w:val="auto"/>
                      <w:szCs w:val="21"/>
                    </w:rPr>
                  </w:pPr>
                  <w:r>
                    <w:rPr>
                      <w:color w:val="auto"/>
                      <w:kern w:val="0"/>
                      <w:szCs w:val="21"/>
                      <w:lang w:bidi="ar"/>
                    </w:rPr>
                    <w:t>0.021</w:t>
                  </w:r>
                </w:p>
              </w:tc>
            </w:tr>
            <w:tr w14:paraId="14008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30" w:type="pct"/>
                  <w:vMerge w:val="continue"/>
                  <w:vAlign w:val="center"/>
                </w:tcPr>
                <w:p w14:paraId="2785F44B">
                  <w:pPr>
                    <w:pStyle w:val="92"/>
                    <w:rPr>
                      <w:rFonts w:ascii="Times New Roman" w:hAnsi="Times New Roman"/>
                      <w:color w:val="auto"/>
                    </w:rPr>
                  </w:pPr>
                </w:p>
              </w:tc>
              <w:tc>
                <w:tcPr>
                  <w:tcW w:w="1101" w:type="pct"/>
                  <w:gridSpan w:val="2"/>
                  <w:vMerge w:val="continue"/>
                  <w:vAlign w:val="center"/>
                </w:tcPr>
                <w:p w14:paraId="58F9BADC">
                  <w:pPr>
                    <w:pStyle w:val="127"/>
                    <w:rPr>
                      <w:snapToGrid w:val="0"/>
                      <w:color w:val="auto"/>
                    </w:rPr>
                  </w:pPr>
                </w:p>
              </w:tc>
              <w:tc>
                <w:tcPr>
                  <w:tcW w:w="689" w:type="pct"/>
                  <w:vAlign w:val="center"/>
                </w:tcPr>
                <w:p w14:paraId="7F826D0C">
                  <w:pPr>
                    <w:pStyle w:val="127"/>
                    <w:rPr>
                      <w:color w:val="auto"/>
                    </w:rPr>
                  </w:pPr>
                  <w:r>
                    <w:rPr>
                      <w:rFonts w:hint="eastAsia"/>
                      <w:color w:val="auto"/>
                    </w:rPr>
                    <w:t>0.065（按硝酸计算）</w:t>
                  </w:r>
                </w:p>
              </w:tc>
              <w:tc>
                <w:tcPr>
                  <w:tcW w:w="592" w:type="pct"/>
                  <w:vAlign w:val="center"/>
                </w:tcPr>
                <w:p w14:paraId="499E717A">
                  <w:pPr>
                    <w:pStyle w:val="127"/>
                    <w:rPr>
                      <w:color w:val="auto"/>
                    </w:rPr>
                  </w:pPr>
                  <w:r>
                    <w:rPr>
                      <w:rFonts w:hint="eastAsia"/>
                      <w:color w:val="auto"/>
                    </w:rPr>
                    <w:t>7697-37-2</w:t>
                  </w:r>
                </w:p>
              </w:tc>
              <w:tc>
                <w:tcPr>
                  <w:tcW w:w="1405" w:type="pct"/>
                  <w:vAlign w:val="center"/>
                </w:tcPr>
                <w:p w14:paraId="5E742292">
                  <w:pPr>
                    <w:jc w:val="center"/>
                    <w:rPr>
                      <w:color w:val="auto"/>
                      <w:szCs w:val="21"/>
                    </w:rPr>
                  </w:pPr>
                  <w:r>
                    <w:rPr>
                      <w:color w:val="auto"/>
                      <w:szCs w:val="21"/>
                    </w:rPr>
                    <w:t>表 B.1 突发环境事件风险物质及临界量</w:t>
                  </w:r>
                </w:p>
              </w:tc>
              <w:tc>
                <w:tcPr>
                  <w:tcW w:w="441" w:type="pct"/>
                  <w:vAlign w:val="center"/>
                </w:tcPr>
                <w:p w14:paraId="285F1F4B">
                  <w:pPr>
                    <w:jc w:val="center"/>
                    <w:rPr>
                      <w:color w:val="auto"/>
                      <w:szCs w:val="21"/>
                    </w:rPr>
                  </w:pPr>
                  <w:r>
                    <w:rPr>
                      <w:rFonts w:hint="eastAsia"/>
                      <w:color w:val="auto"/>
                      <w:szCs w:val="21"/>
                    </w:rPr>
                    <w:t>7.5</w:t>
                  </w:r>
                </w:p>
              </w:tc>
              <w:tc>
                <w:tcPr>
                  <w:tcW w:w="539" w:type="pct"/>
                  <w:vAlign w:val="center"/>
                </w:tcPr>
                <w:p w14:paraId="64405B6F">
                  <w:pPr>
                    <w:widowControl/>
                    <w:jc w:val="center"/>
                    <w:textAlignment w:val="center"/>
                    <w:rPr>
                      <w:color w:val="auto"/>
                      <w:kern w:val="0"/>
                      <w:szCs w:val="21"/>
                      <w:lang w:bidi="ar"/>
                    </w:rPr>
                  </w:pPr>
                  <w:r>
                    <w:rPr>
                      <w:color w:val="auto"/>
                      <w:kern w:val="0"/>
                      <w:szCs w:val="21"/>
                      <w:lang w:bidi="ar"/>
                    </w:rPr>
                    <w:t xml:space="preserve">0.0087 </w:t>
                  </w:r>
                </w:p>
              </w:tc>
            </w:tr>
            <w:tr w14:paraId="42BA4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0" w:type="pct"/>
                  <w:vMerge w:val="continue"/>
                  <w:vAlign w:val="center"/>
                </w:tcPr>
                <w:p w14:paraId="743AF82D">
                  <w:pPr>
                    <w:pStyle w:val="92"/>
                    <w:rPr>
                      <w:rFonts w:ascii="Times New Roman" w:hAnsi="Times New Roman"/>
                      <w:color w:val="auto"/>
                    </w:rPr>
                  </w:pPr>
                </w:p>
              </w:tc>
              <w:tc>
                <w:tcPr>
                  <w:tcW w:w="1101" w:type="pct"/>
                  <w:gridSpan w:val="2"/>
                  <w:vAlign w:val="center"/>
                </w:tcPr>
                <w:p w14:paraId="154FD1AF">
                  <w:pPr>
                    <w:pStyle w:val="127"/>
                    <w:rPr>
                      <w:snapToGrid w:val="0"/>
                      <w:color w:val="auto"/>
                    </w:rPr>
                  </w:pPr>
                  <w:r>
                    <w:rPr>
                      <w:color w:val="auto"/>
                      <w:szCs w:val="21"/>
                      <w:lang w:bidi="ar"/>
                    </w:rPr>
                    <w:t>表调剂</w:t>
                  </w:r>
                </w:p>
              </w:tc>
              <w:tc>
                <w:tcPr>
                  <w:tcW w:w="689" w:type="pct"/>
                  <w:vAlign w:val="center"/>
                </w:tcPr>
                <w:p w14:paraId="322BD974">
                  <w:pPr>
                    <w:pStyle w:val="127"/>
                    <w:rPr>
                      <w:color w:val="auto"/>
                      <w:szCs w:val="21"/>
                    </w:rPr>
                  </w:pPr>
                  <w:r>
                    <w:rPr>
                      <w:color w:val="auto"/>
                    </w:rPr>
                    <w:t>0.</w:t>
                  </w:r>
                  <w:r>
                    <w:rPr>
                      <w:rFonts w:hint="eastAsia"/>
                      <w:color w:val="auto"/>
                    </w:rPr>
                    <w:t>1</w:t>
                  </w:r>
                </w:p>
              </w:tc>
              <w:tc>
                <w:tcPr>
                  <w:tcW w:w="592" w:type="pct"/>
                  <w:vAlign w:val="center"/>
                </w:tcPr>
                <w:p w14:paraId="5741F76E">
                  <w:pPr>
                    <w:pStyle w:val="127"/>
                    <w:rPr>
                      <w:color w:val="auto"/>
                    </w:rPr>
                  </w:pPr>
                  <w:r>
                    <w:rPr>
                      <w:color w:val="auto"/>
                    </w:rPr>
                    <w:t>/</w:t>
                  </w:r>
                </w:p>
              </w:tc>
              <w:tc>
                <w:tcPr>
                  <w:tcW w:w="1405" w:type="pct"/>
                  <w:vAlign w:val="center"/>
                </w:tcPr>
                <w:p w14:paraId="18BE0AF5">
                  <w:pPr>
                    <w:jc w:val="center"/>
                    <w:rPr>
                      <w:color w:val="auto"/>
                      <w:szCs w:val="21"/>
                    </w:rPr>
                  </w:pPr>
                  <w:r>
                    <w:rPr>
                      <w:color w:val="auto"/>
                      <w:szCs w:val="21"/>
                    </w:rPr>
                    <w:t>危害水环境物质（急性毒性类别1）</w:t>
                  </w:r>
                </w:p>
              </w:tc>
              <w:tc>
                <w:tcPr>
                  <w:tcW w:w="441" w:type="pct"/>
                  <w:vAlign w:val="center"/>
                </w:tcPr>
                <w:p w14:paraId="4DB7243B">
                  <w:pPr>
                    <w:jc w:val="center"/>
                    <w:rPr>
                      <w:color w:val="auto"/>
                      <w:szCs w:val="21"/>
                    </w:rPr>
                  </w:pPr>
                  <w:r>
                    <w:rPr>
                      <w:color w:val="auto"/>
                      <w:szCs w:val="21"/>
                    </w:rPr>
                    <w:t>100</w:t>
                  </w:r>
                </w:p>
              </w:tc>
              <w:tc>
                <w:tcPr>
                  <w:tcW w:w="539" w:type="pct"/>
                  <w:vAlign w:val="center"/>
                </w:tcPr>
                <w:p w14:paraId="05F5D35D">
                  <w:pPr>
                    <w:widowControl/>
                    <w:jc w:val="center"/>
                    <w:textAlignment w:val="center"/>
                    <w:rPr>
                      <w:color w:val="auto"/>
                      <w:szCs w:val="21"/>
                    </w:rPr>
                  </w:pPr>
                  <w:r>
                    <w:rPr>
                      <w:color w:val="auto"/>
                      <w:kern w:val="0"/>
                      <w:szCs w:val="21"/>
                      <w:lang w:bidi="ar"/>
                    </w:rPr>
                    <w:t>0.001</w:t>
                  </w:r>
                </w:p>
              </w:tc>
            </w:tr>
            <w:tr w14:paraId="5E2D6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30" w:type="pct"/>
                  <w:vMerge w:val="continue"/>
                  <w:vAlign w:val="center"/>
                </w:tcPr>
                <w:p w14:paraId="7F60E247">
                  <w:pPr>
                    <w:pStyle w:val="92"/>
                    <w:rPr>
                      <w:rFonts w:ascii="Times New Roman" w:hAnsi="Times New Roman"/>
                      <w:color w:val="auto"/>
                    </w:rPr>
                  </w:pPr>
                </w:p>
              </w:tc>
              <w:tc>
                <w:tcPr>
                  <w:tcW w:w="1101" w:type="pct"/>
                  <w:gridSpan w:val="2"/>
                  <w:vAlign w:val="center"/>
                </w:tcPr>
                <w:p w14:paraId="42D5AC16">
                  <w:pPr>
                    <w:pStyle w:val="127"/>
                    <w:rPr>
                      <w:color w:val="auto"/>
                      <w:szCs w:val="21"/>
                      <w:lang w:bidi="ar"/>
                    </w:rPr>
                  </w:pPr>
                  <w:r>
                    <w:rPr>
                      <w:color w:val="auto"/>
                      <w:szCs w:val="21"/>
                      <w:lang w:bidi="ar"/>
                    </w:rPr>
                    <w:t>促进剂</w:t>
                  </w:r>
                </w:p>
              </w:tc>
              <w:tc>
                <w:tcPr>
                  <w:tcW w:w="689" w:type="pct"/>
                  <w:vAlign w:val="center"/>
                </w:tcPr>
                <w:p w14:paraId="1A37B038">
                  <w:pPr>
                    <w:pStyle w:val="127"/>
                    <w:rPr>
                      <w:color w:val="auto"/>
                      <w:szCs w:val="21"/>
                    </w:rPr>
                  </w:pPr>
                  <w:r>
                    <w:rPr>
                      <w:color w:val="auto"/>
                    </w:rPr>
                    <w:t>0.</w:t>
                  </w:r>
                  <w:r>
                    <w:rPr>
                      <w:rFonts w:hint="eastAsia"/>
                      <w:color w:val="auto"/>
                    </w:rPr>
                    <w:t>1</w:t>
                  </w:r>
                </w:p>
              </w:tc>
              <w:tc>
                <w:tcPr>
                  <w:tcW w:w="592" w:type="pct"/>
                  <w:vAlign w:val="center"/>
                </w:tcPr>
                <w:p w14:paraId="65702138">
                  <w:pPr>
                    <w:pStyle w:val="127"/>
                    <w:rPr>
                      <w:color w:val="auto"/>
                    </w:rPr>
                  </w:pPr>
                  <w:r>
                    <w:rPr>
                      <w:color w:val="auto"/>
                    </w:rPr>
                    <w:t>/</w:t>
                  </w:r>
                </w:p>
              </w:tc>
              <w:tc>
                <w:tcPr>
                  <w:tcW w:w="1405" w:type="pct"/>
                  <w:vAlign w:val="center"/>
                </w:tcPr>
                <w:p w14:paraId="19B7491F">
                  <w:pPr>
                    <w:jc w:val="center"/>
                    <w:rPr>
                      <w:color w:val="auto"/>
                      <w:szCs w:val="21"/>
                    </w:rPr>
                  </w:pPr>
                  <w:r>
                    <w:rPr>
                      <w:color w:val="auto"/>
                      <w:szCs w:val="21"/>
                    </w:rPr>
                    <w:t>危害水环境物质（急性毒性类别1）</w:t>
                  </w:r>
                </w:p>
              </w:tc>
              <w:tc>
                <w:tcPr>
                  <w:tcW w:w="441" w:type="pct"/>
                  <w:vAlign w:val="center"/>
                </w:tcPr>
                <w:p w14:paraId="277CF3B1">
                  <w:pPr>
                    <w:jc w:val="center"/>
                    <w:rPr>
                      <w:color w:val="auto"/>
                      <w:szCs w:val="21"/>
                    </w:rPr>
                  </w:pPr>
                  <w:r>
                    <w:rPr>
                      <w:color w:val="auto"/>
                      <w:szCs w:val="21"/>
                    </w:rPr>
                    <w:t>100</w:t>
                  </w:r>
                </w:p>
              </w:tc>
              <w:tc>
                <w:tcPr>
                  <w:tcW w:w="539" w:type="pct"/>
                  <w:vAlign w:val="center"/>
                </w:tcPr>
                <w:p w14:paraId="7F9DA770">
                  <w:pPr>
                    <w:widowControl/>
                    <w:jc w:val="center"/>
                    <w:textAlignment w:val="center"/>
                    <w:rPr>
                      <w:color w:val="auto"/>
                      <w:szCs w:val="21"/>
                    </w:rPr>
                  </w:pPr>
                  <w:r>
                    <w:rPr>
                      <w:color w:val="auto"/>
                      <w:kern w:val="0"/>
                      <w:szCs w:val="21"/>
                      <w:lang w:bidi="ar"/>
                    </w:rPr>
                    <w:t>0.001</w:t>
                  </w:r>
                </w:p>
              </w:tc>
            </w:tr>
            <w:tr w14:paraId="5311B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230" w:type="pct"/>
                  <w:vMerge w:val="continue"/>
                  <w:vAlign w:val="center"/>
                </w:tcPr>
                <w:p w14:paraId="0DF803DB">
                  <w:pPr>
                    <w:pStyle w:val="92"/>
                    <w:rPr>
                      <w:rFonts w:ascii="Times New Roman" w:hAnsi="Times New Roman"/>
                      <w:color w:val="auto"/>
                    </w:rPr>
                  </w:pPr>
                </w:p>
              </w:tc>
              <w:tc>
                <w:tcPr>
                  <w:tcW w:w="1101" w:type="pct"/>
                  <w:gridSpan w:val="2"/>
                  <w:vAlign w:val="center"/>
                </w:tcPr>
                <w:p w14:paraId="7EB89FDA">
                  <w:pPr>
                    <w:pStyle w:val="127"/>
                    <w:rPr>
                      <w:snapToGrid w:val="0"/>
                      <w:color w:val="auto"/>
                    </w:rPr>
                  </w:pPr>
                  <w:r>
                    <w:rPr>
                      <w:snapToGrid w:val="0"/>
                      <w:color w:val="auto"/>
                    </w:rPr>
                    <w:t>硫酸</w:t>
                  </w:r>
                </w:p>
              </w:tc>
              <w:tc>
                <w:tcPr>
                  <w:tcW w:w="689" w:type="pct"/>
                  <w:vAlign w:val="center"/>
                </w:tcPr>
                <w:p w14:paraId="0BD97059">
                  <w:pPr>
                    <w:pStyle w:val="127"/>
                    <w:rPr>
                      <w:color w:val="auto"/>
                      <w:szCs w:val="21"/>
                    </w:rPr>
                  </w:pPr>
                  <w:r>
                    <w:rPr>
                      <w:rFonts w:hint="eastAsia"/>
                      <w:color w:val="auto"/>
                    </w:rPr>
                    <w:t>0.5</w:t>
                  </w:r>
                </w:p>
              </w:tc>
              <w:tc>
                <w:tcPr>
                  <w:tcW w:w="592" w:type="pct"/>
                  <w:vAlign w:val="center"/>
                </w:tcPr>
                <w:p w14:paraId="2FB7CD71">
                  <w:pPr>
                    <w:pStyle w:val="127"/>
                    <w:rPr>
                      <w:color w:val="auto"/>
                    </w:rPr>
                  </w:pPr>
                  <w:r>
                    <w:rPr>
                      <w:snapToGrid w:val="0"/>
                      <w:color w:val="auto"/>
                    </w:rPr>
                    <w:t>7664-93-9</w:t>
                  </w:r>
                </w:p>
              </w:tc>
              <w:tc>
                <w:tcPr>
                  <w:tcW w:w="1405" w:type="pct"/>
                  <w:vAlign w:val="center"/>
                </w:tcPr>
                <w:p w14:paraId="395129FD">
                  <w:pPr>
                    <w:jc w:val="center"/>
                    <w:rPr>
                      <w:color w:val="auto"/>
                      <w:szCs w:val="21"/>
                    </w:rPr>
                  </w:pPr>
                  <w:r>
                    <w:rPr>
                      <w:color w:val="auto"/>
                      <w:szCs w:val="21"/>
                    </w:rPr>
                    <w:t>表 B.1 突发环境事件风险物质及临界量</w:t>
                  </w:r>
                </w:p>
              </w:tc>
              <w:tc>
                <w:tcPr>
                  <w:tcW w:w="441" w:type="pct"/>
                  <w:vAlign w:val="center"/>
                </w:tcPr>
                <w:p w14:paraId="79C4A2C0">
                  <w:pPr>
                    <w:jc w:val="center"/>
                    <w:rPr>
                      <w:color w:val="auto"/>
                      <w:szCs w:val="21"/>
                    </w:rPr>
                  </w:pPr>
                  <w:r>
                    <w:rPr>
                      <w:color w:val="auto"/>
                      <w:szCs w:val="21"/>
                    </w:rPr>
                    <w:t>10</w:t>
                  </w:r>
                </w:p>
              </w:tc>
              <w:tc>
                <w:tcPr>
                  <w:tcW w:w="539" w:type="pct"/>
                  <w:vAlign w:val="center"/>
                </w:tcPr>
                <w:p w14:paraId="07A4A9C6">
                  <w:pPr>
                    <w:widowControl/>
                    <w:jc w:val="center"/>
                    <w:textAlignment w:val="center"/>
                    <w:rPr>
                      <w:color w:val="auto"/>
                      <w:szCs w:val="21"/>
                    </w:rPr>
                  </w:pPr>
                  <w:r>
                    <w:rPr>
                      <w:color w:val="auto"/>
                      <w:kern w:val="0"/>
                      <w:szCs w:val="21"/>
                      <w:lang w:bidi="ar"/>
                    </w:rPr>
                    <w:t>0.05</w:t>
                  </w:r>
                </w:p>
              </w:tc>
            </w:tr>
            <w:tr w14:paraId="5D28B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230" w:type="pct"/>
                  <w:vMerge w:val="continue"/>
                  <w:vAlign w:val="center"/>
                </w:tcPr>
                <w:p w14:paraId="694736DE">
                  <w:pPr>
                    <w:widowControl/>
                    <w:jc w:val="center"/>
                    <w:textAlignment w:val="center"/>
                    <w:rPr>
                      <w:color w:val="auto"/>
                    </w:rPr>
                  </w:pPr>
                </w:p>
              </w:tc>
              <w:tc>
                <w:tcPr>
                  <w:tcW w:w="1101" w:type="pct"/>
                  <w:gridSpan w:val="2"/>
                  <w:vAlign w:val="center"/>
                </w:tcPr>
                <w:p w14:paraId="6C10D9B5">
                  <w:pPr>
                    <w:widowControl/>
                    <w:adjustRightInd w:val="0"/>
                    <w:snapToGrid w:val="0"/>
                    <w:jc w:val="center"/>
                    <w:textAlignment w:val="center"/>
                    <w:rPr>
                      <w:snapToGrid w:val="0"/>
                      <w:color w:val="auto"/>
                    </w:rPr>
                  </w:pPr>
                  <w:r>
                    <w:rPr>
                      <w:rFonts w:hint="eastAsia"/>
                      <w:color w:val="auto"/>
                      <w:szCs w:val="21"/>
                    </w:rPr>
                    <w:t>水性底漆</w:t>
                  </w:r>
                </w:p>
              </w:tc>
              <w:tc>
                <w:tcPr>
                  <w:tcW w:w="689" w:type="pct"/>
                  <w:vAlign w:val="center"/>
                </w:tcPr>
                <w:p w14:paraId="5D7CE6A5">
                  <w:pPr>
                    <w:pStyle w:val="127"/>
                    <w:rPr>
                      <w:snapToGrid w:val="0"/>
                      <w:color w:val="auto"/>
                    </w:rPr>
                  </w:pPr>
                  <w:r>
                    <w:rPr>
                      <w:rFonts w:hint="eastAsia"/>
                      <w:color w:val="auto"/>
                    </w:rPr>
                    <w:t>0.5</w:t>
                  </w:r>
                </w:p>
              </w:tc>
              <w:tc>
                <w:tcPr>
                  <w:tcW w:w="592" w:type="pct"/>
                  <w:vAlign w:val="center"/>
                </w:tcPr>
                <w:p w14:paraId="1BA92561">
                  <w:pPr>
                    <w:jc w:val="center"/>
                    <w:rPr>
                      <w:snapToGrid w:val="0"/>
                      <w:color w:val="auto"/>
                    </w:rPr>
                  </w:pPr>
                  <w:r>
                    <w:rPr>
                      <w:color w:val="auto"/>
                      <w:szCs w:val="21"/>
                    </w:rPr>
                    <w:t>/</w:t>
                  </w:r>
                </w:p>
              </w:tc>
              <w:tc>
                <w:tcPr>
                  <w:tcW w:w="1405" w:type="pct"/>
                  <w:vAlign w:val="center"/>
                </w:tcPr>
                <w:p w14:paraId="430BC11F">
                  <w:pPr>
                    <w:jc w:val="center"/>
                    <w:rPr>
                      <w:snapToGrid w:val="0"/>
                      <w:color w:val="auto"/>
                    </w:rPr>
                  </w:pPr>
                  <w:r>
                    <w:rPr>
                      <w:color w:val="auto"/>
                      <w:szCs w:val="21"/>
                    </w:rPr>
                    <w:t>危害水环境物质（急性毒性类别1）</w:t>
                  </w:r>
                </w:p>
              </w:tc>
              <w:tc>
                <w:tcPr>
                  <w:tcW w:w="441" w:type="pct"/>
                  <w:vAlign w:val="center"/>
                </w:tcPr>
                <w:p w14:paraId="34FC95A8">
                  <w:pPr>
                    <w:jc w:val="center"/>
                    <w:rPr>
                      <w:snapToGrid w:val="0"/>
                      <w:color w:val="auto"/>
                    </w:rPr>
                  </w:pPr>
                  <w:r>
                    <w:rPr>
                      <w:color w:val="auto"/>
                      <w:szCs w:val="21"/>
                    </w:rPr>
                    <w:t>100</w:t>
                  </w:r>
                </w:p>
              </w:tc>
              <w:tc>
                <w:tcPr>
                  <w:tcW w:w="539" w:type="pct"/>
                  <w:vAlign w:val="center"/>
                </w:tcPr>
                <w:p w14:paraId="59062E3D">
                  <w:pPr>
                    <w:widowControl/>
                    <w:jc w:val="center"/>
                    <w:textAlignment w:val="center"/>
                    <w:rPr>
                      <w:snapToGrid w:val="0"/>
                      <w:color w:val="auto"/>
                      <w:szCs w:val="21"/>
                    </w:rPr>
                  </w:pPr>
                  <w:r>
                    <w:rPr>
                      <w:color w:val="auto"/>
                      <w:kern w:val="0"/>
                      <w:szCs w:val="21"/>
                      <w:lang w:bidi="ar"/>
                    </w:rPr>
                    <w:t>0.005</w:t>
                  </w:r>
                </w:p>
              </w:tc>
            </w:tr>
            <w:tr w14:paraId="4302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230" w:type="pct"/>
                  <w:vMerge w:val="continue"/>
                  <w:vAlign w:val="center"/>
                </w:tcPr>
                <w:p w14:paraId="7EDBA6AB">
                  <w:pPr>
                    <w:widowControl/>
                    <w:jc w:val="center"/>
                    <w:textAlignment w:val="center"/>
                    <w:rPr>
                      <w:snapToGrid w:val="0"/>
                      <w:color w:val="auto"/>
                    </w:rPr>
                  </w:pPr>
                </w:p>
              </w:tc>
              <w:tc>
                <w:tcPr>
                  <w:tcW w:w="1101" w:type="pct"/>
                  <w:gridSpan w:val="2"/>
                  <w:vAlign w:val="center"/>
                </w:tcPr>
                <w:p w14:paraId="4B95DC31">
                  <w:pPr>
                    <w:widowControl/>
                    <w:adjustRightInd w:val="0"/>
                    <w:snapToGrid w:val="0"/>
                    <w:jc w:val="center"/>
                    <w:textAlignment w:val="center"/>
                    <w:rPr>
                      <w:snapToGrid w:val="0"/>
                      <w:color w:val="auto"/>
                    </w:rPr>
                  </w:pPr>
                  <w:r>
                    <w:rPr>
                      <w:rFonts w:hint="eastAsia"/>
                      <w:color w:val="auto"/>
                      <w:szCs w:val="21"/>
                    </w:rPr>
                    <w:t>水性面漆</w:t>
                  </w:r>
                </w:p>
              </w:tc>
              <w:tc>
                <w:tcPr>
                  <w:tcW w:w="689" w:type="pct"/>
                  <w:vAlign w:val="center"/>
                </w:tcPr>
                <w:p w14:paraId="4F2D1732">
                  <w:pPr>
                    <w:pStyle w:val="127"/>
                    <w:rPr>
                      <w:snapToGrid w:val="0"/>
                      <w:color w:val="auto"/>
                    </w:rPr>
                  </w:pPr>
                  <w:r>
                    <w:rPr>
                      <w:rFonts w:hint="eastAsia"/>
                      <w:color w:val="auto"/>
                    </w:rPr>
                    <w:t>0.5</w:t>
                  </w:r>
                </w:p>
              </w:tc>
              <w:tc>
                <w:tcPr>
                  <w:tcW w:w="592" w:type="pct"/>
                  <w:vAlign w:val="center"/>
                </w:tcPr>
                <w:p w14:paraId="0FDFB960">
                  <w:pPr>
                    <w:jc w:val="center"/>
                    <w:rPr>
                      <w:snapToGrid w:val="0"/>
                      <w:color w:val="auto"/>
                    </w:rPr>
                  </w:pPr>
                  <w:r>
                    <w:rPr>
                      <w:color w:val="auto"/>
                      <w:szCs w:val="21"/>
                    </w:rPr>
                    <w:t>/</w:t>
                  </w:r>
                </w:p>
              </w:tc>
              <w:tc>
                <w:tcPr>
                  <w:tcW w:w="1405" w:type="pct"/>
                  <w:vAlign w:val="center"/>
                </w:tcPr>
                <w:p w14:paraId="14D7540C">
                  <w:pPr>
                    <w:jc w:val="center"/>
                    <w:rPr>
                      <w:snapToGrid w:val="0"/>
                      <w:color w:val="auto"/>
                    </w:rPr>
                  </w:pPr>
                  <w:r>
                    <w:rPr>
                      <w:color w:val="auto"/>
                      <w:szCs w:val="21"/>
                    </w:rPr>
                    <w:t>危害水环境物质（急性毒性类别1）</w:t>
                  </w:r>
                </w:p>
              </w:tc>
              <w:tc>
                <w:tcPr>
                  <w:tcW w:w="441" w:type="pct"/>
                  <w:vAlign w:val="center"/>
                </w:tcPr>
                <w:p w14:paraId="23BFFE5E">
                  <w:pPr>
                    <w:jc w:val="center"/>
                    <w:rPr>
                      <w:snapToGrid w:val="0"/>
                      <w:color w:val="auto"/>
                    </w:rPr>
                  </w:pPr>
                  <w:r>
                    <w:rPr>
                      <w:color w:val="auto"/>
                      <w:szCs w:val="21"/>
                    </w:rPr>
                    <w:t>100</w:t>
                  </w:r>
                </w:p>
              </w:tc>
              <w:tc>
                <w:tcPr>
                  <w:tcW w:w="539" w:type="pct"/>
                  <w:vAlign w:val="center"/>
                </w:tcPr>
                <w:p w14:paraId="178E23DC">
                  <w:pPr>
                    <w:widowControl/>
                    <w:jc w:val="center"/>
                    <w:textAlignment w:val="center"/>
                    <w:rPr>
                      <w:snapToGrid w:val="0"/>
                      <w:color w:val="auto"/>
                      <w:szCs w:val="21"/>
                    </w:rPr>
                  </w:pPr>
                  <w:r>
                    <w:rPr>
                      <w:color w:val="auto"/>
                      <w:kern w:val="0"/>
                      <w:szCs w:val="21"/>
                      <w:lang w:bidi="ar"/>
                    </w:rPr>
                    <w:t>0.005</w:t>
                  </w:r>
                </w:p>
              </w:tc>
            </w:tr>
            <w:tr w14:paraId="5D749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230" w:type="pct"/>
                  <w:vMerge w:val="continue"/>
                  <w:vAlign w:val="center"/>
                </w:tcPr>
                <w:p w14:paraId="4C8B9FFA">
                  <w:pPr>
                    <w:widowControl/>
                    <w:jc w:val="center"/>
                    <w:textAlignment w:val="center"/>
                    <w:rPr>
                      <w:snapToGrid w:val="0"/>
                      <w:color w:val="auto"/>
                    </w:rPr>
                  </w:pPr>
                </w:p>
              </w:tc>
              <w:tc>
                <w:tcPr>
                  <w:tcW w:w="1101" w:type="pct"/>
                  <w:gridSpan w:val="2"/>
                  <w:vAlign w:val="center"/>
                </w:tcPr>
                <w:p w14:paraId="23852079">
                  <w:pPr>
                    <w:widowControl/>
                    <w:adjustRightInd w:val="0"/>
                    <w:snapToGrid w:val="0"/>
                    <w:jc w:val="center"/>
                    <w:textAlignment w:val="center"/>
                    <w:rPr>
                      <w:snapToGrid w:val="0"/>
                      <w:color w:val="auto"/>
                    </w:rPr>
                  </w:pPr>
                  <w:r>
                    <w:rPr>
                      <w:rFonts w:hint="eastAsia"/>
                      <w:color w:val="auto"/>
                      <w:szCs w:val="21"/>
                    </w:rPr>
                    <w:t>水性清漆</w:t>
                  </w:r>
                </w:p>
              </w:tc>
              <w:tc>
                <w:tcPr>
                  <w:tcW w:w="689" w:type="pct"/>
                  <w:vAlign w:val="center"/>
                </w:tcPr>
                <w:p w14:paraId="453B95F4">
                  <w:pPr>
                    <w:pStyle w:val="127"/>
                    <w:rPr>
                      <w:snapToGrid w:val="0"/>
                      <w:color w:val="auto"/>
                    </w:rPr>
                  </w:pPr>
                  <w:r>
                    <w:rPr>
                      <w:rFonts w:hint="eastAsia"/>
                      <w:color w:val="auto"/>
                    </w:rPr>
                    <w:t>0.5</w:t>
                  </w:r>
                </w:p>
              </w:tc>
              <w:tc>
                <w:tcPr>
                  <w:tcW w:w="592" w:type="pct"/>
                  <w:vAlign w:val="center"/>
                </w:tcPr>
                <w:p w14:paraId="19F47CDF">
                  <w:pPr>
                    <w:jc w:val="center"/>
                    <w:rPr>
                      <w:snapToGrid w:val="0"/>
                      <w:color w:val="auto"/>
                    </w:rPr>
                  </w:pPr>
                  <w:r>
                    <w:rPr>
                      <w:color w:val="auto"/>
                      <w:szCs w:val="21"/>
                    </w:rPr>
                    <w:t>/</w:t>
                  </w:r>
                </w:p>
              </w:tc>
              <w:tc>
                <w:tcPr>
                  <w:tcW w:w="1405" w:type="pct"/>
                  <w:vAlign w:val="center"/>
                </w:tcPr>
                <w:p w14:paraId="53673893">
                  <w:pPr>
                    <w:jc w:val="center"/>
                    <w:rPr>
                      <w:snapToGrid w:val="0"/>
                      <w:color w:val="auto"/>
                    </w:rPr>
                  </w:pPr>
                  <w:r>
                    <w:rPr>
                      <w:color w:val="auto"/>
                      <w:szCs w:val="21"/>
                    </w:rPr>
                    <w:t>危害水环境物质（急性毒性类别1）</w:t>
                  </w:r>
                </w:p>
              </w:tc>
              <w:tc>
                <w:tcPr>
                  <w:tcW w:w="441" w:type="pct"/>
                  <w:vAlign w:val="center"/>
                </w:tcPr>
                <w:p w14:paraId="39F236C5">
                  <w:pPr>
                    <w:jc w:val="center"/>
                    <w:rPr>
                      <w:snapToGrid w:val="0"/>
                      <w:color w:val="auto"/>
                    </w:rPr>
                  </w:pPr>
                  <w:r>
                    <w:rPr>
                      <w:color w:val="auto"/>
                      <w:szCs w:val="21"/>
                    </w:rPr>
                    <w:t>100</w:t>
                  </w:r>
                </w:p>
              </w:tc>
              <w:tc>
                <w:tcPr>
                  <w:tcW w:w="539" w:type="pct"/>
                  <w:vAlign w:val="center"/>
                </w:tcPr>
                <w:p w14:paraId="1C2BF577">
                  <w:pPr>
                    <w:widowControl/>
                    <w:jc w:val="center"/>
                    <w:textAlignment w:val="center"/>
                    <w:rPr>
                      <w:snapToGrid w:val="0"/>
                      <w:color w:val="auto"/>
                      <w:szCs w:val="21"/>
                    </w:rPr>
                  </w:pPr>
                  <w:r>
                    <w:rPr>
                      <w:color w:val="auto"/>
                      <w:kern w:val="0"/>
                      <w:szCs w:val="21"/>
                      <w:lang w:bidi="ar"/>
                    </w:rPr>
                    <w:t>0.005</w:t>
                  </w:r>
                </w:p>
              </w:tc>
            </w:tr>
            <w:tr w14:paraId="3374D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230" w:type="pct"/>
                  <w:vMerge w:val="continue"/>
                  <w:vAlign w:val="center"/>
                </w:tcPr>
                <w:p w14:paraId="6AA1C9D1">
                  <w:pPr>
                    <w:widowControl/>
                    <w:jc w:val="center"/>
                    <w:textAlignment w:val="center"/>
                    <w:rPr>
                      <w:snapToGrid w:val="0"/>
                      <w:color w:val="auto"/>
                    </w:rPr>
                  </w:pPr>
                </w:p>
              </w:tc>
              <w:tc>
                <w:tcPr>
                  <w:tcW w:w="1101" w:type="pct"/>
                  <w:gridSpan w:val="2"/>
                  <w:vAlign w:val="center"/>
                </w:tcPr>
                <w:p w14:paraId="78A1324B">
                  <w:pPr>
                    <w:widowControl/>
                    <w:adjustRightInd w:val="0"/>
                    <w:snapToGrid w:val="0"/>
                    <w:jc w:val="center"/>
                    <w:textAlignment w:val="center"/>
                    <w:rPr>
                      <w:rFonts w:hint="eastAsia" w:eastAsia="宋体"/>
                      <w:color w:val="auto"/>
                      <w:szCs w:val="21"/>
                      <w:lang w:val="en-US" w:eastAsia="zh-CN"/>
                    </w:rPr>
                  </w:pPr>
                  <w:r>
                    <w:rPr>
                      <w:rFonts w:hint="eastAsia"/>
                      <w:color w:val="auto"/>
                      <w:szCs w:val="21"/>
                      <w:lang w:val="en-US" w:eastAsia="zh-CN"/>
                    </w:rPr>
                    <w:t>片碱</w:t>
                  </w:r>
                </w:p>
              </w:tc>
              <w:tc>
                <w:tcPr>
                  <w:tcW w:w="689" w:type="pct"/>
                  <w:vAlign w:val="center"/>
                </w:tcPr>
                <w:p w14:paraId="575CD546">
                  <w:pPr>
                    <w:pStyle w:val="127"/>
                    <w:rPr>
                      <w:rFonts w:hint="default" w:eastAsia="宋体"/>
                      <w:color w:val="auto"/>
                      <w:lang w:val="en-US" w:eastAsia="zh-CN"/>
                    </w:rPr>
                  </w:pPr>
                  <w:r>
                    <w:rPr>
                      <w:rFonts w:hint="eastAsia"/>
                      <w:color w:val="auto"/>
                      <w:lang w:val="en-US" w:eastAsia="zh-CN"/>
                    </w:rPr>
                    <w:t>0.1</w:t>
                  </w:r>
                </w:p>
              </w:tc>
              <w:tc>
                <w:tcPr>
                  <w:tcW w:w="592" w:type="pct"/>
                  <w:vAlign w:val="center"/>
                </w:tcPr>
                <w:p w14:paraId="1B58532B">
                  <w:pPr>
                    <w:jc w:val="center"/>
                    <w:rPr>
                      <w:rFonts w:hint="default" w:eastAsia="宋体"/>
                      <w:color w:val="auto"/>
                      <w:szCs w:val="21"/>
                      <w:lang w:val="en-US" w:eastAsia="zh-CN"/>
                    </w:rPr>
                  </w:pPr>
                  <w:r>
                    <w:rPr>
                      <w:rFonts w:hint="eastAsia"/>
                      <w:color w:val="auto"/>
                      <w:szCs w:val="21"/>
                      <w:lang w:val="en-US" w:eastAsia="zh-CN"/>
                    </w:rPr>
                    <w:t>1310-72-2</w:t>
                  </w:r>
                </w:p>
              </w:tc>
              <w:tc>
                <w:tcPr>
                  <w:tcW w:w="1405" w:type="pct"/>
                  <w:shd w:val="clear" w:color="auto" w:fill="auto"/>
                  <w:vAlign w:val="center"/>
                </w:tcPr>
                <w:p w14:paraId="32C43115">
                  <w:pPr>
                    <w:jc w:val="center"/>
                    <w:rPr>
                      <w:rFonts w:ascii="Times New Roman" w:hAnsi="Times New Roman" w:eastAsia="宋体" w:cs="Times New Roman"/>
                      <w:snapToGrid w:val="0"/>
                      <w:color w:val="auto"/>
                      <w:kern w:val="2"/>
                      <w:sz w:val="21"/>
                      <w:szCs w:val="24"/>
                      <w:lang w:val="en-US" w:eastAsia="zh-CN" w:bidi="ar-SA"/>
                    </w:rPr>
                  </w:pPr>
                  <w:r>
                    <w:rPr>
                      <w:color w:val="auto"/>
                      <w:szCs w:val="21"/>
                    </w:rPr>
                    <w:t>危害水环境物质（急性毒性类别1）</w:t>
                  </w:r>
                </w:p>
              </w:tc>
              <w:tc>
                <w:tcPr>
                  <w:tcW w:w="441" w:type="pct"/>
                  <w:shd w:val="clear" w:color="auto" w:fill="auto"/>
                  <w:vAlign w:val="center"/>
                </w:tcPr>
                <w:p w14:paraId="2628C8CF">
                  <w:pPr>
                    <w:jc w:val="center"/>
                    <w:rPr>
                      <w:rFonts w:ascii="Times New Roman" w:hAnsi="Times New Roman" w:eastAsia="宋体" w:cs="Times New Roman"/>
                      <w:snapToGrid w:val="0"/>
                      <w:color w:val="auto"/>
                      <w:kern w:val="2"/>
                      <w:sz w:val="21"/>
                      <w:szCs w:val="24"/>
                      <w:lang w:val="en-US" w:eastAsia="zh-CN" w:bidi="ar-SA"/>
                    </w:rPr>
                  </w:pPr>
                  <w:r>
                    <w:rPr>
                      <w:color w:val="auto"/>
                      <w:szCs w:val="21"/>
                    </w:rPr>
                    <w:t>100</w:t>
                  </w:r>
                </w:p>
              </w:tc>
              <w:tc>
                <w:tcPr>
                  <w:tcW w:w="539" w:type="pct"/>
                  <w:vAlign w:val="center"/>
                </w:tcPr>
                <w:p w14:paraId="087EEEDA">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0.001</w:t>
                  </w:r>
                </w:p>
              </w:tc>
            </w:tr>
            <w:tr w14:paraId="4E842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30" w:type="pct"/>
                  <w:vMerge w:val="continue"/>
                  <w:vAlign w:val="center"/>
                </w:tcPr>
                <w:p w14:paraId="02CA0298">
                  <w:pPr>
                    <w:pStyle w:val="92"/>
                    <w:rPr>
                      <w:rFonts w:ascii="Times New Roman" w:hAnsi="Times New Roman"/>
                      <w:color w:val="auto"/>
                    </w:rPr>
                  </w:pPr>
                </w:p>
              </w:tc>
              <w:tc>
                <w:tcPr>
                  <w:tcW w:w="1101" w:type="pct"/>
                  <w:gridSpan w:val="2"/>
                  <w:vAlign w:val="center"/>
                </w:tcPr>
                <w:p w14:paraId="20213924">
                  <w:pPr>
                    <w:jc w:val="center"/>
                    <w:rPr>
                      <w:color w:val="auto"/>
                      <w:szCs w:val="21"/>
                    </w:rPr>
                  </w:pPr>
                  <w:r>
                    <w:rPr>
                      <w:color w:val="auto"/>
                      <w:szCs w:val="21"/>
                    </w:rPr>
                    <w:t>天然气</w:t>
                  </w:r>
                </w:p>
              </w:tc>
              <w:tc>
                <w:tcPr>
                  <w:tcW w:w="689" w:type="pct"/>
                  <w:vAlign w:val="center"/>
                </w:tcPr>
                <w:p w14:paraId="3599DB7E">
                  <w:pPr>
                    <w:jc w:val="center"/>
                    <w:rPr>
                      <w:color w:val="auto"/>
                      <w:szCs w:val="21"/>
                    </w:rPr>
                  </w:pPr>
                  <w:r>
                    <w:rPr>
                      <w:rFonts w:hint="eastAsia"/>
                      <w:color w:val="auto"/>
                      <w:szCs w:val="21"/>
                    </w:rPr>
                    <w:t>0.0002</w:t>
                  </w:r>
                </w:p>
              </w:tc>
              <w:tc>
                <w:tcPr>
                  <w:tcW w:w="592" w:type="pct"/>
                  <w:vAlign w:val="center"/>
                </w:tcPr>
                <w:p w14:paraId="6A863A33">
                  <w:pPr>
                    <w:jc w:val="center"/>
                    <w:rPr>
                      <w:color w:val="auto"/>
                      <w:szCs w:val="21"/>
                    </w:rPr>
                  </w:pPr>
                  <w:r>
                    <w:rPr>
                      <w:color w:val="auto"/>
                      <w:szCs w:val="21"/>
                    </w:rPr>
                    <w:t>74-82-8</w:t>
                  </w:r>
                </w:p>
              </w:tc>
              <w:tc>
                <w:tcPr>
                  <w:tcW w:w="1405" w:type="pct"/>
                  <w:vAlign w:val="center"/>
                </w:tcPr>
                <w:p w14:paraId="3A73B708">
                  <w:pPr>
                    <w:jc w:val="center"/>
                    <w:rPr>
                      <w:color w:val="auto"/>
                      <w:szCs w:val="21"/>
                    </w:rPr>
                  </w:pPr>
                  <w:r>
                    <w:rPr>
                      <w:color w:val="auto"/>
                      <w:szCs w:val="21"/>
                    </w:rPr>
                    <w:t>甲烷</w:t>
                  </w:r>
                </w:p>
              </w:tc>
              <w:tc>
                <w:tcPr>
                  <w:tcW w:w="441" w:type="pct"/>
                  <w:vAlign w:val="center"/>
                </w:tcPr>
                <w:p w14:paraId="04417518">
                  <w:pPr>
                    <w:jc w:val="center"/>
                    <w:rPr>
                      <w:color w:val="auto"/>
                      <w:szCs w:val="21"/>
                    </w:rPr>
                  </w:pPr>
                  <w:r>
                    <w:rPr>
                      <w:color w:val="auto"/>
                      <w:szCs w:val="21"/>
                    </w:rPr>
                    <w:t>10</w:t>
                  </w:r>
                </w:p>
              </w:tc>
              <w:tc>
                <w:tcPr>
                  <w:tcW w:w="539" w:type="pct"/>
                  <w:vAlign w:val="center"/>
                </w:tcPr>
                <w:p w14:paraId="5E35BC42">
                  <w:pPr>
                    <w:widowControl/>
                    <w:jc w:val="center"/>
                    <w:textAlignment w:val="center"/>
                    <w:rPr>
                      <w:color w:val="auto"/>
                      <w:szCs w:val="21"/>
                    </w:rPr>
                  </w:pPr>
                  <w:r>
                    <w:rPr>
                      <w:color w:val="auto"/>
                      <w:kern w:val="0"/>
                      <w:szCs w:val="21"/>
                      <w:lang w:bidi="ar"/>
                    </w:rPr>
                    <w:t>0.00002</w:t>
                  </w:r>
                </w:p>
              </w:tc>
            </w:tr>
            <w:tr w14:paraId="0AD65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30" w:type="pct"/>
                  <w:vMerge w:val="restart"/>
                  <w:vAlign w:val="center"/>
                </w:tcPr>
                <w:p w14:paraId="3EB517D8">
                  <w:pPr>
                    <w:pStyle w:val="92"/>
                    <w:rPr>
                      <w:rFonts w:ascii="Times New Roman" w:hAnsi="Times New Roman"/>
                      <w:color w:val="auto"/>
                    </w:rPr>
                  </w:pPr>
                  <w:r>
                    <w:rPr>
                      <w:rFonts w:ascii="Times New Roman" w:hAnsi="Times New Roman"/>
                      <w:color w:val="auto"/>
                    </w:rPr>
                    <w:t>在线量</w:t>
                  </w:r>
                </w:p>
              </w:tc>
              <w:tc>
                <w:tcPr>
                  <w:tcW w:w="516" w:type="pct"/>
                  <w:vAlign w:val="center"/>
                </w:tcPr>
                <w:p w14:paraId="44607FC0">
                  <w:pPr>
                    <w:widowControl/>
                    <w:jc w:val="center"/>
                    <w:textAlignment w:val="center"/>
                    <w:rPr>
                      <w:color w:val="auto"/>
                      <w:szCs w:val="21"/>
                    </w:rPr>
                  </w:pPr>
                  <w:r>
                    <w:rPr>
                      <w:rFonts w:hint="eastAsia"/>
                      <w:color w:val="auto"/>
                      <w:kern w:val="0"/>
                      <w:szCs w:val="21"/>
                      <w:lang w:bidi="ar"/>
                    </w:rPr>
                    <w:t>除油</w:t>
                  </w:r>
                  <w:r>
                    <w:rPr>
                      <w:color w:val="auto"/>
                      <w:kern w:val="0"/>
                      <w:szCs w:val="21"/>
                      <w:lang w:bidi="ar"/>
                    </w:rPr>
                    <w:t>槽</w:t>
                  </w:r>
                </w:p>
              </w:tc>
              <w:tc>
                <w:tcPr>
                  <w:tcW w:w="585" w:type="pct"/>
                  <w:vAlign w:val="center"/>
                </w:tcPr>
                <w:p w14:paraId="4511D120">
                  <w:pPr>
                    <w:widowControl/>
                    <w:jc w:val="center"/>
                    <w:textAlignment w:val="center"/>
                    <w:rPr>
                      <w:color w:val="auto"/>
                      <w:kern w:val="0"/>
                      <w:szCs w:val="21"/>
                      <w:lang w:bidi="ar"/>
                    </w:rPr>
                  </w:pPr>
                  <w:r>
                    <w:rPr>
                      <w:rFonts w:hint="eastAsia"/>
                      <w:color w:val="auto"/>
                      <w:kern w:val="0"/>
                      <w:szCs w:val="21"/>
                      <w:lang w:bidi="ar"/>
                    </w:rPr>
                    <w:t>除油粉</w:t>
                  </w:r>
                </w:p>
              </w:tc>
              <w:tc>
                <w:tcPr>
                  <w:tcW w:w="689" w:type="pct"/>
                  <w:vAlign w:val="center"/>
                </w:tcPr>
                <w:p w14:paraId="57909370">
                  <w:pPr>
                    <w:jc w:val="center"/>
                    <w:rPr>
                      <w:color w:val="auto"/>
                      <w:szCs w:val="21"/>
                    </w:rPr>
                  </w:pPr>
                  <w:r>
                    <w:rPr>
                      <w:rFonts w:hint="eastAsia"/>
                      <w:color w:val="auto"/>
                      <w:szCs w:val="21"/>
                    </w:rPr>
                    <w:t>0.2</w:t>
                  </w:r>
                </w:p>
              </w:tc>
              <w:tc>
                <w:tcPr>
                  <w:tcW w:w="592" w:type="pct"/>
                  <w:vAlign w:val="center"/>
                </w:tcPr>
                <w:p w14:paraId="60750F38">
                  <w:pPr>
                    <w:jc w:val="center"/>
                    <w:rPr>
                      <w:color w:val="auto"/>
                      <w:szCs w:val="21"/>
                    </w:rPr>
                  </w:pPr>
                  <w:r>
                    <w:rPr>
                      <w:color w:val="auto"/>
                      <w:szCs w:val="21"/>
                    </w:rPr>
                    <w:t>/</w:t>
                  </w:r>
                </w:p>
              </w:tc>
              <w:tc>
                <w:tcPr>
                  <w:tcW w:w="1405" w:type="pct"/>
                  <w:vAlign w:val="center"/>
                </w:tcPr>
                <w:p w14:paraId="05D5C7E4">
                  <w:pPr>
                    <w:jc w:val="center"/>
                    <w:rPr>
                      <w:color w:val="auto"/>
                      <w:szCs w:val="21"/>
                    </w:rPr>
                  </w:pPr>
                  <w:r>
                    <w:rPr>
                      <w:color w:val="auto"/>
                      <w:szCs w:val="21"/>
                    </w:rPr>
                    <w:t>危害水环境物质（急性毒性类别1）</w:t>
                  </w:r>
                </w:p>
              </w:tc>
              <w:tc>
                <w:tcPr>
                  <w:tcW w:w="441" w:type="pct"/>
                  <w:vAlign w:val="center"/>
                </w:tcPr>
                <w:p w14:paraId="7562228F">
                  <w:pPr>
                    <w:jc w:val="center"/>
                    <w:rPr>
                      <w:color w:val="auto"/>
                      <w:szCs w:val="21"/>
                    </w:rPr>
                  </w:pPr>
                  <w:r>
                    <w:rPr>
                      <w:color w:val="auto"/>
                      <w:szCs w:val="21"/>
                    </w:rPr>
                    <w:t>100</w:t>
                  </w:r>
                </w:p>
              </w:tc>
              <w:tc>
                <w:tcPr>
                  <w:tcW w:w="539" w:type="pct"/>
                  <w:vAlign w:val="center"/>
                </w:tcPr>
                <w:p w14:paraId="50D4B2A5">
                  <w:pPr>
                    <w:widowControl/>
                    <w:jc w:val="center"/>
                    <w:textAlignment w:val="center"/>
                    <w:rPr>
                      <w:color w:val="auto"/>
                      <w:szCs w:val="21"/>
                    </w:rPr>
                  </w:pPr>
                  <w:r>
                    <w:rPr>
                      <w:color w:val="auto"/>
                      <w:kern w:val="0"/>
                      <w:szCs w:val="21"/>
                      <w:lang w:bidi="ar"/>
                    </w:rPr>
                    <w:t>0.002</w:t>
                  </w:r>
                </w:p>
              </w:tc>
            </w:tr>
            <w:tr w14:paraId="437D9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30" w:type="pct"/>
                  <w:vMerge w:val="continue"/>
                  <w:vAlign w:val="center"/>
                </w:tcPr>
                <w:p w14:paraId="5BD2C7E0">
                  <w:pPr>
                    <w:pStyle w:val="92"/>
                    <w:rPr>
                      <w:rFonts w:ascii="Times New Roman" w:hAnsi="Times New Roman"/>
                      <w:color w:val="auto"/>
                    </w:rPr>
                  </w:pPr>
                </w:p>
              </w:tc>
              <w:tc>
                <w:tcPr>
                  <w:tcW w:w="516" w:type="pct"/>
                  <w:vAlign w:val="center"/>
                </w:tcPr>
                <w:p w14:paraId="404AB22B">
                  <w:pPr>
                    <w:widowControl/>
                    <w:jc w:val="center"/>
                    <w:textAlignment w:val="center"/>
                    <w:rPr>
                      <w:color w:val="auto"/>
                      <w:szCs w:val="21"/>
                    </w:rPr>
                  </w:pPr>
                  <w:r>
                    <w:rPr>
                      <w:rFonts w:hint="eastAsia"/>
                      <w:color w:val="auto"/>
                      <w:kern w:val="0"/>
                      <w:szCs w:val="21"/>
                      <w:lang w:bidi="ar"/>
                    </w:rPr>
                    <w:t>除锈</w:t>
                  </w:r>
                  <w:r>
                    <w:rPr>
                      <w:color w:val="auto"/>
                      <w:kern w:val="0"/>
                      <w:szCs w:val="21"/>
                      <w:lang w:bidi="ar"/>
                    </w:rPr>
                    <w:t>槽</w:t>
                  </w:r>
                </w:p>
              </w:tc>
              <w:tc>
                <w:tcPr>
                  <w:tcW w:w="585" w:type="pct"/>
                  <w:vAlign w:val="center"/>
                </w:tcPr>
                <w:p w14:paraId="0CA1F4A4">
                  <w:pPr>
                    <w:widowControl/>
                    <w:jc w:val="center"/>
                    <w:textAlignment w:val="center"/>
                    <w:rPr>
                      <w:color w:val="auto"/>
                      <w:kern w:val="0"/>
                      <w:szCs w:val="21"/>
                      <w:lang w:bidi="ar"/>
                    </w:rPr>
                  </w:pPr>
                  <w:r>
                    <w:rPr>
                      <w:rFonts w:hint="eastAsia"/>
                      <w:color w:val="auto"/>
                      <w:kern w:val="0"/>
                      <w:szCs w:val="21"/>
                      <w:lang w:bidi="ar"/>
                    </w:rPr>
                    <w:t>硫酸</w:t>
                  </w:r>
                </w:p>
              </w:tc>
              <w:tc>
                <w:tcPr>
                  <w:tcW w:w="689" w:type="pct"/>
                  <w:vAlign w:val="center"/>
                </w:tcPr>
                <w:p w14:paraId="3C32E2F6">
                  <w:pPr>
                    <w:jc w:val="center"/>
                    <w:rPr>
                      <w:color w:val="auto"/>
                      <w:szCs w:val="21"/>
                    </w:rPr>
                  </w:pPr>
                  <w:r>
                    <w:rPr>
                      <w:rFonts w:hint="eastAsia"/>
                      <w:color w:val="auto"/>
                      <w:szCs w:val="21"/>
                    </w:rPr>
                    <w:t>0.746</w:t>
                  </w:r>
                </w:p>
              </w:tc>
              <w:tc>
                <w:tcPr>
                  <w:tcW w:w="592" w:type="pct"/>
                  <w:vAlign w:val="center"/>
                </w:tcPr>
                <w:p w14:paraId="0739D7BB">
                  <w:pPr>
                    <w:pStyle w:val="127"/>
                    <w:rPr>
                      <w:color w:val="auto"/>
                      <w:szCs w:val="21"/>
                    </w:rPr>
                  </w:pPr>
                  <w:r>
                    <w:rPr>
                      <w:snapToGrid w:val="0"/>
                      <w:color w:val="auto"/>
                    </w:rPr>
                    <w:t>7664-93-9</w:t>
                  </w:r>
                </w:p>
              </w:tc>
              <w:tc>
                <w:tcPr>
                  <w:tcW w:w="1405" w:type="pct"/>
                  <w:vAlign w:val="center"/>
                </w:tcPr>
                <w:p w14:paraId="5115C4AC">
                  <w:pPr>
                    <w:jc w:val="center"/>
                    <w:rPr>
                      <w:color w:val="auto"/>
                      <w:szCs w:val="21"/>
                    </w:rPr>
                  </w:pPr>
                  <w:r>
                    <w:rPr>
                      <w:color w:val="auto"/>
                      <w:szCs w:val="21"/>
                    </w:rPr>
                    <w:t>表 B.1 突发环境事件风险物质及临界量</w:t>
                  </w:r>
                </w:p>
              </w:tc>
              <w:tc>
                <w:tcPr>
                  <w:tcW w:w="441" w:type="pct"/>
                  <w:vAlign w:val="center"/>
                </w:tcPr>
                <w:p w14:paraId="4B26ECF9">
                  <w:pPr>
                    <w:jc w:val="center"/>
                    <w:rPr>
                      <w:color w:val="auto"/>
                      <w:szCs w:val="21"/>
                    </w:rPr>
                  </w:pPr>
                  <w:r>
                    <w:rPr>
                      <w:color w:val="auto"/>
                      <w:szCs w:val="21"/>
                    </w:rPr>
                    <w:t>10</w:t>
                  </w:r>
                </w:p>
              </w:tc>
              <w:tc>
                <w:tcPr>
                  <w:tcW w:w="539" w:type="pct"/>
                  <w:vAlign w:val="center"/>
                </w:tcPr>
                <w:p w14:paraId="2F5DFB47">
                  <w:pPr>
                    <w:widowControl/>
                    <w:jc w:val="center"/>
                    <w:textAlignment w:val="center"/>
                    <w:rPr>
                      <w:color w:val="auto"/>
                      <w:szCs w:val="21"/>
                    </w:rPr>
                  </w:pPr>
                  <w:r>
                    <w:rPr>
                      <w:color w:val="auto"/>
                      <w:kern w:val="0"/>
                      <w:szCs w:val="21"/>
                      <w:lang w:bidi="ar"/>
                    </w:rPr>
                    <w:t>0.0746</w:t>
                  </w:r>
                </w:p>
              </w:tc>
            </w:tr>
            <w:tr w14:paraId="5D0A3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30" w:type="pct"/>
                  <w:vMerge w:val="continue"/>
                  <w:vAlign w:val="center"/>
                </w:tcPr>
                <w:p w14:paraId="454C4BEE">
                  <w:pPr>
                    <w:pStyle w:val="92"/>
                    <w:rPr>
                      <w:rFonts w:ascii="Times New Roman" w:hAnsi="Times New Roman"/>
                      <w:color w:val="auto"/>
                    </w:rPr>
                  </w:pPr>
                </w:p>
              </w:tc>
              <w:tc>
                <w:tcPr>
                  <w:tcW w:w="516" w:type="pct"/>
                  <w:vAlign w:val="center"/>
                </w:tcPr>
                <w:p w14:paraId="1B09D3DD">
                  <w:pPr>
                    <w:widowControl/>
                    <w:jc w:val="center"/>
                    <w:textAlignment w:val="center"/>
                    <w:rPr>
                      <w:color w:val="auto"/>
                      <w:szCs w:val="21"/>
                    </w:rPr>
                  </w:pPr>
                  <w:r>
                    <w:rPr>
                      <w:rFonts w:hint="eastAsia"/>
                      <w:color w:val="auto"/>
                      <w:kern w:val="0"/>
                      <w:szCs w:val="21"/>
                      <w:lang w:bidi="ar"/>
                    </w:rPr>
                    <w:t>脱脂</w:t>
                  </w:r>
                  <w:r>
                    <w:rPr>
                      <w:color w:val="auto"/>
                      <w:kern w:val="0"/>
                      <w:szCs w:val="21"/>
                      <w:lang w:bidi="ar"/>
                    </w:rPr>
                    <w:t>槽</w:t>
                  </w:r>
                </w:p>
              </w:tc>
              <w:tc>
                <w:tcPr>
                  <w:tcW w:w="585" w:type="pct"/>
                  <w:vAlign w:val="center"/>
                </w:tcPr>
                <w:p w14:paraId="63117610">
                  <w:pPr>
                    <w:widowControl/>
                    <w:jc w:val="center"/>
                    <w:textAlignment w:val="center"/>
                    <w:rPr>
                      <w:color w:val="auto"/>
                      <w:kern w:val="0"/>
                      <w:szCs w:val="21"/>
                      <w:lang w:bidi="ar"/>
                    </w:rPr>
                  </w:pPr>
                  <w:r>
                    <w:rPr>
                      <w:rFonts w:hint="eastAsia"/>
                      <w:color w:val="auto"/>
                      <w:kern w:val="0"/>
                      <w:szCs w:val="21"/>
                      <w:lang w:bidi="ar"/>
                    </w:rPr>
                    <w:t>脱脂剂</w:t>
                  </w:r>
                </w:p>
              </w:tc>
              <w:tc>
                <w:tcPr>
                  <w:tcW w:w="689" w:type="pct"/>
                  <w:vAlign w:val="center"/>
                </w:tcPr>
                <w:p w14:paraId="2FEB272B">
                  <w:pPr>
                    <w:jc w:val="center"/>
                    <w:rPr>
                      <w:color w:val="auto"/>
                      <w:szCs w:val="21"/>
                    </w:rPr>
                  </w:pPr>
                  <w:r>
                    <w:rPr>
                      <w:rFonts w:hint="eastAsia"/>
                      <w:color w:val="auto"/>
                      <w:kern w:val="0"/>
                      <w:szCs w:val="21"/>
                      <w:lang w:bidi="ar"/>
                    </w:rPr>
                    <w:t>0.21</w:t>
                  </w:r>
                </w:p>
              </w:tc>
              <w:tc>
                <w:tcPr>
                  <w:tcW w:w="592" w:type="pct"/>
                  <w:vAlign w:val="center"/>
                </w:tcPr>
                <w:p w14:paraId="6B4A70EA">
                  <w:pPr>
                    <w:pStyle w:val="127"/>
                    <w:rPr>
                      <w:color w:val="auto"/>
                      <w:szCs w:val="21"/>
                    </w:rPr>
                  </w:pPr>
                  <w:r>
                    <w:rPr>
                      <w:color w:val="auto"/>
                    </w:rPr>
                    <w:t>/</w:t>
                  </w:r>
                </w:p>
              </w:tc>
              <w:tc>
                <w:tcPr>
                  <w:tcW w:w="1405" w:type="pct"/>
                  <w:vAlign w:val="center"/>
                </w:tcPr>
                <w:p w14:paraId="21DAA81C">
                  <w:pPr>
                    <w:jc w:val="center"/>
                    <w:rPr>
                      <w:color w:val="auto"/>
                      <w:szCs w:val="21"/>
                    </w:rPr>
                  </w:pPr>
                  <w:r>
                    <w:rPr>
                      <w:color w:val="auto"/>
                      <w:szCs w:val="21"/>
                    </w:rPr>
                    <w:t>危害水环境物质（急性毒性类别1）</w:t>
                  </w:r>
                </w:p>
              </w:tc>
              <w:tc>
                <w:tcPr>
                  <w:tcW w:w="441" w:type="pct"/>
                  <w:vAlign w:val="center"/>
                </w:tcPr>
                <w:p w14:paraId="5C70119D">
                  <w:pPr>
                    <w:jc w:val="center"/>
                    <w:rPr>
                      <w:color w:val="auto"/>
                      <w:szCs w:val="21"/>
                    </w:rPr>
                  </w:pPr>
                  <w:r>
                    <w:rPr>
                      <w:color w:val="auto"/>
                      <w:szCs w:val="21"/>
                    </w:rPr>
                    <w:t>100</w:t>
                  </w:r>
                </w:p>
              </w:tc>
              <w:tc>
                <w:tcPr>
                  <w:tcW w:w="539" w:type="pct"/>
                  <w:vAlign w:val="center"/>
                </w:tcPr>
                <w:p w14:paraId="52608CE6">
                  <w:pPr>
                    <w:widowControl/>
                    <w:jc w:val="center"/>
                    <w:textAlignment w:val="center"/>
                    <w:rPr>
                      <w:color w:val="auto"/>
                      <w:szCs w:val="21"/>
                    </w:rPr>
                  </w:pPr>
                  <w:r>
                    <w:rPr>
                      <w:color w:val="auto"/>
                      <w:kern w:val="0"/>
                      <w:szCs w:val="21"/>
                      <w:lang w:bidi="ar"/>
                    </w:rPr>
                    <w:t>0.0021</w:t>
                  </w:r>
                </w:p>
              </w:tc>
            </w:tr>
            <w:tr w14:paraId="27653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30" w:type="pct"/>
                  <w:vMerge w:val="continue"/>
                  <w:vAlign w:val="center"/>
                </w:tcPr>
                <w:p w14:paraId="6CEEF12B">
                  <w:pPr>
                    <w:pStyle w:val="92"/>
                    <w:rPr>
                      <w:rFonts w:ascii="Times New Roman" w:hAnsi="Times New Roman"/>
                      <w:color w:val="auto"/>
                    </w:rPr>
                  </w:pPr>
                </w:p>
              </w:tc>
              <w:tc>
                <w:tcPr>
                  <w:tcW w:w="516" w:type="pct"/>
                  <w:vAlign w:val="center"/>
                </w:tcPr>
                <w:p w14:paraId="25A6EE57">
                  <w:pPr>
                    <w:widowControl/>
                    <w:jc w:val="center"/>
                    <w:textAlignment w:val="center"/>
                    <w:rPr>
                      <w:color w:val="auto"/>
                      <w:szCs w:val="21"/>
                    </w:rPr>
                  </w:pPr>
                  <w:r>
                    <w:rPr>
                      <w:rFonts w:hint="eastAsia"/>
                      <w:color w:val="auto"/>
                      <w:kern w:val="0"/>
                      <w:szCs w:val="21"/>
                      <w:lang w:bidi="ar"/>
                    </w:rPr>
                    <w:t>表调槽</w:t>
                  </w:r>
                </w:p>
              </w:tc>
              <w:tc>
                <w:tcPr>
                  <w:tcW w:w="585" w:type="pct"/>
                  <w:vAlign w:val="center"/>
                </w:tcPr>
                <w:p w14:paraId="101252DB">
                  <w:pPr>
                    <w:widowControl/>
                    <w:jc w:val="center"/>
                    <w:textAlignment w:val="center"/>
                    <w:rPr>
                      <w:color w:val="auto"/>
                      <w:kern w:val="0"/>
                      <w:szCs w:val="21"/>
                      <w:lang w:bidi="ar"/>
                    </w:rPr>
                  </w:pPr>
                  <w:r>
                    <w:rPr>
                      <w:rFonts w:hint="eastAsia"/>
                      <w:color w:val="auto"/>
                      <w:kern w:val="0"/>
                      <w:szCs w:val="21"/>
                      <w:lang w:bidi="ar"/>
                    </w:rPr>
                    <w:t>表调剂</w:t>
                  </w:r>
                </w:p>
              </w:tc>
              <w:tc>
                <w:tcPr>
                  <w:tcW w:w="689" w:type="pct"/>
                  <w:vAlign w:val="center"/>
                </w:tcPr>
                <w:p w14:paraId="2A014778">
                  <w:pPr>
                    <w:jc w:val="center"/>
                    <w:rPr>
                      <w:color w:val="auto"/>
                      <w:szCs w:val="21"/>
                    </w:rPr>
                  </w:pPr>
                  <w:r>
                    <w:rPr>
                      <w:rFonts w:hint="eastAsia"/>
                      <w:color w:val="auto"/>
                      <w:kern w:val="0"/>
                      <w:szCs w:val="21"/>
                      <w:lang w:bidi="ar"/>
                    </w:rPr>
                    <w:t>0.012</w:t>
                  </w:r>
                </w:p>
              </w:tc>
              <w:tc>
                <w:tcPr>
                  <w:tcW w:w="592" w:type="pct"/>
                  <w:vAlign w:val="center"/>
                </w:tcPr>
                <w:p w14:paraId="0E1F8B02">
                  <w:pPr>
                    <w:jc w:val="center"/>
                    <w:rPr>
                      <w:color w:val="auto"/>
                      <w:szCs w:val="21"/>
                    </w:rPr>
                  </w:pPr>
                  <w:r>
                    <w:rPr>
                      <w:color w:val="auto"/>
                      <w:szCs w:val="21"/>
                    </w:rPr>
                    <w:t>/</w:t>
                  </w:r>
                </w:p>
              </w:tc>
              <w:tc>
                <w:tcPr>
                  <w:tcW w:w="1405" w:type="pct"/>
                  <w:vAlign w:val="center"/>
                </w:tcPr>
                <w:p w14:paraId="6B2478FB">
                  <w:pPr>
                    <w:jc w:val="center"/>
                    <w:rPr>
                      <w:color w:val="auto"/>
                      <w:szCs w:val="21"/>
                    </w:rPr>
                  </w:pPr>
                  <w:r>
                    <w:rPr>
                      <w:color w:val="auto"/>
                      <w:szCs w:val="21"/>
                    </w:rPr>
                    <w:t>危害水环境物质（急性毒性类别1）</w:t>
                  </w:r>
                </w:p>
              </w:tc>
              <w:tc>
                <w:tcPr>
                  <w:tcW w:w="441" w:type="pct"/>
                  <w:vAlign w:val="center"/>
                </w:tcPr>
                <w:p w14:paraId="71422A4B">
                  <w:pPr>
                    <w:jc w:val="center"/>
                    <w:rPr>
                      <w:color w:val="auto"/>
                      <w:szCs w:val="21"/>
                    </w:rPr>
                  </w:pPr>
                  <w:r>
                    <w:rPr>
                      <w:color w:val="auto"/>
                      <w:szCs w:val="21"/>
                    </w:rPr>
                    <w:t>100</w:t>
                  </w:r>
                </w:p>
              </w:tc>
              <w:tc>
                <w:tcPr>
                  <w:tcW w:w="539" w:type="pct"/>
                  <w:vAlign w:val="center"/>
                </w:tcPr>
                <w:p w14:paraId="125D7BDB">
                  <w:pPr>
                    <w:widowControl/>
                    <w:jc w:val="center"/>
                    <w:textAlignment w:val="center"/>
                    <w:rPr>
                      <w:color w:val="auto"/>
                      <w:szCs w:val="21"/>
                    </w:rPr>
                  </w:pPr>
                  <w:r>
                    <w:rPr>
                      <w:color w:val="auto"/>
                      <w:kern w:val="0"/>
                      <w:szCs w:val="21"/>
                      <w:lang w:bidi="ar"/>
                    </w:rPr>
                    <w:t>0.00012</w:t>
                  </w:r>
                </w:p>
              </w:tc>
            </w:tr>
            <w:tr w14:paraId="1A95B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30" w:type="pct"/>
                  <w:vMerge w:val="continue"/>
                  <w:vAlign w:val="center"/>
                </w:tcPr>
                <w:p w14:paraId="70F18A48">
                  <w:pPr>
                    <w:pStyle w:val="92"/>
                    <w:rPr>
                      <w:rFonts w:ascii="Times New Roman" w:hAnsi="Times New Roman"/>
                      <w:color w:val="auto"/>
                    </w:rPr>
                  </w:pPr>
                </w:p>
              </w:tc>
              <w:tc>
                <w:tcPr>
                  <w:tcW w:w="516" w:type="pct"/>
                  <w:vMerge w:val="restart"/>
                  <w:vAlign w:val="center"/>
                </w:tcPr>
                <w:p w14:paraId="7D52F100">
                  <w:pPr>
                    <w:widowControl/>
                    <w:jc w:val="center"/>
                    <w:textAlignment w:val="center"/>
                    <w:rPr>
                      <w:color w:val="auto"/>
                      <w:szCs w:val="21"/>
                    </w:rPr>
                  </w:pPr>
                  <w:r>
                    <w:rPr>
                      <w:rFonts w:hint="eastAsia"/>
                      <w:color w:val="auto"/>
                      <w:kern w:val="0"/>
                      <w:szCs w:val="21"/>
                      <w:lang w:bidi="ar"/>
                    </w:rPr>
                    <w:t>磷化</w:t>
                  </w:r>
                  <w:r>
                    <w:rPr>
                      <w:color w:val="auto"/>
                      <w:kern w:val="0"/>
                      <w:szCs w:val="21"/>
                      <w:lang w:bidi="ar"/>
                    </w:rPr>
                    <w:t>槽</w:t>
                  </w:r>
                  <w:r>
                    <w:rPr>
                      <w:rFonts w:hint="eastAsia"/>
                      <w:color w:val="auto"/>
                      <w:kern w:val="0"/>
                      <w:szCs w:val="21"/>
                      <w:lang w:bidi="ar"/>
                    </w:rPr>
                    <w:t>1</w:t>
                  </w:r>
                </w:p>
              </w:tc>
              <w:tc>
                <w:tcPr>
                  <w:tcW w:w="585" w:type="pct"/>
                  <w:vMerge w:val="restart"/>
                  <w:vAlign w:val="center"/>
                </w:tcPr>
                <w:p w14:paraId="71F48F26">
                  <w:pPr>
                    <w:widowControl/>
                    <w:jc w:val="center"/>
                    <w:textAlignment w:val="center"/>
                    <w:rPr>
                      <w:color w:val="auto"/>
                      <w:kern w:val="0"/>
                      <w:szCs w:val="21"/>
                      <w:lang w:bidi="ar"/>
                    </w:rPr>
                  </w:pPr>
                  <w:r>
                    <w:rPr>
                      <w:rFonts w:hint="eastAsia"/>
                      <w:color w:val="auto"/>
                      <w:kern w:val="0"/>
                      <w:szCs w:val="21"/>
                      <w:lang w:bidi="ar"/>
                    </w:rPr>
                    <w:t>磷化剂</w:t>
                  </w:r>
                </w:p>
              </w:tc>
              <w:tc>
                <w:tcPr>
                  <w:tcW w:w="689" w:type="pct"/>
                  <w:vAlign w:val="center"/>
                </w:tcPr>
                <w:p w14:paraId="4E249246">
                  <w:pPr>
                    <w:pStyle w:val="127"/>
                    <w:rPr>
                      <w:color w:val="auto"/>
                      <w:szCs w:val="21"/>
                    </w:rPr>
                  </w:pPr>
                  <w:r>
                    <w:rPr>
                      <w:rFonts w:hint="eastAsia"/>
                      <w:color w:val="auto"/>
                    </w:rPr>
                    <w:t>0.1134（按磷酸计算）</w:t>
                  </w:r>
                </w:p>
              </w:tc>
              <w:tc>
                <w:tcPr>
                  <w:tcW w:w="592" w:type="pct"/>
                  <w:vAlign w:val="center"/>
                </w:tcPr>
                <w:p w14:paraId="6C0C6FCD">
                  <w:pPr>
                    <w:pStyle w:val="127"/>
                    <w:rPr>
                      <w:color w:val="auto"/>
                      <w:szCs w:val="21"/>
                    </w:rPr>
                  </w:pPr>
                  <w:r>
                    <w:rPr>
                      <w:rFonts w:hint="eastAsia"/>
                      <w:color w:val="auto"/>
                    </w:rPr>
                    <w:t>7664-38-2</w:t>
                  </w:r>
                </w:p>
              </w:tc>
              <w:tc>
                <w:tcPr>
                  <w:tcW w:w="1405" w:type="pct"/>
                  <w:vAlign w:val="center"/>
                </w:tcPr>
                <w:p w14:paraId="342A0CA6">
                  <w:pPr>
                    <w:jc w:val="center"/>
                    <w:rPr>
                      <w:color w:val="auto"/>
                      <w:szCs w:val="21"/>
                    </w:rPr>
                  </w:pPr>
                  <w:r>
                    <w:rPr>
                      <w:color w:val="auto"/>
                      <w:szCs w:val="21"/>
                    </w:rPr>
                    <w:t>表 B.1 突发环境事件风险物质及临界量</w:t>
                  </w:r>
                </w:p>
              </w:tc>
              <w:tc>
                <w:tcPr>
                  <w:tcW w:w="441" w:type="pct"/>
                  <w:vAlign w:val="center"/>
                </w:tcPr>
                <w:p w14:paraId="4C341BD6">
                  <w:pPr>
                    <w:jc w:val="center"/>
                    <w:rPr>
                      <w:color w:val="auto"/>
                      <w:szCs w:val="21"/>
                    </w:rPr>
                  </w:pPr>
                  <w:r>
                    <w:rPr>
                      <w:color w:val="auto"/>
                      <w:szCs w:val="21"/>
                    </w:rPr>
                    <w:t>10</w:t>
                  </w:r>
                </w:p>
              </w:tc>
              <w:tc>
                <w:tcPr>
                  <w:tcW w:w="539" w:type="pct"/>
                  <w:vAlign w:val="center"/>
                </w:tcPr>
                <w:p w14:paraId="061CD14A">
                  <w:pPr>
                    <w:widowControl/>
                    <w:jc w:val="center"/>
                    <w:textAlignment w:val="center"/>
                    <w:rPr>
                      <w:color w:val="auto"/>
                      <w:szCs w:val="21"/>
                    </w:rPr>
                  </w:pPr>
                  <w:r>
                    <w:rPr>
                      <w:color w:val="auto"/>
                      <w:kern w:val="0"/>
                      <w:szCs w:val="21"/>
                      <w:lang w:bidi="ar"/>
                    </w:rPr>
                    <w:t>0.01134</w:t>
                  </w:r>
                </w:p>
              </w:tc>
            </w:tr>
            <w:tr w14:paraId="5326A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30" w:type="pct"/>
                  <w:vMerge w:val="continue"/>
                  <w:vAlign w:val="center"/>
                </w:tcPr>
                <w:p w14:paraId="7BA561BB">
                  <w:pPr>
                    <w:jc w:val="center"/>
                    <w:rPr>
                      <w:color w:val="auto"/>
                    </w:rPr>
                  </w:pPr>
                </w:p>
              </w:tc>
              <w:tc>
                <w:tcPr>
                  <w:tcW w:w="516" w:type="pct"/>
                  <w:vMerge w:val="continue"/>
                  <w:vAlign w:val="center"/>
                </w:tcPr>
                <w:p w14:paraId="12A335F4">
                  <w:pPr>
                    <w:jc w:val="center"/>
                    <w:rPr>
                      <w:color w:val="auto"/>
                    </w:rPr>
                  </w:pPr>
                </w:p>
              </w:tc>
              <w:tc>
                <w:tcPr>
                  <w:tcW w:w="585" w:type="pct"/>
                  <w:vMerge w:val="continue"/>
                  <w:vAlign w:val="center"/>
                </w:tcPr>
                <w:p w14:paraId="1A597E3A">
                  <w:pPr>
                    <w:jc w:val="center"/>
                    <w:rPr>
                      <w:color w:val="auto"/>
                      <w:kern w:val="0"/>
                      <w:szCs w:val="21"/>
                      <w:lang w:bidi="ar"/>
                    </w:rPr>
                  </w:pPr>
                </w:p>
              </w:tc>
              <w:tc>
                <w:tcPr>
                  <w:tcW w:w="689" w:type="pct"/>
                  <w:vAlign w:val="center"/>
                </w:tcPr>
                <w:p w14:paraId="764C2D77">
                  <w:pPr>
                    <w:pStyle w:val="127"/>
                    <w:rPr>
                      <w:color w:val="auto"/>
                      <w:szCs w:val="21"/>
                      <w:lang w:bidi="ar"/>
                    </w:rPr>
                  </w:pPr>
                  <w:r>
                    <w:rPr>
                      <w:rFonts w:hint="eastAsia"/>
                      <w:color w:val="auto"/>
                    </w:rPr>
                    <w:t>0.0351（按硝酸计算）</w:t>
                  </w:r>
                </w:p>
              </w:tc>
              <w:tc>
                <w:tcPr>
                  <w:tcW w:w="592" w:type="pct"/>
                  <w:vAlign w:val="center"/>
                </w:tcPr>
                <w:p w14:paraId="6379297C">
                  <w:pPr>
                    <w:pStyle w:val="127"/>
                    <w:rPr>
                      <w:color w:val="auto"/>
                      <w:szCs w:val="21"/>
                      <w:lang w:bidi="ar"/>
                    </w:rPr>
                  </w:pPr>
                  <w:r>
                    <w:rPr>
                      <w:rFonts w:hint="eastAsia"/>
                      <w:color w:val="auto"/>
                    </w:rPr>
                    <w:t>7697-37-2</w:t>
                  </w:r>
                </w:p>
              </w:tc>
              <w:tc>
                <w:tcPr>
                  <w:tcW w:w="1405" w:type="pct"/>
                  <w:vAlign w:val="center"/>
                </w:tcPr>
                <w:p w14:paraId="3A39729B">
                  <w:pPr>
                    <w:jc w:val="center"/>
                    <w:rPr>
                      <w:color w:val="auto"/>
                      <w:kern w:val="0"/>
                      <w:szCs w:val="21"/>
                      <w:lang w:bidi="ar"/>
                    </w:rPr>
                  </w:pPr>
                  <w:r>
                    <w:rPr>
                      <w:color w:val="auto"/>
                      <w:szCs w:val="21"/>
                    </w:rPr>
                    <w:t>表 B.1 突发环境事件风险物质及临界量</w:t>
                  </w:r>
                </w:p>
              </w:tc>
              <w:tc>
                <w:tcPr>
                  <w:tcW w:w="441" w:type="pct"/>
                  <w:vAlign w:val="center"/>
                </w:tcPr>
                <w:p w14:paraId="48EE881D">
                  <w:pPr>
                    <w:jc w:val="center"/>
                    <w:rPr>
                      <w:color w:val="auto"/>
                      <w:kern w:val="0"/>
                      <w:szCs w:val="21"/>
                      <w:lang w:bidi="ar"/>
                    </w:rPr>
                  </w:pPr>
                  <w:r>
                    <w:rPr>
                      <w:rFonts w:hint="eastAsia"/>
                      <w:color w:val="auto"/>
                      <w:szCs w:val="21"/>
                    </w:rPr>
                    <w:t>7.5</w:t>
                  </w:r>
                </w:p>
              </w:tc>
              <w:tc>
                <w:tcPr>
                  <w:tcW w:w="539" w:type="pct"/>
                  <w:vAlign w:val="center"/>
                </w:tcPr>
                <w:p w14:paraId="01E89848">
                  <w:pPr>
                    <w:widowControl/>
                    <w:jc w:val="center"/>
                    <w:textAlignment w:val="center"/>
                    <w:rPr>
                      <w:color w:val="auto"/>
                      <w:kern w:val="0"/>
                      <w:szCs w:val="21"/>
                      <w:lang w:bidi="ar"/>
                    </w:rPr>
                  </w:pPr>
                  <w:r>
                    <w:rPr>
                      <w:color w:val="auto"/>
                      <w:kern w:val="0"/>
                      <w:szCs w:val="21"/>
                      <w:lang w:bidi="ar"/>
                    </w:rPr>
                    <w:t>0.00468</w:t>
                  </w:r>
                </w:p>
              </w:tc>
            </w:tr>
            <w:tr w14:paraId="038EE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30" w:type="pct"/>
                  <w:vMerge w:val="continue"/>
                  <w:vAlign w:val="center"/>
                </w:tcPr>
                <w:p w14:paraId="0D5B0D51">
                  <w:pPr>
                    <w:jc w:val="center"/>
                    <w:rPr>
                      <w:color w:val="auto"/>
                    </w:rPr>
                  </w:pPr>
                </w:p>
              </w:tc>
              <w:tc>
                <w:tcPr>
                  <w:tcW w:w="516" w:type="pct"/>
                  <w:vMerge w:val="continue"/>
                  <w:vAlign w:val="center"/>
                </w:tcPr>
                <w:p w14:paraId="791A90CC">
                  <w:pPr>
                    <w:jc w:val="center"/>
                    <w:rPr>
                      <w:color w:val="auto"/>
                    </w:rPr>
                  </w:pPr>
                </w:p>
              </w:tc>
              <w:tc>
                <w:tcPr>
                  <w:tcW w:w="585" w:type="pct"/>
                  <w:vAlign w:val="center"/>
                </w:tcPr>
                <w:p w14:paraId="0B31E10B">
                  <w:pPr>
                    <w:pStyle w:val="127"/>
                    <w:rPr>
                      <w:color w:val="auto"/>
                      <w:szCs w:val="21"/>
                      <w:lang w:bidi="ar"/>
                    </w:rPr>
                  </w:pPr>
                  <w:r>
                    <w:rPr>
                      <w:color w:val="auto"/>
                      <w:szCs w:val="21"/>
                      <w:lang w:bidi="ar"/>
                    </w:rPr>
                    <w:t>促进剂</w:t>
                  </w:r>
                </w:p>
              </w:tc>
              <w:tc>
                <w:tcPr>
                  <w:tcW w:w="689" w:type="pct"/>
                  <w:vAlign w:val="center"/>
                </w:tcPr>
                <w:p w14:paraId="13930B16">
                  <w:pPr>
                    <w:pStyle w:val="127"/>
                    <w:rPr>
                      <w:color w:val="auto"/>
                      <w:szCs w:val="21"/>
                    </w:rPr>
                  </w:pPr>
                  <w:r>
                    <w:rPr>
                      <w:rFonts w:hint="eastAsia"/>
                      <w:color w:val="auto"/>
                    </w:rPr>
                    <w:t>0.049</w:t>
                  </w:r>
                </w:p>
              </w:tc>
              <w:tc>
                <w:tcPr>
                  <w:tcW w:w="592" w:type="pct"/>
                  <w:vAlign w:val="center"/>
                </w:tcPr>
                <w:p w14:paraId="0B1D054A">
                  <w:pPr>
                    <w:pStyle w:val="127"/>
                    <w:rPr>
                      <w:color w:val="auto"/>
                    </w:rPr>
                  </w:pPr>
                  <w:r>
                    <w:rPr>
                      <w:color w:val="auto"/>
                    </w:rPr>
                    <w:t>/</w:t>
                  </w:r>
                </w:p>
              </w:tc>
              <w:tc>
                <w:tcPr>
                  <w:tcW w:w="1405" w:type="pct"/>
                  <w:vAlign w:val="center"/>
                </w:tcPr>
                <w:p w14:paraId="7360A77E">
                  <w:pPr>
                    <w:jc w:val="center"/>
                    <w:rPr>
                      <w:color w:val="auto"/>
                      <w:szCs w:val="21"/>
                    </w:rPr>
                  </w:pPr>
                  <w:r>
                    <w:rPr>
                      <w:color w:val="auto"/>
                      <w:szCs w:val="21"/>
                    </w:rPr>
                    <w:t>危害水环境物质（急性毒性类别1）</w:t>
                  </w:r>
                </w:p>
              </w:tc>
              <w:tc>
                <w:tcPr>
                  <w:tcW w:w="441" w:type="pct"/>
                  <w:vAlign w:val="center"/>
                </w:tcPr>
                <w:p w14:paraId="5E069524">
                  <w:pPr>
                    <w:jc w:val="center"/>
                    <w:rPr>
                      <w:color w:val="auto"/>
                      <w:szCs w:val="21"/>
                    </w:rPr>
                  </w:pPr>
                  <w:r>
                    <w:rPr>
                      <w:color w:val="auto"/>
                      <w:szCs w:val="21"/>
                    </w:rPr>
                    <w:t>100</w:t>
                  </w:r>
                </w:p>
              </w:tc>
              <w:tc>
                <w:tcPr>
                  <w:tcW w:w="539" w:type="pct"/>
                  <w:vAlign w:val="center"/>
                </w:tcPr>
                <w:p w14:paraId="3D947665">
                  <w:pPr>
                    <w:widowControl/>
                    <w:jc w:val="center"/>
                    <w:textAlignment w:val="center"/>
                    <w:rPr>
                      <w:color w:val="auto"/>
                      <w:kern w:val="0"/>
                      <w:szCs w:val="21"/>
                      <w:lang w:bidi="ar"/>
                    </w:rPr>
                  </w:pPr>
                  <w:r>
                    <w:rPr>
                      <w:color w:val="auto"/>
                      <w:kern w:val="0"/>
                      <w:szCs w:val="21"/>
                      <w:lang w:bidi="ar"/>
                    </w:rPr>
                    <w:t>0.00049</w:t>
                  </w:r>
                </w:p>
              </w:tc>
            </w:tr>
            <w:tr w14:paraId="563F0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30" w:type="pct"/>
                  <w:vMerge w:val="continue"/>
                  <w:vAlign w:val="center"/>
                </w:tcPr>
                <w:p w14:paraId="1BFD7296">
                  <w:pPr>
                    <w:pStyle w:val="92"/>
                    <w:rPr>
                      <w:rFonts w:ascii="Times New Roman" w:hAnsi="Times New Roman"/>
                      <w:color w:val="auto"/>
                    </w:rPr>
                  </w:pPr>
                </w:p>
              </w:tc>
              <w:tc>
                <w:tcPr>
                  <w:tcW w:w="516" w:type="pct"/>
                  <w:vMerge w:val="restart"/>
                  <w:vAlign w:val="center"/>
                </w:tcPr>
                <w:p w14:paraId="6521B005">
                  <w:pPr>
                    <w:widowControl/>
                    <w:jc w:val="center"/>
                    <w:textAlignment w:val="center"/>
                    <w:rPr>
                      <w:color w:val="auto"/>
                      <w:szCs w:val="21"/>
                    </w:rPr>
                  </w:pPr>
                  <w:r>
                    <w:rPr>
                      <w:color w:val="auto"/>
                      <w:kern w:val="0"/>
                      <w:szCs w:val="21"/>
                      <w:lang w:bidi="ar"/>
                    </w:rPr>
                    <w:t>磷化槽</w:t>
                  </w:r>
                  <w:r>
                    <w:rPr>
                      <w:rFonts w:hint="eastAsia"/>
                      <w:color w:val="auto"/>
                      <w:kern w:val="0"/>
                      <w:szCs w:val="21"/>
                      <w:lang w:bidi="ar"/>
                    </w:rPr>
                    <w:t>2</w:t>
                  </w:r>
                </w:p>
              </w:tc>
              <w:tc>
                <w:tcPr>
                  <w:tcW w:w="585" w:type="pct"/>
                  <w:vMerge w:val="restart"/>
                  <w:vAlign w:val="center"/>
                </w:tcPr>
                <w:p w14:paraId="586A8D40">
                  <w:pPr>
                    <w:widowControl/>
                    <w:jc w:val="center"/>
                    <w:textAlignment w:val="center"/>
                    <w:rPr>
                      <w:color w:val="auto"/>
                      <w:kern w:val="0"/>
                      <w:szCs w:val="21"/>
                      <w:lang w:bidi="ar"/>
                    </w:rPr>
                  </w:pPr>
                  <w:r>
                    <w:rPr>
                      <w:rFonts w:hint="eastAsia"/>
                      <w:color w:val="auto"/>
                      <w:kern w:val="0"/>
                      <w:szCs w:val="21"/>
                      <w:lang w:bidi="ar"/>
                    </w:rPr>
                    <w:t>磷化剂</w:t>
                  </w:r>
                </w:p>
              </w:tc>
              <w:tc>
                <w:tcPr>
                  <w:tcW w:w="689" w:type="pct"/>
                  <w:vAlign w:val="center"/>
                </w:tcPr>
                <w:p w14:paraId="0AB9BD80">
                  <w:pPr>
                    <w:pStyle w:val="127"/>
                    <w:rPr>
                      <w:color w:val="auto"/>
                      <w:szCs w:val="21"/>
                    </w:rPr>
                  </w:pPr>
                  <w:r>
                    <w:rPr>
                      <w:rFonts w:hint="eastAsia"/>
                      <w:color w:val="auto"/>
                    </w:rPr>
                    <w:t>0.1134（按磷酸计算）</w:t>
                  </w:r>
                </w:p>
              </w:tc>
              <w:tc>
                <w:tcPr>
                  <w:tcW w:w="592" w:type="pct"/>
                  <w:vAlign w:val="center"/>
                </w:tcPr>
                <w:p w14:paraId="12A78489">
                  <w:pPr>
                    <w:pStyle w:val="127"/>
                    <w:rPr>
                      <w:color w:val="auto"/>
                      <w:szCs w:val="21"/>
                    </w:rPr>
                  </w:pPr>
                  <w:r>
                    <w:rPr>
                      <w:rFonts w:hint="eastAsia"/>
                      <w:color w:val="auto"/>
                    </w:rPr>
                    <w:t>7664-38-2</w:t>
                  </w:r>
                </w:p>
              </w:tc>
              <w:tc>
                <w:tcPr>
                  <w:tcW w:w="1405" w:type="pct"/>
                  <w:vAlign w:val="center"/>
                </w:tcPr>
                <w:p w14:paraId="3F94359D">
                  <w:pPr>
                    <w:jc w:val="center"/>
                    <w:rPr>
                      <w:color w:val="auto"/>
                      <w:szCs w:val="21"/>
                    </w:rPr>
                  </w:pPr>
                  <w:r>
                    <w:rPr>
                      <w:color w:val="auto"/>
                      <w:szCs w:val="21"/>
                    </w:rPr>
                    <w:t>表 B.1 突发环境事件风险物质及临界量</w:t>
                  </w:r>
                </w:p>
              </w:tc>
              <w:tc>
                <w:tcPr>
                  <w:tcW w:w="441" w:type="pct"/>
                  <w:vAlign w:val="center"/>
                </w:tcPr>
                <w:p w14:paraId="33D9AA91">
                  <w:pPr>
                    <w:jc w:val="center"/>
                    <w:rPr>
                      <w:color w:val="auto"/>
                      <w:szCs w:val="21"/>
                    </w:rPr>
                  </w:pPr>
                  <w:r>
                    <w:rPr>
                      <w:color w:val="auto"/>
                      <w:szCs w:val="21"/>
                    </w:rPr>
                    <w:t>10</w:t>
                  </w:r>
                </w:p>
              </w:tc>
              <w:tc>
                <w:tcPr>
                  <w:tcW w:w="539" w:type="pct"/>
                  <w:vAlign w:val="center"/>
                </w:tcPr>
                <w:p w14:paraId="4071510C">
                  <w:pPr>
                    <w:widowControl/>
                    <w:jc w:val="center"/>
                    <w:textAlignment w:val="center"/>
                    <w:rPr>
                      <w:color w:val="auto"/>
                      <w:szCs w:val="21"/>
                    </w:rPr>
                  </w:pPr>
                  <w:r>
                    <w:rPr>
                      <w:color w:val="auto"/>
                      <w:kern w:val="0"/>
                      <w:szCs w:val="21"/>
                      <w:lang w:bidi="ar"/>
                    </w:rPr>
                    <w:t>0.01134</w:t>
                  </w:r>
                </w:p>
              </w:tc>
            </w:tr>
            <w:tr w14:paraId="6CFAB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30" w:type="pct"/>
                  <w:vMerge w:val="continue"/>
                  <w:vAlign w:val="center"/>
                </w:tcPr>
                <w:p w14:paraId="4A18BC7F">
                  <w:pPr>
                    <w:jc w:val="center"/>
                    <w:rPr>
                      <w:color w:val="auto"/>
                    </w:rPr>
                  </w:pPr>
                </w:p>
              </w:tc>
              <w:tc>
                <w:tcPr>
                  <w:tcW w:w="516" w:type="pct"/>
                  <w:vMerge w:val="continue"/>
                  <w:vAlign w:val="center"/>
                </w:tcPr>
                <w:p w14:paraId="32042D61">
                  <w:pPr>
                    <w:jc w:val="center"/>
                    <w:rPr>
                      <w:color w:val="auto"/>
                    </w:rPr>
                  </w:pPr>
                </w:p>
              </w:tc>
              <w:tc>
                <w:tcPr>
                  <w:tcW w:w="585" w:type="pct"/>
                  <w:vMerge w:val="continue"/>
                  <w:vAlign w:val="center"/>
                </w:tcPr>
                <w:p w14:paraId="654DA286">
                  <w:pPr>
                    <w:jc w:val="center"/>
                    <w:rPr>
                      <w:color w:val="auto"/>
                      <w:kern w:val="0"/>
                      <w:szCs w:val="21"/>
                      <w:lang w:bidi="ar"/>
                    </w:rPr>
                  </w:pPr>
                </w:p>
              </w:tc>
              <w:tc>
                <w:tcPr>
                  <w:tcW w:w="689" w:type="pct"/>
                  <w:vAlign w:val="center"/>
                </w:tcPr>
                <w:p w14:paraId="6E60E909">
                  <w:pPr>
                    <w:pStyle w:val="127"/>
                    <w:rPr>
                      <w:color w:val="auto"/>
                      <w:szCs w:val="21"/>
                      <w:lang w:bidi="ar"/>
                    </w:rPr>
                  </w:pPr>
                  <w:r>
                    <w:rPr>
                      <w:rFonts w:hint="eastAsia"/>
                      <w:color w:val="auto"/>
                    </w:rPr>
                    <w:t>0.0351（按硝酸计算）</w:t>
                  </w:r>
                </w:p>
              </w:tc>
              <w:tc>
                <w:tcPr>
                  <w:tcW w:w="592" w:type="pct"/>
                  <w:vAlign w:val="center"/>
                </w:tcPr>
                <w:p w14:paraId="16D8EFDD">
                  <w:pPr>
                    <w:pStyle w:val="127"/>
                    <w:rPr>
                      <w:color w:val="auto"/>
                      <w:szCs w:val="21"/>
                      <w:lang w:bidi="ar"/>
                    </w:rPr>
                  </w:pPr>
                  <w:r>
                    <w:rPr>
                      <w:rFonts w:hint="eastAsia"/>
                      <w:color w:val="auto"/>
                    </w:rPr>
                    <w:t>7697-37-2</w:t>
                  </w:r>
                </w:p>
              </w:tc>
              <w:tc>
                <w:tcPr>
                  <w:tcW w:w="1405" w:type="pct"/>
                  <w:vAlign w:val="center"/>
                </w:tcPr>
                <w:p w14:paraId="1B76B2DA">
                  <w:pPr>
                    <w:jc w:val="center"/>
                    <w:rPr>
                      <w:color w:val="auto"/>
                      <w:kern w:val="0"/>
                      <w:szCs w:val="21"/>
                      <w:lang w:bidi="ar"/>
                    </w:rPr>
                  </w:pPr>
                  <w:r>
                    <w:rPr>
                      <w:color w:val="auto"/>
                      <w:szCs w:val="21"/>
                    </w:rPr>
                    <w:t>表 B.1 突发环境事件风险物质及临界量</w:t>
                  </w:r>
                </w:p>
              </w:tc>
              <w:tc>
                <w:tcPr>
                  <w:tcW w:w="441" w:type="pct"/>
                  <w:vAlign w:val="center"/>
                </w:tcPr>
                <w:p w14:paraId="33B80633">
                  <w:pPr>
                    <w:jc w:val="center"/>
                    <w:rPr>
                      <w:color w:val="auto"/>
                      <w:kern w:val="0"/>
                      <w:szCs w:val="21"/>
                      <w:lang w:bidi="ar"/>
                    </w:rPr>
                  </w:pPr>
                  <w:r>
                    <w:rPr>
                      <w:rFonts w:hint="eastAsia"/>
                      <w:color w:val="auto"/>
                      <w:szCs w:val="21"/>
                    </w:rPr>
                    <w:t>7.5</w:t>
                  </w:r>
                </w:p>
              </w:tc>
              <w:tc>
                <w:tcPr>
                  <w:tcW w:w="539" w:type="pct"/>
                  <w:vAlign w:val="center"/>
                </w:tcPr>
                <w:p w14:paraId="35D2A46D">
                  <w:pPr>
                    <w:widowControl/>
                    <w:jc w:val="center"/>
                    <w:textAlignment w:val="center"/>
                    <w:rPr>
                      <w:color w:val="auto"/>
                      <w:kern w:val="0"/>
                      <w:szCs w:val="21"/>
                      <w:lang w:bidi="ar"/>
                    </w:rPr>
                  </w:pPr>
                  <w:r>
                    <w:rPr>
                      <w:color w:val="auto"/>
                      <w:kern w:val="0"/>
                      <w:szCs w:val="21"/>
                      <w:lang w:bidi="ar"/>
                    </w:rPr>
                    <w:t>0.00468</w:t>
                  </w:r>
                </w:p>
              </w:tc>
            </w:tr>
            <w:tr w14:paraId="034BC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30" w:type="pct"/>
                  <w:vMerge w:val="continue"/>
                  <w:vAlign w:val="center"/>
                </w:tcPr>
                <w:p w14:paraId="68797044">
                  <w:pPr>
                    <w:jc w:val="center"/>
                    <w:rPr>
                      <w:color w:val="auto"/>
                    </w:rPr>
                  </w:pPr>
                </w:p>
              </w:tc>
              <w:tc>
                <w:tcPr>
                  <w:tcW w:w="516" w:type="pct"/>
                  <w:vMerge w:val="continue"/>
                  <w:vAlign w:val="center"/>
                </w:tcPr>
                <w:p w14:paraId="15D4D405">
                  <w:pPr>
                    <w:jc w:val="center"/>
                    <w:rPr>
                      <w:color w:val="auto"/>
                    </w:rPr>
                  </w:pPr>
                </w:p>
              </w:tc>
              <w:tc>
                <w:tcPr>
                  <w:tcW w:w="585" w:type="pct"/>
                  <w:vAlign w:val="center"/>
                </w:tcPr>
                <w:p w14:paraId="20D68C33">
                  <w:pPr>
                    <w:pStyle w:val="127"/>
                    <w:rPr>
                      <w:color w:val="auto"/>
                      <w:szCs w:val="21"/>
                      <w:lang w:bidi="ar"/>
                    </w:rPr>
                  </w:pPr>
                  <w:r>
                    <w:rPr>
                      <w:color w:val="auto"/>
                      <w:szCs w:val="21"/>
                      <w:lang w:bidi="ar"/>
                    </w:rPr>
                    <w:t>促进剂</w:t>
                  </w:r>
                </w:p>
              </w:tc>
              <w:tc>
                <w:tcPr>
                  <w:tcW w:w="689" w:type="pct"/>
                  <w:vAlign w:val="center"/>
                </w:tcPr>
                <w:p w14:paraId="61CD45D6">
                  <w:pPr>
                    <w:pStyle w:val="127"/>
                    <w:rPr>
                      <w:color w:val="auto"/>
                      <w:szCs w:val="21"/>
                      <w:lang w:bidi="ar"/>
                    </w:rPr>
                  </w:pPr>
                  <w:r>
                    <w:rPr>
                      <w:rFonts w:hint="eastAsia"/>
                      <w:color w:val="auto"/>
                    </w:rPr>
                    <w:t>0.049</w:t>
                  </w:r>
                </w:p>
              </w:tc>
              <w:tc>
                <w:tcPr>
                  <w:tcW w:w="592" w:type="pct"/>
                  <w:vAlign w:val="center"/>
                </w:tcPr>
                <w:p w14:paraId="1AFCFD42">
                  <w:pPr>
                    <w:pStyle w:val="127"/>
                    <w:rPr>
                      <w:color w:val="auto"/>
                      <w:szCs w:val="21"/>
                      <w:lang w:bidi="ar"/>
                    </w:rPr>
                  </w:pPr>
                  <w:r>
                    <w:rPr>
                      <w:color w:val="auto"/>
                    </w:rPr>
                    <w:t>/</w:t>
                  </w:r>
                </w:p>
              </w:tc>
              <w:tc>
                <w:tcPr>
                  <w:tcW w:w="1405" w:type="pct"/>
                  <w:vAlign w:val="center"/>
                </w:tcPr>
                <w:p w14:paraId="768C90A2">
                  <w:pPr>
                    <w:jc w:val="center"/>
                    <w:rPr>
                      <w:color w:val="auto"/>
                      <w:kern w:val="0"/>
                      <w:szCs w:val="21"/>
                      <w:lang w:bidi="ar"/>
                    </w:rPr>
                  </w:pPr>
                  <w:r>
                    <w:rPr>
                      <w:color w:val="auto"/>
                      <w:szCs w:val="21"/>
                    </w:rPr>
                    <w:t>危害水环境物质（急性毒性类别1）</w:t>
                  </w:r>
                </w:p>
              </w:tc>
              <w:tc>
                <w:tcPr>
                  <w:tcW w:w="441" w:type="pct"/>
                  <w:vAlign w:val="center"/>
                </w:tcPr>
                <w:p w14:paraId="099597E2">
                  <w:pPr>
                    <w:jc w:val="center"/>
                    <w:rPr>
                      <w:color w:val="auto"/>
                      <w:kern w:val="0"/>
                      <w:szCs w:val="21"/>
                      <w:lang w:bidi="ar"/>
                    </w:rPr>
                  </w:pPr>
                  <w:r>
                    <w:rPr>
                      <w:color w:val="auto"/>
                      <w:szCs w:val="21"/>
                    </w:rPr>
                    <w:t>100</w:t>
                  </w:r>
                </w:p>
              </w:tc>
              <w:tc>
                <w:tcPr>
                  <w:tcW w:w="539" w:type="pct"/>
                  <w:vAlign w:val="center"/>
                </w:tcPr>
                <w:p w14:paraId="4AF0647C">
                  <w:pPr>
                    <w:widowControl/>
                    <w:jc w:val="center"/>
                    <w:textAlignment w:val="center"/>
                    <w:rPr>
                      <w:color w:val="auto"/>
                      <w:kern w:val="0"/>
                      <w:szCs w:val="21"/>
                      <w:lang w:bidi="ar"/>
                    </w:rPr>
                  </w:pPr>
                  <w:r>
                    <w:rPr>
                      <w:color w:val="auto"/>
                      <w:kern w:val="0"/>
                      <w:szCs w:val="21"/>
                      <w:lang w:bidi="ar"/>
                    </w:rPr>
                    <w:t>0.00049</w:t>
                  </w:r>
                </w:p>
              </w:tc>
            </w:tr>
            <w:tr w14:paraId="488B8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30" w:type="pct"/>
                  <w:vMerge w:val="restart"/>
                  <w:vAlign w:val="center"/>
                </w:tcPr>
                <w:p w14:paraId="0D7A64E4">
                  <w:pPr>
                    <w:pStyle w:val="92"/>
                    <w:rPr>
                      <w:rFonts w:ascii="Times New Roman" w:hAnsi="Times New Roman"/>
                      <w:color w:val="auto"/>
                    </w:rPr>
                  </w:pPr>
                  <w:r>
                    <w:rPr>
                      <w:rFonts w:ascii="Times New Roman" w:hAnsi="Times New Roman"/>
                      <w:color w:val="auto"/>
                    </w:rPr>
                    <w:t>危险废物</w:t>
                  </w:r>
                </w:p>
              </w:tc>
              <w:tc>
                <w:tcPr>
                  <w:tcW w:w="1101" w:type="pct"/>
                  <w:gridSpan w:val="2"/>
                  <w:vAlign w:val="center"/>
                </w:tcPr>
                <w:p w14:paraId="2B7D2499">
                  <w:pPr>
                    <w:jc w:val="center"/>
                    <w:rPr>
                      <w:color w:val="auto"/>
                      <w:szCs w:val="21"/>
                    </w:rPr>
                  </w:pPr>
                  <w:r>
                    <w:rPr>
                      <w:color w:val="auto"/>
                      <w:szCs w:val="21"/>
                    </w:rPr>
                    <w:t>废槽渣</w:t>
                  </w:r>
                </w:p>
              </w:tc>
              <w:tc>
                <w:tcPr>
                  <w:tcW w:w="689" w:type="pct"/>
                  <w:vAlign w:val="center"/>
                </w:tcPr>
                <w:p w14:paraId="7AF1BAAD">
                  <w:pPr>
                    <w:jc w:val="center"/>
                    <w:rPr>
                      <w:color w:val="auto"/>
                      <w:szCs w:val="21"/>
                    </w:rPr>
                  </w:pPr>
                  <w:r>
                    <w:rPr>
                      <w:rFonts w:hint="eastAsia"/>
                      <w:color w:val="auto"/>
                      <w:szCs w:val="21"/>
                    </w:rPr>
                    <w:t>3</w:t>
                  </w:r>
                </w:p>
              </w:tc>
              <w:tc>
                <w:tcPr>
                  <w:tcW w:w="592" w:type="pct"/>
                  <w:vAlign w:val="center"/>
                </w:tcPr>
                <w:p w14:paraId="2693686C">
                  <w:pPr>
                    <w:jc w:val="center"/>
                    <w:rPr>
                      <w:color w:val="auto"/>
                      <w:szCs w:val="21"/>
                    </w:rPr>
                  </w:pPr>
                  <w:r>
                    <w:rPr>
                      <w:color w:val="auto"/>
                      <w:szCs w:val="21"/>
                    </w:rPr>
                    <w:t>/</w:t>
                  </w:r>
                </w:p>
              </w:tc>
              <w:tc>
                <w:tcPr>
                  <w:tcW w:w="1405" w:type="pct"/>
                  <w:vAlign w:val="center"/>
                </w:tcPr>
                <w:p w14:paraId="0019CE88">
                  <w:pPr>
                    <w:jc w:val="center"/>
                    <w:rPr>
                      <w:color w:val="auto"/>
                      <w:szCs w:val="21"/>
                    </w:rPr>
                  </w:pPr>
                  <w:r>
                    <w:rPr>
                      <w:color w:val="auto"/>
                      <w:szCs w:val="21"/>
                    </w:rPr>
                    <w:t>危害水环境物质（急性毒性类别1）</w:t>
                  </w:r>
                </w:p>
              </w:tc>
              <w:tc>
                <w:tcPr>
                  <w:tcW w:w="441" w:type="pct"/>
                  <w:vAlign w:val="center"/>
                </w:tcPr>
                <w:p w14:paraId="7914DBF8">
                  <w:pPr>
                    <w:jc w:val="center"/>
                    <w:rPr>
                      <w:color w:val="auto"/>
                      <w:szCs w:val="21"/>
                    </w:rPr>
                  </w:pPr>
                  <w:r>
                    <w:rPr>
                      <w:color w:val="auto"/>
                      <w:szCs w:val="21"/>
                    </w:rPr>
                    <w:t>100</w:t>
                  </w:r>
                </w:p>
              </w:tc>
              <w:tc>
                <w:tcPr>
                  <w:tcW w:w="539" w:type="pct"/>
                  <w:vAlign w:val="center"/>
                </w:tcPr>
                <w:p w14:paraId="3047AB83">
                  <w:pPr>
                    <w:widowControl/>
                    <w:jc w:val="center"/>
                    <w:textAlignment w:val="center"/>
                    <w:rPr>
                      <w:color w:val="auto"/>
                      <w:szCs w:val="21"/>
                    </w:rPr>
                  </w:pPr>
                  <w:r>
                    <w:rPr>
                      <w:color w:val="auto"/>
                      <w:kern w:val="0"/>
                      <w:szCs w:val="21"/>
                      <w:lang w:bidi="ar"/>
                    </w:rPr>
                    <w:t>0.03</w:t>
                  </w:r>
                </w:p>
              </w:tc>
            </w:tr>
            <w:tr w14:paraId="5A268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30" w:type="pct"/>
                  <w:vMerge w:val="continue"/>
                  <w:vAlign w:val="center"/>
                </w:tcPr>
                <w:p w14:paraId="2D181200">
                  <w:pPr>
                    <w:pStyle w:val="92"/>
                    <w:rPr>
                      <w:rFonts w:ascii="Times New Roman" w:hAnsi="Times New Roman"/>
                      <w:color w:val="auto"/>
                    </w:rPr>
                  </w:pPr>
                </w:p>
              </w:tc>
              <w:tc>
                <w:tcPr>
                  <w:tcW w:w="1101" w:type="pct"/>
                  <w:gridSpan w:val="2"/>
                  <w:vAlign w:val="center"/>
                </w:tcPr>
                <w:p w14:paraId="0F7746C5">
                  <w:pPr>
                    <w:jc w:val="center"/>
                    <w:rPr>
                      <w:color w:val="auto"/>
                      <w:szCs w:val="21"/>
                    </w:rPr>
                  </w:pPr>
                  <w:r>
                    <w:rPr>
                      <w:rFonts w:hint="eastAsia"/>
                      <w:color w:val="auto"/>
                      <w:szCs w:val="21"/>
                    </w:rPr>
                    <w:t>废漆渣</w:t>
                  </w:r>
                </w:p>
              </w:tc>
              <w:tc>
                <w:tcPr>
                  <w:tcW w:w="689" w:type="pct"/>
                  <w:vAlign w:val="center"/>
                </w:tcPr>
                <w:p w14:paraId="6DE2B2F4">
                  <w:pPr>
                    <w:jc w:val="center"/>
                    <w:rPr>
                      <w:color w:val="auto"/>
                      <w:szCs w:val="21"/>
                    </w:rPr>
                  </w:pPr>
                  <w:r>
                    <w:rPr>
                      <w:rFonts w:hint="eastAsia"/>
                      <w:color w:val="auto"/>
                      <w:szCs w:val="21"/>
                    </w:rPr>
                    <w:t>0.5</w:t>
                  </w:r>
                </w:p>
              </w:tc>
              <w:tc>
                <w:tcPr>
                  <w:tcW w:w="592" w:type="pct"/>
                  <w:vAlign w:val="center"/>
                </w:tcPr>
                <w:p w14:paraId="2CF82E1B">
                  <w:pPr>
                    <w:jc w:val="center"/>
                    <w:rPr>
                      <w:color w:val="auto"/>
                      <w:szCs w:val="21"/>
                    </w:rPr>
                  </w:pPr>
                  <w:r>
                    <w:rPr>
                      <w:color w:val="auto"/>
                      <w:szCs w:val="21"/>
                    </w:rPr>
                    <w:t>/</w:t>
                  </w:r>
                </w:p>
              </w:tc>
              <w:tc>
                <w:tcPr>
                  <w:tcW w:w="1405" w:type="pct"/>
                  <w:vAlign w:val="center"/>
                </w:tcPr>
                <w:p w14:paraId="480D9833">
                  <w:pPr>
                    <w:jc w:val="center"/>
                    <w:rPr>
                      <w:color w:val="auto"/>
                      <w:szCs w:val="21"/>
                    </w:rPr>
                  </w:pPr>
                  <w:r>
                    <w:rPr>
                      <w:color w:val="auto"/>
                      <w:szCs w:val="21"/>
                    </w:rPr>
                    <w:t>危害水环境物质（急性毒性类别1）</w:t>
                  </w:r>
                </w:p>
              </w:tc>
              <w:tc>
                <w:tcPr>
                  <w:tcW w:w="441" w:type="pct"/>
                  <w:vAlign w:val="center"/>
                </w:tcPr>
                <w:p w14:paraId="4C94C6ED">
                  <w:pPr>
                    <w:jc w:val="center"/>
                    <w:rPr>
                      <w:color w:val="auto"/>
                      <w:szCs w:val="21"/>
                    </w:rPr>
                  </w:pPr>
                  <w:r>
                    <w:rPr>
                      <w:rFonts w:hint="eastAsia"/>
                      <w:color w:val="auto"/>
                      <w:szCs w:val="21"/>
                    </w:rPr>
                    <w:t>100</w:t>
                  </w:r>
                </w:p>
              </w:tc>
              <w:tc>
                <w:tcPr>
                  <w:tcW w:w="539" w:type="pct"/>
                  <w:vAlign w:val="center"/>
                </w:tcPr>
                <w:p w14:paraId="02A0493E">
                  <w:pPr>
                    <w:widowControl/>
                    <w:jc w:val="center"/>
                    <w:textAlignment w:val="center"/>
                    <w:rPr>
                      <w:color w:val="auto"/>
                      <w:szCs w:val="21"/>
                    </w:rPr>
                  </w:pPr>
                  <w:r>
                    <w:rPr>
                      <w:color w:val="auto"/>
                      <w:kern w:val="0"/>
                      <w:szCs w:val="21"/>
                      <w:lang w:bidi="ar"/>
                    </w:rPr>
                    <w:t>0.005</w:t>
                  </w:r>
                </w:p>
              </w:tc>
            </w:tr>
            <w:tr w14:paraId="67054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30" w:type="pct"/>
                  <w:vMerge w:val="continue"/>
                  <w:vAlign w:val="center"/>
                </w:tcPr>
                <w:p w14:paraId="13E97841">
                  <w:pPr>
                    <w:pStyle w:val="92"/>
                    <w:rPr>
                      <w:rFonts w:ascii="Times New Roman" w:hAnsi="Times New Roman"/>
                      <w:color w:val="auto"/>
                    </w:rPr>
                  </w:pPr>
                </w:p>
              </w:tc>
              <w:tc>
                <w:tcPr>
                  <w:tcW w:w="1101" w:type="pct"/>
                  <w:gridSpan w:val="2"/>
                  <w:vAlign w:val="center"/>
                </w:tcPr>
                <w:p w14:paraId="7EB706FD">
                  <w:pPr>
                    <w:jc w:val="center"/>
                    <w:rPr>
                      <w:color w:val="auto"/>
                      <w:szCs w:val="21"/>
                    </w:rPr>
                  </w:pPr>
                  <w:r>
                    <w:rPr>
                      <w:rFonts w:hint="eastAsia"/>
                      <w:color w:val="auto"/>
                      <w:szCs w:val="21"/>
                    </w:rPr>
                    <w:t>水帘柜废水</w:t>
                  </w:r>
                </w:p>
              </w:tc>
              <w:tc>
                <w:tcPr>
                  <w:tcW w:w="689" w:type="pct"/>
                  <w:vAlign w:val="center"/>
                </w:tcPr>
                <w:p w14:paraId="4E940CA6">
                  <w:pPr>
                    <w:jc w:val="center"/>
                    <w:rPr>
                      <w:color w:val="auto"/>
                      <w:szCs w:val="21"/>
                    </w:rPr>
                  </w:pPr>
                  <w:r>
                    <w:rPr>
                      <w:rFonts w:hint="eastAsia"/>
                      <w:color w:val="auto"/>
                      <w:szCs w:val="21"/>
                    </w:rPr>
                    <w:t>5</w:t>
                  </w:r>
                </w:p>
              </w:tc>
              <w:tc>
                <w:tcPr>
                  <w:tcW w:w="592" w:type="pct"/>
                  <w:vAlign w:val="center"/>
                </w:tcPr>
                <w:p w14:paraId="20B61625">
                  <w:pPr>
                    <w:jc w:val="center"/>
                    <w:rPr>
                      <w:color w:val="auto"/>
                      <w:szCs w:val="21"/>
                    </w:rPr>
                  </w:pPr>
                  <w:r>
                    <w:rPr>
                      <w:rFonts w:hint="eastAsia"/>
                      <w:color w:val="auto"/>
                      <w:szCs w:val="21"/>
                    </w:rPr>
                    <w:t>/</w:t>
                  </w:r>
                </w:p>
              </w:tc>
              <w:tc>
                <w:tcPr>
                  <w:tcW w:w="1405" w:type="pct"/>
                  <w:vAlign w:val="center"/>
                </w:tcPr>
                <w:p w14:paraId="047C5B1E">
                  <w:pPr>
                    <w:jc w:val="center"/>
                    <w:rPr>
                      <w:color w:val="auto"/>
                      <w:szCs w:val="21"/>
                    </w:rPr>
                  </w:pPr>
                  <w:r>
                    <w:rPr>
                      <w:color w:val="auto"/>
                      <w:szCs w:val="21"/>
                    </w:rPr>
                    <w:t>危害水环境物质（急性毒性类别1）</w:t>
                  </w:r>
                </w:p>
              </w:tc>
              <w:tc>
                <w:tcPr>
                  <w:tcW w:w="441" w:type="pct"/>
                  <w:vAlign w:val="center"/>
                </w:tcPr>
                <w:p w14:paraId="31C040ED">
                  <w:pPr>
                    <w:jc w:val="center"/>
                    <w:rPr>
                      <w:color w:val="auto"/>
                      <w:szCs w:val="21"/>
                    </w:rPr>
                  </w:pPr>
                  <w:r>
                    <w:rPr>
                      <w:rFonts w:hint="eastAsia"/>
                      <w:color w:val="auto"/>
                      <w:szCs w:val="21"/>
                    </w:rPr>
                    <w:t>100</w:t>
                  </w:r>
                </w:p>
              </w:tc>
              <w:tc>
                <w:tcPr>
                  <w:tcW w:w="539" w:type="pct"/>
                  <w:vAlign w:val="center"/>
                </w:tcPr>
                <w:p w14:paraId="37879253">
                  <w:pPr>
                    <w:widowControl/>
                    <w:jc w:val="center"/>
                    <w:textAlignment w:val="center"/>
                    <w:rPr>
                      <w:color w:val="auto"/>
                      <w:szCs w:val="21"/>
                    </w:rPr>
                  </w:pPr>
                  <w:r>
                    <w:rPr>
                      <w:color w:val="auto"/>
                      <w:kern w:val="0"/>
                      <w:szCs w:val="21"/>
                      <w:lang w:bidi="ar"/>
                    </w:rPr>
                    <w:t>0.05</w:t>
                  </w:r>
                </w:p>
              </w:tc>
            </w:tr>
            <w:tr w14:paraId="48582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30" w:type="pct"/>
                  <w:vMerge w:val="continue"/>
                  <w:vAlign w:val="center"/>
                </w:tcPr>
                <w:p w14:paraId="5057A142">
                  <w:pPr>
                    <w:pStyle w:val="92"/>
                    <w:rPr>
                      <w:rFonts w:ascii="Times New Roman" w:hAnsi="Times New Roman"/>
                      <w:color w:val="auto"/>
                    </w:rPr>
                  </w:pPr>
                </w:p>
              </w:tc>
              <w:tc>
                <w:tcPr>
                  <w:tcW w:w="1101" w:type="pct"/>
                  <w:gridSpan w:val="2"/>
                  <w:vAlign w:val="center"/>
                </w:tcPr>
                <w:p w14:paraId="4CD241DC">
                  <w:pPr>
                    <w:jc w:val="center"/>
                    <w:rPr>
                      <w:color w:val="auto"/>
                      <w:szCs w:val="21"/>
                    </w:rPr>
                  </w:pPr>
                  <w:r>
                    <w:rPr>
                      <w:color w:val="auto"/>
                      <w:szCs w:val="21"/>
                    </w:rPr>
                    <w:t>废机油</w:t>
                  </w:r>
                </w:p>
              </w:tc>
              <w:tc>
                <w:tcPr>
                  <w:tcW w:w="689" w:type="pct"/>
                  <w:vAlign w:val="center"/>
                </w:tcPr>
                <w:p w14:paraId="39356971">
                  <w:pPr>
                    <w:jc w:val="center"/>
                    <w:rPr>
                      <w:color w:val="auto"/>
                      <w:szCs w:val="21"/>
                    </w:rPr>
                  </w:pPr>
                  <w:r>
                    <w:rPr>
                      <w:rFonts w:hint="eastAsia"/>
                      <w:color w:val="auto"/>
                      <w:szCs w:val="21"/>
                    </w:rPr>
                    <w:t>0.2</w:t>
                  </w:r>
                </w:p>
              </w:tc>
              <w:tc>
                <w:tcPr>
                  <w:tcW w:w="592" w:type="pct"/>
                  <w:vAlign w:val="center"/>
                </w:tcPr>
                <w:p w14:paraId="511AE9B1">
                  <w:pPr>
                    <w:jc w:val="center"/>
                    <w:rPr>
                      <w:color w:val="auto"/>
                      <w:szCs w:val="21"/>
                    </w:rPr>
                  </w:pPr>
                  <w:r>
                    <w:rPr>
                      <w:color w:val="auto"/>
                      <w:szCs w:val="21"/>
                    </w:rPr>
                    <w:t>/</w:t>
                  </w:r>
                </w:p>
              </w:tc>
              <w:tc>
                <w:tcPr>
                  <w:tcW w:w="1405" w:type="pct"/>
                  <w:vAlign w:val="center"/>
                </w:tcPr>
                <w:p w14:paraId="10841CBF">
                  <w:pPr>
                    <w:jc w:val="center"/>
                    <w:rPr>
                      <w:color w:val="auto"/>
                      <w:szCs w:val="21"/>
                    </w:rPr>
                  </w:pPr>
                  <w:r>
                    <w:rPr>
                      <w:color w:val="auto"/>
                      <w:szCs w:val="21"/>
                    </w:rPr>
                    <w:t>油类物质（矿物油类，如石油、汽油、柴油等；生物柴油等）</w:t>
                  </w:r>
                </w:p>
              </w:tc>
              <w:tc>
                <w:tcPr>
                  <w:tcW w:w="441" w:type="pct"/>
                  <w:vAlign w:val="center"/>
                </w:tcPr>
                <w:p w14:paraId="374F7F03">
                  <w:pPr>
                    <w:jc w:val="center"/>
                    <w:rPr>
                      <w:color w:val="auto"/>
                      <w:szCs w:val="21"/>
                    </w:rPr>
                  </w:pPr>
                  <w:r>
                    <w:rPr>
                      <w:color w:val="auto"/>
                      <w:szCs w:val="21"/>
                    </w:rPr>
                    <w:t>2500</w:t>
                  </w:r>
                </w:p>
              </w:tc>
              <w:tc>
                <w:tcPr>
                  <w:tcW w:w="539" w:type="pct"/>
                  <w:vAlign w:val="center"/>
                </w:tcPr>
                <w:p w14:paraId="7FC875B2">
                  <w:pPr>
                    <w:widowControl/>
                    <w:jc w:val="center"/>
                    <w:textAlignment w:val="center"/>
                    <w:rPr>
                      <w:color w:val="auto"/>
                      <w:szCs w:val="21"/>
                    </w:rPr>
                  </w:pPr>
                  <w:r>
                    <w:rPr>
                      <w:color w:val="auto"/>
                      <w:kern w:val="0"/>
                      <w:szCs w:val="21"/>
                      <w:lang w:bidi="ar"/>
                    </w:rPr>
                    <w:t>0.00008</w:t>
                  </w:r>
                </w:p>
              </w:tc>
            </w:tr>
            <w:tr w14:paraId="4967A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4460" w:type="pct"/>
                  <w:gridSpan w:val="7"/>
                  <w:vAlign w:val="center"/>
                </w:tcPr>
                <w:p w14:paraId="7896FE65">
                  <w:pPr>
                    <w:pStyle w:val="92"/>
                    <w:rPr>
                      <w:rFonts w:ascii="Times New Roman" w:hAnsi="Times New Roman"/>
                      <w:color w:val="auto"/>
                    </w:rPr>
                  </w:pPr>
                  <w:r>
                    <w:rPr>
                      <w:rFonts w:ascii="Times New Roman" w:hAnsi="Times New Roman"/>
                      <w:color w:val="auto"/>
                    </w:rPr>
                    <w:t>qn/Q</w:t>
                  </w:r>
                </w:p>
              </w:tc>
              <w:tc>
                <w:tcPr>
                  <w:tcW w:w="539" w:type="pct"/>
                  <w:vAlign w:val="center"/>
                </w:tcPr>
                <w:p w14:paraId="53AA5ABB">
                  <w:pPr>
                    <w:widowControl/>
                    <w:jc w:val="center"/>
                    <w:textAlignment w:val="center"/>
                    <w:rPr>
                      <w:rFonts w:hint="eastAsia" w:eastAsia="宋体"/>
                      <w:color w:val="auto"/>
                      <w:szCs w:val="21"/>
                      <w:lang w:eastAsia="zh-CN"/>
                    </w:rPr>
                  </w:pPr>
                  <w:r>
                    <w:rPr>
                      <w:color w:val="auto"/>
                      <w:kern w:val="0"/>
                      <w:szCs w:val="21"/>
                      <w:lang w:bidi="ar"/>
                    </w:rPr>
                    <w:t>0.30</w:t>
                  </w:r>
                  <w:r>
                    <w:rPr>
                      <w:rFonts w:hint="eastAsia"/>
                      <w:color w:val="auto"/>
                      <w:kern w:val="0"/>
                      <w:szCs w:val="21"/>
                      <w:lang w:val="en-US" w:eastAsia="zh-CN" w:bidi="ar"/>
                    </w:rPr>
                    <w:t>3</w:t>
                  </w:r>
                </w:p>
              </w:tc>
            </w:tr>
          </w:tbl>
          <w:p w14:paraId="27F68C15">
            <w:pPr>
              <w:adjustRightInd w:val="0"/>
              <w:snapToGrid w:val="0"/>
              <w:spacing w:before="120" w:beforeLines="50" w:line="360" w:lineRule="auto"/>
              <w:ind w:firstLine="480" w:firstLineChars="200"/>
              <w:jc w:val="left"/>
              <w:rPr>
                <w:color w:val="auto"/>
                <w:sz w:val="24"/>
              </w:rPr>
            </w:pPr>
            <w:r>
              <w:rPr>
                <w:color w:val="auto"/>
                <w:sz w:val="24"/>
              </w:rPr>
              <w:t>根据上表可知，项目风险物质Q=0.</w:t>
            </w:r>
            <w:r>
              <w:rPr>
                <w:rFonts w:hint="eastAsia"/>
                <w:color w:val="auto"/>
                <w:sz w:val="24"/>
              </w:rPr>
              <w:t>30</w:t>
            </w:r>
            <w:r>
              <w:rPr>
                <w:rFonts w:hint="eastAsia"/>
                <w:color w:val="auto"/>
                <w:sz w:val="24"/>
                <w:lang w:val="en-US" w:eastAsia="zh-CN"/>
              </w:rPr>
              <w:t>3</w:t>
            </w:r>
            <w:r>
              <w:rPr>
                <w:color w:val="auto"/>
                <w:sz w:val="24"/>
              </w:rPr>
              <w:t>＜1，环境风险潜势等级为Ⅰ级，不存在重大危险源。</w:t>
            </w:r>
          </w:p>
          <w:p w14:paraId="3868CD88">
            <w:pPr>
              <w:adjustRightInd w:val="0"/>
              <w:snapToGrid w:val="0"/>
              <w:spacing w:line="360" w:lineRule="auto"/>
              <w:ind w:firstLine="482" w:firstLineChars="200"/>
              <w:jc w:val="left"/>
              <w:rPr>
                <w:b/>
                <w:bCs/>
                <w:color w:val="auto"/>
                <w:sz w:val="24"/>
              </w:rPr>
            </w:pPr>
            <w:r>
              <w:rPr>
                <w:b/>
                <w:bCs/>
                <w:color w:val="auto"/>
                <w:sz w:val="24"/>
              </w:rPr>
              <w:t>3、环境风险识别</w:t>
            </w:r>
          </w:p>
          <w:p w14:paraId="27A1B452">
            <w:pPr>
              <w:adjustRightInd w:val="0"/>
              <w:snapToGrid w:val="0"/>
              <w:spacing w:line="360" w:lineRule="auto"/>
              <w:ind w:firstLine="482" w:firstLineChars="200"/>
              <w:jc w:val="left"/>
              <w:rPr>
                <w:b/>
                <w:bCs/>
                <w:color w:val="auto"/>
                <w:sz w:val="24"/>
              </w:rPr>
            </w:pPr>
            <w:r>
              <w:rPr>
                <w:b/>
                <w:bCs/>
                <w:color w:val="auto"/>
                <w:sz w:val="24"/>
              </w:rPr>
              <w:t>（1）物质危险性识别</w:t>
            </w:r>
          </w:p>
          <w:p w14:paraId="018F866F">
            <w:pPr>
              <w:pStyle w:val="43"/>
              <w:jc w:val="left"/>
              <w:rPr>
                <w:color w:val="auto"/>
              </w:rPr>
            </w:pPr>
            <w:r>
              <w:rPr>
                <w:color w:val="auto"/>
              </w:rPr>
              <w:t>项目环境风险物质识别见表4-5</w:t>
            </w:r>
            <w:r>
              <w:rPr>
                <w:rFonts w:hint="eastAsia"/>
                <w:color w:val="auto"/>
              </w:rPr>
              <w:t>4</w:t>
            </w:r>
            <w:r>
              <w:rPr>
                <w:color w:val="auto"/>
              </w:rPr>
              <w:t>。</w:t>
            </w:r>
          </w:p>
          <w:p w14:paraId="7A24FF3A">
            <w:pPr>
              <w:adjustRightInd w:val="0"/>
              <w:snapToGrid w:val="0"/>
              <w:spacing w:line="360" w:lineRule="auto"/>
              <w:ind w:firstLine="482" w:firstLineChars="200"/>
              <w:jc w:val="left"/>
              <w:rPr>
                <w:b/>
                <w:bCs/>
                <w:color w:val="auto"/>
                <w:sz w:val="24"/>
              </w:rPr>
            </w:pPr>
            <w:r>
              <w:rPr>
                <w:b/>
                <w:bCs/>
                <w:color w:val="auto"/>
                <w:sz w:val="24"/>
              </w:rPr>
              <w:t>（2）生产系统危险性识别</w:t>
            </w:r>
          </w:p>
          <w:p w14:paraId="78604908">
            <w:pPr>
              <w:pStyle w:val="43"/>
              <w:jc w:val="left"/>
              <w:rPr>
                <w:color w:val="auto"/>
              </w:rPr>
            </w:pPr>
            <w:r>
              <w:rPr>
                <w:color w:val="auto"/>
              </w:rPr>
              <w:t>a.生产装置的危险性识别</w:t>
            </w:r>
          </w:p>
          <w:p w14:paraId="20DEB21E">
            <w:pPr>
              <w:pStyle w:val="43"/>
              <w:jc w:val="left"/>
              <w:rPr>
                <w:color w:val="auto"/>
              </w:rPr>
            </w:pPr>
            <w:r>
              <w:rPr>
                <w:color w:val="auto"/>
              </w:rPr>
              <w:t>本项目涉及危险物质泄漏的生产装置主要是前处理线</w:t>
            </w:r>
            <w:r>
              <w:rPr>
                <w:rFonts w:hint="eastAsia"/>
                <w:color w:val="auto"/>
              </w:rPr>
              <w:t>、喷漆房和尾数房</w:t>
            </w:r>
            <w:r>
              <w:rPr>
                <w:color w:val="auto"/>
              </w:rPr>
              <w:t>，生产线涉及的设备、管道等设施可能发生破裂，停电、设备故障、工作人员违章操作、误操作可能造成生产线不正常运转，发生溢流、倾泻等，从而引起废液泄漏，污染周边水体及地下水，属于危险单元。</w:t>
            </w:r>
          </w:p>
          <w:p w14:paraId="1A63E644">
            <w:pPr>
              <w:pStyle w:val="43"/>
              <w:jc w:val="left"/>
              <w:rPr>
                <w:color w:val="auto"/>
              </w:rPr>
            </w:pPr>
            <w:r>
              <w:rPr>
                <w:color w:val="auto"/>
              </w:rPr>
              <w:t>b.储运设施的危险性识别</w:t>
            </w:r>
          </w:p>
          <w:p w14:paraId="05858F7B">
            <w:pPr>
              <w:pStyle w:val="43"/>
              <w:jc w:val="left"/>
              <w:rPr>
                <w:color w:val="auto"/>
              </w:rPr>
            </w:pPr>
            <w:r>
              <w:rPr>
                <w:color w:val="auto"/>
              </w:rPr>
              <w:t>本项目</w:t>
            </w:r>
            <w:r>
              <w:rPr>
                <w:rFonts w:hint="eastAsia"/>
                <w:color w:val="auto"/>
              </w:rPr>
              <w:t>设计风险物质</w:t>
            </w:r>
            <w:r>
              <w:rPr>
                <w:color w:val="auto"/>
              </w:rPr>
              <w:t>储运</w:t>
            </w:r>
            <w:r>
              <w:rPr>
                <w:rFonts w:hint="eastAsia"/>
                <w:color w:val="auto"/>
              </w:rPr>
              <w:t>的</w:t>
            </w:r>
            <w:r>
              <w:rPr>
                <w:color w:val="auto"/>
              </w:rPr>
              <w:t>设施主要包括</w:t>
            </w:r>
            <w:r>
              <w:rPr>
                <w:rFonts w:hint="eastAsia"/>
                <w:color w:val="auto"/>
              </w:rPr>
              <w:t>药剂区、涂料仓库、化学品仓库和危废仓库</w:t>
            </w:r>
            <w:r>
              <w:rPr>
                <w:color w:val="auto"/>
              </w:rPr>
              <w:t>，一旦发生泄漏，可能对周边的地下水、地表水、大气环境产生一定的影响，属于危险单元。</w:t>
            </w:r>
          </w:p>
          <w:p w14:paraId="6FDE0DD0">
            <w:pPr>
              <w:pStyle w:val="43"/>
              <w:jc w:val="left"/>
              <w:rPr>
                <w:color w:val="auto"/>
              </w:rPr>
            </w:pPr>
            <w:r>
              <w:rPr>
                <w:color w:val="auto"/>
              </w:rPr>
              <w:t>c.环保设施的危险性识别</w:t>
            </w:r>
          </w:p>
          <w:p w14:paraId="34C4E43E">
            <w:pPr>
              <w:pStyle w:val="43"/>
              <w:jc w:val="left"/>
              <w:rPr>
                <w:color w:val="auto"/>
              </w:rPr>
            </w:pPr>
            <w:r>
              <w:rPr>
                <w:color w:val="auto"/>
              </w:rPr>
              <w:t>本项目废水处理设施发生事故时，必须及时将废水引至</w:t>
            </w:r>
            <w:r>
              <w:rPr>
                <w:rFonts w:hint="eastAsia"/>
                <w:color w:val="auto"/>
              </w:rPr>
              <w:t>园区</w:t>
            </w:r>
            <w:r>
              <w:rPr>
                <w:color w:val="auto"/>
              </w:rPr>
              <w:t>事故应急池中。待废水处理系统正常运行时，再将事故应急池中的废水泵至废水处理系统处理达标后回用。一旦发生废水处理系统、事故应急池的污水泄漏，将造成废水下渗，对地下水环境造成一定污染。</w:t>
            </w:r>
          </w:p>
          <w:p w14:paraId="0074E5C9">
            <w:pPr>
              <w:adjustRightInd w:val="0"/>
              <w:snapToGrid w:val="0"/>
              <w:spacing w:line="360" w:lineRule="auto"/>
              <w:ind w:firstLine="482" w:firstLineChars="200"/>
              <w:jc w:val="left"/>
              <w:rPr>
                <w:b/>
                <w:bCs/>
                <w:color w:val="auto"/>
                <w:sz w:val="24"/>
              </w:rPr>
            </w:pPr>
            <w:r>
              <w:rPr>
                <w:b/>
                <w:bCs/>
                <w:color w:val="auto"/>
                <w:sz w:val="24"/>
              </w:rPr>
              <w:t>4、环境风险防范措施</w:t>
            </w:r>
          </w:p>
          <w:p w14:paraId="1F9FF988">
            <w:pPr>
              <w:adjustRightInd w:val="0"/>
              <w:snapToGrid w:val="0"/>
              <w:spacing w:line="360" w:lineRule="auto"/>
              <w:ind w:firstLine="482" w:firstLineChars="200"/>
              <w:jc w:val="left"/>
              <w:rPr>
                <w:b/>
                <w:bCs/>
                <w:color w:val="auto"/>
                <w:sz w:val="24"/>
                <w:lang w:eastAsia="zh-TW"/>
              </w:rPr>
            </w:pPr>
            <w:r>
              <w:rPr>
                <w:b/>
                <w:bCs/>
                <w:color w:val="auto"/>
                <w:sz w:val="24"/>
              </w:rPr>
              <w:t>（1）</w:t>
            </w:r>
            <w:r>
              <w:rPr>
                <w:b/>
                <w:bCs/>
                <w:color w:val="auto"/>
                <w:sz w:val="24"/>
                <w:lang w:eastAsia="zh-TW"/>
              </w:rPr>
              <w:t>物料泄漏事故的预防措施</w:t>
            </w:r>
          </w:p>
          <w:p w14:paraId="5734A202">
            <w:pPr>
              <w:adjustRightInd w:val="0"/>
              <w:snapToGrid w:val="0"/>
              <w:spacing w:line="360" w:lineRule="auto"/>
              <w:ind w:firstLine="480" w:firstLineChars="200"/>
              <w:jc w:val="left"/>
              <w:rPr>
                <w:color w:val="auto"/>
                <w:sz w:val="24"/>
                <w:lang w:eastAsia="zh-TW"/>
              </w:rPr>
            </w:pPr>
            <w:r>
              <w:rPr>
                <w:color w:val="auto"/>
                <w:sz w:val="24"/>
                <w:lang w:eastAsia="zh-TW"/>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w:t>
            </w:r>
          </w:p>
          <w:p w14:paraId="193816A2">
            <w:pPr>
              <w:adjustRightInd w:val="0"/>
              <w:snapToGrid w:val="0"/>
              <w:spacing w:line="360" w:lineRule="auto"/>
              <w:ind w:firstLine="480" w:firstLineChars="200"/>
              <w:jc w:val="left"/>
              <w:rPr>
                <w:color w:val="auto"/>
                <w:sz w:val="24"/>
                <w:lang w:eastAsia="zh-TW"/>
              </w:rPr>
            </w:pPr>
            <w:r>
              <w:rPr>
                <w:color w:val="auto"/>
                <w:sz w:val="24"/>
              </w:rPr>
              <w:t>项目</w:t>
            </w:r>
            <w:r>
              <w:rPr>
                <w:color w:val="auto"/>
                <w:sz w:val="24"/>
                <w:lang w:eastAsia="zh-TW"/>
              </w:rPr>
              <w:t>主要采取以下预防措施：</w:t>
            </w:r>
            <w:r>
              <w:rPr>
                <w:color w:val="auto"/>
                <w:sz w:val="24"/>
              </w:rPr>
              <w:t>1）</w:t>
            </w:r>
            <w:r>
              <w:rPr>
                <w:color w:val="auto"/>
                <w:sz w:val="24"/>
                <w:lang w:eastAsia="zh-TW"/>
              </w:rPr>
              <w:t>在</w:t>
            </w:r>
            <w:r>
              <w:rPr>
                <w:rFonts w:hint="eastAsia"/>
                <w:color w:val="auto"/>
                <w:sz w:val="24"/>
                <w:lang w:eastAsia="zh-TW"/>
              </w:rPr>
              <w:t>药剂区、涂料仓库、化学品仓库和危废仓库</w:t>
            </w:r>
            <w:r>
              <w:rPr>
                <w:color w:val="auto"/>
                <w:sz w:val="24"/>
                <w:lang w:eastAsia="zh-TW"/>
              </w:rPr>
              <w:t>四周设置地沟避免泄漏物料流入水体。泄漏的物料经收集后作为废液送相应委外单位处理；</w:t>
            </w:r>
            <w:r>
              <w:rPr>
                <w:color w:val="auto"/>
                <w:sz w:val="24"/>
              </w:rPr>
              <w:t>2）</w:t>
            </w:r>
            <w:r>
              <w:rPr>
                <w:color w:val="auto"/>
                <w:sz w:val="24"/>
                <w:lang w:eastAsia="zh-TW"/>
              </w:rPr>
              <w:t>经常检查管道，地上管道应防止碰撞，并控制管道支撑的磨损。定期系统试压、定期检漏；</w:t>
            </w:r>
          </w:p>
          <w:p w14:paraId="17C9163A">
            <w:pPr>
              <w:adjustRightInd w:val="0"/>
              <w:snapToGrid w:val="0"/>
              <w:spacing w:line="360" w:lineRule="auto"/>
              <w:ind w:firstLine="482" w:firstLineChars="200"/>
              <w:jc w:val="left"/>
              <w:rPr>
                <w:b/>
                <w:bCs/>
                <w:color w:val="auto"/>
                <w:sz w:val="24"/>
                <w:lang w:eastAsia="zh-TW"/>
              </w:rPr>
            </w:pPr>
            <w:r>
              <w:rPr>
                <w:b/>
                <w:bCs/>
                <w:color w:val="auto"/>
                <w:sz w:val="24"/>
              </w:rPr>
              <w:t>（2）</w:t>
            </w:r>
            <w:r>
              <w:rPr>
                <w:b/>
                <w:bCs/>
                <w:color w:val="auto"/>
                <w:sz w:val="24"/>
                <w:lang w:eastAsia="zh-TW"/>
              </w:rPr>
              <w:t>火灾和爆炸的预防措施</w:t>
            </w:r>
          </w:p>
          <w:p w14:paraId="18666C97">
            <w:pPr>
              <w:adjustRightInd w:val="0"/>
              <w:snapToGrid w:val="0"/>
              <w:spacing w:line="360" w:lineRule="auto"/>
              <w:ind w:firstLine="480" w:firstLineChars="200"/>
              <w:jc w:val="left"/>
              <w:rPr>
                <w:color w:val="auto"/>
                <w:sz w:val="24"/>
              </w:rPr>
            </w:pPr>
            <w:r>
              <w:rPr>
                <w:color w:val="auto"/>
                <w:sz w:val="24"/>
              </w:rPr>
              <w:t>项目运行期间应充分考虑到不安全的因素，一定要在火灾防范方面制定严格的措施。本报告建议项目投资方采取如下措施：</w:t>
            </w:r>
          </w:p>
          <w:p w14:paraId="2C609534">
            <w:pPr>
              <w:adjustRightInd w:val="0"/>
              <w:snapToGrid w:val="0"/>
              <w:spacing w:line="360" w:lineRule="auto"/>
              <w:ind w:firstLine="480" w:firstLineChars="200"/>
              <w:jc w:val="left"/>
              <w:rPr>
                <w:color w:val="auto"/>
                <w:sz w:val="24"/>
              </w:rPr>
            </w:pPr>
            <w:r>
              <w:rPr>
                <w:color w:val="auto"/>
                <w:sz w:val="24"/>
              </w:rPr>
              <w:t>a在车间内设置“严禁烟火”的警示牌，尤其是在纸张等易燃品堆放的位置；</w:t>
            </w:r>
          </w:p>
          <w:p w14:paraId="1048B626">
            <w:pPr>
              <w:adjustRightInd w:val="0"/>
              <w:snapToGrid w:val="0"/>
              <w:spacing w:line="360" w:lineRule="auto"/>
              <w:ind w:firstLine="480" w:firstLineChars="200"/>
              <w:jc w:val="left"/>
              <w:rPr>
                <w:color w:val="auto"/>
                <w:sz w:val="24"/>
              </w:rPr>
            </w:pPr>
            <w:r>
              <w:rPr>
                <w:color w:val="auto"/>
                <w:sz w:val="24"/>
              </w:rPr>
              <w:t>b灭火器应布置在明显便于取用的地方，并定期维护检查，确保能正常使用。</w:t>
            </w:r>
          </w:p>
          <w:p w14:paraId="50808381">
            <w:pPr>
              <w:adjustRightInd w:val="0"/>
              <w:snapToGrid w:val="0"/>
              <w:spacing w:line="360" w:lineRule="auto"/>
              <w:ind w:firstLine="480" w:firstLineChars="200"/>
              <w:jc w:val="left"/>
              <w:rPr>
                <w:color w:val="auto"/>
                <w:sz w:val="24"/>
              </w:rPr>
            </w:pPr>
            <w:r>
              <w:rPr>
                <w:color w:val="auto"/>
                <w:sz w:val="24"/>
              </w:rPr>
              <w:t>c制定和落实防火安全责任制及消防安全规章制度，除加强对员工的消防知识进行培训，对消防安全责任人及员工也定期进行消防知识培训，消防安全管理人员持证上岗。</w:t>
            </w:r>
          </w:p>
          <w:p w14:paraId="6D41D270">
            <w:pPr>
              <w:adjustRightInd w:val="0"/>
              <w:snapToGrid w:val="0"/>
              <w:spacing w:line="360" w:lineRule="auto"/>
              <w:ind w:firstLine="480" w:firstLineChars="200"/>
              <w:jc w:val="left"/>
              <w:rPr>
                <w:color w:val="auto"/>
                <w:sz w:val="24"/>
              </w:rPr>
            </w:pPr>
            <w:r>
              <w:rPr>
                <w:color w:val="auto"/>
                <w:sz w:val="24"/>
              </w:rPr>
              <w:t>d自动消防系统应定期维护保养，保证消防设施正常运作。</w:t>
            </w:r>
          </w:p>
          <w:p w14:paraId="11330615">
            <w:pPr>
              <w:adjustRightInd w:val="0"/>
              <w:snapToGrid w:val="0"/>
              <w:spacing w:line="360" w:lineRule="auto"/>
              <w:ind w:firstLine="480" w:firstLineChars="200"/>
              <w:jc w:val="left"/>
              <w:rPr>
                <w:color w:val="auto"/>
                <w:sz w:val="24"/>
              </w:rPr>
            </w:pPr>
            <w:r>
              <w:rPr>
                <w:color w:val="auto"/>
                <w:sz w:val="24"/>
              </w:rPr>
              <w:t>e对电路定期予以检查，用电负荷与电路的设计要匹配。</w:t>
            </w:r>
          </w:p>
          <w:p w14:paraId="6D7CFC9D">
            <w:pPr>
              <w:adjustRightInd w:val="0"/>
              <w:snapToGrid w:val="0"/>
              <w:spacing w:line="360" w:lineRule="auto"/>
              <w:ind w:firstLine="480" w:firstLineChars="200"/>
              <w:jc w:val="left"/>
              <w:rPr>
                <w:color w:val="auto"/>
                <w:sz w:val="24"/>
              </w:rPr>
            </w:pPr>
            <w:r>
              <w:rPr>
                <w:color w:val="auto"/>
                <w:sz w:val="24"/>
              </w:rPr>
              <w:t>f制定灭火和应急疏散预案，同时设置安全疏散通道。</w:t>
            </w:r>
          </w:p>
          <w:p w14:paraId="6EF3FA95">
            <w:pPr>
              <w:adjustRightInd w:val="0"/>
              <w:snapToGrid w:val="0"/>
              <w:spacing w:line="360" w:lineRule="auto"/>
              <w:ind w:firstLine="480" w:firstLineChars="200"/>
              <w:jc w:val="left"/>
              <w:rPr>
                <w:color w:val="auto"/>
                <w:sz w:val="24"/>
                <w:lang w:eastAsia="zh-TW"/>
              </w:rPr>
            </w:pPr>
            <w:r>
              <w:rPr>
                <w:color w:val="auto"/>
                <w:sz w:val="24"/>
              </w:rPr>
              <w:t>只要项目严格落实上述措施，做好防火和泄漏措施，并加强防范意识，则项目运营期间发生风险的概率较小。</w:t>
            </w:r>
          </w:p>
          <w:p w14:paraId="20E12788">
            <w:pPr>
              <w:adjustRightInd w:val="0"/>
              <w:snapToGrid w:val="0"/>
              <w:spacing w:line="360" w:lineRule="auto"/>
              <w:ind w:firstLine="482" w:firstLineChars="200"/>
              <w:jc w:val="left"/>
              <w:rPr>
                <w:b/>
                <w:bCs/>
                <w:color w:val="auto"/>
                <w:sz w:val="24"/>
                <w:lang w:eastAsia="zh-TW"/>
              </w:rPr>
            </w:pPr>
            <w:r>
              <w:rPr>
                <w:b/>
                <w:bCs/>
                <w:color w:val="auto"/>
                <w:sz w:val="24"/>
              </w:rPr>
              <w:t>（3）</w:t>
            </w:r>
            <w:r>
              <w:rPr>
                <w:b/>
                <w:bCs/>
                <w:color w:val="auto"/>
                <w:sz w:val="24"/>
                <w:lang w:eastAsia="zh-TW"/>
              </w:rPr>
              <w:t>物料运输及危险废物收集、贮存、运输过程防范措施</w:t>
            </w:r>
          </w:p>
          <w:p w14:paraId="78B65A8E">
            <w:pPr>
              <w:adjustRightInd w:val="0"/>
              <w:snapToGrid w:val="0"/>
              <w:spacing w:line="360" w:lineRule="auto"/>
              <w:ind w:firstLine="482" w:firstLineChars="200"/>
              <w:jc w:val="left"/>
              <w:rPr>
                <w:b/>
                <w:bCs/>
                <w:color w:val="auto"/>
                <w:sz w:val="24"/>
                <w:lang w:eastAsia="zh-TW"/>
              </w:rPr>
            </w:pPr>
            <w:r>
              <w:rPr>
                <w:b/>
                <w:bCs/>
                <w:color w:val="auto"/>
                <w:sz w:val="24"/>
              </w:rPr>
              <w:t>1）</w:t>
            </w:r>
            <w:r>
              <w:rPr>
                <w:b/>
                <w:bCs/>
                <w:color w:val="auto"/>
                <w:sz w:val="24"/>
                <w:lang w:eastAsia="zh-TW"/>
              </w:rPr>
              <w:t>化学品运输</w:t>
            </w:r>
          </w:p>
          <w:p w14:paraId="06BCE4BD">
            <w:pPr>
              <w:adjustRightInd w:val="0"/>
              <w:snapToGrid w:val="0"/>
              <w:spacing w:line="360" w:lineRule="auto"/>
              <w:ind w:firstLine="480" w:firstLineChars="200"/>
              <w:jc w:val="left"/>
              <w:rPr>
                <w:color w:val="auto"/>
                <w:sz w:val="24"/>
                <w:lang w:eastAsia="zh-TW"/>
              </w:rPr>
            </w:pPr>
            <w:r>
              <w:rPr>
                <w:color w:val="auto"/>
                <w:sz w:val="24"/>
              </w:rPr>
              <w:t>项目</w:t>
            </w:r>
            <w:r>
              <w:rPr>
                <w:color w:val="auto"/>
                <w:sz w:val="24"/>
                <w:lang w:eastAsia="zh-TW"/>
              </w:rPr>
              <w:t>所用</w:t>
            </w:r>
            <w:r>
              <w:rPr>
                <w:color w:val="auto"/>
                <w:sz w:val="24"/>
              </w:rPr>
              <w:t>的</w:t>
            </w:r>
            <w:r>
              <w:rPr>
                <w:rFonts w:hint="eastAsia"/>
                <w:color w:val="auto"/>
                <w:kern w:val="0"/>
                <w:sz w:val="24"/>
              </w:rPr>
              <w:t>硫酸、脱脂剂</w:t>
            </w:r>
            <w:r>
              <w:rPr>
                <w:color w:val="auto"/>
                <w:kern w:val="0"/>
                <w:sz w:val="24"/>
              </w:rPr>
              <w:t>、促进剂、磷化剂</w:t>
            </w:r>
            <w:r>
              <w:rPr>
                <w:rFonts w:hint="eastAsia"/>
                <w:color w:val="auto"/>
                <w:kern w:val="0"/>
                <w:sz w:val="24"/>
              </w:rPr>
              <w:t>、水性涂料</w:t>
            </w:r>
            <w:r>
              <w:rPr>
                <w:color w:val="auto"/>
                <w:kern w:val="0"/>
                <w:sz w:val="24"/>
              </w:rPr>
              <w:t>等</w:t>
            </w:r>
            <w:r>
              <w:rPr>
                <w:color w:val="auto"/>
                <w:sz w:val="24"/>
              </w:rPr>
              <w:t>使用桶装，危险废物</w:t>
            </w:r>
            <w:r>
              <w:rPr>
                <w:color w:val="auto"/>
                <w:kern w:val="0"/>
                <w:sz w:val="24"/>
              </w:rPr>
              <w:t>污泥、</w:t>
            </w:r>
            <w:r>
              <w:rPr>
                <w:rFonts w:hint="eastAsia"/>
                <w:color w:val="auto"/>
                <w:kern w:val="0"/>
                <w:sz w:val="24"/>
              </w:rPr>
              <w:t>废机油</w:t>
            </w:r>
            <w:r>
              <w:rPr>
                <w:color w:val="auto"/>
                <w:kern w:val="0"/>
                <w:sz w:val="24"/>
              </w:rPr>
              <w:t>、</w:t>
            </w:r>
            <w:r>
              <w:rPr>
                <w:rFonts w:hint="eastAsia"/>
                <w:color w:val="auto"/>
                <w:kern w:val="0"/>
                <w:sz w:val="24"/>
              </w:rPr>
              <w:t>水帘柜废水</w:t>
            </w:r>
            <w:r>
              <w:rPr>
                <w:color w:val="auto"/>
                <w:sz w:val="24"/>
              </w:rPr>
              <w:t>等使用桶装，</w:t>
            </w:r>
            <w:r>
              <w:rPr>
                <w:color w:val="auto"/>
                <w:sz w:val="24"/>
                <w:lang w:eastAsia="zh-TW"/>
              </w:rPr>
              <w:t>厂外运输为公路运输，厂内危化品及危险废物采用</w:t>
            </w:r>
            <w:r>
              <w:rPr>
                <w:rFonts w:hint="eastAsia"/>
                <w:color w:val="auto"/>
                <w:sz w:val="24"/>
              </w:rPr>
              <w:t>叉车</w:t>
            </w:r>
            <w:r>
              <w:rPr>
                <w:color w:val="auto"/>
                <w:sz w:val="24"/>
                <w:lang w:eastAsia="zh-TW"/>
              </w:rPr>
              <w:t>搬运。厂内外运输主要委托专业运输公司。项目危废运输风险影响相对较小，贮存风险相对较大。</w:t>
            </w:r>
          </w:p>
          <w:p w14:paraId="179FD08C">
            <w:pPr>
              <w:adjustRightInd w:val="0"/>
              <w:snapToGrid w:val="0"/>
              <w:spacing w:line="360" w:lineRule="auto"/>
              <w:ind w:firstLine="482" w:firstLineChars="200"/>
              <w:jc w:val="left"/>
              <w:rPr>
                <w:b/>
                <w:bCs/>
                <w:color w:val="auto"/>
                <w:sz w:val="24"/>
                <w:lang w:eastAsia="zh-TW"/>
              </w:rPr>
            </w:pPr>
            <w:r>
              <w:rPr>
                <w:b/>
                <w:bCs/>
                <w:color w:val="auto"/>
                <w:sz w:val="24"/>
              </w:rPr>
              <w:t>2）</w:t>
            </w:r>
            <w:r>
              <w:rPr>
                <w:b/>
                <w:bCs/>
                <w:color w:val="auto"/>
                <w:sz w:val="24"/>
                <w:lang w:eastAsia="zh-TW"/>
              </w:rPr>
              <w:t>储存注意事项</w:t>
            </w:r>
          </w:p>
          <w:p w14:paraId="691052F0">
            <w:pPr>
              <w:adjustRightInd w:val="0"/>
              <w:snapToGrid w:val="0"/>
              <w:spacing w:line="360" w:lineRule="auto"/>
              <w:ind w:firstLine="480" w:firstLineChars="200"/>
              <w:jc w:val="left"/>
              <w:rPr>
                <w:color w:val="auto"/>
                <w:sz w:val="24"/>
                <w:lang w:eastAsia="zh-TW"/>
              </w:rPr>
            </w:pPr>
            <w:r>
              <w:rPr>
                <w:color w:val="auto"/>
                <w:sz w:val="24"/>
                <w:lang w:eastAsia="zh-TW"/>
              </w:rPr>
              <w:t>对各种原材料应分别储存于符合相应要求的库房中。同时应加强管理，非操作人员不得随意出入。加强防火，达到消防、安全等有关部门的要求。</w:t>
            </w:r>
          </w:p>
          <w:p w14:paraId="324AB75A">
            <w:pPr>
              <w:adjustRightInd w:val="0"/>
              <w:snapToGrid w:val="0"/>
              <w:spacing w:line="360" w:lineRule="auto"/>
              <w:ind w:firstLine="482" w:firstLineChars="200"/>
              <w:jc w:val="left"/>
              <w:rPr>
                <w:b/>
                <w:bCs/>
                <w:color w:val="auto"/>
                <w:sz w:val="24"/>
                <w:lang w:eastAsia="zh-TW"/>
              </w:rPr>
            </w:pPr>
            <w:r>
              <w:rPr>
                <w:b/>
                <w:bCs/>
                <w:color w:val="auto"/>
                <w:sz w:val="24"/>
              </w:rPr>
              <w:t>3）</w:t>
            </w:r>
            <w:r>
              <w:rPr>
                <w:b/>
                <w:bCs/>
                <w:color w:val="auto"/>
                <w:sz w:val="24"/>
                <w:lang w:eastAsia="zh-TW"/>
              </w:rPr>
              <w:t>跑冒滴漏处理措施</w:t>
            </w:r>
          </w:p>
          <w:p w14:paraId="7768BC54">
            <w:pPr>
              <w:adjustRightInd w:val="0"/>
              <w:snapToGrid w:val="0"/>
              <w:spacing w:line="360" w:lineRule="auto"/>
              <w:ind w:firstLine="480" w:firstLineChars="200"/>
              <w:jc w:val="left"/>
              <w:rPr>
                <w:color w:val="auto"/>
                <w:sz w:val="24"/>
                <w:lang w:eastAsia="zh-TW"/>
              </w:rPr>
            </w:pPr>
            <w:r>
              <w:rPr>
                <w:color w:val="auto"/>
                <w:sz w:val="24"/>
                <w:lang w:eastAsia="zh-TW"/>
              </w:rPr>
              <w:t>发生跑冒滴漏时，及时进行处理，尽量回收物料。当发生严重泄漏和灾害时，可直接与消防队联系，并要求予以指导和协助，以免事故影响扩大。</w:t>
            </w:r>
          </w:p>
          <w:p w14:paraId="080DCB0B">
            <w:pPr>
              <w:adjustRightInd w:val="0"/>
              <w:snapToGrid w:val="0"/>
              <w:spacing w:line="360" w:lineRule="auto"/>
              <w:ind w:firstLine="482" w:firstLineChars="200"/>
              <w:jc w:val="left"/>
              <w:rPr>
                <w:b/>
                <w:bCs/>
                <w:color w:val="auto"/>
                <w:sz w:val="24"/>
                <w:lang w:eastAsia="zh-TW"/>
              </w:rPr>
            </w:pPr>
            <w:r>
              <w:rPr>
                <w:b/>
                <w:bCs/>
                <w:color w:val="auto"/>
                <w:sz w:val="24"/>
              </w:rPr>
              <w:t>（4）</w:t>
            </w:r>
            <w:r>
              <w:rPr>
                <w:b/>
                <w:bCs/>
                <w:color w:val="auto"/>
                <w:sz w:val="24"/>
                <w:lang w:eastAsia="zh-TW"/>
              </w:rPr>
              <w:t>废水和废气处理装置事故防范措施</w:t>
            </w:r>
          </w:p>
          <w:p w14:paraId="14332776">
            <w:pPr>
              <w:adjustRightInd w:val="0"/>
              <w:snapToGrid w:val="0"/>
              <w:spacing w:line="360" w:lineRule="auto"/>
              <w:ind w:firstLine="480" w:firstLineChars="200"/>
              <w:jc w:val="left"/>
              <w:rPr>
                <w:color w:val="auto"/>
                <w:sz w:val="24"/>
                <w:lang w:eastAsia="zh-TW"/>
              </w:rPr>
            </w:pPr>
            <w:r>
              <w:rPr>
                <w:color w:val="auto"/>
                <w:sz w:val="24"/>
              </w:rPr>
              <w:t>1）</w:t>
            </w:r>
            <w:r>
              <w:rPr>
                <w:color w:val="auto"/>
                <w:sz w:val="24"/>
                <w:lang w:eastAsia="zh-TW"/>
              </w:rPr>
              <w:t>应加强对废水处理设施、废气处理系统等的日常管理，及时保养与维修。建立严格的操作规程，实行目标责任制，保证环境保护设施的正常运行。</w:t>
            </w:r>
          </w:p>
          <w:p w14:paraId="097D91C4">
            <w:pPr>
              <w:adjustRightInd w:val="0"/>
              <w:snapToGrid w:val="0"/>
              <w:spacing w:line="360" w:lineRule="auto"/>
              <w:ind w:firstLine="480" w:firstLineChars="200"/>
              <w:jc w:val="left"/>
              <w:rPr>
                <w:color w:val="auto"/>
                <w:sz w:val="24"/>
                <w:lang w:eastAsia="zh-TW"/>
              </w:rPr>
            </w:pPr>
            <w:r>
              <w:rPr>
                <w:color w:val="auto"/>
                <w:sz w:val="24"/>
              </w:rPr>
              <w:t>2）</w:t>
            </w:r>
            <w:r>
              <w:rPr>
                <w:color w:val="auto"/>
                <w:sz w:val="24"/>
                <w:lang w:eastAsia="zh-TW"/>
              </w:rPr>
              <w:t>应严格按工艺规程进行操作，特别在易发生事故工序，应坚决杜绝为了提高产量等而不严格按要求配料、操作等情况，同时，操作人员应穿戴好劳动防护用品。</w:t>
            </w:r>
          </w:p>
          <w:p w14:paraId="314DD303">
            <w:pPr>
              <w:adjustRightInd w:val="0"/>
              <w:snapToGrid w:val="0"/>
              <w:spacing w:line="360" w:lineRule="auto"/>
              <w:ind w:firstLine="482" w:firstLineChars="200"/>
              <w:jc w:val="left"/>
              <w:rPr>
                <w:b/>
                <w:bCs/>
                <w:color w:val="auto"/>
                <w:sz w:val="24"/>
                <w:lang w:eastAsia="zh-TW"/>
              </w:rPr>
            </w:pPr>
            <w:r>
              <w:rPr>
                <w:b/>
                <w:bCs/>
                <w:color w:val="auto"/>
                <w:sz w:val="24"/>
              </w:rPr>
              <w:t>（5）</w:t>
            </w:r>
            <w:r>
              <w:rPr>
                <w:b/>
                <w:bCs/>
                <w:color w:val="auto"/>
                <w:sz w:val="24"/>
                <w:lang w:eastAsia="zh-TW"/>
              </w:rPr>
              <w:t>加强对职工的安全教育</w:t>
            </w:r>
          </w:p>
          <w:p w14:paraId="11A4E685">
            <w:pPr>
              <w:adjustRightInd w:val="0"/>
              <w:snapToGrid w:val="0"/>
              <w:spacing w:line="360" w:lineRule="auto"/>
              <w:ind w:firstLine="480" w:firstLineChars="200"/>
              <w:jc w:val="left"/>
              <w:rPr>
                <w:color w:val="auto"/>
                <w:sz w:val="24"/>
                <w:lang w:eastAsia="zh-TW"/>
              </w:rPr>
            </w:pPr>
            <w:r>
              <w:rPr>
                <w:color w:val="auto"/>
                <w:sz w:val="24"/>
                <w:lang w:eastAsia="zh-TW"/>
              </w:rPr>
              <w:t>制定严格的工作守则和个人卫生措施，所有操作人员必须了解接触化学品的有害作用及对患者的急救措施，以保证生产的正常运行和员工的身体健康。</w:t>
            </w:r>
          </w:p>
          <w:p w14:paraId="7E2C3A47">
            <w:pPr>
              <w:adjustRightInd w:val="0"/>
              <w:snapToGrid w:val="0"/>
              <w:spacing w:line="360" w:lineRule="auto"/>
              <w:ind w:firstLine="482" w:firstLineChars="200"/>
              <w:jc w:val="left"/>
              <w:rPr>
                <w:b/>
                <w:bCs/>
                <w:color w:val="auto"/>
                <w:sz w:val="24"/>
                <w:lang w:eastAsia="zh-TW"/>
              </w:rPr>
            </w:pPr>
            <w:r>
              <w:rPr>
                <w:b/>
                <w:bCs/>
                <w:color w:val="auto"/>
                <w:sz w:val="24"/>
              </w:rPr>
              <w:t>（6）</w:t>
            </w:r>
            <w:r>
              <w:rPr>
                <w:b/>
                <w:bCs/>
                <w:color w:val="auto"/>
                <w:sz w:val="24"/>
                <w:lang w:eastAsia="zh-TW"/>
              </w:rPr>
              <w:t>事故发生时的行动计划</w:t>
            </w:r>
          </w:p>
          <w:p w14:paraId="01C4BE51">
            <w:pPr>
              <w:adjustRightInd w:val="0"/>
              <w:snapToGrid w:val="0"/>
              <w:spacing w:line="360" w:lineRule="auto"/>
              <w:ind w:firstLine="480" w:firstLineChars="200"/>
              <w:jc w:val="left"/>
              <w:rPr>
                <w:color w:val="auto"/>
                <w:sz w:val="24"/>
                <w:lang w:eastAsia="zh-TW"/>
              </w:rPr>
            </w:pPr>
            <w:r>
              <w:rPr>
                <w:color w:val="auto"/>
                <w:sz w:val="24"/>
                <w:lang w:eastAsia="zh-TW"/>
              </w:rPr>
              <w:t>应当制定一个当事故发生时的必须采取哪些行动的计划。这种行动计划应该得到地方紧急事故服务部门（例如消防、救护、交通以及公安等有关负责部门）的同意，并向他们提供有关有毒有害物质危害的资料，还需定期进行演习以检查行动计划的效果。</w:t>
            </w:r>
          </w:p>
          <w:p w14:paraId="73C5DB1A">
            <w:pPr>
              <w:adjustRightInd w:val="0"/>
              <w:snapToGrid w:val="0"/>
              <w:spacing w:line="360" w:lineRule="auto"/>
              <w:ind w:firstLine="480" w:firstLineChars="200"/>
              <w:jc w:val="left"/>
              <w:rPr>
                <w:color w:val="auto"/>
                <w:sz w:val="24"/>
                <w:lang w:eastAsia="zh-TW"/>
              </w:rPr>
            </w:pPr>
            <w:r>
              <w:rPr>
                <w:color w:val="auto"/>
                <w:sz w:val="24"/>
                <w:lang w:eastAsia="zh-TW"/>
              </w:rPr>
              <w:t>行动计划的内容应包括：</w:t>
            </w:r>
          </w:p>
          <w:p w14:paraId="08735EB3">
            <w:pPr>
              <w:adjustRightInd w:val="0"/>
              <w:snapToGrid w:val="0"/>
              <w:spacing w:line="360" w:lineRule="auto"/>
              <w:ind w:firstLine="480" w:firstLineChars="200"/>
              <w:jc w:val="left"/>
              <w:rPr>
                <w:color w:val="auto"/>
                <w:sz w:val="24"/>
                <w:lang w:eastAsia="zh-TW"/>
              </w:rPr>
            </w:pPr>
            <w:r>
              <w:rPr>
                <w:color w:val="auto"/>
                <w:sz w:val="24"/>
              </w:rPr>
              <w:t>1）</w:t>
            </w:r>
            <w:r>
              <w:rPr>
                <w:color w:val="auto"/>
                <w:sz w:val="24"/>
                <w:lang w:eastAsia="zh-TW"/>
              </w:rPr>
              <w:t>事故一发生就要立即对事故的级别，对厂内外职工和居民，对周围其他设备及邻近工厂的影响范围、影响的性质和程度等迅速作出估计和判断。</w:t>
            </w:r>
          </w:p>
          <w:p w14:paraId="4D04B2F2">
            <w:pPr>
              <w:adjustRightInd w:val="0"/>
              <w:snapToGrid w:val="0"/>
              <w:spacing w:line="360" w:lineRule="auto"/>
              <w:ind w:firstLine="480" w:firstLineChars="200"/>
              <w:jc w:val="left"/>
              <w:rPr>
                <w:color w:val="auto"/>
                <w:sz w:val="24"/>
                <w:lang w:eastAsia="zh-TW"/>
              </w:rPr>
            </w:pPr>
            <w:r>
              <w:rPr>
                <w:color w:val="auto"/>
                <w:sz w:val="24"/>
              </w:rPr>
              <w:t>2）</w:t>
            </w:r>
            <w:r>
              <w:rPr>
                <w:color w:val="auto"/>
                <w:sz w:val="24"/>
                <w:lang w:eastAsia="zh-TW"/>
              </w:rPr>
              <w:t>对控制事故和减缓影响所必须采取的行动，如发生火灾时，全厂紧急停工，及时报警，由消防队根据火灾的具体情况实施灭火方案，断绝火源，避免火灾扩大等。</w:t>
            </w:r>
          </w:p>
          <w:p w14:paraId="4851D76A">
            <w:pPr>
              <w:adjustRightInd w:val="0"/>
              <w:snapToGrid w:val="0"/>
              <w:spacing w:line="360" w:lineRule="auto"/>
              <w:ind w:firstLine="480" w:firstLineChars="200"/>
              <w:jc w:val="left"/>
              <w:rPr>
                <w:color w:val="auto"/>
                <w:sz w:val="24"/>
                <w:lang w:eastAsia="zh-TW"/>
              </w:rPr>
            </w:pPr>
            <w:r>
              <w:rPr>
                <w:color w:val="auto"/>
                <w:sz w:val="24"/>
              </w:rPr>
              <w:t>3）</w:t>
            </w:r>
            <w:r>
              <w:rPr>
                <w:color w:val="auto"/>
                <w:sz w:val="24"/>
                <w:lang w:eastAsia="zh-TW"/>
              </w:rPr>
              <w:t>对污染物向下风向的扩散不断进行监测。</w:t>
            </w:r>
          </w:p>
          <w:p w14:paraId="06C1CDC3">
            <w:pPr>
              <w:adjustRightInd w:val="0"/>
              <w:snapToGrid w:val="0"/>
              <w:spacing w:line="360" w:lineRule="auto"/>
              <w:ind w:firstLine="480" w:firstLineChars="200"/>
              <w:jc w:val="left"/>
              <w:rPr>
                <w:color w:val="auto"/>
                <w:sz w:val="24"/>
                <w:lang w:eastAsia="zh-TW"/>
              </w:rPr>
            </w:pPr>
            <w:r>
              <w:rPr>
                <w:color w:val="auto"/>
                <w:sz w:val="24"/>
              </w:rPr>
              <w:t>4）</w:t>
            </w:r>
            <w:r>
              <w:rPr>
                <w:color w:val="auto"/>
                <w:sz w:val="24"/>
                <w:lang w:eastAsia="zh-TW"/>
              </w:rPr>
              <w:t>保护厂内外职工和可能受影响的居民所采取的措施（例如疏散等）。</w:t>
            </w:r>
          </w:p>
          <w:p w14:paraId="53FF538F">
            <w:pPr>
              <w:adjustRightInd w:val="0"/>
              <w:snapToGrid w:val="0"/>
              <w:spacing w:line="360" w:lineRule="auto"/>
              <w:ind w:firstLine="480" w:firstLineChars="200"/>
              <w:jc w:val="left"/>
              <w:rPr>
                <w:color w:val="auto"/>
                <w:sz w:val="24"/>
                <w:lang w:eastAsia="zh-TW"/>
              </w:rPr>
            </w:pPr>
            <w:r>
              <w:rPr>
                <w:color w:val="auto"/>
                <w:sz w:val="24"/>
              </w:rPr>
              <w:t>5）</w:t>
            </w:r>
            <w:r>
              <w:rPr>
                <w:color w:val="auto"/>
                <w:sz w:val="24"/>
                <w:lang w:eastAsia="zh-TW"/>
              </w:rPr>
              <w:t>保护周围的设备和邻近的工厂所采取的措施。</w:t>
            </w:r>
          </w:p>
          <w:p w14:paraId="053564C0">
            <w:pPr>
              <w:adjustRightInd w:val="0"/>
              <w:snapToGrid w:val="0"/>
              <w:spacing w:line="360" w:lineRule="auto"/>
              <w:ind w:firstLine="482" w:firstLineChars="200"/>
              <w:jc w:val="left"/>
              <w:rPr>
                <w:b/>
                <w:bCs/>
                <w:color w:val="auto"/>
                <w:sz w:val="24"/>
              </w:rPr>
            </w:pPr>
            <w:r>
              <w:rPr>
                <w:rFonts w:hint="eastAsia" w:ascii="宋体" w:hAnsi="宋体" w:cs="宋体"/>
                <w:b/>
                <w:bCs/>
                <w:color w:val="auto"/>
                <w:sz w:val="24"/>
              </w:rPr>
              <w:t>（7）</w:t>
            </w:r>
            <w:r>
              <w:rPr>
                <w:rFonts w:hint="eastAsia"/>
                <w:b/>
                <w:bCs/>
                <w:color w:val="auto"/>
                <w:sz w:val="24"/>
              </w:rPr>
              <w:t>废水处理设施</w:t>
            </w:r>
            <w:r>
              <w:rPr>
                <w:b/>
                <w:bCs/>
                <w:color w:val="auto"/>
                <w:sz w:val="24"/>
              </w:rPr>
              <w:t>事故防范措施</w:t>
            </w:r>
          </w:p>
          <w:p w14:paraId="6C66DE62">
            <w:pPr>
              <w:adjustRightInd w:val="0"/>
              <w:snapToGrid w:val="0"/>
              <w:spacing w:line="360" w:lineRule="auto"/>
              <w:ind w:firstLine="480" w:firstLineChars="200"/>
              <w:jc w:val="left"/>
              <w:rPr>
                <w:color w:val="auto"/>
                <w:sz w:val="24"/>
              </w:rPr>
            </w:pPr>
            <w:r>
              <w:rPr>
                <w:color w:val="auto"/>
                <w:sz w:val="24"/>
              </w:rPr>
              <w:t>为防范项目自建</w:t>
            </w:r>
            <w:r>
              <w:rPr>
                <w:rFonts w:hint="eastAsia"/>
                <w:color w:val="auto"/>
                <w:sz w:val="24"/>
              </w:rPr>
              <w:t>废水处理设施</w:t>
            </w:r>
            <w:r>
              <w:rPr>
                <w:color w:val="auto"/>
                <w:sz w:val="24"/>
              </w:rPr>
              <w:t>发生事故排放，需采取以下防范措施：</w:t>
            </w:r>
          </w:p>
          <w:p w14:paraId="416E3E20">
            <w:pPr>
              <w:adjustRightInd w:val="0"/>
              <w:snapToGrid w:val="0"/>
              <w:spacing w:line="360" w:lineRule="auto"/>
              <w:ind w:firstLine="480" w:firstLineChars="200"/>
              <w:jc w:val="left"/>
              <w:rPr>
                <w:color w:val="auto"/>
                <w:sz w:val="24"/>
              </w:rPr>
            </w:pPr>
            <w:r>
              <w:rPr>
                <w:color w:val="auto"/>
                <w:sz w:val="24"/>
              </w:rPr>
              <w:t>A、自建废水站应配备专业人员现场值守，一旦发现回用水质或废水处理设备异常，应立即向厂长汇报，确实是否需要立即采取停产维修措施；</w:t>
            </w:r>
          </w:p>
          <w:p w14:paraId="3D523A73">
            <w:pPr>
              <w:adjustRightInd w:val="0"/>
              <w:snapToGrid w:val="0"/>
              <w:spacing w:line="360" w:lineRule="auto"/>
              <w:ind w:firstLine="480" w:firstLineChars="200"/>
              <w:jc w:val="left"/>
              <w:rPr>
                <w:color w:val="auto"/>
                <w:sz w:val="24"/>
              </w:rPr>
            </w:pPr>
            <w:r>
              <w:rPr>
                <w:color w:val="auto"/>
                <w:sz w:val="24"/>
              </w:rPr>
              <w:t>B、在自建</w:t>
            </w:r>
            <w:r>
              <w:rPr>
                <w:rFonts w:hint="eastAsia"/>
                <w:color w:val="auto"/>
                <w:sz w:val="24"/>
              </w:rPr>
              <w:t>废水处理设施</w:t>
            </w:r>
            <w:r>
              <w:rPr>
                <w:color w:val="auto"/>
                <w:sz w:val="24"/>
              </w:rPr>
              <w:t>工作期间，应派人定时巡逻和检查，以便及时发现故障；</w:t>
            </w:r>
          </w:p>
          <w:p w14:paraId="16992C0A">
            <w:pPr>
              <w:adjustRightInd w:val="0"/>
              <w:snapToGrid w:val="0"/>
              <w:spacing w:line="360" w:lineRule="auto"/>
              <w:ind w:firstLine="480" w:firstLineChars="200"/>
              <w:jc w:val="left"/>
              <w:rPr>
                <w:color w:val="auto"/>
                <w:sz w:val="24"/>
              </w:rPr>
            </w:pPr>
            <w:r>
              <w:rPr>
                <w:color w:val="auto"/>
                <w:sz w:val="24"/>
              </w:rPr>
              <w:t>C、加强运行管理和进出水的监测工作，防止废水溢流；</w:t>
            </w:r>
          </w:p>
          <w:p w14:paraId="0D3B4272">
            <w:pPr>
              <w:adjustRightInd w:val="0"/>
              <w:snapToGrid w:val="0"/>
              <w:spacing w:line="360" w:lineRule="auto"/>
              <w:ind w:firstLine="480" w:firstLineChars="200"/>
              <w:jc w:val="left"/>
              <w:rPr>
                <w:color w:val="auto"/>
                <w:sz w:val="24"/>
              </w:rPr>
            </w:pPr>
            <w:r>
              <w:rPr>
                <w:color w:val="auto"/>
                <w:sz w:val="24"/>
              </w:rPr>
              <w:t>D、事故发生的第一时间，由专人负责关闭公司的雨水总排放口和开启应急阀门，让事故废水沿着应急管网引导至事故应急池（建设单位应编制厂区突发环境事件应急预案）。</w:t>
            </w:r>
          </w:p>
          <w:p w14:paraId="3570B57B">
            <w:pPr>
              <w:adjustRightInd w:val="0"/>
              <w:snapToGrid w:val="0"/>
              <w:spacing w:line="360" w:lineRule="auto"/>
              <w:ind w:firstLine="480"/>
              <w:jc w:val="left"/>
              <w:rPr>
                <w:b/>
                <w:bCs/>
                <w:color w:val="auto"/>
                <w:sz w:val="24"/>
              </w:rPr>
            </w:pPr>
            <w:r>
              <w:rPr>
                <w:rFonts w:hint="eastAsia"/>
                <w:b/>
                <w:bCs/>
                <w:color w:val="auto"/>
                <w:sz w:val="24"/>
              </w:rPr>
              <w:t>（8）</w:t>
            </w:r>
            <w:r>
              <w:rPr>
                <w:b/>
                <w:bCs/>
                <w:color w:val="auto"/>
                <w:sz w:val="24"/>
              </w:rPr>
              <w:t>建立“三级”防控体系</w:t>
            </w:r>
          </w:p>
          <w:p w14:paraId="3FEEEDA6">
            <w:pPr>
              <w:adjustRightInd w:val="0"/>
              <w:snapToGrid w:val="0"/>
              <w:spacing w:line="360" w:lineRule="auto"/>
              <w:ind w:firstLine="480"/>
              <w:rPr>
                <w:color w:val="auto"/>
                <w:sz w:val="24"/>
              </w:rPr>
            </w:pPr>
            <w:r>
              <w:rPr>
                <w:rFonts w:hint="eastAsia"/>
                <w:b/>
                <w:bCs/>
                <w:color w:val="auto"/>
                <w:kern w:val="0"/>
                <w:sz w:val="24"/>
                <w:lang w:bidi="ar"/>
              </w:rPr>
              <w:t>1）一级防控</w:t>
            </w:r>
            <w:r>
              <w:rPr>
                <w:b/>
                <w:bCs/>
                <w:color w:val="auto"/>
                <w:sz w:val="24"/>
              </w:rPr>
              <w:t>（生产车间防控）</w:t>
            </w:r>
          </w:p>
          <w:p w14:paraId="4C1FDB76">
            <w:pPr>
              <w:spacing w:line="360" w:lineRule="auto"/>
              <w:ind w:firstLine="480" w:firstLineChars="200"/>
              <w:rPr>
                <w:b/>
                <w:bCs/>
                <w:color w:val="auto"/>
                <w:kern w:val="0"/>
                <w:sz w:val="24"/>
                <w:lang w:bidi="ar"/>
              </w:rPr>
            </w:pPr>
            <w:r>
              <w:rPr>
                <w:color w:val="auto"/>
                <w:sz w:val="24"/>
              </w:rPr>
              <w:t>一级防控体系设置墁坡</w:t>
            </w:r>
            <w:r>
              <w:rPr>
                <w:rFonts w:hint="eastAsia"/>
                <w:color w:val="auto"/>
                <w:sz w:val="24"/>
              </w:rPr>
              <w:t>、围堰和导流沟</w:t>
            </w:r>
            <w:r>
              <w:rPr>
                <w:color w:val="auto"/>
                <w:sz w:val="24"/>
              </w:rPr>
              <w:t>，将泄漏控制在各个生产车间、仓库，</w:t>
            </w:r>
            <w:r>
              <w:rPr>
                <w:rFonts w:hint="eastAsia"/>
                <w:color w:val="auto"/>
                <w:sz w:val="24"/>
              </w:rPr>
              <w:t>涉水车间如</w:t>
            </w:r>
            <w:r>
              <w:rPr>
                <w:rFonts w:hint="eastAsia"/>
                <w:color w:val="auto"/>
                <w:kern w:val="0"/>
                <w:sz w:val="24"/>
                <w:lang w:bidi="ar"/>
              </w:rPr>
              <w:t>6楼废水处理设施、前处理线区域设置导流沟</w:t>
            </w:r>
            <w:r>
              <w:rPr>
                <w:color w:val="auto"/>
                <w:sz w:val="24"/>
              </w:rPr>
              <w:t>，</w:t>
            </w:r>
            <w:r>
              <w:rPr>
                <w:rFonts w:hint="eastAsia"/>
                <w:color w:val="auto"/>
                <w:kern w:val="0"/>
                <w:sz w:val="24"/>
                <w:lang w:bidi="ar"/>
              </w:rPr>
              <w:t>导流沟</w:t>
            </w:r>
            <w:r>
              <w:rPr>
                <w:rFonts w:hint="eastAsia"/>
                <w:color w:val="auto"/>
                <w:sz w:val="24"/>
              </w:rPr>
              <w:t>与废水处理设施收集池联通，</w:t>
            </w:r>
            <w:r>
              <w:rPr>
                <w:color w:val="auto"/>
                <w:sz w:val="24"/>
              </w:rPr>
              <w:t>确保发生事故时车间废水能引入</w:t>
            </w:r>
            <w:r>
              <w:rPr>
                <w:rFonts w:hint="eastAsia"/>
                <w:color w:val="auto"/>
                <w:sz w:val="24"/>
              </w:rPr>
              <w:t>废水处理设施收集池</w:t>
            </w:r>
            <w:r>
              <w:rPr>
                <w:color w:val="auto"/>
                <w:sz w:val="24"/>
              </w:rPr>
              <w:t>，不影响其它车间。</w:t>
            </w:r>
          </w:p>
          <w:p w14:paraId="7D3315C1">
            <w:pPr>
              <w:adjustRightInd w:val="0"/>
              <w:snapToGrid w:val="0"/>
              <w:spacing w:line="360" w:lineRule="auto"/>
              <w:ind w:firstLine="480"/>
              <w:rPr>
                <w:color w:val="auto"/>
                <w:sz w:val="24"/>
              </w:rPr>
            </w:pPr>
            <w:r>
              <w:rPr>
                <w:b/>
                <w:bCs/>
                <w:color w:val="auto"/>
                <w:sz w:val="24"/>
              </w:rPr>
              <w:t>2）二级防控（厂区防控）</w:t>
            </w:r>
          </w:p>
          <w:p w14:paraId="2BD68FCA">
            <w:pPr>
              <w:adjustRightInd w:val="0"/>
              <w:snapToGrid w:val="0"/>
              <w:spacing w:line="360" w:lineRule="auto"/>
              <w:ind w:firstLine="480"/>
              <w:rPr>
                <w:color w:val="auto"/>
                <w:sz w:val="24"/>
              </w:rPr>
            </w:pPr>
            <w:r>
              <w:rPr>
                <w:color w:val="auto"/>
                <w:sz w:val="24"/>
              </w:rPr>
              <w:t>二级防控体系</w:t>
            </w:r>
            <w:r>
              <w:rPr>
                <w:rFonts w:hint="eastAsia"/>
                <w:color w:val="auto"/>
                <w:sz w:val="24"/>
              </w:rPr>
              <w:t>应</w:t>
            </w:r>
            <w:r>
              <w:rPr>
                <w:color w:val="auto"/>
                <w:sz w:val="24"/>
              </w:rPr>
              <w:t>预防事故废水经</w:t>
            </w:r>
            <w:r>
              <w:rPr>
                <w:rFonts w:hint="eastAsia"/>
                <w:color w:val="auto"/>
                <w:sz w:val="24"/>
              </w:rPr>
              <w:t>厂区</w:t>
            </w:r>
            <w:r>
              <w:rPr>
                <w:color w:val="auto"/>
                <w:sz w:val="24"/>
              </w:rPr>
              <w:t>漫流进入厂界外，</w:t>
            </w:r>
            <w:r>
              <w:rPr>
                <w:rFonts w:hint="eastAsia"/>
                <w:color w:val="auto"/>
                <w:sz w:val="24"/>
              </w:rPr>
              <w:t>通过在各楼层进出口设置挡水板和配备消防沙袋，</w:t>
            </w:r>
            <w:r>
              <w:rPr>
                <w:color w:val="auto"/>
                <w:sz w:val="24"/>
              </w:rPr>
              <w:t>一旦发生事故，立即</w:t>
            </w:r>
            <w:r>
              <w:rPr>
                <w:rFonts w:hint="eastAsia"/>
                <w:color w:val="auto"/>
                <w:sz w:val="24"/>
              </w:rPr>
              <w:t>打开挡水板并</w:t>
            </w:r>
            <w:r>
              <w:rPr>
                <w:color w:val="auto"/>
                <w:sz w:val="24"/>
              </w:rPr>
              <w:t>用沙袋封堵出入口，将事故废水截留在厂区内。</w:t>
            </w:r>
          </w:p>
          <w:p w14:paraId="615709D4">
            <w:pPr>
              <w:adjustRightInd w:val="0"/>
              <w:snapToGrid w:val="0"/>
              <w:spacing w:line="360" w:lineRule="auto"/>
              <w:ind w:firstLine="480"/>
              <w:rPr>
                <w:color w:val="auto"/>
                <w:sz w:val="24"/>
              </w:rPr>
            </w:pPr>
            <w:r>
              <w:rPr>
                <w:rFonts w:hint="eastAsia"/>
                <w:b/>
                <w:bCs/>
                <w:color w:val="auto"/>
                <w:kern w:val="0"/>
                <w:sz w:val="24"/>
                <w:lang w:bidi="ar"/>
              </w:rPr>
              <w:t>3）三级防控</w:t>
            </w:r>
            <w:r>
              <w:rPr>
                <w:b/>
                <w:bCs/>
                <w:color w:val="auto"/>
                <w:sz w:val="24"/>
              </w:rPr>
              <w:t>（</w:t>
            </w:r>
            <w:r>
              <w:rPr>
                <w:rFonts w:hint="eastAsia"/>
                <w:b/>
                <w:bCs/>
                <w:color w:val="auto"/>
                <w:sz w:val="24"/>
              </w:rPr>
              <w:t>园区</w:t>
            </w:r>
            <w:r>
              <w:rPr>
                <w:b/>
                <w:bCs/>
                <w:color w:val="auto"/>
                <w:sz w:val="24"/>
              </w:rPr>
              <w:t>防控）</w:t>
            </w:r>
          </w:p>
          <w:p w14:paraId="6320F4DD">
            <w:pPr>
              <w:spacing w:line="360" w:lineRule="auto"/>
              <w:ind w:firstLine="480" w:firstLineChars="200"/>
              <w:rPr>
                <w:color w:val="auto"/>
                <w:sz w:val="24"/>
              </w:rPr>
            </w:pPr>
            <w:r>
              <w:rPr>
                <w:rFonts w:hint="eastAsia"/>
                <w:color w:val="auto"/>
                <w:sz w:val="24"/>
              </w:rPr>
              <w:t>三级防控体系</w:t>
            </w:r>
            <w:r>
              <w:rPr>
                <w:color w:val="auto"/>
                <w:sz w:val="24"/>
              </w:rPr>
              <w:t>必须建设应急事故水池及其配套设施，防止</w:t>
            </w:r>
            <w:r>
              <w:rPr>
                <w:rFonts w:hint="eastAsia"/>
                <w:color w:val="auto"/>
                <w:sz w:val="24"/>
              </w:rPr>
              <w:t>事故废水和</w:t>
            </w:r>
            <w:r>
              <w:rPr>
                <w:color w:val="auto"/>
                <w:sz w:val="24"/>
              </w:rPr>
              <w:t>消防废水造成的环境污染</w:t>
            </w:r>
            <w:r>
              <w:rPr>
                <w:rFonts w:hint="eastAsia"/>
                <w:color w:val="auto"/>
                <w:sz w:val="24"/>
              </w:rPr>
              <w:t>，</w:t>
            </w:r>
            <w:r>
              <w:rPr>
                <w:color w:val="auto"/>
                <w:sz w:val="24"/>
              </w:rPr>
              <w:t>事故应急池容积核算</w:t>
            </w:r>
            <w:r>
              <w:rPr>
                <w:rFonts w:hint="eastAsia"/>
                <w:color w:val="auto"/>
                <w:sz w:val="24"/>
              </w:rPr>
              <w:t>如下</w:t>
            </w:r>
            <w:r>
              <w:rPr>
                <w:color w:val="auto"/>
                <w:sz w:val="24"/>
              </w:rPr>
              <w:t>：</w:t>
            </w:r>
          </w:p>
          <w:p w14:paraId="025E9CE1">
            <w:pPr>
              <w:spacing w:line="360" w:lineRule="auto"/>
              <w:ind w:firstLine="480" w:firstLineChars="200"/>
              <w:rPr>
                <w:color w:val="auto"/>
                <w:sz w:val="24"/>
              </w:rPr>
            </w:pPr>
            <w:r>
              <w:rPr>
                <w:color w:val="auto"/>
                <w:sz w:val="24"/>
              </w:rPr>
              <w:t>根据《水体污染物防控紧急措施设计导则》的规定，事故应急池具体计算公式如下：</w:t>
            </w:r>
          </w:p>
          <w:p w14:paraId="02B50802">
            <w:pPr>
              <w:spacing w:line="360" w:lineRule="auto"/>
              <w:jc w:val="center"/>
              <w:rPr>
                <w:color w:val="auto"/>
                <w:sz w:val="24"/>
              </w:rPr>
            </w:pPr>
            <w:r>
              <w:rPr>
                <w:color w:val="auto"/>
                <w:sz w:val="24"/>
              </w:rPr>
              <w:t>V总=（V</w:t>
            </w:r>
            <w:r>
              <w:rPr>
                <w:color w:val="auto"/>
                <w:sz w:val="24"/>
                <w:vertAlign w:val="subscript"/>
              </w:rPr>
              <w:t>1</w:t>
            </w:r>
            <w:r>
              <w:rPr>
                <w:color w:val="auto"/>
                <w:sz w:val="24"/>
              </w:rPr>
              <w:t>+V</w:t>
            </w:r>
            <w:r>
              <w:rPr>
                <w:color w:val="auto"/>
                <w:sz w:val="24"/>
                <w:vertAlign w:val="subscript"/>
              </w:rPr>
              <w:t>2</w:t>
            </w:r>
            <w:r>
              <w:rPr>
                <w:color w:val="auto"/>
                <w:sz w:val="24"/>
              </w:rPr>
              <w:t>－V</w:t>
            </w:r>
            <w:r>
              <w:rPr>
                <w:color w:val="auto"/>
                <w:sz w:val="24"/>
                <w:vertAlign w:val="subscript"/>
              </w:rPr>
              <w:t>3</w:t>
            </w:r>
            <w:r>
              <w:rPr>
                <w:color w:val="auto"/>
                <w:sz w:val="24"/>
              </w:rPr>
              <w:t>）max+V</w:t>
            </w:r>
            <w:r>
              <w:rPr>
                <w:color w:val="auto"/>
                <w:sz w:val="24"/>
                <w:vertAlign w:val="subscript"/>
              </w:rPr>
              <w:t>4</w:t>
            </w:r>
            <w:r>
              <w:rPr>
                <w:color w:val="auto"/>
                <w:sz w:val="24"/>
              </w:rPr>
              <w:t>+V</w:t>
            </w:r>
            <w:r>
              <w:rPr>
                <w:color w:val="auto"/>
                <w:sz w:val="24"/>
                <w:vertAlign w:val="subscript"/>
              </w:rPr>
              <w:t>5</w:t>
            </w:r>
          </w:p>
          <w:p w14:paraId="7600E4E8">
            <w:pPr>
              <w:spacing w:line="360" w:lineRule="auto"/>
              <w:ind w:firstLine="480" w:firstLineChars="200"/>
              <w:rPr>
                <w:color w:val="auto"/>
                <w:sz w:val="24"/>
              </w:rPr>
            </w:pPr>
            <w:r>
              <w:rPr>
                <w:color w:val="auto"/>
                <w:sz w:val="24"/>
              </w:rPr>
              <w:t>式中：（V</w:t>
            </w:r>
            <w:r>
              <w:rPr>
                <w:color w:val="auto"/>
                <w:sz w:val="24"/>
                <w:vertAlign w:val="subscript"/>
              </w:rPr>
              <w:t>1</w:t>
            </w:r>
            <w:r>
              <w:rPr>
                <w:color w:val="auto"/>
                <w:sz w:val="24"/>
              </w:rPr>
              <w:t>+V</w:t>
            </w:r>
            <w:r>
              <w:rPr>
                <w:color w:val="auto"/>
                <w:sz w:val="24"/>
                <w:vertAlign w:val="subscript"/>
              </w:rPr>
              <w:t>2</w:t>
            </w:r>
            <w:r>
              <w:rPr>
                <w:color w:val="auto"/>
                <w:sz w:val="24"/>
              </w:rPr>
              <w:t>－V</w:t>
            </w:r>
            <w:r>
              <w:rPr>
                <w:color w:val="auto"/>
                <w:sz w:val="24"/>
                <w:vertAlign w:val="subscript"/>
              </w:rPr>
              <w:t>3</w:t>
            </w:r>
            <w:r>
              <w:rPr>
                <w:color w:val="auto"/>
                <w:sz w:val="24"/>
              </w:rPr>
              <w:t>)max是指对收集系统内不同罐组或装置分别计算V</w:t>
            </w:r>
            <w:r>
              <w:rPr>
                <w:color w:val="auto"/>
                <w:sz w:val="24"/>
                <w:vertAlign w:val="subscript"/>
              </w:rPr>
              <w:t>1</w:t>
            </w:r>
            <w:r>
              <w:rPr>
                <w:color w:val="auto"/>
                <w:sz w:val="24"/>
              </w:rPr>
              <w:t>+V</w:t>
            </w:r>
            <w:r>
              <w:rPr>
                <w:color w:val="auto"/>
                <w:sz w:val="24"/>
                <w:vertAlign w:val="subscript"/>
              </w:rPr>
              <w:t>2</w:t>
            </w:r>
            <w:r>
              <w:rPr>
                <w:color w:val="auto"/>
                <w:sz w:val="24"/>
              </w:rPr>
              <w:t>-V</w:t>
            </w:r>
            <w:r>
              <w:rPr>
                <w:color w:val="auto"/>
                <w:sz w:val="24"/>
                <w:vertAlign w:val="subscript"/>
              </w:rPr>
              <w:t>3</w:t>
            </w:r>
            <w:r>
              <w:rPr>
                <w:color w:val="auto"/>
                <w:sz w:val="24"/>
              </w:rPr>
              <w:t>，取其中最大值（m</w:t>
            </w:r>
            <w:r>
              <w:rPr>
                <w:color w:val="auto"/>
                <w:sz w:val="24"/>
                <w:vertAlign w:val="superscript"/>
              </w:rPr>
              <w:t>3</w:t>
            </w:r>
            <w:r>
              <w:rPr>
                <w:color w:val="auto"/>
                <w:sz w:val="24"/>
              </w:rPr>
              <w:t>）。</w:t>
            </w:r>
          </w:p>
          <w:p w14:paraId="1B5A8141">
            <w:pPr>
              <w:spacing w:line="360" w:lineRule="auto"/>
              <w:ind w:firstLine="480" w:firstLineChars="200"/>
              <w:rPr>
                <w:color w:val="auto"/>
                <w:sz w:val="24"/>
              </w:rPr>
            </w:pPr>
            <w:r>
              <w:rPr>
                <w:color w:val="auto"/>
                <w:sz w:val="24"/>
              </w:rPr>
              <w:t>A、V</w:t>
            </w:r>
            <w:r>
              <w:rPr>
                <w:color w:val="auto"/>
                <w:sz w:val="24"/>
                <w:vertAlign w:val="subscript"/>
              </w:rPr>
              <w:t>1</w:t>
            </w:r>
            <w:r>
              <w:rPr>
                <w:color w:val="auto"/>
                <w:sz w:val="24"/>
              </w:rPr>
              <w:t>的计算</w:t>
            </w:r>
          </w:p>
          <w:p w14:paraId="7A1D58E0">
            <w:pPr>
              <w:spacing w:line="360" w:lineRule="auto"/>
              <w:ind w:firstLine="480" w:firstLineChars="200"/>
              <w:rPr>
                <w:color w:val="auto"/>
                <w:sz w:val="24"/>
              </w:rPr>
            </w:pPr>
            <w:r>
              <w:rPr>
                <w:color w:val="auto"/>
                <w:sz w:val="24"/>
              </w:rPr>
              <w:t>V</w:t>
            </w:r>
            <w:r>
              <w:rPr>
                <w:color w:val="auto"/>
                <w:sz w:val="24"/>
                <w:vertAlign w:val="subscript"/>
              </w:rPr>
              <w:t>1</w:t>
            </w:r>
            <w:r>
              <w:rPr>
                <w:color w:val="auto"/>
                <w:sz w:val="24"/>
              </w:rPr>
              <w:t>——收集系统范围内发生事故的一个罐或一个装置的液体物料，储存相同的物料储桶按一个最大储罐计算（单位：m</w:t>
            </w:r>
            <w:r>
              <w:rPr>
                <w:color w:val="auto"/>
                <w:sz w:val="24"/>
                <w:vertAlign w:val="superscript"/>
              </w:rPr>
              <w:t>3</w:t>
            </w:r>
            <w:r>
              <w:rPr>
                <w:color w:val="auto"/>
                <w:sz w:val="24"/>
              </w:rPr>
              <w:t>），本报告取</w:t>
            </w:r>
            <w:r>
              <w:rPr>
                <w:rFonts w:hint="eastAsia"/>
                <w:color w:val="auto"/>
                <w:sz w:val="24"/>
              </w:rPr>
              <w:t>前处理线的1个槽</w:t>
            </w:r>
            <w:r>
              <w:rPr>
                <w:color w:val="auto"/>
                <w:sz w:val="24"/>
              </w:rPr>
              <w:t>最大储存量，即V</w:t>
            </w:r>
            <w:r>
              <w:rPr>
                <w:color w:val="auto"/>
                <w:sz w:val="24"/>
                <w:vertAlign w:val="subscript"/>
              </w:rPr>
              <w:t>1</w:t>
            </w:r>
            <w:r>
              <w:rPr>
                <w:color w:val="auto"/>
                <w:sz w:val="24"/>
              </w:rPr>
              <w:t>=</w:t>
            </w:r>
            <w:r>
              <w:rPr>
                <w:rFonts w:hint="eastAsia"/>
                <w:color w:val="auto"/>
                <w:sz w:val="24"/>
              </w:rPr>
              <w:t>4</w:t>
            </w:r>
            <w:r>
              <w:rPr>
                <w:color w:val="auto"/>
                <w:sz w:val="24"/>
              </w:rPr>
              <w:t>m</w:t>
            </w:r>
            <w:r>
              <w:rPr>
                <w:color w:val="auto"/>
                <w:sz w:val="24"/>
                <w:vertAlign w:val="superscript"/>
              </w:rPr>
              <w:t>3</w:t>
            </w:r>
            <w:r>
              <w:rPr>
                <w:color w:val="auto"/>
                <w:sz w:val="24"/>
              </w:rPr>
              <w:t>；</w:t>
            </w:r>
          </w:p>
          <w:p w14:paraId="52E78767">
            <w:pPr>
              <w:spacing w:line="360" w:lineRule="auto"/>
              <w:ind w:firstLine="480" w:firstLineChars="200"/>
              <w:rPr>
                <w:color w:val="auto"/>
                <w:sz w:val="24"/>
              </w:rPr>
            </w:pPr>
            <w:r>
              <w:rPr>
                <w:color w:val="auto"/>
                <w:sz w:val="24"/>
              </w:rPr>
              <w:t>B、V</w:t>
            </w:r>
            <w:r>
              <w:rPr>
                <w:color w:val="auto"/>
                <w:sz w:val="24"/>
                <w:vertAlign w:val="subscript"/>
              </w:rPr>
              <w:t>2</w:t>
            </w:r>
            <w:r>
              <w:rPr>
                <w:color w:val="auto"/>
                <w:sz w:val="24"/>
              </w:rPr>
              <w:t>的计算</w:t>
            </w:r>
          </w:p>
          <w:p w14:paraId="17426857">
            <w:pPr>
              <w:spacing w:line="360" w:lineRule="auto"/>
              <w:ind w:firstLine="480" w:firstLineChars="200"/>
              <w:rPr>
                <w:color w:val="auto"/>
                <w:sz w:val="24"/>
              </w:rPr>
            </w:pPr>
            <w:r>
              <w:rPr>
                <w:color w:val="auto"/>
                <w:sz w:val="24"/>
              </w:rPr>
              <w:t>V</w:t>
            </w:r>
            <w:r>
              <w:rPr>
                <w:color w:val="auto"/>
                <w:sz w:val="24"/>
                <w:vertAlign w:val="subscript"/>
              </w:rPr>
              <w:t>2</w:t>
            </w:r>
            <w:r>
              <w:rPr>
                <w:color w:val="auto"/>
                <w:sz w:val="24"/>
              </w:rPr>
              <w:t>——发生事故时的储罐或装置的消防水量（m</w:t>
            </w:r>
            <w:r>
              <w:rPr>
                <w:color w:val="auto"/>
                <w:sz w:val="24"/>
                <w:vertAlign w:val="superscript"/>
              </w:rPr>
              <w:t>3</w:t>
            </w:r>
            <w:r>
              <w:rPr>
                <w:color w:val="auto"/>
                <w:sz w:val="24"/>
              </w:rPr>
              <w:t>）；</w:t>
            </w:r>
          </w:p>
          <w:p w14:paraId="69A996FD">
            <w:pPr>
              <w:spacing w:line="360" w:lineRule="auto"/>
              <w:ind w:firstLine="480" w:firstLineChars="200"/>
              <w:rPr>
                <w:color w:val="auto"/>
              </w:rPr>
            </w:pPr>
            <w:r>
              <w:rPr>
                <w:color w:val="auto"/>
                <w:sz w:val="24"/>
              </w:rPr>
              <w:t>根据《建筑设计防火规范》（GB50016-2014）及《消防给水及消火栓系统技术规范》（GB50974-2014），消防给水一起火灾灭火用水量应按需要同时作用的室内、外消防给水用水量之和计算，两栋或两座及以上建筑合用时，按设计流量最大者确定，因此项目消防用水按照45L/s计（室外25L/s，室内20L/s），灭火时间以</w:t>
            </w:r>
            <w:r>
              <w:rPr>
                <w:rFonts w:hint="eastAsia"/>
                <w:color w:val="auto"/>
                <w:sz w:val="24"/>
              </w:rPr>
              <w:t>2</w:t>
            </w:r>
            <w:r>
              <w:rPr>
                <w:color w:val="auto"/>
                <w:sz w:val="24"/>
              </w:rPr>
              <w:t>.0h计，即消防水量为</w:t>
            </w:r>
            <w:r>
              <w:rPr>
                <w:rFonts w:hint="eastAsia"/>
                <w:color w:val="auto"/>
                <w:sz w:val="24"/>
              </w:rPr>
              <w:t>324</w:t>
            </w:r>
            <w:r>
              <w:rPr>
                <w:color w:val="auto"/>
                <w:sz w:val="24"/>
              </w:rPr>
              <w:t>m</w:t>
            </w:r>
            <w:r>
              <w:rPr>
                <w:color w:val="auto"/>
                <w:sz w:val="24"/>
                <w:vertAlign w:val="superscript"/>
              </w:rPr>
              <w:t>3</w:t>
            </w:r>
            <w:r>
              <w:rPr>
                <w:color w:val="auto"/>
              </w:rPr>
              <w:t>。</w:t>
            </w:r>
          </w:p>
          <w:p w14:paraId="2A124965">
            <w:pPr>
              <w:spacing w:line="360" w:lineRule="auto"/>
              <w:ind w:firstLine="482" w:firstLineChars="200"/>
              <w:rPr>
                <w:b/>
                <w:bCs/>
                <w:color w:val="auto"/>
                <w:sz w:val="24"/>
              </w:rPr>
            </w:pPr>
            <w:r>
              <w:rPr>
                <w:b/>
                <w:bCs/>
                <w:color w:val="auto"/>
                <w:sz w:val="24"/>
              </w:rPr>
              <w:t>C、V</w:t>
            </w:r>
            <w:r>
              <w:rPr>
                <w:b/>
                <w:bCs/>
                <w:color w:val="auto"/>
                <w:sz w:val="24"/>
                <w:vertAlign w:val="subscript"/>
              </w:rPr>
              <w:t>3</w:t>
            </w:r>
            <w:r>
              <w:rPr>
                <w:b/>
                <w:bCs/>
                <w:color w:val="auto"/>
                <w:sz w:val="24"/>
              </w:rPr>
              <w:t>的计算</w:t>
            </w:r>
          </w:p>
          <w:p w14:paraId="1A96673C">
            <w:pPr>
              <w:spacing w:line="360" w:lineRule="auto"/>
              <w:ind w:firstLine="480" w:firstLineChars="200"/>
              <w:rPr>
                <w:color w:val="auto"/>
                <w:sz w:val="24"/>
              </w:rPr>
            </w:pPr>
            <w:r>
              <w:rPr>
                <w:color w:val="auto"/>
                <w:sz w:val="24"/>
              </w:rPr>
              <w:t>V</w:t>
            </w:r>
            <w:r>
              <w:rPr>
                <w:color w:val="auto"/>
                <w:sz w:val="24"/>
                <w:vertAlign w:val="subscript"/>
              </w:rPr>
              <w:t>3</w:t>
            </w:r>
            <w:r>
              <w:rPr>
                <w:color w:val="auto"/>
                <w:sz w:val="24"/>
              </w:rPr>
              <w:t>——发生事故时可以转移到其它储存或处理设施的物料量，m</w:t>
            </w:r>
            <w:r>
              <w:rPr>
                <w:color w:val="auto"/>
                <w:sz w:val="24"/>
                <w:vertAlign w:val="superscript"/>
              </w:rPr>
              <w:t>3</w:t>
            </w:r>
            <w:r>
              <w:rPr>
                <w:color w:val="auto"/>
                <w:sz w:val="24"/>
              </w:rPr>
              <w:t>；</w:t>
            </w:r>
          </w:p>
          <w:p w14:paraId="17031D79">
            <w:pPr>
              <w:pStyle w:val="43"/>
              <w:rPr>
                <w:color w:val="auto"/>
              </w:rPr>
            </w:pPr>
            <w:r>
              <w:rPr>
                <w:color w:val="auto"/>
                <w:szCs w:val="24"/>
              </w:rPr>
              <w:t>本项目雨水系统管道可收集的一定量的室外消防废水，本项目雨水管道总长度约</w:t>
            </w:r>
            <w:r>
              <w:rPr>
                <w:rFonts w:hint="eastAsia"/>
                <w:color w:val="auto"/>
                <w:szCs w:val="24"/>
              </w:rPr>
              <w:t>5</w:t>
            </w:r>
            <w:r>
              <w:rPr>
                <w:color w:val="auto"/>
                <w:szCs w:val="24"/>
              </w:rPr>
              <w:t>50米，雨水管管径0.4米，则本项目雨水管道容量为</w:t>
            </w:r>
            <w:r>
              <w:rPr>
                <w:rFonts w:hint="eastAsia"/>
                <w:bCs/>
                <w:color w:val="auto"/>
                <w:szCs w:val="24"/>
                <w:lang w:bidi="ar"/>
              </w:rPr>
              <w:t>69.12</w:t>
            </w:r>
            <w:r>
              <w:rPr>
                <w:color w:val="auto"/>
                <w:szCs w:val="24"/>
              </w:rPr>
              <w:t>m</w:t>
            </w:r>
            <w:r>
              <w:rPr>
                <w:color w:val="auto"/>
                <w:szCs w:val="24"/>
                <w:vertAlign w:val="superscript"/>
              </w:rPr>
              <w:t>3</w:t>
            </w:r>
            <w:r>
              <w:rPr>
                <w:color w:val="auto"/>
                <w:szCs w:val="24"/>
              </w:rPr>
              <w:t>，即</w:t>
            </w:r>
            <w:r>
              <w:rPr>
                <w:bCs/>
                <w:color w:val="auto"/>
                <w:szCs w:val="24"/>
                <w:lang w:bidi="ar"/>
              </w:rPr>
              <w:t>V</w:t>
            </w:r>
            <w:r>
              <w:rPr>
                <w:bCs/>
                <w:color w:val="auto"/>
                <w:szCs w:val="24"/>
                <w:vertAlign w:val="subscript"/>
                <w:lang w:bidi="ar"/>
              </w:rPr>
              <w:t>3</w:t>
            </w:r>
            <w:r>
              <w:rPr>
                <w:bCs/>
                <w:color w:val="auto"/>
                <w:szCs w:val="24"/>
                <w:lang w:bidi="ar"/>
              </w:rPr>
              <w:t>为</w:t>
            </w:r>
            <w:r>
              <w:rPr>
                <w:rFonts w:hint="eastAsia"/>
                <w:bCs/>
                <w:color w:val="auto"/>
                <w:szCs w:val="24"/>
                <w:lang w:bidi="ar"/>
              </w:rPr>
              <w:t>69.12</w:t>
            </w:r>
            <w:r>
              <w:rPr>
                <w:color w:val="auto"/>
                <w:szCs w:val="24"/>
              </w:rPr>
              <w:t>m</w:t>
            </w:r>
            <w:r>
              <w:rPr>
                <w:color w:val="auto"/>
                <w:szCs w:val="24"/>
                <w:vertAlign w:val="superscript"/>
              </w:rPr>
              <w:t>3</w:t>
            </w:r>
            <w:r>
              <w:rPr>
                <w:color w:val="auto"/>
              </w:rPr>
              <w:t>。</w:t>
            </w:r>
          </w:p>
          <w:p w14:paraId="6D8E7908">
            <w:pPr>
              <w:spacing w:line="360" w:lineRule="auto"/>
              <w:ind w:firstLine="482" w:firstLineChars="200"/>
              <w:rPr>
                <w:b/>
                <w:bCs/>
                <w:color w:val="auto"/>
                <w:sz w:val="24"/>
              </w:rPr>
            </w:pPr>
            <w:r>
              <w:rPr>
                <w:b/>
                <w:bCs/>
                <w:color w:val="auto"/>
                <w:sz w:val="24"/>
              </w:rPr>
              <w:t>D、V</w:t>
            </w:r>
            <w:r>
              <w:rPr>
                <w:b/>
                <w:bCs/>
                <w:color w:val="auto"/>
                <w:sz w:val="24"/>
                <w:vertAlign w:val="subscript"/>
              </w:rPr>
              <w:t>4</w:t>
            </w:r>
            <w:r>
              <w:rPr>
                <w:b/>
                <w:bCs/>
                <w:color w:val="auto"/>
                <w:sz w:val="24"/>
              </w:rPr>
              <w:t>的计算</w:t>
            </w:r>
          </w:p>
          <w:p w14:paraId="0DC60C17">
            <w:pPr>
              <w:spacing w:line="360" w:lineRule="auto"/>
              <w:ind w:firstLine="480" w:firstLineChars="200"/>
              <w:rPr>
                <w:color w:val="auto"/>
                <w:sz w:val="24"/>
              </w:rPr>
            </w:pPr>
            <w:r>
              <w:rPr>
                <w:color w:val="auto"/>
                <w:sz w:val="24"/>
              </w:rPr>
              <w:t>V</w:t>
            </w:r>
            <w:r>
              <w:rPr>
                <w:color w:val="auto"/>
                <w:sz w:val="24"/>
                <w:vertAlign w:val="subscript"/>
              </w:rPr>
              <w:t>4</w:t>
            </w:r>
            <w:r>
              <w:rPr>
                <w:color w:val="auto"/>
                <w:sz w:val="24"/>
              </w:rPr>
              <w:t>——发生事故时仍必须进入该收集系统的生产废水量，m</w:t>
            </w:r>
            <w:r>
              <w:rPr>
                <w:color w:val="auto"/>
                <w:sz w:val="24"/>
                <w:vertAlign w:val="superscript"/>
              </w:rPr>
              <w:t>3</w:t>
            </w:r>
            <w:r>
              <w:rPr>
                <w:color w:val="auto"/>
                <w:sz w:val="24"/>
              </w:rPr>
              <w:t>。</w:t>
            </w:r>
          </w:p>
          <w:p w14:paraId="01CA7C4A">
            <w:pPr>
              <w:spacing w:line="360" w:lineRule="auto"/>
              <w:ind w:firstLine="480" w:firstLineChars="200"/>
              <w:rPr>
                <w:color w:val="auto"/>
                <w:sz w:val="24"/>
              </w:rPr>
            </w:pPr>
            <w:r>
              <w:rPr>
                <w:color w:val="auto"/>
                <w:sz w:val="24"/>
              </w:rPr>
              <w:t>发生事故时项目生产废水可储存在自建废水处理站调节池及其他池体，不会进入事故应急系统，故V</w:t>
            </w:r>
            <w:r>
              <w:rPr>
                <w:color w:val="auto"/>
                <w:sz w:val="24"/>
                <w:vertAlign w:val="subscript"/>
              </w:rPr>
              <w:t>4</w:t>
            </w:r>
            <w:r>
              <w:rPr>
                <w:color w:val="auto"/>
                <w:sz w:val="24"/>
              </w:rPr>
              <w:t>=0m</w:t>
            </w:r>
            <w:r>
              <w:rPr>
                <w:color w:val="auto"/>
                <w:sz w:val="24"/>
                <w:vertAlign w:val="superscript"/>
              </w:rPr>
              <w:t>3</w:t>
            </w:r>
            <w:r>
              <w:rPr>
                <w:color w:val="auto"/>
                <w:sz w:val="24"/>
              </w:rPr>
              <w:t>。</w:t>
            </w:r>
          </w:p>
          <w:p w14:paraId="500EE39F">
            <w:pPr>
              <w:spacing w:line="360" w:lineRule="auto"/>
              <w:ind w:firstLine="482" w:firstLineChars="200"/>
              <w:rPr>
                <w:b/>
                <w:bCs/>
                <w:color w:val="auto"/>
                <w:sz w:val="24"/>
              </w:rPr>
            </w:pPr>
            <w:r>
              <w:rPr>
                <w:b/>
                <w:bCs/>
                <w:color w:val="auto"/>
                <w:sz w:val="24"/>
              </w:rPr>
              <w:t>E、V</w:t>
            </w:r>
            <w:r>
              <w:rPr>
                <w:b/>
                <w:bCs/>
                <w:color w:val="auto"/>
                <w:sz w:val="24"/>
                <w:vertAlign w:val="subscript"/>
              </w:rPr>
              <w:t>5</w:t>
            </w:r>
            <w:r>
              <w:rPr>
                <w:b/>
                <w:bCs/>
                <w:color w:val="auto"/>
                <w:sz w:val="24"/>
              </w:rPr>
              <w:t>的计算</w:t>
            </w:r>
          </w:p>
          <w:p w14:paraId="663F2234">
            <w:pPr>
              <w:spacing w:line="360" w:lineRule="auto"/>
              <w:ind w:firstLine="480" w:firstLineChars="200"/>
              <w:rPr>
                <w:color w:val="auto"/>
                <w:sz w:val="24"/>
              </w:rPr>
            </w:pPr>
            <w:r>
              <w:rPr>
                <w:color w:val="auto"/>
                <w:sz w:val="24"/>
              </w:rPr>
              <w:t>V</w:t>
            </w:r>
            <w:r>
              <w:rPr>
                <w:color w:val="auto"/>
                <w:sz w:val="24"/>
                <w:vertAlign w:val="subscript"/>
              </w:rPr>
              <w:t>5</w:t>
            </w:r>
            <w:r>
              <w:rPr>
                <w:color w:val="auto"/>
                <w:sz w:val="24"/>
              </w:rPr>
              <w:t>——发生事故时，可能进入该收集系统的降雨量，m</w:t>
            </w:r>
            <w:r>
              <w:rPr>
                <w:color w:val="auto"/>
                <w:sz w:val="24"/>
                <w:vertAlign w:val="superscript"/>
              </w:rPr>
              <w:t>3</w:t>
            </w:r>
            <w:r>
              <w:rPr>
                <w:color w:val="auto"/>
                <w:sz w:val="24"/>
              </w:rPr>
              <w:t>。</w:t>
            </w:r>
          </w:p>
          <w:p w14:paraId="1F1014C3">
            <w:pPr>
              <w:spacing w:line="360" w:lineRule="auto"/>
              <w:jc w:val="center"/>
              <w:rPr>
                <w:color w:val="auto"/>
                <w:sz w:val="24"/>
              </w:rPr>
            </w:pPr>
            <w:r>
              <w:rPr>
                <w:color w:val="auto"/>
                <w:sz w:val="24"/>
              </w:rPr>
              <w:t>V</w:t>
            </w:r>
            <w:r>
              <w:rPr>
                <w:color w:val="auto"/>
                <w:sz w:val="24"/>
                <w:vertAlign w:val="subscript"/>
              </w:rPr>
              <w:t>5</w:t>
            </w:r>
            <w:r>
              <w:rPr>
                <w:color w:val="auto"/>
                <w:sz w:val="24"/>
              </w:rPr>
              <w:t>=10qF</w:t>
            </w:r>
          </w:p>
          <w:p w14:paraId="46F93795">
            <w:pPr>
              <w:spacing w:line="360" w:lineRule="auto"/>
              <w:ind w:firstLine="480" w:firstLineChars="200"/>
              <w:rPr>
                <w:color w:val="auto"/>
                <w:sz w:val="24"/>
              </w:rPr>
            </w:pPr>
            <w:r>
              <w:rPr>
                <w:color w:val="auto"/>
                <w:sz w:val="24"/>
              </w:rPr>
              <w:t>q——降雨强度，mm，按平均日降雨量；</w:t>
            </w:r>
          </w:p>
          <w:p w14:paraId="61D6388D">
            <w:pPr>
              <w:spacing w:line="360" w:lineRule="auto"/>
              <w:ind w:firstLine="480" w:firstLineChars="200"/>
              <w:rPr>
                <w:color w:val="auto"/>
                <w:sz w:val="24"/>
              </w:rPr>
            </w:pPr>
            <w:r>
              <w:rPr>
                <w:color w:val="auto"/>
                <w:sz w:val="24"/>
              </w:rPr>
              <w:t>F——必须进入事故废水收集系统的雨水汇水面积，ha。项目</w:t>
            </w:r>
            <w:r>
              <w:rPr>
                <w:rFonts w:hint="eastAsia"/>
                <w:color w:val="auto"/>
                <w:sz w:val="24"/>
              </w:rPr>
              <w:t>所在位置为</w:t>
            </w:r>
            <w:r>
              <w:rPr>
                <w:color w:val="auto"/>
                <w:sz w:val="24"/>
              </w:rPr>
              <w:t>厂房</w:t>
            </w:r>
            <w:r>
              <w:rPr>
                <w:rFonts w:hint="eastAsia"/>
                <w:color w:val="auto"/>
                <w:sz w:val="24"/>
              </w:rPr>
              <w:t>A1的4-7楼，</w:t>
            </w:r>
            <w:r>
              <w:rPr>
                <w:rFonts w:hint="eastAsia"/>
                <w:color w:val="auto"/>
                <w:kern w:val="0"/>
                <w:sz w:val="24"/>
                <w:lang w:bidi="ar"/>
              </w:rPr>
              <w:t>厂区所在北侧园区的雨水管网设有1个对外排放的</w:t>
            </w:r>
            <w:r>
              <w:rPr>
                <w:color w:val="auto"/>
                <w:kern w:val="0"/>
                <w:sz w:val="24"/>
                <w:lang w:bidi="ar"/>
              </w:rPr>
              <w:t>雨水排放口</w:t>
            </w:r>
            <w:r>
              <w:rPr>
                <w:rFonts w:hint="eastAsia"/>
                <w:color w:val="auto"/>
                <w:kern w:val="0"/>
                <w:sz w:val="24"/>
                <w:lang w:bidi="ar"/>
              </w:rPr>
              <w:t>，当发生事故时必须进入事故废水收集系统为北侧园区的公用道路区域，</w:t>
            </w:r>
            <w:r>
              <w:rPr>
                <w:color w:val="auto"/>
                <w:sz w:val="24"/>
              </w:rPr>
              <w:t>总占地面积为</w:t>
            </w:r>
            <w:r>
              <w:rPr>
                <w:rFonts w:hint="eastAsia"/>
                <w:color w:val="auto"/>
                <w:sz w:val="24"/>
              </w:rPr>
              <w:t>14059</w:t>
            </w:r>
            <w:r>
              <w:rPr>
                <w:color w:val="auto"/>
                <w:sz w:val="24"/>
              </w:rPr>
              <w:t>m</w:t>
            </w:r>
            <w:r>
              <w:rPr>
                <w:color w:val="auto"/>
                <w:sz w:val="24"/>
                <w:vertAlign w:val="superscript"/>
              </w:rPr>
              <w:t>2</w:t>
            </w:r>
            <w:r>
              <w:rPr>
                <w:color w:val="auto"/>
                <w:sz w:val="24"/>
              </w:rPr>
              <w:t>；</w:t>
            </w:r>
          </w:p>
          <w:p w14:paraId="724468DD">
            <w:pPr>
              <w:spacing w:line="360" w:lineRule="auto"/>
              <w:jc w:val="center"/>
              <w:rPr>
                <w:color w:val="auto"/>
                <w:sz w:val="24"/>
              </w:rPr>
            </w:pPr>
            <w:r>
              <w:rPr>
                <w:color w:val="auto"/>
                <w:sz w:val="24"/>
              </w:rPr>
              <w:t>q=q</w:t>
            </w:r>
            <w:r>
              <w:rPr>
                <w:color w:val="auto"/>
                <w:sz w:val="24"/>
                <w:vertAlign w:val="subscript"/>
              </w:rPr>
              <w:t>a</w:t>
            </w:r>
            <w:r>
              <w:rPr>
                <w:color w:val="auto"/>
                <w:sz w:val="24"/>
              </w:rPr>
              <w:t>/n</w:t>
            </w:r>
          </w:p>
          <w:p w14:paraId="4577D8DA">
            <w:pPr>
              <w:spacing w:line="360" w:lineRule="auto"/>
              <w:ind w:firstLine="480" w:firstLineChars="200"/>
              <w:rPr>
                <w:color w:val="auto"/>
                <w:sz w:val="24"/>
              </w:rPr>
            </w:pPr>
            <w:r>
              <w:rPr>
                <w:color w:val="auto"/>
                <w:sz w:val="24"/>
              </w:rPr>
              <w:t>q</w:t>
            </w:r>
            <w:r>
              <w:rPr>
                <w:color w:val="auto"/>
                <w:sz w:val="24"/>
                <w:vertAlign w:val="subscript"/>
              </w:rPr>
              <w:t>a</w:t>
            </w:r>
            <w:r>
              <w:rPr>
                <w:color w:val="auto"/>
                <w:sz w:val="24"/>
              </w:rPr>
              <w:t>——年平均降雨量，mm，取</w:t>
            </w:r>
            <w:r>
              <w:rPr>
                <w:rFonts w:hint="eastAsia"/>
                <w:color w:val="auto"/>
                <w:sz w:val="24"/>
              </w:rPr>
              <w:t>1998.5</w:t>
            </w:r>
            <w:r>
              <w:rPr>
                <w:color w:val="auto"/>
                <w:sz w:val="24"/>
              </w:rPr>
              <w:t>mm；</w:t>
            </w:r>
          </w:p>
          <w:p w14:paraId="21C6F2B2">
            <w:pPr>
              <w:spacing w:line="360" w:lineRule="auto"/>
              <w:ind w:firstLine="480" w:firstLineChars="200"/>
              <w:rPr>
                <w:color w:val="auto"/>
                <w:sz w:val="24"/>
              </w:rPr>
            </w:pPr>
            <w:r>
              <w:rPr>
                <w:color w:val="auto"/>
                <w:sz w:val="24"/>
              </w:rPr>
              <w:t>n——年平均降雨日数，取142天/年。</w:t>
            </w:r>
          </w:p>
          <w:p w14:paraId="685965C9">
            <w:pPr>
              <w:spacing w:line="360" w:lineRule="auto"/>
              <w:ind w:firstLine="480" w:firstLineChars="200"/>
              <w:rPr>
                <w:color w:val="auto"/>
                <w:sz w:val="24"/>
              </w:rPr>
            </w:pPr>
            <w:r>
              <w:rPr>
                <w:color w:val="auto"/>
                <w:sz w:val="24"/>
              </w:rPr>
              <w:t>根据《室外排水设计规范》（GB50014-2006）屋面、混凝土径流系数取值为0.85~0.95，本项目取0.95，则根据上式可计算出</w:t>
            </w:r>
          </w:p>
          <w:p w14:paraId="48A2C907">
            <w:pPr>
              <w:spacing w:line="360" w:lineRule="auto"/>
              <w:ind w:firstLine="480" w:firstLineChars="200"/>
              <w:rPr>
                <w:color w:val="auto"/>
                <w:sz w:val="24"/>
              </w:rPr>
            </w:pPr>
            <w:r>
              <w:rPr>
                <w:color w:val="auto"/>
                <w:sz w:val="24"/>
              </w:rPr>
              <w:t>V</w:t>
            </w:r>
            <w:r>
              <w:rPr>
                <w:color w:val="auto"/>
                <w:sz w:val="24"/>
                <w:vertAlign w:val="subscript"/>
              </w:rPr>
              <w:t>5</w:t>
            </w:r>
            <w:r>
              <w:rPr>
                <w:color w:val="auto"/>
                <w:sz w:val="24"/>
              </w:rPr>
              <w:t>=</w:t>
            </w:r>
            <w:r>
              <w:rPr>
                <w:rFonts w:hint="eastAsia"/>
                <w:color w:val="auto"/>
                <w:sz w:val="24"/>
              </w:rPr>
              <w:t>188</w:t>
            </w:r>
            <w:r>
              <w:rPr>
                <w:color w:val="auto"/>
                <w:sz w:val="24"/>
              </w:rPr>
              <w:t>m</w:t>
            </w:r>
            <w:r>
              <w:rPr>
                <w:color w:val="auto"/>
                <w:sz w:val="24"/>
                <w:vertAlign w:val="superscript"/>
              </w:rPr>
              <w:t>3</w:t>
            </w:r>
          </w:p>
          <w:p w14:paraId="2806F8CC">
            <w:pPr>
              <w:pStyle w:val="43"/>
              <w:rPr>
                <w:color w:val="auto"/>
              </w:rPr>
            </w:pPr>
            <w:r>
              <w:rPr>
                <w:color w:val="auto"/>
              </w:rPr>
              <w:t>项目事故应急池的总容量V总=（V1+V2－V3)max+V4+V5=（</w:t>
            </w:r>
            <w:r>
              <w:rPr>
                <w:rFonts w:hint="eastAsia"/>
                <w:color w:val="auto"/>
              </w:rPr>
              <w:t>4</w:t>
            </w:r>
            <w:r>
              <w:rPr>
                <w:color w:val="auto"/>
              </w:rPr>
              <w:t>＋</w:t>
            </w:r>
            <w:r>
              <w:rPr>
                <w:rFonts w:hint="eastAsia"/>
                <w:color w:val="auto"/>
              </w:rPr>
              <w:t>324</w:t>
            </w:r>
            <w:r>
              <w:rPr>
                <w:color w:val="auto"/>
              </w:rPr>
              <w:t>-</w:t>
            </w:r>
            <w:r>
              <w:rPr>
                <w:rFonts w:hint="eastAsia"/>
                <w:color w:val="auto"/>
              </w:rPr>
              <w:t>69.12</w:t>
            </w:r>
            <w:r>
              <w:rPr>
                <w:color w:val="auto"/>
              </w:rPr>
              <w:t>）max＋0＋</w:t>
            </w:r>
            <w:r>
              <w:rPr>
                <w:rFonts w:hint="eastAsia"/>
                <w:color w:val="auto"/>
              </w:rPr>
              <w:t>188</w:t>
            </w:r>
            <w:r>
              <w:rPr>
                <w:color w:val="auto"/>
              </w:rPr>
              <w:t>=</w:t>
            </w:r>
            <w:r>
              <w:rPr>
                <w:rFonts w:hint="eastAsia"/>
                <w:color w:val="auto"/>
              </w:rPr>
              <w:t>446.88</w:t>
            </w:r>
            <w:r>
              <w:rPr>
                <w:color w:val="auto"/>
              </w:rPr>
              <w:t>m</w:t>
            </w:r>
            <w:r>
              <w:rPr>
                <w:color w:val="auto"/>
                <w:vertAlign w:val="superscript"/>
              </w:rPr>
              <w:t>3</w:t>
            </w:r>
            <w:r>
              <w:rPr>
                <w:color w:val="auto"/>
              </w:rPr>
              <w:t>。</w:t>
            </w:r>
          </w:p>
          <w:p w14:paraId="2E836920">
            <w:pPr>
              <w:adjustRightInd w:val="0"/>
              <w:spacing w:line="360" w:lineRule="auto"/>
              <w:ind w:firstLine="480" w:firstLineChars="200"/>
              <w:rPr>
                <w:color w:val="auto"/>
                <w:kern w:val="0"/>
                <w:sz w:val="24"/>
                <w:lang w:bidi="ar"/>
              </w:rPr>
            </w:pPr>
            <w:r>
              <w:rPr>
                <w:rFonts w:hint="eastAsia"/>
                <w:color w:val="auto"/>
                <w:kern w:val="0"/>
                <w:sz w:val="24"/>
                <w:lang w:bidi="ar"/>
              </w:rPr>
              <w:t>项目所在园区已建设有一座850m</w:t>
            </w:r>
            <w:r>
              <w:rPr>
                <w:rFonts w:hint="eastAsia"/>
                <w:color w:val="auto"/>
                <w:kern w:val="0"/>
                <w:sz w:val="24"/>
                <w:vertAlign w:val="superscript"/>
                <w:lang w:bidi="ar"/>
              </w:rPr>
              <w:t>3</w:t>
            </w:r>
            <w:r>
              <w:rPr>
                <w:rFonts w:hint="eastAsia"/>
                <w:color w:val="auto"/>
                <w:kern w:val="0"/>
                <w:sz w:val="24"/>
                <w:lang w:bidi="ar"/>
              </w:rPr>
              <w:t>的事故应急池，</w:t>
            </w:r>
            <w:r>
              <w:rPr>
                <w:color w:val="auto"/>
                <w:kern w:val="0"/>
                <w:sz w:val="24"/>
                <w:lang w:bidi="ar"/>
              </w:rPr>
              <w:t>用于</w:t>
            </w:r>
            <w:r>
              <w:rPr>
                <w:rFonts w:hint="eastAsia"/>
                <w:color w:val="auto"/>
                <w:kern w:val="0"/>
                <w:sz w:val="24"/>
                <w:lang w:bidi="ar"/>
              </w:rPr>
              <w:t>园区内企业</w:t>
            </w:r>
            <w:r>
              <w:rPr>
                <w:color w:val="auto"/>
                <w:kern w:val="0"/>
                <w:sz w:val="24"/>
                <w:lang w:bidi="ar"/>
              </w:rPr>
              <w:t>环境风险事故状态下的事故废水、消防废水、泄漏物料的储存。</w:t>
            </w:r>
            <w:r>
              <w:rPr>
                <w:rFonts w:hint="eastAsia"/>
                <w:color w:val="auto"/>
                <w:kern w:val="0"/>
                <w:sz w:val="24"/>
                <w:lang w:bidi="ar"/>
              </w:rPr>
              <w:t>根据上式核算，项目事故废水的产生量为446.88m</w:t>
            </w:r>
            <w:r>
              <w:rPr>
                <w:rFonts w:hint="eastAsia"/>
                <w:color w:val="auto"/>
                <w:kern w:val="0"/>
                <w:sz w:val="24"/>
                <w:vertAlign w:val="superscript"/>
                <w:lang w:bidi="ar"/>
              </w:rPr>
              <w:t>3</w:t>
            </w:r>
            <w:r>
              <w:rPr>
                <w:rFonts w:hint="eastAsia"/>
                <w:color w:val="auto"/>
                <w:kern w:val="0"/>
                <w:sz w:val="24"/>
                <w:lang w:bidi="ar"/>
              </w:rPr>
              <w:t>，园区事故应急池可满足本项目事故废水的收纳，因此项目事故废水的收集依托园区事故应急池是可行的。为确保项目事故废水可顺利进入园区事故应急池，应将涉水区域导流沟、厂区内的应急管网采用专用管道与园区内</w:t>
            </w:r>
            <w:r>
              <w:rPr>
                <w:color w:val="auto"/>
                <w:kern w:val="0"/>
                <w:sz w:val="24"/>
                <w:lang w:bidi="ar"/>
              </w:rPr>
              <w:t>事故应急池联通，</w:t>
            </w:r>
            <w:r>
              <w:rPr>
                <w:rFonts w:hint="eastAsia"/>
                <w:color w:val="auto"/>
                <w:kern w:val="0"/>
                <w:sz w:val="24"/>
                <w:lang w:bidi="ar"/>
              </w:rPr>
              <w:t>并在园区北侧的</w:t>
            </w:r>
            <w:r>
              <w:rPr>
                <w:color w:val="auto"/>
                <w:kern w:val="0"/>
                <w:sz w:val="24"/>
                <w:lang w:bidi="ar"/>
              </w:rPr>
              <w:t>雨水排放口</w:t>
            </w:r>
            <w:r>
              <w:rPr>
                <w:rFonts w:hint="eastAsia"/>
                <w:color w:val="auto"/>
                <w:kern w:val="0"/>
                <w:sz w:val="24"/>
                <w:lang w:bidi="ar"/>
              </w:rPr>
              <w:t>处</w:t>
            </w:r>
            <w:r>
              <w:rPr>
                <w:color w:val="auto"/>
                <w:kern w:val="0"/>
                <w:sz w:val="24"/>
                <w:lang w:bidi="ar"/>
              </w:rPr>
              <w:t>安装应急阀门，平时常开，事故状态紧急关闭雨水阀门，使</w:t>
            </w:r>
            <w:r>
              <w:rPr>
                <w:rFonts w:hint="eastAsia"/>
                <w:color w:val="auto"/>
                <w:kern w:val="0"/>
                <w:sz w:val="24"/>
                <w:lang w:bidi="ar"/>
              </w:rPr>
              <w:t>厂区内事故废水、</w:t>
            </w:r>
            <w:r>
              <w:rPr>
                <w:color w:val="auto"/>
                <w:kern w:val="0"/>
                <w:sz w:val="24"/>
                <w:lang w:bidi="ar"/>
              </w:rPr>
              <w:t>消防废水和雨水</w:t>
            </w:r>
            <w:r>
              <w:rPr>
                <w:rFonts w:hint="eastAsia"/>
                <w:color w:val="auto"/>
                <w:kern w:val="0"/>
                <w:sz w:val="24"/>
                <w:lang w:bidi="ar"/>
              </w:rPr>
              <w:t>可</w:t>
            </w:r>
            <w:r>
              <w:rPr>
                <w:color w:val="auto"/>
                <w:kern w:val="0"/>
                <w:sz w:val="24"/>
                <w:lang w:bidi="ar"/>
              </w:rPr>
              <w:t>自流进入</w:t>
            </w:r>
            <w:r>
              <w:rPr>
                <w:rFonts w:hint="eastAsia"/>
                <w:color w:val="auto"/>
                <w:kern w:val="0"/>
                <w:sz w:val="24"/>
                <w:lang w:bidi="ar"/>
              </w:rPr>
              <w:t>园区事故应急</w:t>
            </w:r>
            <w:r>
              <w:rPr>
                <w:color w:val="auto"/>
                <w:kern w:val="0"/>
                <w:sz w:val="24"/>
                <w:lang w:bidi="ar"/>
              </w:rPr>
              <w:t>池，防止事故状态下受污雨水流入外环境</w:t>
            </w:r>
            <w:r>
              <w:rPr>
                <w:rFonts w:hint="eastAsia"/>
                <w:color w:val="auto"/>
                <w:kern w:val="0"/>
                <w:sz w:val="24"/>
                <w:lang w:bidi="ar"/>
              </w:rPr>
              <w:t>；依托的园区</w:t>
            </w:r>
            <w:r>
              <w:rPr>
                <w:color w:val="auto"/>
                <w:kern w:val="0"/>
                <w:sz w:val="24"/>
                <w:lang w:bidi="ar"/>
              </w:rPr>
              <w:t>事故池</w:t>
            </w:r>
            <w:r>
              <w:rPr>
                <w:rFonts w:hint="eastAsia"/>
                <w:color w:val="auto"/>
                <w:kern w:val="0"/>
                <w:sz w:val="24"/>
                <w:lang w:bidi="ar"/>
              </w:rPr>
              <w:t>应</w:t>
            </w:r>
            <w:r>
              <w:rPr>
                <w:color w:val="auto"/>
                <w:kern w:val="0"/>
                <w:sz w:val="24"/>
                <w:lang w:bidi="ar"/>
              </w:rPr>
              <w:t>长期处于空置状态以保证有足够的容积容纳事故废水，</w:t>
            </w:r>
            <w:r>
              <w:rPr>
                <w:rFonts w:hint="eastAsia"/>
                <w:color w:val="auto"/>
                <w:kern w:val="0"/>
                <w:sz w:val="24"/>
                <w:lang w:bidi="ar"/>
              </w:rPr>
              <w:t>建设单位应督促园区安环部门</w:t>
            </w:r>
            <w:r>
              <w:rPr>
                <w:color w:val="auto"/>
                <w:kern w:val="0"/>
                <w:sz w:val="24"/>
                <w:lang w:bidi="ar"/>
              </w:rPr>
              <w:t>定期对事故池进行保养，确保事故池无破损、泄漏的情况。</w:t>
            </w:r>
          </w:p>
          <w:p w14:paraId="0264C140">
            <w:pPr>
              <w:spacing w:line="360" w:lineRule="auto"/>
              <w:ind w:firstLine="480" w:firstLineChars="200"/>
              <w:rPr>
                <w:color w:val="auto"/>
                <w:kern w:val="0"/>
                <w:sz w:val="24"/>
                <w:lang w:bidi="ar"/>
              </w:rPr>
            </w:pPr>
            <w:r>
              <w:rPr>
                <w:rFonts w:hint="eastAsia"/>
                <w:color w:val="auto"/>
                <w:kern w:val="0"/>
                <w:sz w:val="24"/>
                <w:lang w:bidi="ar"/>
              </w:rPr>
              <w:t>项目</w:t>
            </w:r>
            <w:r>
              <w:rPr>
                <w:color w:val="auto"/>
                <w:kern w:val="0"/>
                <w:sz w:val="24"/>
                <w:lang w:bidi="ar"/>
              </w:rPr>
              <w:t>一旦废水处理系统发生故障或废水出</w:t>
            </w:r>
            <w:r>
              <w:rPr>
                <w:rFonts w:hint="eastAsia"/>
                <w:color w:val="auto"/>
                <w:kern w:val="0"/>
                <w:sz w:val="24"/>
                <w:lang w:bidi="ar"/>
              </w:rPr>
              <w:t>水水质</w:t>
            </w:r>
            <w:r>
              <w:rPr>
                <w:color w:val="auto"/>
                <w:kern w:val="0"/>
                <w:sz w:val="24"/>
                <w:lang w:bidi="ar"/>
              </w:rPr>
              <w:t>不达标，</w:t>
            </w:r>
            <w:r>
              <w:rPr>
                <w:rFonts w:hint="eastAsia"/>
                <w:color w:val="auto"/>
                <w:kern w:val="0"/>
                <w:sz w:val="24"/>
                <w:lang w:bidi="ar"/>
              </w:rPr>
              <w:t>应</w:t>
            </w:r>
            <w:r>
              <w:rPr>
                <w:color w:val="auto"/>
                <w:kern w:val="0"/>
                <w:sz w:val="24"/>
                <w:lang w:bidi="ar"/>
              </w:rPr>
              <w:t>立即</w:t>
            </w:r>
            <w:r>
              <w:rPr>
                <w:rFonts w:hint="eastAsia"/>
                <w:color w:val="auto"/>
                <w:kern w:val="0"/>
                <w:sz w:val="24"/>
                <w:lang w:bidi="ar"/>
              </w:rPr>
              <w:t>停运生产废水处理设施</w:t>
            </w:r>
            <w:r>
              <w:rPr>
                <w:color w:val="auto"/>
                <w:kern w:val="0"/>
                <w:sz w:val="24"/>
                <w:lang w:bidi="ar"/>
              </w:rPr>
              <w:t>，将各股废水暂存于调节池</w:t>
            </w:r>
            <w:r>
              <w:rPr>
                <w:rFonts w:hint="eastAsia"/>
                <w:color w:val="auto"/>
                <w:kern w:val="0"/>
                <w:sz w:val="24"/>
                <w:lang w:bidi="ar"/>
              </w:rPr>
              <w:t>或引流至园区的</w:t>
            </w:r>
            <w:r>
              <w:rPr>
                <w:color w:val="auto"/>
                <w:kern w:val="0"/>
                <w:sz w:val="24"/>
                <w:lang w:bidi="ar"/>
              </w:rPr>
              <w:t>事故应急水池内，若一个生产班次内无法确保废水处理系统正常运行，将立即采取涉水生产线停产措施，避免废水排入市政管道。待应急结束后，事故应急池内的废水通过提升泵输送至</w:t>
            </w:r>
            <w:r>
              <w:rPr>
                <w:rFonts w:hint="eastAsia"/>
                <w:color w:val="auto"/>
                <w:kern w:val="0"/>
                <w:sz w:val="24"/>
                <w:lang w:bidi="ar"/>
              </w:rPr>
              <w:t>项目自建</w:t>
            </w:r>
            <w:r>
              <w:rPr>
                <w:color w:val="auto"/>
                <w:kern w:val="0"/>
                <w:sz w:val="24"/>
                <w:lang w:bidi="ar"/>
              </w:rPr>
              <w:t>废水处理</w:t>
            </w:r>
            <w:r>
              <w:rPr>
                <w:rFonts w:hint="eastAsia"/>
                <w:color w:val="auto"/>
                <w:kern w:val="0"/>
                <w:sz w:val="24"/>
                <w:lang w:bidi="ar"/>
              </w:rPr>
              <w:t>设施</w:t>
            </w:r>
            <w:r>
              <w:rPr>
                <w:color w:val="auto"/>
                <w:kern w:val="0"/>
                <w:sz w:val="24"/>
                <w:lang w:bidi="ar"/>
              </w:rPr>
              <w:t>中进行处理。</w:t>
            </w:r>
          </w:p>
          <w:p w14:paraId="6E5678CF">
            <w:pPr>
              <w:adjustRightInd w:val="0"/>
              <w:spacing w:line="360" w:lineRule="auto"/>
              <w:ind w:firstLine="480" w:firstLineChars="200"/>
              <w:rPr>
                <w:color w:val="auto"/>
                <w:kern w:val="0"/>
                <w:sz w:val="24"/>
                <w:lang w:bidi="ar"/>
              </w:rPr>
            </w:pPr>
            <w:r>
              <w:rPr>
                <w:color w:val="auto"/>
                <w:kern w:val="0"/>
                <w:sz w:val="24"/>
                <w:lang w:bidi="ar"/>
              </w:rPr>
              <w:t>事故废水的处理处置：</w:t>
            </w:r>
            <w:r>
              <w:rPr>
                <w:rFonts w:hint="eastAsia"/>
                <w:color w:val="auto"/>
                <w:kern w:val="0"/>
                <w:sz w:val="24"/>
                <w:lang w:bidi="ar"/>
              </w:rPr>
              <w:t>涂料仓库、</w:t>
            </w:r>
            <w:r>
              <w:rPr>
                <w:color w:val="auto"/>
                <w:kern w:val="0"/>
                <w:sz w:val="24"/>
                <w:lang w:bidi="ar"/>
              </w:rPr>
              <w:t>化学品仓库</w:t>
            </w:r>
            <w:r>
              <w:rPr>
                <w:rFonts w:hint="eastAsia"/>
                <w:color w:val="auto"/>
                <w:kern w:val="0"/>
                <w:sz w:val="24"/>
                <w:lang w:bidi="ar"/>
              </w:rPr>
              <w:t>、危废仓库液体物料置于防泄漏托盘中，门口设置缓坡拦截泄漏事故废液</w:t>
            </w:r>
            <w:r>
              <w:rPr>
                <w:color w:val="auto"/>
                <w:kern w:val="0"/>
                <w:sz w:val="24"/>
                <w:lang w:bidi="ar"/>
              </w:rPr>
              <w:t>；厂区雨、污水排放口设置截流阀。发生泄漏、火灾或爆炸事故时，关闭雨水排放口的截流阀，泄漏物、事故伴生、次生消防水流入雨水收集系统或污水收集系统，可将泄漏物、消防水截流在雨水收集系统或污水收集系统内，当雨水收集系统或污水收集系统不能容纳伴生、次生污水时，则通过</w:t>
            </w:r>
            <w:r>
              <w:rPr>
                <w:rFonts w:hint="eastAsia"/>
                <w:color w:val="auto"/>
                <w:kern w:val="0"/>
                <w:sz w:val="24"/>
                <w:lang w:bidi="ar"/>
              </w:rPr>
              <w:t>应急</w:t>
            </w:r>
            <w:r>
              <w:rPr>
                <w:color w:val="auto"/>
                <w:kern w:val="0"/>
                <w:sz w:val="24"/>
                <w:lang w:bidi="ar"/>
              </w:rPr>
              <w:t>泵，将伴生、次生污水泵入事故应急池。</w:t>
            </w:r>
          </w:p>
          <w:p w14:paraId="06657EC3">
            <w:pPr>
              <w:adjustRightInd w:val="0"/>
              <w:snapToGrid w:val="0"/>
              <w:spacing w:line="360" w:lineRule="auto"/>
              <w:ind w:firstLine="480"/>
              <w:jc w:val="left"/>
              <w:rPr>
                <w:b/>
                <w:bCs/>
                <w:color w:val="auto"/>
                <w:sz w:val="24"/>
              </w:rPr>
            </w:pPr>
            <w:r>
              <w:rPr>
                <w:color w:val="auto"/>
                <w:kern w:val="0"/>
                <w:sz w:val="24"/>
                <w:lang w:bidi="ar"/>
              </w:rPr>
              <w:t>事故结束后，联系有资质的水处理单位，将事故废水就地处置回收或处理达到相应标准，就地处置有困难的，用槽车运出交有资质单位集中处理。</w:t>
            </w:r>
          </w:p>
          <w:p w14:paraId="7EBCB60F">
            <w:pPr>
              <w:pStyle w:val="91"/>
              <w:ind w:firstLine="482"/>
              <w:rPr>
                <w:b/>
                <w:bCs/>
                <w:color w:val="auto"/>
              </w:rPr>
            </w:pPr>
            <w:r>
              <w:rPr>
                <w:rFonts w:hint="eastAsia"/>
                <w:b/>
                <w:bCs/>
                <w:color w:val="auto"/>
              </w:rPr>
              <w:t>5、</w:t>
            </w:r>
            <w:r>
              <w:rPr>
                <w:b/>
                <w:bCs/>
                <w:color w:val="auto"/>
              </w:rPr>
              <w:t>分析结论</w:t>
            </w:r>
          </w:p>
          <w:p w14:paraId="28A158A2">
            <w:pPr>
              <w:adjustRightInd w:val="0"/>
              <w:snapToGrid w:val="0"/>
              <w:spacing w:line="360" w:lineRule="auto"/>
              <w:ind w:firstLine="480" w:firstLineChars="200"/>
              <w:jc w:val="left"/>
              <w:rPr>
                <w:color w:val="auto"/>
                <w:sz w:val="24"/>
              </w:rPr>
            </w:pPr>
            <w:r>
              <w:rPr>
                <w:color w:val="auto"/>
                <w:sz w:val="24"/>
              </w:rPr>
              <w:t>项目</w:t>
            </w:r>
            <w:r>
              <w:rPr>
                <w:rFonts w:hint="eastAsia"/>
                <w:color w:val="auto"/>
                <w:sz w:val="24"/>
              </w:rPr>
              <w:t>属于</w:t>
            </w:r>
            <w:r>
              <w:rPr>
                <w:color w:val="auto"/>
                <w:sz w:val="24"/>
              </w:rPr>
              <w:t>《关于发布</w:t>
            </w:r>
            <w:r>
              <w:rPr>
                <w:rFonts w:hint="eastAsia"/>
                <w:color w:val="auto"/>
                <w:sz w:val="24"/>
                <w:lang w:val="en-US" w:eastAsia="zh-CN"/>
              </w:rPr>
              <w:t>&lt;</w:t>
            </w:r>
            <w:r>
              <w:rPr>
                <w:color w:val="auto"/>
                <w:sz w:val="24"/>
              </w:rPr>
              <w:t>突发环境事件应急预案备案行业名录（指导性意见）</w:t>
            </w:r>
            <w:r>
              <w:rPr>
                <w:rFonts w:hint="eastAsia"/>
                <w:color w:val="auto"/>
                <w:sz w:val="24"/>
                <w:lang w:val="en-US" w:eastAsia="zh-CN"/>
              </w:rPr>
              <w:t>&gt;</w:t>
            </w:r>
            <w:r>
              <w:rPr>
                <w:color w:val="auto"/>
                <w:sz w:val="24"/>
              </w:rPr>
              <w:t>的通知》（粤环〔2018〕44 号）</w:t>
            </w:r>
            <w:r>
              <w:rPr>
                <w:rFonts w:hint="eastAsia"/>
                <w:color w:val="auto"/>
                <w:sz w:val="24"/>
              </w:rPr>
              <w:t>列明的需要编制突发环境事件应急预案的行业类别，</w:t>
            </w:r>
            <w:r>
              <w:rPr>
                <w:color w:val="auto"/>
                <w:sz w:val="24"/>
              </w:rPr>
              <w:t>应设立健全的突发环境事故应急组织机构，通过实施严格的防范措施并制定完善的应急方案，项目环境风险在可接受的范围内。</w:t>
            </w:r>
          </w:p>
          <w:p w14:paraId="50D20A01">
            <w:pPr>
              <w:adjustRightInd w:val="0"/>
              <w:snapToGrid w:val="0"/>
              <w:spacing w:before="120" w:beforeLines="50" w:line="360" w:lineRule="auto"/>
              <w:ind w:firstLine="482" w:firstLineChars="200"/>
              <w:jc w:val="left"/>
              <w:rPr>
                <w:b/>
                <w:bCs/>
                <w:color w:val="auto"/>
                <w:kern w:val="0"/>
                <w:sz w:val="24"/>
                <w:lang w:bidi="ar"/>
              </w:rPr>
            </w:pPr>
            <w:r>
              <w:rPr>
                <w:rFonts w:hint="eastAsia"/>
                <w:b/>
                <w:bCs/>
                <w:color w:val="auto"/>
                <w:kern w:val="0"/>
                <w:sz w:val="24"/>
                <w:lang w:bidi="ar"/>
              </w:rPr>
              <w:t>（八）生态</w:t>
            </w:r>
          </w:p>
          <w:p w14:paraId="24D6A953">
            <w:pPr>
              <w:adjustRightInd w:val="0"/>
              <w:snapToGrid w:val="0"/>
              <w:spacing w:line="360" w:lineRule="auto"/>
              <w:ind w:firstLine="480" w:firstLineChars="200"/>
              <w:jc w:val="left"/>
              <w:rPr>
                <w:color w:val="auto"/>
                <w:sz w:val="24"/>
              </w:rPr>
            </w:pPr>
            <w:r>
              <w:rPr>
                <w:rFonts w:hint="eastAsia"/>
                <w:color w:val="auto"/>
                <w:sz w:val="24"/>
              </w:rPr>
              <w:t>项目用地范围内无生态环境保护目标，无需开展生态环境影响和保护措施分析。</w:t>
            </w:r>
          </w:p>
          <w:p w14:paraId="5A2A8A46">
            <w:pPr>
              <w:adjustRightInd w:val="0"/>
              <w:snapToGrid w:val="0"/>
              <w:spacing w:before="120" w:beforeLines="50" w:line="360" w:lineRule="auto"/>
              <w:ind w:firstLine="482" w:firstLineChars="200"/>
              <w:jc w:val="left"/>
              <w:rPr>
                <w:b/>
                <w:bCs/>
                <w:color w:val="auto"/>
                <w:kern w:val="0"/>
                <w:sz w:val="24"/>
                <w:lang w:bidi="ar"/>
              </w:rPr>
            </w:pPr>
            <w:r>
              <w:rPr>
                <w:rFonts w:hint="eastAsia"/>
                <w:b/>
                <w:bCs/>
                <w:color w:val="auto"/>
                <w:kern w:val="0"/>
                <w:sz w:val="24"/>
                <w:lang w:bidi="ar"/>
              </w:rPr>
              <w:t>（九）电磁辐射</w:t>
            </w:r>
          </w:p>
          <w:p w14:paraId="2D079751">
            <w:pPr>
              <w:adjustRightInd w:val="0"/>
              <w:snapToGrid w:val="0"/>
              <w:spacing w:line="360" w:lineRule="auto"/>
              <w:ind w:firstLine="480" w:firstLineChars="200"/>
              <w:jc w:val="left"/>
              <w:rPr>
                <w:color w:val="auto"/>
                <w:sz w:val="24"/>
              </w:rPr>
            </w:pPr>
            <w:r>
              <w:rPr>
                <w:rFonts w:hint="eastAsia"/>
                <w:color w:val="auto"/>
                <w:sz w:val="24"/>
              </w:rPr>
              <w:t>项目不涉及电磁辐射，无需开展电磁辐射影响和保护措施分析。</w:t>
            </w:r>
          </w:p>
          <w:p w14:paraId="1744C9E2">
            <w:pPr>
              <w:adjustRightInd w:val="0"/>
              <w:snapToGrid w:val="0"/>
              <w:spacing w:before="120" w:beforeLines="50" w:line="360" w:lineRule="auto"/>
              <w:ind w:firstLine="482" w:firstLineChars="200"/>
              <w:jc w:val="left"/>
              <w:rPr>
                <w:b/>
                <w:bCs/>
                <w:color w:val="auto"/>
                <w:kern w:val="0"/>
                <w:sz w:val="24"/>
                <w:lang w:bidi="ar"/>
              </w:rPr>
            </w:pPr>
          </w:p>
          <w:p w14:paraId="45019335">
            <w:pPr>
              <w:pStyle w:val="104"/>
              <w:ind w:firstLine="0" w:firstLineChars="0"/>
              <w:jc w:val="left"/>
              <w:rPr>
                <w:color w:val="auto"/>
              </w:rPr>
            </w:pPr>
          </w:p>
        </w:tc>
      </w:tr>
    </w:tbl>
    <w:p w14:paraId="0A4A6E00">
      <w:pPr>
        <w:sectPr>
          <w:pgSz w:w="11907" w:h="16840"/>
          <w:pgMar w:top="1440" w:right="1080" w:bottom="1440" w:left="1080" w:header="851" w:footer="851" w:gutter="0"/>
          <w:cols w:space="720" w:num="1"/>
          <w:docGrid w:linePitch="312" w:charSpace="0"/>
        </w:sectPr>
      </w:pPr>
    </w:p>
    <w:p w14:paraId="646AB35D">
      <w:pPr>
        <w:pStyle w:val="31"/>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五、</w:t>
      </w:r>
      <w:bookmarkStart w:id="8" w:name="_Hlk54167917"/>
      <w:r>
        <w:rPr>
          <w:rFonts w:ascii="Times New Roman" w:hAnsi="Times New Roman" w:eastAsia="黑体"/>
          <w:snapToGrid w:val="0"/>
          <w:sz w:val="30"/>
          <w:szCs w:val="30"/>
        </w:rPr>
        <w:t>环境保护措施监督检查清单</w:t>
      </w:r>
      <w:bookmarkEnd w:id="8"/>
    </w:p>
    <w:tbl>
      <w:tblPr>
        <w:tblStyle w:val="35"/>
        <w:tblW w:w="552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457"/>
        <w:gridCol w:w="1001"/>
        <w:gridCol w:w="1677"/>
        <w:gridCol w:w="1276"/>
        <w:gridCol w:w="4055"/>
      </w:tblGrid>
      <w:tr w14:paraId="1DD50A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tcBorders>
              <w:tl2br w:val="single" w:color="auto" w:sz="4" w:space="0"/>
            </w:tcBorders>
          </w:tcPr>
          <w:p w14:paraId="6C6FEDEB">
            <w:pPr>
              <w:adjustRightInd w:val="0"/>
              <w:snapToGrid w:val="0"/>
              <w:jc w:val="center"/>
              <w:rPr>
                <w:b/>
                <w:bCs/>
                <w:color w:val="auto"/>
                <w:szCs w:val="21"/>
              </w:rPr>
            </w:pPr>
            <w:r>
              <w:rPr>
                <w:b/>
                <w:bCs/>
                <w:color w:val="auto"/>
                <w:szCs w:val="21"/>
              </w:rPr>
              <w:t>内容</w:t>
            </w:r>
          </w:p>
          <w:p w14:paraId="1D07493C">
            <w:pPr>
              <w:adjustRightInd w:val="0"/>
              <w:snapToGrid w:val="0"/>
              <w:jc w:val="center"/>
              <w:rPr>
                <w:b/>
                <w:bCs/>
                <w:color w:val="auto"/>
                <w:szCs w:val="21"/>
              </w:rPr>
            </w:pPr>
            <w:r>
              <w:rPr>
                <w:b/>
                <w:bCs/>
                <w:color w:val="auto"/>
                <w:szCs w:val="21"/>
              </w:rPr>
              <w:t>要素</w:t>
            </w:r>
          </w:p>
        </w:tc>
        <w:tc>
          <w:tcPr>
            <w:tcW w:w="728" w:type="pct"/>
            <w:gridSpan w:val="2"/>
            <w:vAlign w:val="center"/>
          </w:tcPr>
          <w:p w14:paraId="3B9135D3">
            <w:pPr>
              <w:adjustRightInd w:val="0"/>
              <w:snapToGrid w:val="0"/>
              <w:jc w:val="center"/>
              <w:rPr>
                <w:b/>
                <w:bCs/>
                <w:color w:val="auto"/>
                <w:szCs w:val="21"/>
              </w:rPr>
            </w:pPr>
            <w:r>
              <w:rPr>
                <w:b/>
                <w:bCs/>
                <w:color w:val="auto"/>
                <w:szCs w:val="21"/>
              </w:rPr>
              <w:t>排放口(编号、</w:t>
            </w:r>
          </w:p>
          <w:p w14:paraId="4CCAADE1">
            <w:pPr>
              <w:adjustRightInd w:val="0"/>
              <w:snapToGrid w:val="0"/>
              <w:jc w:val="center"/>
              <w:rPr>
                <w:b/>
                <w:bCs/>
                <w:color w:val="auto"/>
                <w:szCs w:val="21"/>
              </w:rPr>
            </w:pPr>
            <w:r>
              <w:rPr>
                <w:b/>
                <w:bCs/>
                <w:color w:val="auto"/>
                <w:szCs w:val="21"/>
              </w:rPr>
              <w:t>名称)/污染源</w:t>
            </w:r>
          </w:p>
        </w:tc>
        <w:tc>
          <w:tcPr>
            <w:tcW w:w="838" w:type="pct"/>
            <w:vAlign w:val="center"/>
          </w:tcPr>
          <w:p w14:paraId="167D5C7E">
            <w:pPr>
              <w:adjustRightInd w:val="0"/>
              <w:snapToGrid w:val="0"/>
              <w:jc w:val="center"/>
              <w:rPr>
                <w:b/>
                <w:bCs/>
                <w:color w:val="auto"/>
                <w:szCs w:val="21"/>
              </w:rPr>
            </w:pPr>
            <w:r>
              <w:rPr>
                <w:b/>
                <w:bCs/>
                <w:color w:val="auto"/>
                <w:szCs w:val="21"/>
              </w:rPr>
              <w:t>污染物项目</w:t>
            </w:r>
          </w:p>
        </w:tc>
        <w:tc>
          <w:tcPr>
            <w:tcW w:w="638" w:type="pct"/>
            <w:vAlign w:val="center"/>
          </w:tcPr>
          <w:p w14:paraId="625219C0">
            <w:pPr>
              <w:adjustRightInd w:val="0"/>
              <w:snapToGrid w:val="0"/>
              <w:jc w:val="center"/>
              <w:rPr>
                <w:b/>
                <w:bCs/>
                <w:color w:val="auto"/>
                <w:szCs w:val="21"/>
              </w:rPr>
            </w:pPr>
            <w:r>
              <w:rPr>
                <w:b/>
                <w:bCs/>
                <w:color w:val="auto"/>
                <w:szCs w:val="21"/>
              </w:rPr>
              <w:t>环境保护措施</w:t>
            </w:r>
          </w:p>
        </w:tc>
        <w:tc>
          <w:tcPr>
            <w:tcW w:w="2025" w:type="pct"/>
            <w:vAlign w:val="center"/>
          </w:tcPr>
          <w:p w14:paraId="02B2BBA3">
            <w:pPr>
              <w:adjustRightInd w:val="0"/>
              <w:snapToGrid w:val="0"/>
              <w:jc w:val="center"/>
              <w:rPr>
                <w:b/>
                <w:bCs/>
                <w:color w:val="auto"/>
                <w:szCs w:val="21"/>
              </w:rPr>
            </w:pPr>
            <w:r>
              <w:rPr>
                <w:b/>
                <w:bCs/>
                <w:color w:val="auto"/>
                <w:szCs w:val="21"/>
              </w:rPr>
              <w:t>执行标准</w:t>
            </w:r>
          </w:p>
        </w:tc>
      </w:tr>
      <w:tr w14:paraId="3F0B73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69" w:type="pct"/>
            <w:vMerge w:val="restart"/>
            <w:vAlign w:val="center"/>
          </w:tcPr>
          <w:p w14:paraId="10FBB429">
            <w:pPr>
              <w:adjustRightInd w:val="0"/>
              <w:snapToGrid w:val="0"/>
              <w:jc w:val="center"/>
              <w:rPr>
                <w:color w:val="auto"/>
                <w:szCs w:val="21"/>
              </w:rPr>
            </w:pPr>
            <w:r>
              <w:rPr>
                <w:color w:val="auto"/>
                <w:szCs w:val="21"/>
              </w:rPr>
              <w:t>大气环境</w:t>
            </w:r>
          </w:p>
        </w:tc>
        <w:tc>
          <w:tcPr>
            <w:tcW w:w="228" w:type="pct"/>
            <w:vMerge w:val="restart"/>
            <w:vAlign w:val="center"/>
          </w:tcPr>
          <w:p w14:paraId="233B449D">
            <w:pPr>
              <w:adjustRightInd w:val="0"/>
              <w:snapToGrid w:val="0"/>
              <w:jc w:val="center"/>
              <w:rPr>
                <w:color w:val="auto"/>
                <w:szCs w:val="21"/>
              </w:rPr>
            </w:pPr>
            <w:r>
              <w:rPr>
                <w:color w:val="auto"/>
                <w:szCs w:val="21"/>
              </w:rPr>
              <w:t>有组织</w:t>
            </w:r>
          </w:p>
        </w:tc>
        <w:tc>
          <w:tcPr>
            <w:tcW w:w="499" w:type="pct"/>
            <w:vAlign w:val="center"/>
          </w:tcPr>
          <w:p w14:paraId="33C40BF5">
            <w:pPr>
              <w:adjustRightInd w:val="0"/>
              <w:snapToGrid w:val="0"/>
              <w:jc w:val="center"/>
              <w:rPr>
                <w:color w:val="auto"/>
                <w:szCs w:val="21"/>
              </w:rPr>
            </w:pPr>
            <w:r>
              <w:rPr>
                <w:color w:val="auto"/>
                <w:szCs w:val="21"/>
              </w:rPr>
              <w:t>DA001</w:t>
            </w:r>
            <w:r>
              <w:rPr>
                <w:rFonts w:hint="eastAsia"/>
                <w:color w:val="auto"/>
                <w:szCs w:val="21"/>
              </w:rPr>
              <w:t>、DA002</w:t>
            </w:r>
          </w:p>
        </w:tc>
        <w:tc>
          <w:tcPr>
            <w:tcW w:w="838" w:type="pct"/>
            <w:vAlign w:val="center"/>
          </w:tcPr>
          <w:p w14:paraId="030B9671">
            <w:pPr>
              <w:adjustRightInd w:val="0"/>
              <w:snapToGrid w:val="0"/>
              <w:jc w:val="center"/>
              <w:rPr>
                <w:color w:val="auto"/>
                <w:szCs w:val="21"/>
              </w:rPr>
            </w:pPr>
            <w:r>
              <w:rPr>
                <w:color w:val="auto"/>
                <w:szCs w:val="21"/>
              </w:rPr>
              <w:t>颗粒物</w:t>
            </w:r>
          </w:p>
        </w:tc>
        <w:tc>
          <w:tcPr>
            <w:tcW w:w="638" w:type="pct"/>
            <w:vAlign w:val="center"/>
          </w:tcPr>
          <w:p w14:paraId="6E9717C2">
            <w:pPr>
              <w:adjustRightInd w:val="0"/>
              <w:snapToGrid w:val="0"/>
              <w:jc w:val="center"/>
              <w:rPr>
                <w:color w:val="auto"/>
                <w:szCs w:val="21"/>
              </w:rPr>
            </w:pPr>
            <w:r>
              <w:rPr>
                <w:color w:val="auto"/>
              </w:rPr>
              <w:t>布袋除尘器</w:t>
            </w:r>
          </w:p>
        </w:tc>
        <w:tc>
          <w:tcPr>
            <w:tcW w:w="2025" w:type="pct"/>
            <w:vAlign w:val="center"/>
          </w:tcPr>
          <w:p w14:paraId="35775BD9">
            <w:pPr>
              <w:adjustRightInd w:val="0"/>
              <w:snapToGrid w:val="0"/>
              <w:jc w:val="center"/>
              <w:rPr>
                <w:color w:val="auto"/>
                <w:szCs w:val="21"/>
              </w:rPr>
            </w:pPr>
            <w:r>
              <w:rPr>
                <w:bCs/>
                <w:color w:val="auto"/>
                <w:szCs w:val="21"/>
              </w:rPr>
              <w:t>广东省《大气污染物排放限值》(DB44/27-2001)中第二时段二级标准</w:t>
            </w:r>
          </w:p>
        </w:tc>
      </w:tr>
      <w:tr w14:paraId="51E794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69" w:type="pct"/>
            <w:vMerge w:val="continue"/>
            <w:vAlign w:val="center"/>
          </w:tcPr>
          <w:p w14:paraId="356126D0">
            <w:pPr>
              <w:adjustRightInd w:val="0"/>
              <w:snapToGrid w:val="0"/>
              <w:jc w:val="center"/>
              <w:rPr>
                <w:color w:val="auto"/>
                <w:szCs w:val="21"/>
              </w:rPr>
            </w:pPr>
          </w:p>
        </w:tc>
        <w:tc>
          <w:tcPr>
            <w:tcW w:w="228" w:type="pct"/>
            <w:vMerge w:val="continue"/>
            <w:vAlign w:val="center"/>
          </w:tcPr>
          <w:p w14:paraId="6B1ABC2C">
            <w:pPr>
              <w:adjustRightInd w:val="0"/>
              <w:snapToGrid w:val="0"/>
              <w:jc w:val="center"/>
              <w:rPr>
                <w:color w:val="auto"/>
                <w:szCs w:val="21"/>
              </w:rPr>
            </w:pPr>
          </w:p>
        </w:tc>
        <w:tc>
          <w:tcPr>
            <w:tcW w:w="499" w:type="pct"/>
            <w:vMerge w:val="restart"/>
            <w:vAlign w:val="center"/>
          </w:tcPr>
          <w:p w14:paraId="7BB1D02D">
            <w:pPr>
              <w:adjustRightInd w:val="0"/>
              <w:snapToGrid w:val="0"/>
              <w:jc w:val="center"/>
              <w:rPr>
                <w:color w:val="auto"/>
                <w:szCs w:val="21"/>
              </w:rPr>
            </w:pPr>
            <w:r>
              <w:rPr>
                <w:color w:val="auto"/>
                <w:szCs w:val="21"/>
              </w:rPr>
              <w:t>DA003、DA004、DA005</w:t>
            </w:r>
          </w:p>
        </w:tc>
        <w:tc>
          <w:tcPr>
            <w:tcW w:w="838" w:type="pct"/>
            <w:vAlign w:val="center"/>
          </w:tcPr>
          <w:p w14:paraId="6F8C59A3">
            <w:pPr>
              <w:adjustRightInd w:val="0"/>
              <w:snapToGrid w:val="0"/>
              <w:jc w:val="center"/>
              <w:rPr>
                <w:color w:val="auto"/>
                <w:szCs w:val="21"/>
              </w:rPr>
            </w:pPr>
            <w:r>
              <w:rPr>
                <w:color w:val="auto"/>
                <w:szCs w:val="21"/>
              </w:rPr>
              <w:t>颗粒物</w:t>
            </w:r>
          </w:p>
        </w:tc>
        <w:tc>
          <w:tcPr>
            <w:tcW w:w="638" w:type="pct"/>
            <w:vMerge w:val="restart"/>
            <w:vAlign w:val="center"/>
          </w:tcPr>
          <w:p w14:paraId="7657B5D4">
            <w:pPr>
              <w:adjustRightInd w:val="0"/>
              <w:snapToGrid w:val="0"/>
              <w:jc w:val="center"/>
              <w:rPr>
                <w:color w:val="auto"/>
              </w:rPr>
            </w:pPr>
            <w:r>
              <w:rPr>
                <w:rFonts w:hint="eastAsia"/>
                <w:color w:val="auto"/>
                <w:szCs w:val="21"/>
              </w:rPr>
              <w:t>水帘柜+喷淋塔+除湿装置+二级活性炭吸附装置</w:t>
            </w:r>
          </w:p>
        </w:tc>
        <w:tc>
          <w:tcPr>
            <w:tcW w:w="2025" w:type="pct"/>
            <w:vAlign w:val="center"/>
          </w:tcPr>
          <w:p w14:paraId="1DE76A59">
            <w:pPr>
              <w:adjustRightInd w:val="0"/>
              <w:snapToGrid w:val="0"/>
              <w:jc w:val="center"/>
              <w:rPr>
                <w:bCs/>
                <w:color w:val="auto"/>
                <w:szCs w:val="21"/>
              </w:rPr>
            </w:pPr>
            <w:r>
              <w:rPr>
                <w:rFonts w:hint="eastAsia"/>
                <w:color w:val="auto"/>
              </w:rPr>
              <w:t>《大气污染物排放限值》（DB44/27-2001）第二时段二级标准与</w:t>
            </w:r>
            <w:r>
              <w:rPr>
                <w:bCs/>
                <w:color w:val="auto"/>
                <w:szCs w:val="21"/>
              </w:rPr>
              <w:t>《工业炉窑大气污染综合治理方案》（大气[2019]56号）重点区域排放限值</w:t>
            </w:r>
            <w:r>
              <w:rPr>
                <w:rFonts w:hint="eastAsia"/>
                <w:color w:val="auto"/>
              </w:rPr>
              <w:t>要求的较严值</w:t>
            </w:r>
          </w:p>
        </w:tc>
      </w:tr>
      <w:tr w14:paraId="6B6F2D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9" w:type="pct"/>
            <w:vMerge w:val="continue"/>
            <w:vAlign w:val="center"/>
          </w:tcPr>
          <w:p w14:paraId="3C2D4763">
            <w:pPr>
              <w:adjustRightInd w:val="0"/>
              <w:snapToGrid w:val="0"/>
              <w:jc w:val="center"/>
              <w:rPr>
                <w:color w:val="auto"/>
              </w:rPr>
            </w:pPr>
          </w:p>
        </w:tc>
        <w:tc>
          <w:tcPr>
            <w:tcW w:w="228" w:type="pct"/>
            <w:vMerge w:val="continue"/>
            <w:vAlign w:val="center"/>
          </w:tcPr>
          <w:p w14:paraId="30187928">
            <w:pPr>
              <w:adjustRightInd w:val="0"/>
              <w:snapToGrid w:val="0"/>
              <w:jc w:val="center"/>
              <w:rPr>
                <w:color w:val="auto"/>
              </w:rPr>
            </w:pPr>
          </w:p>
        </w:tc>
        <w:tc>
          <w:tcPr>
            <w:tcW w:w="499" w:type="pct"/>
            <w:vMerge w:val="continue"/>
            <w:vAlign w:val="center"/>
          </w:tcPr>
          <w:p w14:paraId="35ECC55B">
            <w:pPr>
              <w:adjustRightInd w:val="0"/>
              <w:snapToGrid w:val="0"/>
              <w:jc w:val="center"/>
              <w:rPr>
                <w:color w:val="auto"/>
              </w:rPr>
            </w:pPr>
          </w:p>
        </w:tc>
        <w:tc>
          <w:tcPr>
            <w:tcW w:w="838" w:type="pct"/>
            <w:vAlign w:val="center"/>
          </w:tcPr>
          <w:p w14:paraId="575BF505">
            <w:pPr>
              <w:adjustRightInd w:val="0"/>
              <w:snapToGrid w:val="0"/>
              <w:jc w:val="center"/>
              <w:rPr>
                <w:color w:val="auto"/>
                <w:szCs w:val="21"/>
              </w:rPr>
            </w:pPr>
            <w:r>
              <w:rPr>
                <w:rFonts w:hint="eastAsia"/>
                <w:color w:val="auto"/>
                <w:szCs w:val="21"/>
              </w:rPr>
              <w:t>TVOC</w:t>
            </w:r>
          </w:p>
        </w:tc>
        <w:tc>
          <w:tcPr>
            <w:tcW w:w="638" w:type="pct"/>
            <w:vMerge w:val="continue"/>
            <w:vAlign w:val="center"/>
          </w:tcPr>
          <w:p w14:paraId="7DD3AD29">
            <w:pPr>
              <w:adjustRightInd w:val="0"/>
              <w:snapToGrid w:val="0"/>
              <w:jc w:val="center"/>
              <w:rPr>
                <w:color w:val="auto"/>
                <w:szCs w:val="21"/>
              </w:rPr>
            </w:pPr>
          </w:p>
        </w:tc>
        <w:tc>
          <w:tcPr>
            <w:tcW w:w="2025" w:type="pct"/>
            <w:vMerge w:val="restart"/>
            <w:vAlign w:val="center"/>
          </w:tcPr>
          <w:p w14:paraId="3CA6F0C3">
            <w:pPr>
              <w:adjustRightInd w:val="0"/>
              <w:snapToGrid w:val="0"/>
              <w:jc w:val="center"/>
              <w:rPr>
                <w:color w:val="auto"/>
                <w:szCs w:val="21"/>
              </w:rPr>
            </w:pPr>
            <w:r>
              <w:rPr>
                <w:color w:val="auto"/>
                <w:szCs w:val="21"/>
              </w:rPr>
              <w:t>广东省《固定污染源挥发性有机物综合排放标准》（DB44/2367-2022）中表1挥发性有机物排放限值</w:t>
            </w:r>
          </w:p>
        </w:tc>
      </w:tr>
      <w:tr w14:paraId="319E8F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9" w:type="pct"/>
            <w:vMerge w:val="continue"/>
            <w:vAlign w:val="center"/>
          </w:tcPr>
          <w:p w14:paraId="233EC2D6">
            <w:pPr>
              <w:adjustRightInd w:val="0"/>
              <w:snapToGrid w:val="0"/>
              <w:jc w:val="center"/>
              <w:rPr>
                <w:color w:val="auto"/>
              </w:rPr>
            </w:pPr>
          </w:p>
        </w:tc>
        <w:tc>
          <w:tcPr>
            <w:tcW w:w="228" w:type="pct"/>
            <w:vMerge w:val="continue"/>
            <w:vAlign w:val="center"/>
          </w:tcPr>
          <w:p w14:paraId="39C55FE3">
            <w:pPr>
              <w:adjustRightInd w:val="0"/>
              <w:snapToGrid w:val="0"/>
              <w:jc w:val="center"/>
              <w:rPr>
                <w:color w:val="auto"/>
              </w:rPr>
            </w:pPr>
          </w:p>
        </w:tc>
        <w:tc>
          <w:tcPr>
            <w:tcW w:w="499" w:type="pct"/>
            <w:vMerge w:val="continue"/>
            <w:vAlign w:val="center"/>
          </w:tcPr>
          <w:p w14:paraId="63FC60A1">
            <w:pPr>
              <w:adjustRightInd w:val="0"/>
              <w:snapToGrid w:val="0"/>
              <w:jc w:val="center"/>
              <w:rPr>
                <w:color w:val="auto"/>
              </w:rPr>
            </w:pPr>
          </w:p>
        </w:tc>
        <w:tc>
          <w:tcPr>
            <w:tcW w:w="838" w:type="pct"/>
            <w:vAlign w:val="center"/>
          </w:tcPr>
          <w:p w14:paraId="6413E02B">
            <w:pPr>
              <w:adjustRightInd w:val="0"/>
              <w:snapToGrid w:val="0"/>
              <w:jc w:val="center"/>
              <w:rPr>
                <w:color w:val="auto"/>
                <w:szCs w:val="21"/>
              </w:rPr>
            </w:pPr>
            <w:r>
              <w:rPr>
                <w:rFonts w:hint="eastAsia"/>
                <w:color w:val="auto"/>
                <w:szCs w:val="21"/>
              </w:rPr>
              <w:t>NMHC</w:t>
            </w:r>
          </w:p>
        </w:tc>
        <w:tc>
          <w:tcPr>
            <w:tcW w:w="638" w:type="pct"/>
            <w:vMerge w:val="continue"/>
            <w:vAlign w:val="center"/>
          </w:tcPr>
          <w:p w14:paraId="698BD019">
            <w:pPr>
              <w:adjustRightInd w:val="0"/>
              <w:snapToGrid w:val="0"/>
              <w:jc w:val="center"/>
              <w:rPr>
                <w:color w:val="auto"/>
                <w:szCs w:val="21"/>
              </w:rPr>
            </w:pPr>
          </w:p>
        </w:tc>
        <w:tc>
          <w:tcPr>
            <w:tcW w:w="2025" w:type="pct"/>
            <w:vMerge w:val="continue"/>
            <w:vAlign w:val="center"/>
          </w:tcPr>
          <w:p w14:paraId="33BB404D">
            <w:pPr>
              <w:adjustRightInd w:val="0"/>
              <w:snapToGrid w:val="0"/>
              <w:jc w:val="center"/>
              <w:rPr>
                <w:color w:val="auto"/>
                <w:szCs w:val="21"/>
              </w:rPr>
            </w:pPr>
          </w:p>
        </w:tc>
      </w:tr>
      <w:tr w14:paraId="3D1785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69" w:type="pct"/>
            <w:vMerge w:val="continue"/>
            <w:vAlign w:val="center"/>
          </w:tcPr>
          <w:p w14:paraId="2AE2F80F">
            <w:pPr>
              <w:adjustRightInd w:val="0"/>
              <w:snapToGrid w:val="0"/>
              <w:jc w:val="center"/>
              <w:rPr>
                <w:color w:val="auto"/>
                <w:szCs w:val="21"/>
              </w:rPr>
            </w:pPr>
          </w:p>
        </w:tc>
        <w:tc>
          <w:tcPr>
            <w:tcW w:w="228" w:type="pct"/>
            <w:vMerge w:val="continue"/>
            <w:vAlign w:val="center"/>
          </w:tcPr>
          <w:p w14:paraId="60532779">
            <w:pPr>
              <w:adjustRightInd w:val="0"/>
              <w:snapToGrid w:val="0"/>
              <w:jc w:val="center"/>
              <w:rPr>
                <w:color w:val="auto"/>
                <w:szCs w:val="21"/>
              </w:rPr>
            </w:pPr>
          </w:p>
        </w:tc>
        <w:tc>
          <w:tcPr>
            <w:tcW w:w="499" w:type="pct"/>
            <w:vMerge w:val="continue"/>
            <w:vAlign w:val="center"/>
          </w:tcPr>
          <w:p w14:paraId="711E267E">
            <w:pPr>
              <w:adjustRightInd w:val="0"/>
              <w:snapToGrid w:val="0"/>
              <w:jc w:val="center"/>
              <w:rPr>
                <w:color w:val="auto"/>
                <w:szCs w:val="21"/>
              </w:rPr>
            </w:pPr>
          </w:p>
        </w:tc>
        <w:tc>
          <w:tcPr>
            <w:tcW w:w="838" w:type="pct"/>
            <w:vAlign w:val="center"/>
          </w:tcPr>
          <w:p w14:paraId="2CB7B24D">
            <w:pPr>
              <w:adjustRightInd w:val="0"/>
              <w:snapToGrid w:val="0"/>
              <w:jc w:val="center"/>
              <w:rPr>
                <w:color w:val="auto"/>
                <w:szCs w:val="21"/>
              </w:rPr>
            </w:pPr>
            <w:r>
              <w:rPr>
                <w:color w:val="auto"/>
                <w:szCs w:val="21"/>
              </w:rPr>
              <w:t>二氧化硫、氮氧化物</w:t>
            </w:r>
          </w:p>
        </w:tc>
        <w:tc>
          <w:tcPr>
            <w:tcW w:w="638" w:type="pct"/>
            <w:vMerge w:val="continue"/>
            <w:vAlign w:val="center"/>
          </w:tcPr>
          <w:p w14:paraId="1E3FF7A3">
            <w:pPr>
              <w:adjustRightInd w:val="0"/>
              <w:snapToGrid w:val="0"/>
              <w:jc w:val="center"/>
              <w:rPr>
                <w:color w:val="auto"/>
                <w:szCs w:val="21"/>
              </w:rPr>
            </w:pPr>
          </w:p>
        </w:tc>
        <w:tc>
          <w:tcPr>
            <w:tcW w:w="2025" w:type="pct"/>
            <w:vAlign w:val="center"/>
          </w:tcPr>
          <w:p w14:paraId="170BDC85">
            <w:pPr>
              <w:adjustRightInd w:val="0"/>
              <w:snapToGrid w:val="0"/>
              <w:jc w:val="center"/>
              <w:rPr>
                <w:color w:val="auto"/>
                <w:szCs w:val="21"/>
              </w:rPr>
            </w:pPr>
            <w:r>
              <w:rPr>
                <w:bCs/>
                <w:color w:val="auto"/>
                <w:szCs w:val="21"/>
              </w:rPr>
              <w:t>《工业炉窑大气污染综合治理方案》（大气[2019]56号）重点区域排放限值</w:t>
            </w:r>
          </w:p>
        </w:tc>
      </w:tr>
      <w:tr w14:paraId="49642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69" w:type="pct"/>
            <w:vMerge w:val="continue"/>
            <w:vAlign w:val="center"/>
          </w:tcPr>
          <w:p w14:paraId="4A6B44A5">
            <w:pPr>
              <w:adjustRightInd w:val="0"/>
              <w:snapToGrid w:val="0"/>
              <w:jc w:val="center"/>
              <w:rPr>
                <w:color w:val="auto"/>
                <w:szCs w:val="21"/>
              </w:rPr>
            </w:pPr>
          </w:p>
        </w:tc>
        <w:tc>
          <w:tcPr>
            <w:tcW w:w="228" w:type="pct"/>
            <w:vMerge w:val="continue"/>
            <w:vAlign w:val="center"/>
          </w:tcPr>
          <w:p w14:paraId="1035404A">
            <w:pPr>
              <w:adjustRightInd w:val="0"/>
              <w:snapToGrid w:val="0"/>
              <w:jc w:val="center"/>
              <w:rPr>
                <w:color w:val="auto"/>
                <w:szCs w:val="21"/>
              </w:rPr>
            </w:pPr>
          </w:p>
        </w:tc>
        <w:tc>
          <w:tcPr>
            <w:tcW w:w="499" w:type="pct"/>
            <w:vMerge w:val="continue"/>
            <w:vAlign w:val="center"/>
          </w:tcPr>
          <w:p w14:paraId="65F02242">
            <w:pPr>
              <w:adjustRightInd w:val="0"/>
              <w:snapToGrid w:val="0"/>
              <w:jc w:val="center"/>
              <w:rPr>
                <w:color w:val="auto"/>
                <w:szCs w:val="21"/>
              </w:rPr>
            </w:pPr>
          </w:p>
        </w:tc>
        <w:tc>
          <w:tcPr>
            <w:tcW w:w="838" w:type="pct"/>
            <w:vAlign w:val="center"/>
          </w:tcPr>
          <w:p w14:paraId="485F33D7">
            <w:pPr>
              <w:adjustRightInd w:val="0"/>
              <w:snapToGrid w:val="0"/>
              <w:jc w:val="center"/>
              <w:rPr>
                <w:color w:val="auto"/>
                <w:szCs w:val="21"/>
              </w:rPr>
            </w:pPr>
            <w:r>
              <w:rPr>
                <w:rFonts w:hint="eastAsia"/>
                <w:color w:val="auto"/>
                <w:szCs w:val="21"/>
              </w:rPr>
              <w:t>臭气浓度</w:t>
            </w:r>
          </w:p>
        </w:tc>
        <w:tc>
          <w:tcPr>
            <w:tcW w:w="638" w:type="pct"/>
            <w:vMerge w:val="continue"/>
            <w:vAlign w:val="center"/>
          </w:tcPr>
          <w:p w14:paraId="07548E3C">
            <w:pPr>
              <w:adjustRightInd w:val="0"/>
              <w:snapToGrid w:val="0"/>
              <w:jc w:val="center"/>
              <w:rPr>
                <w:color w:val="auto"/>
                <w:szCs w:val="21"/>
              </w:rPr>
            </w:pPr>
          </w:p>
        </w:tc>
        <w:tc>
          <w:tcPr>
            <w:tcW w:w="2025" w:type="pct"/>
            <w:vAlign w:val="center"/>
          </w:tcPr>
          <w:p w14:paraId="51E14014">
            <w:pPr>
              <w:adjustRightInd w:val="0"/>
              <w:snapToGrid w:val="0"/>
              <w:jc w:val="center"/>
              <w:rPr>
                <w:color w:val="auto"/>
                <w:szCs w:val="21"/>
              </w:rPr>
            </w:pPr>
            <w:r>
              <w:rPr>
                <w:rFonts w:hint="eastAsia"/>
                <w:color w:val="auto"/>
                <w:szCs w:val="21"/>
                <w:lang w:bidi="ar"/>
              </w:rPr>
              <w:t>《恶臭污染物排放标准》（GB14554-93）表2臭气浓度排气筒高度50m排放标准值</w:t>
            </w:r>
          </w:p>
        </w:tc>
      </w:tr>
      <w:tr w14:paraId="1F5B7A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9" w:type="pct"/>
            <w:vMerge w:val="continue"/>
            <w:vAlign w:val="center"/>
          </w:tcPr>
          <w:p w14:paraId="22267B55">
            <w:pPr>
              <w:adjustRightInd w:val="0"/>
              <w:snapToGrid w:val="0"/>
              <w:jc w:val="center"/>
              <w:rPr>
                <w:color w:val="auto"/>
                <w:szCs w:val="21"/>
              </w:rPr>
            </w:pPr>
          </w:p>
        </w:tc>
        <w:tc>
          <w:tcPr>
            <w:tcW w:w="228" w:type="pct"/>
            <w:vMerge w:val="continue"/>
            <w:vAlign w:val="center"/>
          </w:tcPr>
          <w:p w14:paraId="39563C81">
            <w:pPr>
              <w:adjustRightInd w:val="0"/>
              <w:snapToGrid w:val="0"/>
              <w:jc w:val="center"/>
              <w:rPr>
                <w:color w:val="auto"/>
                <w:szCs w:val="21"/>
              </w:rPr>
            </w:pPr>
          </w:p>
        </w:tc>
        <w:tc>
          <w:tcPr>
            <w:tcW w:w="499" w:type="pct"/>
            <w:vMerge w:val="restart"/>
            <w:vAlign w:val="center"/>
          </w:tcPr>
          <w:p w14:paraId="3C5BE56C">
            <w:pPr>
              <w:adjustRightInd w:val="0"/>
              <w:snapToGrid w:val="0"/>
              <w:jc w:val="center"/>
              <w:rPr>
                <w:color w:val="auto"/>
                <w:szCs w:val="21"/>
              </w:rPr>
            </w:pPr>
            <w:r>
              <w:rPr>
                <w:color w:val="auto"/>
                <w:szCs w:val="21"/>
              </w:rPr>
              <w:t>DA006</w:t>
            </w:r>
          </w:p>
        </w:tc>
        <w:tc>
          <w:tcPr>
            <w:tcW w:w="838" w:type="pct"/>
            <w:vAlign w:val="center"/>
          </w:tcPr>
          <w:p w14:paraId="2C7D41CB">
            <w:pPr>
              <w:adjustRightInd w:val="0"/>
              <w:snapToGrid w:val="0"/>
              <w:jc w:val="center"/>
              <w:rPr>
                <w:color w:val="auto"/>
                <w:szCs w:val="21"/>
              </w:rPr>
            </w:pPr>
            <w:r>
              <w:rPr>
                <w:rFonts w:hint="eastAsia"/>
                <w:color w:val="auto"/>
                <w:szCs w:val="21"/>
              </w:rPr>
              <w:t>硫酸雾</w:t>
            </w:r>
          </w:p>
        </w:tc>
        <w:tc>
          <w:tcPr>
            <w:tcW w:w="638" w:type="pct"/>
            <w:vMerge w:val="restart"/>
            <w:vAlign w:val="center"/>
          </w:tcPr>
          <w:p w14:paraId="5C51CF41">
            <w:pPr>
              <w:adjustRightInd w:val="0"/>
              <w:snapToGrid w:val="0"/>
              <w:jc w:val="center"/>
              <w:rPr>
                <w:color w:val="auto"/>
              </w:rPr>
            </w:pPr>
            <w:r>
              <w:rPr>
                <w:rFonts w:hint="eastAsia"/>
                <w:color w:val="auto"/>
              </w:rPr>
              <w:t>碱液喷淋塔</w:t>
            </w:r>
          </w:p>
        </w:tc>
        <w:tc>
          <w:tcPr>
            <w:tcW w:w="2025" w:type="pct"/>
            <w:vAlign w:val="center"/>
          </w:tcPr>
          <w:p w14:paraId="4988C788">
            <w:pPr>
              <w:adjustRightInd w:val="0"/>
              <w:snapToGrid w:val="0"/>
              <w:jc w:val="center"/>
              <w:rPr>
                <w:bCs/>
                <w:color w:val="auto"/>
                <w:szCs w:val="21"/>
              </w:rPr>
            </w:pPr>
            <w:r>
              <w:rPr>
                <w:bCs/>
                <w:color w:val="auto"/>
                <w:szCs w:val="21"/>
              </w:rPr>
              <w:t>广东省《大气污染物排放限值》(DB44/27-2001)中第二时段二级标准</w:t>
            </w:r>
          </w:p>
        </w:tc>
      </w:tr>
      <w:tr w14:paraId="5016B5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9" w:type="pct"/>
            <w:vMerge w:val="continue"/>
            <w:vAlign w:val="center"/>
          </w:tcPr>
          <w:p w14:paraId="13850438">
            <w:pPr>
              <w:adjustRightInd w:val="0"/>
              <w:snapToGrid w:val="0"/>
              <w:jc w:val="center"/>
              <w:rPr>
                <w:color w:val="auto"/>
              </w:rPr>
            </w:pPr>
          </w:p>
        </w:tc>
        <w:tc>
          <w:tcPr>
            <w:tcW w:w="228" w:type="pct"/>
            <w:vMerge w:val="continue"/>
            <w:vAlign w:val="center"/>
          </w:tcPr>
          <w:p w14:paraId="70FF97F5">
            <w:pPr>
              <w:adjustRightInd w:val="0"/>
              <w:snapToGrid w:val="0"/>
              <w:jc w:val="center"/>
              <w:rPr>
                <w:color w:val="auto"/>
              </w:rPr>
            </w:pPr>
          </w:p>
        </w:tc>
        <w:tc>
          <w:tcPr>
            <w:tcW w:w="499" w:type="pct"/>
            <w:vMerge w:val="continue"/>
            <w:vAlign w:val="center"/>
          </w:tcPr>
          <w:p w14:paraId="18757403">
            <w:pPr>
              <w:adjustRightInd w:val="0"/>
              <w:snapToGrid w:val="0"/>
              <w:jc w:val="center"/>
              <w:rPr>
                <w:color w:val="auto"/>
              </w:rPr>
            </w:pPr>
          </w:p>
        </w:tc>
        <w:tc>
          <w:tcPr>
            <w:tcW w:w="838" w:type="pct"/>
            <w:vAlign w:val="center"/>
          </w:tcPr>
          <w:p w14:paraId="6CF0610B">
            <w:pPr>
              <w:adjustRightInd w:val="0"/>
              <w:snapToGrid w:val="0"/>
              <w:jc w:val="center"/>
              <w:rPr>
                <w:color w:val="auto"/>
                <w:szCs w:val="21"/>
              </w:rPr>
            </w:pPr>
            <w:r>
              <w:rPr>
                <w:color w:val="auto"/>
                <w:szCs w:val="21"/>
              </w:rPr>
              <w:t>颗粒物、二氧化硫、氮氧化物</w:t>
            </w:r>
          </w:p>
        </w:tc>
        <w:tc>
          <w:tcPr>
            <w:tcW w:w="638" w:type="pct"/>
            <w:vMerge w:val="continue"/>
            <w:vAlign w:val="center"/>
          </w:tcPr>
          <w:p w14:paraId="5CC7C78C">
            <w:pPr>
              <w:adjustRightInd w:val="0"/>
              <w:snapToGrid w:val="0"/>
              <w:jc w:val="center"/>
              <w:rPr>
                <w:color w:val="auto"/>
                <w:szCs w:val="21"/>
              </w:rPr>
            </w:pPr>
          </w:p>
        </w:tc>
        <w:tc>
          <w:tcPr>
            <w:tcW w:w="2025" w:type="pct"/>
            <w:vAlign w:val="center"/>
          </w:tcPr>
          <w:p w14:paraId="773F3D11">
            <w:pPr>
              <w:adjustRightInd w:val="0"/>
              <w:snapToGrid w:val="0"/>
              <w:jc w:val="center"/>
              <w:rPr>
                <w:color w:val="auto"/>
                <w:szCs w:val="21"/>
              </w:rPr>
            </w:pPr>
            <w:r>
              <w:rPr>
                <w:bCs/>
                <w:color w:val="auto"/>
                <w:szCs w:val="21"/>
              </w:rPr>
              <w:t>《工业炉窑大气污染综合治理方案》（大气[2019]56号）重点区域排放限值</w:t>
            </w:r>
          </w:p>
        </w:tc>
      </w:tr>
      <w:tr w14:paraId="2623FC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Merge w:val="continue"/>
            <w:vAlign w:val="center"/>
          </w:tcPr>
          <w:p w14:paraId="122ABCB6">
            <w:pPr>
              <w:adjustRightInd w:val="0"/>
              <w:snapToGrid w:val="0"/>
              <w:jc w:val="center"/>
              <w:rPr>
                <w:color w:val="auto"/>
                <w:szCs w:val="21"/>
              </w:rPr>
            </w:pPr>
          </w:p>
        </w:tc>
        <w:tc>
          <w:tcPr>
            <w:tcW w:w="228" w:type="pct"/>
            <w:vMerge w:val="restart"/>
            <w:vAlign w:val="center"/>
          </w:tcPr>
          <w:p w14:paraId="0C964153">
            <w:pPr>
              <w:adjustRightInd w:val="0"/>
              <w:snapToGrid w:val="0"/>
              <w:jc w:val="center"/>
              <w:rPr>
                <w:color w:val="auto"/>
                <w:szCs w:val="21"/>
              </w:rPr>
            </w:pPr>
            <w:r>
              <w:rPr>
                <w:color w:val="auto"/>
                <w:szCs w:val="21"/>
              </w:rPr>
              <w:t>无组织</w:t>
            </w:r>
          </w:p>
        </w:tc>
        <w:tc>
          <w:tcPr>
            <w:tcW w:w="499" w:type="pct"/>
            <w:vAlign w:val="center"/>
          </w:tcPr>
          <w:p w14:paraId="7B54D142">
            <w:pPr>
              <w:adjustRightInd w:val="0"/>
              <w:snapToGrid w:val="0"/>
              <w:jc w:val="center"/>
              <w:rPr>
                <w:color w:val="auto"/>
                <w:szCs w:val="21"/>
              </w:rPr>
            </w:pPr>
            <w:r>
              <w:rPr>
                <w:color w:val="auto"/>
                <w:szCs w:val="21"/>
              </w:rPr>
              <w:t>厂区内</w:t>
            </w:r>
          </w:p>
        </w:tc>
        <w:tc>
          <w:tcPr>
            <w:tcW w:w="838" w:type="pct"/>
            <w:vAlign w:val="center"/>
          </w:tcPr>
          <w:p w14:paraId="7FECD572">
            <w:pPr>
              <w:adjustRightInd w:val="0"/>
              <w:snapToGrid w:val="0"/>
              <w:jc w:val="center"/>
              <w:rPr>
                <w:color w:val="auto"/>
                <w:szCs w:val="21"/>
              </w:rPr>
            </w:pPr>
            <w:r>
              <w:rPr>
                <w:color w:val="auto"/>
                <w:szCs w:val="21"/>
              </w:rPr>
              <w:t>NMHC</w:t>
            </w:r>
          </w:p>
        </w:tc>
        <w:tc>
          <w:tcPr>
            <w:tcW w:w="638" w:type="pct"/>
            <w:vMerge w:val="restart"/>
            <w:vAlign w:val="center"/>
          </w:tcPr>
          <w:p w14:paraId="3BC57C03">
            <w:pPr>
              <w:adjustRightInd w:val="0"/>
              <w:snapToGrid w:val="0"/>
              <w:jc w:val="center"/>
              <w:rPr>
                <w:color w:val="auto"/>
                <w:szCs w:val="21"/>
              </w:rPr>
            </w:pPr>
            <w:r>
              <w:rPr>
                <w:color w:val="auto"/>
                <w:szCs w:val="21"/>
              </w:rPr>
              <w:t>加强车间通风</w:t>
            </w:r>
          </w:p>
        </w:tc>
        <w:tc>
          <w:tcPr>
            <w:tcW w:w="2025" w:type="pct"/>
            <w:vAlign w:val="center"/>
          </w:tcPr>
          <w:p w14:paraId="223353D6">
            <w:pPr>
              <w:adjustRightInd w:val="0"/>
              <w:snapToGrid w:val="0"/>
              <w:jc w:val="center"/>
              <w:rPr>
                <w:color w:val="auto"/>
                <w:szCs w:val="21"/>
              </w:rPr>
            </w:pPr>
            <w:r>
              <w:rPr>
                <w:color w:val="auto"/>
                <w:szCs w:val="21"/>
              </w:rPr>
              <w:t>广东省《固定污染源挥发性有机物综合排放标准》（DB44/2367-2022）中表3厂区内VOCs无组织排放限值</w:t>
            </w:r>
          </w:p>
        </w:tc>
      </w:tr>
      <w:tr w14:paraId="076F77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Merge w:val="continue"/>
            <w:vAlign w:val="center"/>
          </w:tcPr>
          <w:p w14:paraId="4DAAF52D">
            <w:pPr>
              <w:adjustRightInd w:val="0"/>
              <w:snapToGrid w:val="0"/>
              <w:jc w:val="center"/>
              <w:rPr>
                <w:color w:val="auto"/>
                <w:szCs w:val="21"/>
              </w:rPr>
            </w:pPr>
          </w:p>
        </w:tc>
        <w:tc>
          <w:tcPr>
            <w:tcW w:w="228" w:type="pct"/>
            <w:vMerge w:val="continue"/>
            <w:vAlign w:val="center"/>
          </w:tcPr>
          <w:p w14:paraId="328C9A76">
            <w:pPr>
              <w:adjustRightInd w:val="0"/>
              <w:snapToGrid w:val="0"/>
              <w:jc w:val="center"/>
              <w:rPr>
                <w:color w:val="auto"/>
                <w:szCs w:val="21"/>
              </w:rPr>
            </w:pPr>
          </w:p>
        </w:tc>
        <w:tc>
          <w:tcPr>
            <w:tcW w:w="499" w:type="pct"/>
            <w:vMerge w:val="restart"/>
            <w:vAlign w:val="center"/>
          </w:tcPr>
          <w:p w14:paraId="570E75E9">
            <w:pPr>
              <w:adjustRightInd w:val="0"/>
              <w:snapToGrid w:val="0"/>
              <w:jc w:val="center"/>
              <w:rPr>
                <w:color w:val="auto"/>
                <w:szCs w:val="21"/>
              </w:rPr>
            </w:pPr>
            <w:r>
              <w:rPr>
                <w:color w:val="auto"/>
                <w:szCs w:val="21"/>
              </w:rPr>
              <w:t>厂界</w:t>
            </w:r>
          </w:p>
        </w:tc>
        <w:tc>
          <w:tcPr>
            <w:tcW w:w="838" w:type="pct"/>
            <w:vAlign w:val="center"/>
          </w:tcPr>
          <w:p w14:paraId="60CE4BB3">
            <w:pPr>
              <w:adjustRightInd w:val="0"/>
              <w:snapToGrid w:val="0"/>
              <w:jc w:val="center"/>
              <w:rPr>
                <w:color w:val="auto"/>
                <w:szCs w:val="21"/>
              </w:rPr>
            </w:pPr>
            <w:r>
              <w:rPr>
                <w:bCs/>
                <w:color w:val="auto"/>
                <w:szCs w:val="21"/>
              </w:rPr>
              <w:t>颗粒物</w:t>
            </w:r>
          </w:p>
        </w:tc>
        <w:tc>
          <w:tcPr>
            <w:tcW w:w="638" w:type="pct"/>
            <w:vMerge w:val="continue"/>
            <w:vAlign w:val="center"/>
          </w:tcPr>
          <w:p w14:paraId="653B0CFC">
            <w:pPr>
              <w:adjustRightInd w:val="0"/>
              <w:snapToGrid w:val="0"/>
              <w:jc w:val="center"/>
              <w:rPr>
                <w:color w:val="auto"/>
                <w:szCs w:val="21"/>
              </w:rPr>
            </w:pPr>
          </w:p>
        </w:tc>
        <w:tc>
          <w:tcPr>
            <w:tcW w:w="2025" w:type="pct"/>
            <w:vAlign w:val="center"/>
          </w:tcPr>
          <w:p w14:paraId="256DFC29">
            <w:pPr>
              <w:adjustRightInd w:val="0"/>
              <w:snapToGrid w:val="0"/>
              <w:jc w:val="center"/>
              <w:rPr>
                <w:color w:val="auto"/>
                <w:szCs w:val="21"/>
              </w:rPr>
            </w:pPr>
            <w:r>
              <w:rPr>
                <w:rFonts w:hint="eastAsia"/>
                <w:color w:val="auto"/>
                <w:szCs w:val="21"/>
              </w:rPr>
              <w:t>《工业炉窑大气污染物排放标准》（GB9078-1996）表3其他炉窑无组织排放烟（粉）尘最高允许浓度和</w:t>
            </w:r>
            <w:r>
              <w:rPr>
                <w:color w:val="auto"/>
                <w:szCs w:val="21"/>
              </w:rPr>
              <w:t>广东省《大气污染物排放限值》（DB44/27-2001）第二时段无组织排放监控浓度限值</w:t>
            </w:r>
            <w:r>
              <w:rPr>
                <w:rFonts w:hint="eastAsia"/>
                <w:color w:val="auto"/>
                <w:szCs w:val="21"/>
              </w:rPr>
              <w:t>的较严者</w:t>
            </w:r>
          </w:p>
        </w:tc>
      </w:tr>
      <w:tr w14:paraId="78785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69" w:type="pct"/>
            <w:vMerge w:val="continue"/>
            <w:vAlign w:val="center"/>
          </w:tcPr>
          <w:p w14:paraId="5A55C08F">
            <w:pPr>
              <w:adjustRightInd w:val="0"/>
              <w:snapToGrid w:val="0"/>
              <w:jc w:val="center"/>
              <w:rPr>
                <w:color w:val="auto"/>
                <w:szCs w:val="21"/>
              </w:rPr>
            </w:pPr>
          </w:p>
        </w:tc>
        <w:tc>
          <w:tcPr>
            <w:tcW w:w="228" w:type="pct"/>
            <w:vMerge w:val="continue"/>
            <w:vAlign w:val="center"/>
          </w:tcPr>
          <w:p w14:paraId="26C90A0A">
            <w:pPr>
              <w:adjustRightInd w:val="0"/>
              <w:snapToGrid w:val="0"/>
              <w:jc w:val="center"/>
              <w:rPr>
                <w:color w:val="auto"/>
                <w:szCs w:val="21"/>
              </w:rPr>
            </w:pPr>
          </w:p>
        </w:tc>
        <w:tc>
          <w:tcPr>
            <w:tcW w:w="499" w:type="pct"/>
            <w:vMerge w:val="continue"/>
            <w:vAlign w:val="center"/>
          </w:tcPr>
          <w:p w14:paraId="0992DE2E">
            <w:pPr>
              <w:adjustRightInd w:val="0"/>
              <w:snapToGrid w:val="0"/>
              <w:jc w:val="center"/>
              <w:rPr>
                <w:color w:val="auto"/>
                <w:szCs w:val="21"/>
              </w:rPr>
            </w:pPr>
          </w:p>
        </w:tc>
        <w:tc>
          <w:tcPr>
            <w:tcW w:w="838" w:type="pct"/>
            <w:vAlign w:val="center"/>
          </w:tcPr>
          <w:p w14:paraId="62623532">
            <w:pPr>
              <w:pStyle w:val="2"/>
              <w:tabs>
                <w:tab w:val="left" w:pos="-2793"/>
              </w:tabs>
              <w:spacing w:before="0" w:after="0" w:line="240" w:lineRule="auto"/>
              <w:ind w:right="0"/>
              <w:jc w:val="center"/>
              <w:rPr>
                <w:bCs/>
                <w:color w:val="auto"/>
                <w:szCs w:val="21"/>
              </w:rPr>
            </w:pPr>
            <w:r>
              <w:rPr>
                <w:color w:val="auto"/>
                <w:sz w:val="21"/>
                <w:szCs w:val="21"/>
              </w:rPr>
              <w:t>硫酸雾</w:t>
            </w:r>
          </w:p>
        </w:tc>
        <w:tc>
          <w:tcPr>
            <w:tcW w:w="638" w:type="pct"/>
            <w:vMerge w:val="continue"/>
            <w:vAlign w:val="center"/>
          </w:tcPr>
          <w:p w14:paraId="6C9F98A0">
            <w:pPr>
              <w:adjustRightInd w:val="0"/>
              <w:snapToGrid w:val="0"/>
              <w:jc w:val="center"/>
              <w:rPr>
                <w:color w:val="auto"/>
                <w:szCs w:val="21"/>
              </w:rPr>
            </w:pPr>
          </w:p>
        </w:tc>
        <w:tc>
          <w:tcPr>
            <w:tcW w:w="2025" w:type="pct"/>
            <w:vMerge w:val="restart"/>
            <w:vAlign w:val="center"/>
          </w:tcPr>
          <w:p w14:paraId="41AF2DAF">
            <w:pPr>
              <w:adjustRightInd w:val="0"/>
              <w:snapToGrid w:val="0"/>
              <w:jc w:val="center"/>
              <w:rPr>
                <w:color w:val="auto"/>
                <w:szCs w:val="21"/>
              </w:rPr>
            </w:pPr>
            <w:r>
              <w:rPr>
                <w:color w:val="auto"/>
                <w:szCs w:val="21"/>
              </w:rPr>
              <w:t>广东省《大气污染物排放限值》（DB44/27-2001）第二时段无组织排放监控浓度限值</w:t>
            </w:r>
          </w:p>
        </w:tc>
      </w:tr>
      <w:tr w14:paraId="0DBABA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69" w:type="pct"/>
            <w:vMerge w:val="continue"/>
            <w:vAlign w:val="center"/>
          </w:tcPr>
          <w:p w14:paraId="3C2C4F7A">
            <w:pPr>
              <w:adjustRightInd w:val="0"/>
              <w:snapToGrid w:val="0"/>
              <w:jc w:val="center"/>
              <w:rPr>
                <w:color w:val="auto"/>
              </w:rPr>
            </w:pPr>
          </w:p>
        </w:tc>
        <w:tc>
          <w:tcPr>
            <w:tcW w:w="228" w:type="pct"/>
            <w:vMerge w:val="continue"/>
            <w:vAlign w:val="center"/>
          </w:tcPr>
          <w:p w14:paraId="0AF1D490">
            <w:pPr>
              <w:adjustRightInd w:val="0"/>
              <w:snapToGrid w:val="0"/>
              <w:jc w:val="center"/>
              <w:rPr>
                <w:color w:val="auto"/>
              </w:rPr>
            </w:pPr>
          </w:p>
        </w:tc>
        <w:tc>
          <w:tcPr>
            <w:tcW w:w="499" w:type="pct"/>
            <w:vMerge w:val="continue"/>
            <w:vAlign w:val="center"/>
          </w:tcPr>
          <w:p w14:paraId="7A745899">
            <w:pPr>
              <w:adjustRightInd w:val="0"/>
              <w:snapToGrid w:val="0"/>
              <w:jc w:val="center"/>
              <w:rPr>
                <w:color w:val="auto"/>
              </w:rPr>
            </w:pPr>
          </w:p>
        </w:tc>
        <w:tc>
          <w:tcPr>
            <w:tcW w:w="838" w:type="pct"/>
            <w:vAlign w:val="center"/>
          </w:tcPr>
          <w:p w14:paraId="5C77DFF0">
            <w:pPr>
              <w:snapToGrid w:val="0"/>
              <w:jc w:val="center"/>
              <w:rPr>
                <w:color w:val="auto"/>
                <w:szCs w:val="21"/>
              </w:rPr>
            </w:pPr>
            <w:r>
              <w:rPr>
                <w:color w:val="auto"/>
                <w:szCs w:val="21"/>
              </w:rPr>
              <w:t>二氧化硫</w:t>
            </w:r>
          </w:p>
        </w:tc>
        <w:tc>
          <w:tcPr>
            <w:tcW w:w="638" w:type="pct"/>
            <w:vMerge w:val="continue"/>
            <w:vAlign w:val="center"/>
          </w:tcPr>
          <w:p w14:paraId="7DD6EBDA">
            <w:pPr>
              <w:adjustRightInd w:val="0"/>
              <w:snapToGrid w:val="0"/>
              <w:jc w:val="center"/>
              <w:rPr>
                <w:color w:val="auto"/>
                <w:szCs w:val="21"/>
              </w:rPr>
            </w:pPr>
          </w:p>
        </w:tc>
        <w:tc>
          <w:tcPr>
            <w:tcW w:w="2025" w:type="pct"/>
            <w:vMerge w:val="continue"/>
            <w:vAlign w:val="center"/>
          </w:tcPr>
          <w:p w14:paraId="3922F917">
            <w:pPr>
              <w:adjustRightInd w:val="0"/>
              <w:snapToGrid w:val="0"/>
              <w:jc w:val="center"/>
              <w:rPr>
                <w:color w:val="auto"/>
                <w:szCs w:val="21"/>
              </w:rPr>
            </w:pPr>
          </w:p>
        </w:tc>
      </w:tr>
      <w:tr w14:paraId="57C36D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Merge w:val="continue"/>
            <w:vAlign w:val="center"/>
          </w:tcPr>
          <w:p w14:paraId="4F957837">
            <w:pPr>
              <w:adjustRightInd w:val="0"/>
              <w:snapToGrid w:val="0"/>
              <w:jc w:val="center"/>
              <w:rPr>
                <w:color w:val="auto"/>
                <w:szCs w:val="21"/>
              </w:rPr>
            </w:pPr>
          </w:p>
        </w:tc>
        <w:tc>
          <w:tcPr>
            <w:tcW w:w="228" w:type="pct"/>
            <w:vMerge w:val="continue"/>
            <w:vAlign w:val="center"/>
          </w:tcPr>
          <w:p w14:paraId="3431C0C1">
            <w:pPr>
              <w:adjustRightInd w:val="0"/>
              <w:snapToGrid w:val="0"/>
              <w:jc w:val="center"/>
              <w:rPr>
                <w:color w:val="auto"/>
                <w:szCs w:val="21"/>
              </w:rPr>
            </w:pPr>
          </w:p>
        </w:tc>
        <w:tc>
          <w:tcPr>
            <w:tcW w:w="499" w:type="pct"/>
            <w:vMerge w:val="continue"/>
            <w:vAlign w:val="center"/>
          </w:tcPr>
          <w:p w14:paraId="73BC7FBB">
            <w:pPr>
              <w:adjustRightInd w:val="0"/>
              <w:snapToGrid w:val="0"/>
              <w:jc w:val="center"/>
              <w:rPr>
                <w:color w:val="auto"/>
                <w:szCs w:val="21"/>
              </w:rPr>
            </w:pPr>
          </w:p>
        </w:tc>
        <w:tc>
          <w:tcPr>
            <w:tcW w:w="838" w:type="pct"/>
            <w:vAlign w:val="center"/>
          </w:tcPr>
          <w:p w14:paraId="217D1E0C">
            <w:pPr>
              <w:snapToGrid w:val="0"/>
              <w:jc w:val="center"/>
              <w:rPr>
                <w:color w:val="auto"/>
                <w:szCs w:val="21"/>
              </w:rPr>
            </w:pPr>
            <w:r>
              <w:rPr>
                <w:color w:val="auto"/>
                <w:szCs w:val="21"/>
              </w:rPr>
              <w:t>氮氧化物</w:t>
            </w:r>
          </w:p>
        </w:tc>
        <w:tc>
          <w:tcPr>
            <w:tcW w:w="638" w:type="pct"/>
            <w:vMerge w:val="continue"/>
            <w:vAlign w:val="center"/>
          </w:tcPr>
          <w:p w14:paraId="57F6889A">
            <w:pPr>
              <w:adjustRightInd w:val="0"/>
              <w:snapToGrid w:val="0"/>
              <w:jc w:val="center"/>
              <w:rPr>
                <w:color w:val="auto"/>
                <w:szCs w:val="21"/>
              </w:rPr>
            </w:pPr>
          </w:p>
        </w:tc>
        <w:tc>
          <w:tcPr>
            <w:tcW w:w="2025" w:type="pct"/>
            <w:vMerge w:val="continue"/>
            <w:vAlign w:val="center"/>
          </w:tcPr>
          <w:p w14:paraId="27E35869">
            <w:pPr>
              <w:adjustRightInd w:val="0"/>
              <w:snapToGrid w:val="0"/>
              <w:jc w:val="center"/>
              <w:rPr>
                <w:color w:val="auto"/>
                <w:szCs w:val="21"/>
              </w:rPr>
            </w:pPr>
          </w:p>
        </w:tc>
      </w:tr>
      <w:tr w14:paraId="599D7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Merge w:val="continue"/>
            <w:vAlign w:val="center"/>
          </w:tcPr>
          <w:p w14:paraId="7F3FC6DC">
            <w:pPr>
              <w:adjustRightInd w:val="0"/>
              <w:snapToGrid w:val="0"/>
              <w:jc w:val="center"/>
              <w:rPr>
                <w:color w:val="auto"/>
                <w:szCs w:val="21"/>
              </w:rPr>
            </w:pPr>
          </w:p>
        </w:tc>
        <w:tc>
          <w:tcPr>
            <w:tcW w:w="228" w:type="pct"/>
            <w:vMerge w:val="continue"/>
            <w:vAlign w:val="center"/>
          </w:tcPr>
          <w:p w14:paraId="4CBCE79F">
            <w:pPr>
              <w:adjustRightInd w:val="0"/>
              <w:snapToGrid w:val="0"/>
              <w:jc w:val="center"/>
              <w:rPr>
                <w:color w:val="auto"/>
                <w:szCs w:val="21"/>
              </w:rPr>
            </w:pPr>
          </w:p>
        </w:tc>
        <w:tc>
          <w:tcPr>
            <w:tcW w:w="499" w:type="pct"/>
            <w:vMerge w:val="continue"/>
            <w:vAlign w:val="center"/>
          </w:tcPr>
          <w:p w14:paraId="060EA8CA">
            <w:pPr>
              <w:adjustRightInd w:val="0"/>
              <w:snapToGrid w:val="0"/>
              <w:jc w:val="center"/>
              <w:rPr>
                <w:color w:val="auto"/>
                <w:szCs w:val="21"/>
              </w:rPr>
            </w:pPr>
          </w:p>
        </w:tc>
        <w:tc>
          <w:tcPr>
            <w:tcW w:w="838" w:type="pct"/>
            <w:vAlign w:val="center"/>
          </w:tcPr>
          <w:p w14:paraId="7B6E01AE">
            <w:pPr>
              <w:adjustRightInd w:val="0"/>
              <w:snapToGrid w:val="0"/>
              <w:jc w:val="center"/>
              <w:rPr>
                <w:color w:val="auto"/>
                <w:szCs w:val="21"/>
              </w:rPr>
            </w:pPr>
            <w:r>
              <w:rPr>
                <w:bCs/>
                <w:color w:val="auto"/>
                <w:szCs w:val="21"/>
              </w:rPr>
              <w:t>NH</w:t>
            </w:r>
            <w:r>
              <w:rPr>
                <w:bCs/>
                <w:color w:val="auto"/>
                <w:szCs w:val="21"/>
                <w:vertAlign w:val="subscript"/>
              </w:rPr>
              <w:t>3</w:t>
            </w:r>
            <w:r>
              <w:rPr>
                <w:bCs/>
                <w:color w:val="auto"/>
                <w:szCs w:val="21"/>
              </w:rPr>
              <w:t>、H</w:t>
            </w:r>
            <w:r>
              <w:rPr>
                <w:bCs/>
                <w:color w:val="auto"/>
                <w:szCs w:val="21"/>
                <w:vertAlign w:val="subscript"/>
              </w:rPr>
              <w:t>2</w:t>
            </w:r>
            <w:r>
              <w:rPr>
                <w:bCs/>
                <w:color w:val="auto"/>
                <w:szCs w:val="21"/>
              </w:rPr>
              <w:t>S、臭气浓度</w:t>
            </w:r>
          </w:p>
        </w:tc>
        <w:tc>
          <w:tcPr>
            <w:tcW w:w="638" w:type="pct"/>
            <w:vAlign w:val="center"/>
          </w:tcPr>
          <w:p w14:paraId="4643682C">
            <w:pPr>
              <w:adjustRightInd w:val="0"/>
              <w:snapToGrid w:val="0"/>
              <w:jc w:val="center"/>
              <w:rPr>
                <w:color w:val="auto"/>
                <w:szCs w:val="21"/>
              </w:rPr>
            </w:pPr>
            <w:r>
              <w:rPr>
                <w:color w:val="auto"/>
                <w:szCs w:val="21"/>
              </w:rPr>
              <w:t>定时喷洒除臭剂</w:t>
            </w:r>
          </w:p>
        </w:tc>
        <w:tc>
          <w:tcPr>
            <w:tcW w:w="2025" w:type="pct"/>
            <w:vAlign w:val="center"/>
          </w:tcPr>
          <w:p w14:paraId="2300327C">
            <w:pPr>
              <w:adjustRightInd w:val="0"/>
              <w:snapToGrid w:val="0"/>
              <w:jc w:val="center"/>
              <w:rPr>
                <w:color w:val="auto"/>
                <w:szCs w:val="21"/>
              </w:rPr>
            </w:pPr>
            <w:r>
              <w:rPr>
                <w:color w:val="auto"/>
                <w:szCs w:val="21"/>
              </w:rPr>
              <w:t>《恶臭污染物排放标准》（GB14554-1993）表1恶臭污染物厂界二级新扩改建标准值</w:t>
            </w:r>
          </w:p>
        </w:tc>
      </w:tr>
      <w:tr w14:paraId="319340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Merge w:val="restart"/>
            <w:vAlign w:val="center"/>
          </w:tcPr>
          <w:p w14:paraId="082B3143">
            <w:pPr>
              <w:adjustRightInd w:val="0"/>
              <w:snapToGrid w:val="0"/>
              <w:jc w:val="center"/>
              <w:rPr>
                <w:color w:val="auto"/>
                <w:szCs w:val="21"/>
              </w:rPr>
            </w:pPr>
            <w:r>
              <w:rPr>
                <w:color w:val="auto"/>
                <w:szCs w:val="21"/>
              </w:rPr>
              <w:t>地表水环境</w:t>
            </w:r>
          </w:p>
        </w:tc>
        <w:tc>
          <w:tcPr>
            <w:tcW w:w="728" w:type="pct"/>
            <w:gridSpan w:val="2"/>
            <w:vAlign w:val="center"/>
          </w:tcPr>
          <w:p w14:paraId="7C0D80D9">
            <w:pPr>
              <w:adjustRightInd w:val="0"/>
              <w:snapToGrid w:val="0"/>
              <w:jc w:val="center"/>
              <w:rPr>
                <w:color w:val="auto"/>
                <w:szCs w:val="21"/>
              </w:rPr>
            </w:pPr>
            <w:r>
              <w:rPr>
                <w:color w:val="auto"/>
                <w:szCs w:val="21"/>
              </w:rPr>
              <w:t>生产废水</w:t>
            </w:r>
          </w:p>
        </w:tc>
        <w:tc>
          <w:tcPr>
            <w:tcW w:w="838" w:type="pct"/>
            <w:vAlign w:val="center"/>
          </w:tcPr>
          <w:p w14:paraId="2D14F6CD">
            <w:pPr>
              <w:adjustRightInd w:val="0"/>
              <w:snapToGrid w:val="0"/>
              <w:jc w:val="center"/>
              <w:rPr>
                <w:color w:val="auto"/>
                <w:szCs w:val="21"/>
              </w:rPr>
            </w:pPr>
            <w:r>
              <w:rPr>
                <w:color w:val="auto"/>
              </w:rPr>
              <w:t>pH、COD</w:t>
            </w:r>
            <w:r>
              <w:rPr>
                <w:rFonts w:hint="eastAsia"/>
                <w:color w:val="auto"/>
                <w:vertAlign w:val="subscript"/>
              </w:rPr>
              <w:t>C</w:t>
            </w:r>
            <w:r>
              <w:rPr>
                <w:color w:val="auto"/>
                <w:vertAlign w:val="subscript"/>
              </w:rPr>
              <w:t>r</w:t>
            </w:r>
            <w:r>
              <w:rPr>
                <w:color w:val="auto"/>
              </w:rPr>
              <w:t>、BOD</w:t>
            </w:r>
            <w:r>
              <w:rPr>
                <w:color w:val="auto"/>
                <w:vertAlign w:val="subscript"/>
              </w:rPr>
              <w:t>5</w:t>
            </w:r>
            <w:r>
              <w:rPr>
                <w:color w:val="auto"/>
              </w:rPr>
              <w:t>、SS、石油类、氨氮、总铁、总锌、总磷</w:t>
            </w:r>
          </w:p>
        </w:tc>
        <w:tc>
          <w:tcPr>
            <w:tcW w:w="638" w:type="pct"/>
            <w:vAlign w:val="center"/>
          </w:tcPr>
          <w:p w14:paraId="184CD497">
            <w:pPr>
              <w:adjustRightInd w:val="0"/>
              <w:snapToGrid w:val="0"/>
              <w:jc w:val="center"/>
              <w:rPr>
                <w:color w:val="auto"/>
                <w:szCs w:val="21"/>
              </w:rPr>
            </w:pPr>
            <w:r>
              <w:rPr>
                <w:color w:val="auto"/>
                <w:szCs w:val="21"/>
              </w:rPr>
              <w:t>自建废水处理</w:t>
            </w:r>
            <w:r>
              <w:rPr>
                <w:rFonts w:hint="eastAsia"/>
                <w:color w:val="auto"/>
                <w:szCs w:val="21"/>
              </w:rPr>
              <w:t>设施</w:t>
            </w:r>
          </w:p>
        </w:tc>
        <w:tc>
          <w:tcPr>
            <w:tcW w:w="2025" w:type="pct"/>
            <w:vAlign w:val="center"/>
          </w:tcPr>
          <w:p w14:paraId="56846E95">
            <w:pPr>
              <w:adjustRightInd w:val="0"/>
              <w:snapToGrid w:val="0"/>
              <w:jc w:val="center"/>
              <w:rPr>
                <w:color w:val="auto"/>
                <w:szCs w:val="21"/>
              </w:rPr>
            </w:pPr>
            <w:r>
              <w:rPr>
                <w:color w:val="auto"/>
                <w:szCs w:val="21"/>
              </w:rPr>
              <w:t>《城市污水再生利用工业用水水质》（GB/T19923-2024）“工艺用水、产品用水和直流冷却水、洗涤用水”水质标准较严值后回用于生产，不外排</w:t>
            </w:r>
          </w:p>
        </w:tc>
      </w:tr>
      <w:tr w14:paraId="2A099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Merge w:val="continue"/>
            <w:vAlign w:val="center"/>
          </w:tcPr>
          <w:p w14:paraId="79108223">
            <w:pPr>
              <w:adjustRightInd w:val="0"/>
              <w:snapToGrid w:val="0"/>
              <w:jc w:val="center"/>
              <w:rPr>
                <w:color w:val="auto"/>
                <w:szCs w:val="21"/>
              </w:rPr>
            </w:pPr>
          </w:p>
        </w:tc>
        <w:tc>
          <w:tcPr>
            <w:tcW w:w="728" w:type="pct"/>
            <w:gridSpan w:val="2"/>
            <w:vAlign w:val="center"/>
          </w:tcPr>
          <w:p w14:paraId="095D697C">
            <w:pPr>
              <w:adjustRightInd w:val="0"/>
              <w:snapToGrid w:val="0"/>
              <w:jc w:val="center"/>
              <w:rPr>
                <w:color w:val="auto"/>
                <w:szCs w:val="21"/>
              </w:rPr>
            </w:pPr>
            <w:r>
              <w:rPr>
                <w:color w:val="auto"/>
                <w:szCs w:val="21"/>
              </w:rPr>
              <w:t>生活污水</w:t>
            </w:r>
          </w:p>
        </w:tc>
        <w:tc>
          <w:tcPr>
            <w:tcW w:w="838" w:type="pct"/>
            <w:vAlign w:val="center"/>
          </w:tcPr>
          <w:p w14:paraId="5FA47BC2">
            <w:pPr>
              <w:adjustRightInd w:val="0"/>
              <w:snapToGrid w:val="0"/>
              <w:jc w:val="center"/>
              <w:rPr>
                <w:color w:val="auto"/>
                <w:szCs w:val="21"/>
              </w:rPr>
            </w:pPr>
            <w:r>
              <w:rPr>
                <w:color w:val="auto"/>
              </w:rPr>
              <w:t>COD</w:t>
            </w:r>
            <w:r>
              <w:rPr>
                <w:rFonts w:hint="eastAsia"/>
                <w:color w:val="auto"/>
                <w:vertAlign w:val="subscript"/>
              </w:rPr>
              <w:t>C</w:t>
            </w:r>
            <w:r>
              <w:rPr>
                <w:color w:val="auto"/>
                <w:vertAlign w:val="subscript"/>
              </w:rPr>
              <w:t>r</w:t>
            </w:r>
            <w:r>
              <w:rPr>
                <w:color w:val="auto"/>
              </w:rPr>
              <w:t>、NH</w:t>
            </w:r>
            <w:r>
              <w:rPr>
                <w:color w:val="auto"/>
                <w:vertAlign w:val="subscript"/>
              </w:rPr>
              <w:t>3</w:t>
            </w:r>
            <w:r>
              <w:rPr>
                <w:color w:val="auto"/>
              </w:rPr>
              <w:t>-N</w:t>
            </w:r>
          </w:p>
        </w:tc>
        <w:tc>
          <w:tcPr>
            <w:tcW w:w="638" w:type="pct"/>
            <w:vAlign w:val="center"/>
          </w:tcPr>
          <w:p w14:paraId="442CA6C8">
            <w:pPr>
              <w:adjustRightInd w:val="0"/>
              <w:snapToGrid w:val="0"/>
              <w:jc w:val="center"/>
              <w:rPr>
                <w:color w:val="auto"/>
                <w:szCs w:val="21"/>
              </w:rPr>
            </w:pPr>
            <w:r>
              <w:rPr>
                <w:color w:val="auto"/>
                <w:szCs w:val="21"/>
              </w:rPr>
              <w:t>三级化粪池</w:t>
            </w:r>
          </w:p>
        </w:tc>
        <w:tc>
          <w:tcPr>
            <w:tcW w:w="2025" w:type="pct"/>
            <w:vAlign w:val="center"/>
          </w:tcPr>
          <w:p w14:paraId="00071051">
            <w:pPr>
              <w:adjustRightInd w:val="0"/>
              <w:snapToGrid w:val="0"/>
              <w:jc w:val="center"/>
              <w:rPr>
                <w:color w:val="auto"/>
                <w:szCs w:val="21"/>
              </w:rPr>
            </w:pPr>
            <w:r>
              <w:rPr>
                <w:color w:val="auto"/>
                <w:szCs w:val="21"/>
              </w:rPr>
              <w:t>《水污染物排放限值》（DB44/26-2001）第二时段</w:t>
            </w:r>
            <w:r>
              <w:rPr>
                <w:rFonts w:hint="eastAsia"/>
                <w:color w:val="auto"/>
                <w:szCs w:val="21"/>
              </w:rPr>
              <w:t>三</w:t>
            </w:r>
            <w:r>
              <w:rPr>
                <w:color w:val="auto"/>
                <w:szCs w:val="21"/>
              </w:rPr>
              <w:t>级标准</w:t>
            </w:r>
          </w:p>
        </w:tc>
      </w:tr>
      <w:tr w14:paraId="052C3E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Align w:val="center"/>
          </w:tcPr>
          <w:p w14:paraId="4CC27B35">
            <w:pPr>
              <w:adjustRightInd w:val="0"/>
              <w:snapToGrid w:val="0"/>
              <w:jc w:val="center"/>
              <w:rPr>
                <w:color w:val="auto"/>
                <w:szCs w:val="21"/>
              </w:rPr>
            </w:pPr>
            <w:r>
              <w:rPr>
                <w:color w:val="auto"/>
                <w:szCs w:val="21"/>
              </w:rPr>
              <w:t>声环境</w:t>
            </w:r>
          </w:p>
        </w:tc>
        <w:tc>
          <w:tcPr>
            <w:tcW w:w="728" w:type="pct"/>
            <w:gridSpan w:val="2"/>
            <w:vAlign w:val="center"/>
          </w:tcPr>
          <w:p w14:paraId="5BFD77EB">
            <w:pPr>
              <w:adjustRightInd w:val="0"/>
              <w:snapToGrid w:val="0"/>
              <w:jc w:val="center"/>
              <w:rPr>
                <w:color w:val="auto"/>
                <w:szCs w:val="21"/>
              </w:rPr>
            </w:pPr>
            <w:r>
              <w:rPr>
                <w:color w:val="auto"/>
                <w:szCs w:val="21"/>
              </w:rPr>
              <w:t>生产设备</w:t>
            </w:r>
          </w:p>
        </w:tc>
        <w:tc>
          <w:tcPr>
            <w:tcW w:w="838" w:type="pct"/>
            <w:vAlign w:val="center"/>
          </w:tcPr>
          <w:p w14:paraId="25EE6025">
            <w:pPr>
              <w:adjustRightInd w:val="0"/>
              <w:snapToGrid w:val="0"/>
              <w:jc w:val="center"/>
              <w:rPr>
                <w:color w:val="auto"/>
                <w:szCs w:val="21"/>
              </w:rPr>
            </w:pPr>
            <w:r>
              <w:rPr>
                <w:color w:val="auto"/>
                <w:szCs w:val="21"/>
              </w:rPr>
              <w:t>噪声</w:t>
            </w:r>
          </w:p>
        </w:tc>
        <w:tc>
          <w:tcPr>
            <w:tcW w:w="638" w:type="pct"/>
            <w:vAlign w:val="center"/>
          </w:tcPr>
          <w:p w14:paraId="44EB22E3">
            <w:pPr>
              <w:adjustRightInd w:val="0"/>
              <w:snapToGrid w:val="0"/>
              <w:jc w:val="center"/>
              <w:rPr>
                <w:color w:val="auto"/>
                <w:szCs w:val="21"/>
              </w:rPr>
            </w:pPr>
            <w:r>
              <w:rPr>
                <w:bCs/>
                <w:color w:val="auto"/>
                <w:szCs w:val="21"/>
              </w:rPr>
              <w:t>隔音、减震等措施，</w:t>
            </w:r>
            <w:r>
              <w:rPr>
                <w:color w:val="auto"/>
                <w:szCs w:val="21"/>
              </w:rPr>
              <w:t>合理布局和安排生产时间</w:t>
            </w:r>
          </w:p>
        </w:tc>
        <w:tc>
          <w:tcPr>
            <w:tcW w:w="2025" w:type="pct"/>
            <w:vAlign w:val="center"/>
          </w:tcPr>
          <w:p w14:paraId="0BA64831">
            <w:pPr>
              <w:adjustRightInd w:val="0"/>
              <w:snapToGrid w:val="0"/>
              <w:jc w:val="center"/>
              <w:rPr>
                <w:color w:val="auto"/>
                <w:szCs w:val="21"/>
              </w:rPr>
            </w:pPr>
            <w:r>
              <w:rPr>
                <w:color w:val="auto"/>
                <w:szCs w:val="21"/>
              </w:rPr>
              <w:t>符合《工业企业厂界环境噪声排放标准》(GB12348-2008)</w:t>
            </w:r>
            <w:r>
              <w:rPr>
                <w:rFonts w:hint="eastAsia"/>
                <w:color w:val="auto"/>
                <w:szCs w:val="21"/>
              </w:rPr>
              <w:t xml:space="preserve">  2</w:t>
            </w:r>
            <w:r>
              <w:rPr>
                <w:color w:val="auto"/>
                <w:szCs w:val="21"/>
              </w:rPr>
              <w:t>类标准</w:t>
            </w:r>
          </w:p>
        </w:tc>
      </w:tr>
      <w:tr w14:paraId="01A202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Align w:val="center"/>
          </w:tcPr>
          <w:p w14:paraId="0D6A08F1">
            <w:pPr>
              <w:adjustRightInd w:val="0"/>
              <w:snapToGrid w:val="0"/>
              <w:jc w:val="center"/>
              <w:rPr>
                <w:color w:val="auto"/>
                <w:szCs w:val="21"/>
              </w:rPr>
            </w:pPr>
            <w:r>
              <w:rPr>
                <w:color w:val="auto"/>
                <w:szCs w:val="21"/>
              </w:rPr>
              <w:t>电磁辐射</w:t>
            </w:r>
          </w:p>
        </w:tc>
        <w:tc>
          <w:tcPr>
            <w:tcW w:w="4230" w:type="pct"/>
            <w:gridSpan w:val="5"/>
            <w:vAlign w:val="center"/>
          </w:tcPr>
          <w:p w14:paraId="37E5B01C">
            <w:pPr>
              <w:adjustRightInd w:val="0"/>
              <w:snapToGrid w:val="0"/>
              <w:jc w:val="center"/>
              <w:rPr>
                <w:color w:val="auto"/>
                <w:szCs w:val="21"/>
              </w:rPr>
            </w:pPr>
            <w:r>
              <w:rPr>
                <w:color w:val="auto"/>
                <w:szCs w:val="21"/>
              </w:rPr>
              <w:t>无</w:t>
            </w:r>
          </w:p>
        </w:tc>
      </w:tr>
      <w:tr w14:paraId="0AB411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Align w:val="center"/>
          </w:tcPr>
          <w:p w14:paraId="3F4AC562">
            <w:pPr>
              <w:adjustRightInd w:val="0"/>
              <w:snapToGrid w:val="0"/>
              <w:jc w:val="center"/>
              <w:rPr>
                <w:szCs w:val="21"/>
              </w:rPr>
            </w:pPr>
            <w:r>
              <w:rPr>
                <w:szCs w:val="21"/>
              </w:rPr>
              <w:t>固体废物</w:t>
            </w:r>
          </w:p>
        </w:tc>
        <w:tc>
          <w:tcPr>
            <w:tcW w:w="4230" w:type="pct"/>
            <w:gridSpan w:val="5"/>
            <w:vAlign w:val="center"/>
          </w:tcPr>
          <w:p w14:paraId="3283089C">
            <w:pPr>
              <w:jc w:val="left"/>
              <w:rPr>
                <w:szCs w:val="21"/>
              </w:rPr>
            </w:pPr>
            <w:r>
              <w:rPr>
                <w:szCs w:val="21"/>
              </w:rPr>
              <w:t>一般工业固体废物暂存于一般工业固体废物暂存间，危险废物暂存于危险废物暂存间；一般工业固体废物交由专业回收公司回收处理，危险废物交由有资质单位进行处理；</w:t>
            </w:r>
          </w:p>
          <w:p w14:paraId="67EE1CF7">
            <w:pPr>
              <w:jc w:val="left"/>
              <w:rPr>
                <w:szCs w:val="21"/>
              </w:rPr>
            </w:pPr>
            <w:r>
              <w:rPr>
                <w:szCs w:val="21"/>
              </w:rPr>
              <w:t>危险废物根据《危险废物转移管理办法》（生态环境部令第23号）对该废物收集进行转移联单管理，填写《惠州市危险废物转移报批表》或《广东省危险废物转移报批表》；</w:t>
            </w:r>
          </w:p>
          <w:p w14:paraId="34DA16D5">
            <w:pPr>
              <w:jc w:val="left"/>
              <w:rPr>
                <w:szCs w:val="21"/>
              </w:rPr>
            </w:pPr>
            <w:r>
              <w:rPr>
                <w:szCs w:val="21"/>
              </w:rPr>
              <w:t>危险废物根据《危险废物管理计划和管理台账制定技术导则》（HJ1259-2022）制定管理计划和管理台账；</w:t>
            </w:r>
          </w:p>
          <w:p w14:paraId="2DAAC0D2">
            <w:pPr>
              <w:adjustRightInd w:val="0"/>
              <w:snapToGrid w:val="0"/>
              <w:jc w:val="left"/>
              <w:rPr>
                <w:szCs w:val="21"/>
              </w:rPr>
            </w:pPr>
            <w:r>
              <w:rPr>
                <w:szCs w:val="21"/>
              </w:rPr>
              <w:t>一般工业固体废物根据《一般工业固体废物管理台账制定指南（试行）》生态环境部公告2021年第82号）制定管理台账。</w:t>
            </w:r>
          </w:p>
        </w:tc>
      </w:tr>
      <w:tr w14:paraId="67177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Align w:val="center"/>
          </w:tcPr>
          <w:p w14:paraId="3902EF58">
            <w:pPr>
              <w:adjustRightInd w:val="0"/>
              <w:snapToGrid w:val="0"/>
              <w:jc w:val="center"/>
              <w:rPr>
                <w:szCs w:val="21"/>
              </w:rPr>
            </w:pPr>
            <w:r>
              <w:rPr>
                <w:szCs w:val="21"/>
              </w:rPr>
              <w:t>土壤及地下水</w:t>
            </w:r>
          </w:p>
          <w:p w14:paraId="40A4C535">
            <w:pPr>
              <w:adjustRightInd w:val="0"/>
              <w:snapToGrid w:val="0"/>
              <w:jc w:val="center"/>
              <w:rPr>
                <w:szCs w:val="21"/>
              </w:rPr>
            </w:pPr>
            <w:r>
              <w:rPr>
                <w:szCs w:val="21"/>
              </w:rPr>
              <w:t>污染防治措施</w:t>
            </w:r>
          </w:p>
        </w:tc>
        <w:tc>
          <w:tcPr>
            <w:tcW w:w="4230" w:type="pct"/>
            <w:gridSpan w:val="5"/>
            <w:vAlign w:val="center"/>
          </w:tcPr>
          <w:p w14:paraId="0C2E4B9D">
            <w:pPr>
              <w:adjustRightInd w:val="0"/>
              <w:snapToGrid w:val="0"/>
              <w:rPr>
                <w:szCs w:val="21"/>
              </w:rPr>
            </w:pPr>
            <w:r>
              <w:rPr>
                <w:szCs w:val="21"/>
              </w:rPr>
              <w:t>项目占地范围内进行全面硬底化，</w:t>
            </w:r>
            <w:r>
              <w:rPr>
                <w:rFonts w:hint="eastAsia"/>
                <w:szCs w:val="21"/>
              </w:rPr>
              <w:t>危废仓库</w:t>
            </w:r>
            <w:r>
              <w:rPr>
                <w:szCs w:val="21"/>
              </w:rPr>
              <w:t>、废水处理设施区域、前处理区域、</w:t>
            </w:r>
            <w:r>
              <w:rPr>
                <w:rFonts w:hint="eastAsia"/>
                <w:szCs w:val="21"/>
              </w:rPr>
              <w:t>粉线房</w:t>
            </w:r>
            <w:r>
              <w:rPr>
                <w:szCs w:val="21"/>
              </w:rPr>
              <w:t>、</w:t>
            </w:r>
            <w:r>
              <w:rPr>
                <w:rFonts w:hint="eastAsia"/>
                <w:szCs w:val="21"/>
              </w:rPr>
              <w:t>喷漆房、尾数房、</w:t>
            </w:r>
            <w:r>
              <w:rPr>
                <w:szCs w:val="21"/>
              </w:rPr>
              <w:t>烘干固化区域、污水管道布置区域均按要求做好防渗措施，在生产运营过程中加强维护。</w:t>
            </w:r>
          </w:p>
        </w:tc>
      </w:tr>
      <w:tr w14:paraId="560211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Align w:val="center"/>
          </w:tcPr>
          <w:p w14:paraId="099D93C6">
            <w:pPr>
              <w:adjustRightInd w:val="0"/>
              <w:snapToGrid w:val="0"/>
              <w:jc w:val="center"/>
              <w:rPr>
                <w:szCs w:val="21"/>
              </w:rPr>
            </w:pPr>
            <w:r>
              <w:rPr>
                <w:szCs w:val="21"/>
              </w:rPr>
              <w:t>生态保护措施</w:t>
            </w:r>
          </w:p>
        </w:tc>
        <w:tc>
          <w:tcPr>
            <w:tcW w:w="4230" w:type="pct"/>
            <w:gridSpan w:val="5"/>
            <w:vAlign w:val="center"/>
          </w:tcPr>
          <w:p w14:paraId="7D3ADB75">
            <w:pPr>
              <w:adjustRightInd w:val="0"/>
              <w:snapToGrid w:val="0"/>
              <w:jc w:val="center"/>
              <w:rPr>
                <w:szCs w:val="21"/>
              </w:rPr>
            </w:pPr>
            <w:r>
              <w:rPr>
                <w:szCs w:val="21"/>
              </w:rPr>
              <w:t>无</w:t>
            </w:r>
          </w:p>
        </w:tc>
      </w:tr>
      <w:tr w14:paraId="5D6A13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Align w:val="center"/>
          </w:tcPr>
          <w:p w14:paraId="285757E2">
            <w:pPr>
              <w:adjustRightInd w:val="0"/>
              <w:snapToGrid w:val="0"/>
              <w:jc w:val="center"/>
              <w:rPr>
                <w:spacing w:val="-8"/>
                <w:szCs w:val="21"/>
              </w:rPr>
            </w:pPr>
            <w:r>
              <w:rPr>
                <w:spacing w:val="-8"/>
                <w:szCs w:val="21"/>
              </w:rPr>
              <w:t>环境风险</w:t>
            </w:r>
          </w:p>
          <w:p w14:paraId="39D3447B">
            <w:pPr>
              <w:adjustRightInd w:val="0"/>
              <w:snapToGrid w:val="0"/>
              <w:jc w:val="center"/>
              <w:rPr>
                <w:spacing w:val="-8"/>
                <w:szCs w:val="21"/>
              </w:rPr>
            </w:pPr>
            <w:r>
              <w:rPr>
                <w:spacing w:val="-8"/>
                <w:szCs w:val="21"/>
              </w:rPr>
              <w:t>防范措施</w:t>
            </w:r>
          </w:p>
        </w:tc>
        <w:tc>
          <w:tcPr>
            <w:tcW w:w="4230" w:type="pct"/>
            <w:gridSpan w:val="5"/>
            <w:vAlign w:val="center"/>
          </w:tcPr>
          <w:p w14:paraId="78F6F22E">
            <w:pPr>
              <w:adjustRightInd w:val="0"/>
              <w:snapToGrid w:val="0"/>
              <w:jc w:val="left"/>
            </w:pPr>
            <w:r>
              <w:rPr>
                <w:rFonts w:hint="eastAsia" w:ascii="宋体" w:hAnsi="宋体" w:cs="宋体"/>
              </w:rPr>
              <w:t>①</w:t>
            </w:r>
            <w:r>
              <w:t>加强原辅料及危险废物的仓储管理，按有关规定设置储存场所，修建地沟、围堰、事故收集池等必要设施，避免化学品与地面直接接触；</w:t>
            </w:r>
          </w:p>
          <w:p w14:paraId="34B5C433">
            <w:pPr>
              <w:jc w:val="left"/>
              <w:rPr>
                <w:szCs w:val="21"/>
              </w:rPr>
            </w:pPr>
            <w:r>
              <w:rPr>
                <w:rFonts w:hint="eastAsia" w:ascii="宋体" w:hAnsi="宋体" w:cs="宋体"/>
                <w:szCs w:val="21"/>
              </w:rPr>
              <w:t>②</w:t>
            </w:r>
            <w:r>
              <w:rPr>
                <w:szCs w:val="21"/>
              </w:rPr>
              <w:t>强化安全生产及环境保护一时的教育，加强操作人员的上岗前的培训，定期检查安全消防设施的完好性；</w:t>
            </w:r>
          </w:p>
          <w:p w14:paraId="3C34AB2C">
            <w:pPr>
              <w:jc w:val="left"/>
              <w:rPr>
                <w:szCs w:val="21"/>
              </w:rPr>
            </w:pPr>
            <w:r>
              <w:rPr>
                <w:rFonts w:hint="eastAsia" w:ascii="宋体" w:hAnsi="宋体" w:cs="宋体"/>
                <w:szCs w:val="21"/>
              </w:rPr>
              <w:t>③</w:t>
            </w:r>
            <w:r>
              <w:rPr>
                <w:szCs w:val="21"/>
              </w:rPr>
              <w:t>加强废水处理设施的管理，提高员工各环节操作的规范性，以保证废水处理设施的正常运营。</w:t>
            </w:r>
          </w:p>
          <w:p w14:paraId="4B979E3C">
            <w:pPr>
              <w:jc w:val="left"/>
              <w:rPr>
                <w:szCs w:val="21"/>
              </w:rPr>
            </w:pPr>
            <w:r>
              <w:rPr>
                <w:rFonts w:hint="eastAsia" w:ascii="宋体" w:hAnsi="宋体" w:cs="宋体"/>
                <w:szCs w:val="21"/>
              </w:rPr>
              <w:t>④</w:t>
            </w:r>
            <w:r>
              <w:rPr>
                <w:szCs w:val="21"/>
              </w:rPr>
              <w:t>雨水排放口</w:t>
            </w:r>
            <w:r>
              <w:rPr>
                <w:rFonts w:hint="eastAsia"/>
                <w:szCs w:val="21"/>
              </w:rPr>
              <w:t>切换</w:t>
            </w:r>
            <w:r>
              <w:rPr>
                <w:szCs w:val="21"/>
              </w:rPr>
              <w:t>阀门</w:t>
            </w:r>
            <w:r>
              <w:rPr>
                <w:rFonts w:hint="eastAsia"/>
                <w:szCs w:val="21"/>
              </w:rPr>
              <w:t>依托园区</w:t>
            </w:r>
            <w:r>
              <w:rPr>
                <w:szCs w:val="21"/>
              </w:rPr>
              <w:t>。</w:t>
            </w:r>
          </w:p>
          <w:p w14:paraId="129E492E">
            <w:pPr>
              <w:jc w:val="left"/>
            </w:pPr>
            <w:r>
              <w:rPr>
                <w:rFonts w:hint="eastAsia" w:ascii="宋体" w:hAnsi="宋体" w:cs="宋体"/>
                <w:szCs w:val="21"/>
              </w:rPr>
              <w:t>⑤</w:t>
            </w:r>
            <w:r>
              <w:rPr>
                <w:szCs w:val="21"/>
              </w:rPr>
              <w:t>事故应急池</w:t>
            </w:r>
            <w:r>
              <w:rPr>
                <w:rFonts w:hint="eastAsia"/>
                <w:szCs w:val="21"/>
              </w:rPr>
              <w:t>依托园区</w:t>
            </w:r>
            <w:r>
              <w:rPr>
                <w:szCs w:val="21"/>
              </w:rPr>
              <w:t>。</w:t>
            </w:r>
          </w:p>
        </w:tc>
      </w:tr>
      <w:tr w14:paraId="7A1E4C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69" w:type="pct"/>
            <w:vAlign w:val="center"/>
          </w:tcPr>
          <w:p w14:paraId="498CFC04">
            <w:pPr>
              <w:adjustRightInd w:val="0"/>
              <w:snapToGrid w:val="0"/>
              <w:jc w:val="center"/>
              <w:rPr>
                <w:spacing w:val="-8"/>
                <w:szCs w:val="21"/>
              </w:rPr>
            </w:pPr>
            <w:r>
              <w:rPr>
                <w:spacing w:val="-8"/>
                <w:szCs w:val="21"/>
              </w:rPr>
              <w:t>其他环境</w:t>
            </w:r>
          </w:p>
          <w:p w14:paraId="40AD0703">
            <w:pPr>
              <w:adjustRightInd w:val="0"/>
              <w:snapToGrid w:val="0"/>
              <w:jc w:val="center"/>
              <w:rPr>
                <w:spacing w:val="-8"/>
                <w:szCs w:val="21"/>
              </w:rPr>
            </w:pPr>
            <w:r>
              <w:rPr>
                <w:spacing w:val="-8"/>
                <w:szCs w:val="21"/>
              </w:rPr>
              <w:t>管理要求</w:t>
            </w:r>
          </w:p>
        </w:tc>
        <w:tc>
          <w:tcPr>
            <w:tcW w:w="4230" w:type="pct"/>
            <w:gridSpan w:val="5"/>
            <w:vAlign w:val="center"/>
          </w:tcPr>
          <w:p w14:paraId="48F2C499">
            <w:pPr>
              <w:jc w:val="left"/>
              <w:rPr>
                <w:szCs w:val="21"/>
              </w:rPr>
            </w:pPr>
            <w:r>
              <w:rPr>
                <w:rFonts w:hint="eastAsia" w:ascii="宋体" w:hAnsi="宋体" w:cs="宋体"/>
                <w:szCs w:val="21"/>
              </w:rPr>
              <w:t>①</w:t>
            </w:r>
            <w:r>
              <w:rPr>
                <w:szCs w:val="21"/>
              </w:rPr>
              <w:t>定期加强环保设施检查，发生故障时立即停止生产，保存台账记录等。</w:t>
            </w:r>
          </w:p>
          <w:p w14:paraId="246CF880">
            <w:pPr>
              <w:jc w:val="left"/>
              <w:rPr>
                <w:szCs w:val="21"/>
              </w:rPr>
            </w:pPr>
            <w:r>
              <w:rPr>
                <w:rFonts w:hint="eastAsia" w:ascii="宋体" w:hAnsi="宋体" w:cs="宋体"/>
                <w:szCs w:val="21"/>
              </w:rPr>
              <w:t>②</w:t>
            </w:r>
            <w:r>
              <w:rPr>
                <w:szCs w:val="21"/>
              </w:rPr>
              <w:t>建设单位应建立用水、废水产生量、处理量、回用量、用电量、残渣量、危废委托处理量等方面的精细化管理台账，并在各相关节点安装水表或电表，定期对计量仪表的读数显示拍照存档，配合生态环境部门的精细化监督管理。</w:t>
            </w:r>
          </w:p>
          <w:p w14:paraId="038614F4">
            <w:pPr>
              <w:jc w:val="left"/>
              <w:rPr>
                <w:szCs w:val="21"/>
              </w:rPr>
            </w:pPr>
            <w:r>
              <w:rPr>
                <w:rFonts w:hint="eastAsia" w:ascii="宋体" w:hAnsi="宋体" w:cs="宋体"/>
                <w:szCs w:val="21"/>
              </w:rPr>
              <w:t>③</w:t>
            </w:r>
            <w:r>
              <w:rPr>
                <w:szCs w:val="21"/>
              </w:rPr>
              <w:t>禁止在中午（12:00-14:00）和夜间（22:00-06:00）进行任何装卸作业，作业人员须做到安静作业、轻卸轻放。</w:t>
            </w:r>
          </w:p>
          <w:p w14:paraId="49DE8EEF">
            <w:pPr>
              <w:jc w:val="left"/>
              <w:rPr>
                <w:szCs w:val="21"/>
              </w:rPr>
            </w:pPr>
            <w:r>
              <w:rPr>
                <w:rFonts w:hint="eastAsia" w:ascii="宋体" w:hAnsi="宋体" w:cs="宋体"/>
                <w:szCs w:val="21"/>
              </w:rPr>
              <w:t>③</w:t>
            </w:r>
            <w:r>
              <w:rPr>
                <w:szCs w:val="21"/>
              </w:rPr>
              <w:t>加强作业管理，发现设备非正常运行引起异响时立即停止运转，待维修后再投入使用。</w:t>
            </w:r>
          </w:p>
        </w:tc>
      </w:tr>
    </w:tbl>
    <w:p w14:paraId="7775367A">
      <w:pPr>
        <w:pStyle w:val="31"/>
        <w:jc w:val="center"/>
        <w:outlineLvl w:val="0"/>
        <w:rPr>
          <w:rFonts w:ascii="Times New Roman" w:hAnsi="Times New Roman" w:eastAsia="黑体"/>
          <w:snapToGrid w:val="0"/>
          <w:sz w:val="30"/>
          <w:szCs w:val="30"/>
        </w:rPr>
      </w:pPr>
      <w:r>
        <w:rPr>
          <w:rFonts w:ascii="Times New Roman" w:hAnsi="Times New Roman"/>
          <w:snapToGrid w:val="0"/>
        </w:rPr>
        <w:br w:type="page"/>
      </w:r>
      <w:r>
        <w:rPr>
          <w:rFonts w:ascii="Times New Roman" w:hAnsi="Times New Roman" w:eastAsia="黑体"/>
          <w:snapToGrid w:val="0"/>
          <w:sz w:val="30"/>
          <w:szCs w:val="30"/>
        </w:rPr>
        <w:t>六、结论</w:t>
      </w:r>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35B20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14:paraId="66B7D6A3">
            <w:pPr>
              <w:spacing w:line="360" w:lineRule="auto"/>
              <w:jc w:val="center"/>
              <w:rPr>
                <w:sz w:val="24"/>
              </w:rPr>
            </w:pPr>
            <w:r>
              <w:rPr>
                <w:sz w:val="24"/>
              </w:rPr>
              <w:t>综上，从环境保护角度分析，项目建设具有可行性。</w:t>
            </w:r>
          </w:p>
        </w:tc>
      </w:tr>
    </w:tbl>
    <w:p w14:paraId="0B16A923">
      <w:pPr>
        <w:sectPr>
          <w:pgSz w:w="11906" w:h="16838"/>
          <w:pgMar w:top="1701" w:right="1531" w:bottom="1701" w:left="1531" w:header="851" w:footer="851" w:gutter="0"/>
          <w:cols w:space="720" w:num="1"/>
          <w:docGrid w:linePitch="312" w:charSpace="0"/>
        </w:sectPr>
      </w:pPr>
    </w:p>
    <w:p w14:paraId="7F636B1E">
      <w:pPr>
        <w:pStyle w:val="31"/>
        <w:adjustRightInd w:val="0"/>
        <w:snapToGrid w:val="0"/>
        <w:spacing w:before="0" w:beforeAutospacing="0" w:after="0" w:afterAutospacing="0"/>
        <w:outlineLvl w:val="0"/>
        <w:rPr>
          <w:rFonts w:ascii="Times New Roman" w:hAnsi="Times New Roman" w:eastAsia="黑体"/>
          <w:snapToGrid w:val="0"/>
          <w:sz w:val="32"/>
          <w:szCs w:val="32"/>
        </w:rPr>
      </w:pPr>
      <w:r>
        <w:rPr>
          <w:rFonts w:ascii="Times New Roman" w:hAnsi="Times New Roman" w:eastAsia="黑体"/>
          <w:snapToGrid w:val="0"/>
          <w:sz w:val="32"/>
          <w:szCs w:val="32"/>
        </w:rPr>
        <w:t>附表</w:t>
      </w:r>
    </w:p>
    <w:p w14:paraId="24116213">
      <w:pPr>
        <w:pStyle w:val="31"/>
        <w:adjustRightInd w:val="0"/>
        <w:snapToGrid w:val="0"/>
        <w:spacing w:before="0" w:beforeAutospacing="0" w:after="0" w:afterAutospacing="0"/>
        <w:jc w:val="center"/>
        <w:outlineLvl w:val="0"/>
        <w:rPr>
          <w:rFonts w:ascii="Times New Roman" w:hAnsi="Times New Roman" w:eastAsia="方正小标宋_GBK"/>
          <w:snapToGrid w:val="0"/>
          <w:sz w:val="38"/>
          <w:szCs w:val="38"/>
        </w:rPr>
      </w:pPr>
      <w:r>
        <w:rPr>
          <w:rFonts w:ascii="Times New Roman" w:hAnsi="Times New Roman" w:eastAsia="方正小标宋_GBK"/>
          <w:snapToGrid w:val="0"/>
          <w:sz w:val="38"/>
          <w:szCs w:val="38"/>
        </w:rPr>
        <w:t>建设项目污染物排放量汇总表</w:t>
      </w:r>
    </w:p>
    <w:tbl>
      <w:tblPr>
        <w:tblStyle w:val="35"/>
        <w:tblW w:w="14049" w:type="dxa"/>
        <w:tblInd w:w="-17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984"/>
        <w:gridCol w:w="1701"/>
        <w:gridCol w:w="1276"/>
        <w:gridCol w:w="1701"/>
        <w:gridCol w:w="1559"/>
        <w:gridCol w:w="1761"/>
        <w:gridCol w:w="1639"/>
        <w:gridCol w:w="1237"/>
      </w:tblGrid>
      <w:tr w14:paraId="310FB9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tcBorders>
              <w:tl2br w:val="single" w:color="auto" w:sz="4" w:space="0"/>
            </w:tcBorders>
            <w:tcMar>
              <w:left w:w="28" w:type="dxa"/>
              <w:right w:w="28" w:type="dxa"/>
            </w:tcMar>
            <w:vAlign w:val="center"/>
          </w:tcPr>
          <w:p w14:paraId="49EC3643">
            <w:pPr>
              <w:pStyle w:val="70"/>
              <w:spacing w:beforeLines="0" w:afterLines="0" w:line="240" w:lineRule="auto"/>
              <w:ind w:firstLine="0"/>
              <w:jc w:val="right"/>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项目</w:t>
            </w:r>
          </w:p>
          <w:p w14:paraId="05EA8D7F">
            <w:pPr>
              <w:pStyle w:val="70"/>
              <w:spacing w:beforeLines="0" w:afterLines="0" w:line="240" w:lineRule="auto"/>
              <w:ind w:firstLine="0"/>
              <w:jc w:val="left"/>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分类</w:t>
            </w:r>
          </w:p>
        </w:tc>
        <w:tc>
          <w:tcPr>
            <w:tcW w:w="1984" w:type="dxa"/>
            <w:tcMar>
              <w:left w:w="28" w:type="dxa"/>
              <w:right w:w="28" w:type="dxa"/>
            </w:tcMar>
            <w:vAlign w:val="center"/>
          </w:tcPr>
          <w:p w14:paraId="1242FCDC">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污染物名称</w:t>
            </w:r>
          </w:p>
        </w:tc>
        <w:tc>
          <w:tcPr>
            <w:tcW w:w="1701" w:type="dxa"/>
            <w:tcMar>
              <w:left w:w="28" w:type="dxa"/>
              <w:right w:w="28" w:type="dxa"/>
            </w:tcMar>
            <w:vAlign w:val="center"/>
          </w:tcPr>
          <w:p w14:paraId="2EEB2E7C">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现有工程</w:t>
            </w:r>
          </w:p>
          <w:p w14:paraId="0F63051F">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排放量（固体废物产生量）</w:t>
            </w:r>
            <w:r>
              <w:rPr>
                <w:rFonts w:ascii="Times New Roman" w:eastAsia="黑体"/>
                <w:snapToGrid w:val="0"/>
                <w:color w:val="auto"/>
                <w:spacing w:val="-6"/>
                <w:kern w:val="21"/>
                <w:sz w:val="21"/>
                <w:szCs w:val="21"/>
              </w:rPr>
              <w:fldChar w:fldCharType="begin"/>
            </w:r>
            <w:r>
              <w:rPr>
                <w:rFonts w:ascii="Times New Roman" w:eastAsia="黑体"/>
                <w:snapToGrid w:val="0"/>
                <w:color w:val="auto"/>
                <w:spacing w:val="-6"/>
                <w:kern w:val="21"/>
                <w:sz w:val="21"/>
                <w:szCs w:val="21"/>
              </w:rPr>
              <w:instrText xml:space="preserve"> = 1 \* GB3 \* MERGEFORMAT </w:instrText>
            </w:r>
            <w:r>
              <w:rPr>
                <w:rFonts w:ascii="Times New Roman" w:eastAsia="黑体"/>
                <w:snapToGrid w:val="0"/>
                <w:color w:val="auto"/>
                <w:spacing w:val="-6"/>
                <w:kern w:val="21"/>
                <w:sz w:val="21"/>
                <w:szCs w:val="21"/>
              </w:rPr>
              <w:fldChar w:fldCharType="separate"/>
            </w:r>
            <w:r>
              <w:rPr>
                <w:rFonts w:hint="eastAsia" w:hAnsi="宋体" w:cs="宋体"/>
                <w:color w:val="auto"/>
                <w:kern w:val="2"/>
                <w:sz w:val="21"/>
                <w:szCs w:val="21"/>
              </w:rPr>
              <w:t>①</w:t>
            </w:r>
            <w:r>
              <w:rPr>
                <w:rFonts w:ascii="Times New Roman" w:eastAsia="黑体"/>
                <w:snapToGrid w:val="0"/>
                <w:color w:val="auto"/>
                <w:spacing w:val="-6"/>
                <w:kern w:val="21"/>
                <w:sz w:val="21"/>
                <w:szCs w:val="21"/>
              </w:rPr>
              <w:fldChar w:fldCharType="end"/>
            </w:r>
          </w:p>
        </w:tc>
        <w:tc>
          <w:tcPr>
            <w:tcW w:w="1276" w:type="dxa"/>
            <w:tcMar>
              <w:left w:w="28" w:type="dxa"/>
              <w:right w:w="28" w:type="dxa"/>
            </w:tcMar>
            <w:vAlign w:val="center"/>
          </w:tcPr>
          <w:p w14:paraId="64C820F8">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现有工程</w:t>
            </w:r>
          </w:p>
          <w:p w14:paraId="6CA5B876">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许可排放量</w:t>
            </w:r>
          </w:p>
          <w:p w14:paraId="2CA27610">
            <w:pPr>
              <w:pStyle w:val="70"/>
              <w:spacing w:beforeLines="0" w:afterLines="0"/>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fldChar w:fldCharType="begin"/>
            </w:r>
            <w:r>
              <w:rPr>
                <w:rFonts w:ascii="Times New Roman" w:eastAsia="黑体"/>
                <w:snapToGrid w:val="0"/>
                <w:color w:val="auto"/>
                <w:spacing w:val="-6"/>
                <w:kern w:val="21"/>
                <w:sz w:val="21"/>
                <w:szCs w:val="21"/>
              </w:rPr>
              <w:instrText xml:space="preserve"> = 2 \* GB3 \* MERGEFORMAT </w:instrText>
            </w:r>
            <w:r>
              <w:rPr>
                <w:rFonts w:ascii="Times New Roman" w:eastAsia="黑体"/>
                <w:snapToGrid w:val="0"/>
                <w:color w:val="auto"/>
                <w:spacing w:val="-6"/>
                <w:kern w:val="21"/>
                <w:sz w:val="21"/>
                <w:szCs w:val="21"/>
              </w:rPr>
              <w:fldChar w:fldCharType="separate"/>
            </w:r>
            <w:r>
              <w:rPr>
                <w:rFonts w:hint="eastAsia" w:hAnsi="宋体" w:cs="宋体"/>
                <w:snapToGrid w:val="0"/>
                <w:color w:val="auto"/>
                <w:spacing w:val="-6"/>
                <w:kern w:val="21"/>
                <w:sz w:val="21"/>
                <w:szCs w:val="21"/>
              </w:rPr>
              <w:t>②</w:t>
            </w:r>
            <w:r>
              <w:rPr>
                <w:rFonts w:ascii="Times New Roman" w:eastAsia="黑体"/>
                <w:snapToGrid w:val="0"/>
                <w:color w:val="auto"/>
                <w:spacing w:val="-6"/>
                <w:kern w:val="21"/>
                <w:sz w:val="21"/>
                <w:szCs w:val="21"/>
              </w:rPr>
              <w:fldChar w:fldCharType="end"/>
            </w:r>
          </w:p>
        </w:tc>
        <w:tc>
          <w:tcPr>
            <w:tcW w:w="1701" w:type="dxa"/>
            <w:tcMar>
              <w:left w:w="28" w:type="dxa"/>
              <w:right w:w="28" w:type="dxa"/>
            </w:tcMar>
            <w:vAlign w:val="center"/>
          </w:tcPr>
          <w:p w14:paraId="6F980C91">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在建工程</w:t>
            </w:r>
          </w:p>
          <w:p w14:paraId="3726FED4">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排放量（固体废物产生量）</w:t>
            </w:r>
            <w:r>
              <w:rPr>
                <w:rFonts w:ascii="Times New Roman" w:eastAsia="黑体"/>
                <w:snapToGrid w:val="0"/>
                <w:color w:val="auto"/>
                <w:spacing w:val="-6"/>
                <w:kern w:val="21"/>
                <w:sz w:val="21"/>
                <w:szCs w:val="21"/>
              </w:rPr>
              <w:fldChar w:fldCharType="begin"/>
            </w:r>
            <w:r>
              <w:rPr>
                <w:rFonts w:ascii="Times New Roman" w:eastAsia="黑体"/>
                <w:snapToGrid w:val="0"/>
                <w:color w:val="auto"/>
                <w:spacing w:val="-6"/>
                <w:kern w:val="21"/>
                <w:sz w:val="21"/>
                <w:szCs w:val="21"/>
              </w:rPr>
              <w:instrText xml:space="preserve"> = 3 \* GB3 \* MERGEFORMAT </w:instrText>
            </w:r>
            <w:r>
              <w:rPr>
                <w:rFonts w:ascii="Times New Roman" w:eastAsia="黑体"/>
                <w:snapToGrid w:val="0"/>
                <w:color w:val="auto"/>
                <w:spacing w:val="-6"/>
                <w:kern w:val="21"/>
                <w:sz w:val="21"/>
                <w:szCs w:val="21"/>
              </w:rPr>
              <w:fldChar w:fldCharType="separate"/>
            </w:r>
            <w:r>
              <w:rPr>
                <w:rFonts w:hint="eastAsia" w:hAnsi="宋体" w:cs="宋体"/>
                <w:color w:val="auto"/>
                <w:kern w:val="2"/>
                <w:sz w:val="21"/>
                <w:szCs w:val="21"/>
              </w:rPr>
              <w:t>③</w:t>
            </w:r>
            <w:r>
              <w:rPr>
                <w:rFonts w:ascii="Times New Roman" w:eastAsia="黑体"/>
                <w:snapToGrid w:val="0"/>
                <w:color w:val="auto"/>
                <w:spacing w:val="-6"/>
                <w:kern w:val="21"/>
                <w:sz w:val="21"/>
                <w:szCs w:val="21"/>
              </w:rPr>
              <w:fldChar w:fldCharType="end"/>
            </w:r>
          </w:p>
        </w:tc>
        <w:tc>
          <w:tcPr>
            <w:tcW w:w="1559" w:type="dxa"/>
            <w:tcMar>
              <w:left w:w="28" w:type="dxa"/>
              <w:right w:w="28" w:type="dxa"/>
            </w:tcMar>
            <w:vAlign w:val="center"/>
          </w:tcPr>
          <w:p w14:paraId="6E0AD112">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本项目</w:t>
            </w:r>
          </w:p>
          <w:p w14:paraId="30039960">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排放量（固体废物产生量）</w:t>
            </w:r>
            <w:r>
              <w:rPr>
                <w:rFonts w:ascii="Times New Roman" w:eastAsia="黑体"/>
                <w:snapToGrid w:val="0"/>
                <w:color w:val="auto"/>
                <w:spacing w:val="-6"/>
                <w:kern w:val="21"/>
                <w:sz w:val="21"/>
                <w:szCs w:val="21"/>
              </w:rPr>
              <w:fldChar w:fldCharType="begin"/>
            </w:r>
            <w:r>
              <w:rPr>
                <w:rFonts w:ascii="Times New Roman" w:eastAsia="黑体"/>
                <w:snapToGrid w:val="0"/>
                <w:color w:val="auto"/>
                <w:spacing w:val="-6"/>
                <w:kern w:val="21"/>
                <w:sz w:val="21"/>
                <w:szCs w:val="21"/>
              </w:rPr>
              <w:instrText xml:space="preserve"> = 4 \* GB3 \* MERGEFORMAT </w:instrText>
            </w:r>
            <w:r>
              <w:rPr>
                <w:rFonts w:ascii="Times New Roman" w:eastAsia="黑体"/>
                <w:snapToGrid w:val="0"/>
                <w:color w:val="auto"/>
                <w:spacing w:val="-6"/>
                <w:kern w:val="21"/>
                <w:sz w:val="21"/>
                <w:szCs w:val="21"/>
              </w:rPr>
              <w:fldChar w:fldCharType="separate"/>
            </w:r>
            <w:r>
              <w:rPr>
                <w:rFonts w:hint="eastAsia" w:hAnsi="宋体" w:cs="宋体"/>
                <w:color w:val="auto"/>
                <w:kern w:val="2"/>
                <w:sz w:val="21"/>
                <w:szCs w:val="21"/>
              </w:rPr>
              <w:t>④</w:t>
            </w:r>
            <w:r>
              <w:rPr>
                <w:rFonts w:ascii="Times New Roman" w:eastAsia="黑体"/>
                <w:snapToGrid w:val="0"/>
                <w:color w:val="auto"/>
                <w:spacing w:val="-6"/>
                <w:kern w:val="21"/>
                <w:sz w:val="21"/>
                <w:szCs w:val="21"/>
              </w:rPr>
              <w:fldChar w:fldCharType="end"/>
            </w:r>
          </w:p>
        </w:tc>
        <w:tc>
          <w:tcPr>
            <w:tcW w:w="1761" w:type="dxa"/>
            <w:tcMar>
              <w:left w:w="28" w:type="dxa"/>
              <w:right w:w="28" w:type="dxa"/>
            </w:tcMar>
            <w:vAlign w:val="center"/>
          </w:tcPr>
          <w:p w14:paraId="151FB8D7">
            <w:pPr>
              <w:pStyle w:val="70"/>
              <w:spacing w:beforeLines="0" w:afterLines="0" w:line="240" w:lineRule="auto"/>
              <w:ind w:firstLine="0"/>
              <w:rPr>
                <w:rFonts w:ascii="Times New Roman" w:eastAsia="黑体"/>
                <w:snapToGrid w:val="0"/>
                <w:color w:val="auto"/>
                <w:spacing w:val="-16"/>
                <w:kern w:val="21"/>
                <w:sz w:val="21"/>
                <w:szCs w:val="21"/>
              </w:rPr>
            </w:pPr>
            <w:r>
              <w:rPr>
                <w:rFonts w:ascii="Times New Roman" w:eastAsia="黑体"/>
                <w:snapToGrid w:val="0"/>
                <w:color w:val="auto"/>
                <w:spacing w:val="-16"/>
                <w:kern w:val="21"/>
                <w:sz w:val="21"/>
                <w:szCs w:val="21"/>
              </w:rPr>
              <w:t>以新带老削减量</w:t>
            </w:r>
          </w:p>
          <w:p w14:paraId="7D02D616">
            <w:pPr>
              <w:pStyle w:val="70"/>
              <w:spacing w:beforeLines="0" w:afterLines="0" w:line="240" w:lineRule="auto"/>
              <w:ind w:firstLine="0"/>
              <w:rPr>
                <w:rFonts w:ascii="Times New Roman" w:eastAsia="黑体"/>
                <w:snapToGrid w:val="0"/>
                <w:color w:val="auto"/>
                <w:spacing w:val="-16"/>
                <w:kern w:val="21"/>
                <w:sz w:val="21"/>
                <w:szCs w:val="21"/>
              </w:rPr>
            </w:pPr>
            <w:r>
              <w:rPr>
                <w:rFonts w:ascii="Times New Roman" w:eastAsia="黑体"/>
                <w:snapToGrid w:val="0"/>
                <w:color w:val="auto"/>
                <w:spacing w:val="-16"/>
                <w:kern w:val="21"/>
                <w:sz w:val="21"/>
                <w:szCs w:val="21"/>
              </w:rPr>
              <w:t>（新建项目不填）</w:t>
            </w:r>
            <w:r>
              <w:rPr>
                <w:rFonts w:ascii="Times New Roman" w:eastAsia="黑体"/>
                <w:snapToGrid w:val="0"/>
                <w:color w:val="auto"/>
                <w:spacing w:val="-16"/>
                <w:kern w:val="21"/>
                <w:sz w:val="21"/>
                <w:szCs w:val="21"/>
              </w:rPr>
              <w:fldChar w:fldCharType="begin"/>
            </w:r>
            <w:r>
              <w:rPr>
                <w:rFonts w:ascii="Times New Roman" w:eastAsia="黑体"/>
                <w:snapToGrid w:val="0"/>
                <w:color w:val="auto"/>
                <w:spacing w:val="-16"/>
                <w:kern w:val="21"/>
                <w:sz w:val="21"/>
                <w:szCs w:val="21"/>
              </w:rPr>
              <w:instrText xml:space="preserve"> = 5 \* GB3 \* MERGEFORMAT </w:instrText>
            </w:r>
            <w:r>
              <w:rPr>
                <w:rFonts w:ascii="Times New Roman" w:eastAsia="黑体"/>
                <w:snapToGrid w:val="0"/>
                <w:color w:val="auto"/>
                <w:spacing w:val="-16"/>
                <w:kern w:val="21"/>
                <w:sz w:val="21"/>
                <w:szCs w:val="21"/>
              </w:rPr>
              <w:fldChar w:fldCharType="separate"/>
            </w:r>
            <w:r>
              <w:rPr>
                <w:rFonts w:hint="eastAsia" w:hAnsi="宋体" w:cs="宋体"/>
                <w:color w:val="auto"/>
                <w:kern w:val="2"/>
                <w:sz w:val="21"/>
                <w:szCs w:val="21"/>
              </w:rPr>
              <w:t>⑤</w:t>
            </w:r>
            <w:r>
              <w:rPr>
                <w:rFonts w:ascii="Times New Roman" w:eastAsia="黑体"/>
                <w:snapToGrid w:val="0"/>
                <w:color w:val="auto"/>
                <w:spacing w:val="-16"/>
                <w:kern w:val="21"/>
                <w:sz w:val="21"/>
                <w:szCs w:val="21"/>
              </w:rPr>
              <w:fldChar w:fldCharType="end"/>
            </w:r>
          </w:p>
        </w:tc>
        <w:tc>
          <w:tcPr>
            <w:tcW w:w="1639" w:type="dxa"/>
            <w:tcMar>
              <w:left w:w="28" w:type="dxa"/>
              <w:right w:w="28" w:type="dxa"/>
            </w:tcMar>
            <w:vAlign w:val="center"/>
          </w:tcPr>
          <w:p w14:paraId="70DBFCDB">
            <w:pPr>
              <w:pStyle w:val="70"/>
              <w:spacing w:beforeLines="0" w:afterLines="0" w:line="240" w:lineRule="auto"/>
              <w:ind w:firstLine="0"/>
              <w:rPr>
                <w:rFonts w:ascii="Times New Roman" w:eastAsia="黑体"/>
                <w:snapToGrid w:val="0"/>
                <w:color w:val="auto"/>
                <w:spacing w:val="-16"/>
                <w:kern w:val="21"/>
                <w:sz w:val="21"/>
                <w:szCs w:val="21"/>
              </w:rPr>
            </w:pPr>
            <w:r>
              <w:rPr>
                <w:rFonts w:ascii="Times New Roman" w:eastAsia="黑体"/>
                <w:snapToGrid w:val="0"/>
                <w:color w:val="auto"/>
                <w:spacing w:val="-16"/>
                <w:kern w:val="21"/>
                <w:sz w:val="21"/>
                <w:szCs w:val="21"/>
              </w:rPr>
              <w:t>本项目建成后</w:t>
            </w:r>
          </w:p>
          <w:p w14:paraId="428048EE">
            <w:pPr>
              <w:pStyle w:val="70"/>
              <w:spacing w:beforeLines="0" w:afterLines="0" w:line="240" w:lineRule="auto"/>
              <w:ind w:firstLine="0"/>
              <w:rPr>
                <w:rFonts w:ascii="Times New Roman" w:eastAsia="黑体"/>
                <w:snapToGrid w:val="0"/>
                <w:color w:val="auto"/>
                <w:spacing w:val="-16"/>
                <w:kern w:val="21"/>
                <w:sz w:val="21"/>
                <w:szCs w:val="21"/>
              </w:rPr>
            </w:pPr>
            <w:r>
              <w:rPr>
                <w:rFonts w:ascii="Times New Roman" w:eastAsia="黑体"/>
                <w:snapToGrid w:val="0"/>
                <w:color w:val="auto"/>
                <w:spacing w:val="-16"/>
                <w:kern w:val="21"/>
                <w:sz w:val="21"/>
                <w:szCs w:val="21"/>
              </w:rPr>
              <w:t>全厂排放量（固体废物产生量）</w:t>
            </w:r>
            <w:r>
              <w:rPr>
                <w:rFonts w:ascii="Times New Roman" w:eastAsia="黑体"/>
                <w:snapToGrid w:val="0"/>
                <w:color w:val="auto"/>
                <w:spacing w:val="-16"/>
                <w:kern w:val="21"/>
                <w:sz w:val="21"/>
                <w:szCs w:val="21"/>
              </w:rPr>
              <w:fldChar w:fldCharType="begin"/>
            </w:r>
            <w:r>
              <w:rPr>
                <w:rFonts w:ascii="Times New Roman" w:eastAsia="黑体"/>
                <w:snapToGrid w:val="0"/>
                <w:color w:val="auto"/>
                <w:spacing w:val="-16"/>
                <w:kern w:val="21"/>
                <w:sz w:val="21"/>
                <w:szCs w:val="21"/>
              </w:rPr>
              <w:instrText xml:space="preserve"> = 6 \* GB3 \* MERGEFORMAT </w:instrText>
            </w:r>
            <w:r>
              <w:rPr>
                <w:rFonts w:ascii="Times New Roman" w:eastAsia="黑体"/>
                <w:snapToGrid w:val="0"/>
                <w:color w:val="auto"/>
                <w:spacing w:val="-16"/>
                <w:kern w:val="21"/>
                <w:sz w:val="21"/>
                <w:szCs w:val="21"/>
              </w:rPr>
              <w:fldChar w:fldCharType="separate"/>
            </w:r>
            <w:r>
              <w:rPr>
                <w:rFonts w:hint="eastAsia" w:hAnsi="宋体" w:cs="宋体"/>
                <w:color w:val="auto"/>
                <w:kern w:val="2"/>
                <w:sz w:val="21"/>
                <w:szCs w:val="21"/>
              </w:rPr>
              <w:t>⑥</w:t>
            </w:r>
            <w:r>
              <w:rPr>
                <w:rFonts w:ascii="Times New Roman" w:eastAsia="黑体"/>
                <w:snapToGrid w:val="0"/>
                <w:color w:val="auto"/>
                <w:spacing w:val="-16"/>
                <w:kern w:val="21"/>
                <w:sz w:val="21"/>
                <w:szCs w:val="21"/>
              </w:rPr>
              <w:fldChar w:fldCharType="end"/>
            </w:r>
          </w:p>
        </w:tc>
        <w:tc>
          <w:tcPr>
            <w:tcW w:w="1237" w:type="dxa"/>
            <w:tcMar>
              <w:left w:w="28" w:type="dxa"/>
              <w:right w:w="28" w:type="dxa"/>
            </w:tcMar>
            <w:vAlign w:val="center"/>
          </w:tcPr>
          <w:p w14:paraId="4E7AB78A">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t>变化量</w:t>
            </w:r>
          </w:p>
          <w:p w14:paraId="54E0043F">
            <w:pPr>
              <w:pStyle w:val="70"/>
              <w:spacing w:beforeLines="0" w:afterLines="0" w:line="240" w:lineRule="auto"/>
              <w:ind w:firstLine="0"/>
              <w:rPr>
                <w:rFonts w:ascii="Times New Roman" w:eastAsia="黑体"/>
                <w:snapToGrid w:val="0"/>
                <w:color w:val="auto"/>
                <w:spacing w:val="-6"/>
                <w:kern w:val="21"/>
                <w:sz w:val="21"/>
                <w:szCs w:val="21"/>
              </w:rPr>
            </w:pPr>
            <w:r>
              <w:rPr>
                <w:rFonts w:ascii="Times New Roman" w:eastAsia="黑体"/>
                <w:snapToGrid w:val="0"/>
                <w:color w:val="auto"/>
                <w:spacing w:val="-6"/>
                <w:kern w:val="21"/>
                <w:sz w:val="21"/>
                <w:szCs w:val="21"/>
              </w:rPr>
              <w:fldChar w:fldCharType="begin"/>
            </w:r>
            <w:r>
              <w:rPr>
                <w:rFonts w:ascii="Times New Roman" w:eastAsia="黑体"/>
                <w:snapToGrid w:val="0"/>
                <w:color w:val="auto"/>
                <w:spacing w:val="-6"/>
                <w:kern w:val="21"/>
                <w:sz w:val="21"/>
                <w:szCs w:val="21"/>
              </w:rPr>
              <w:instrText xml:space="preserve"> = 7 \* GB3 \* MERGEFORMAT </w:instrText>
            </w:r>
            <w:r>
              <w:rPr>
                <w:rFonts w:ascii="Times New Roman" w:eastAsia="黑体"/>
                <w:snapToGrid w:val="0"/>
                <w:color w:val="auto"/>
                <w:spacing w:val="-6"/>
                <w:kern w:val="21"/>
                <w:sz w:val="21"/>
                <w:szCs w:val="21"/>
              </w:rPr>
              <w:fldChar w:fldCharType="separate"/>
            </w:r>
            <w:r>
              <w:rPr>
                <w:rFonts w:hint="eastAsia" w:hAnsi="宋体" w:cs="宋体"/>
                <w:color w:val="auto"/>
                <w:kern w:val="2"/>
                <w:sz w:val="21"/>
                <w:szCs w:val="21"/>
              </w:rPr>
              <w:t>⑦</w:t>
            </w:r>
            <w:r>
              <w:rPr>
                <w:rFonts w:ascii="Times New Roman" w:eastAsia="黑体"/>
                <w:snapToGrid w:val="0"/>
                <w:color w:val="auto"/>
                <w:spacing w:val="-6"/>
                <w:kern w:val="21"/>
                <w:sz w:val="21"/>
                <w:szCs w:val="21"/>
              </w:rPr>
              <w:fldChar w:fldCharType="end"/>
            </w:r>
          </w:p>
        </w:tc>
      </w:tr>
      <w:tr w14:paraId="62FE81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191" w:type="dxa"/>
            <w:vMerge w:val="restart"/>
            <w:vAlign w:val="center"/>
          </w:tcPr>
          <w:p w14:paraId="435CBF85">
            <w:pPr>
              <w:pStyle w:val="70"/>
              <w:spacing w:beforeLines="0" w:afterLines="0" w:line="240" w:lineRule="auto"/>
              <w:ind w:firstLine="0"/>
              <w:rPr>
                <w:rFonts w:ascii="Times New Roman"/>
                <w:snapToGrid w:val="0"/>
                <w:color w:val="auto"/>
                <w:kern w:val="21"/>
                <w:sz w:val="21"/>
                <w:szCs w:val="21"/>
              </w:rPr>
            </w:pPr>
            <w:r>
              <w:rPr>
                <w:rFonts w:ascii="Times New Roman"/>
                <w:snapToGrid w:val="0"/>
                <w:color w:val="auto"/>
                <w:kern w:val="21"/>
                <w:sz w:val="21"/>
                <w:szCs w:val="21"/>
              </w:rPr>
              <w:t>废气</w:t>
            </w:r>
          </w:p>
        </w:tc>
        <w:tc>
          <w:tcPr>
            <w:tcW w:w="1984" w:type="dxa"/>
            <w:vAlign w:val="center"/>
          </w:tcPr>
          <w:p w14:paraId="582C25E9">
            <w:pPr>
              <w:pStyle w:val="70"/>
              <w:spacing w:beforeLines="0" w:afterLines="0" w:line="240" w:lineRule="auto"/>
              <w:ind w:firstLine="0"/>
              <w:rPr>
                <w:rFonts w:ascii="Times New Roman"/>
                <w:snapToGrid w:val="0"/>
                <w:color w:val="auto"/>
                <w:kern w:val="21"/>
                <w:sz w:val="21"/>
                <w:szCs w:val="21"/>
              </w:rPr>
            </w:pPr>
            <w:r>
              <w:rPr>
                <w:rFonts w:ascii="Times New Roman"/>
                <w:snapToGrid w:val="0"/>
                <w:color w:val="auto"/>
                <w:kern w:val="21"/>
                <w:sz w:val="21"/>
                <w:szCs w:val="21"/>
              </w:rPr>
              <w:t>颗粒物</w:t>
            </w:r>
          </w:p>
        </w:tc>
        <w:tc>
          <w:tcPr>
            <w:tcW w:w="1701" w:type="dxa"/>
            <w:vAlign w:val="center"/>
          </w:tcPr>
          <w:p w14:paraId="30B73842">
            <w:pPr>
              <w:adjustRightInd w:val="0"/>
              <w:snapToGrid w:val="0"/>
              <w:jc w:val="center"/>
              <w:rPr>
                <w:color w:val="auto"/>
                <w:szCs w:val="21"/>
              </w:rPr>
            </w:pPr>
            <w:r>
              <w:rPr>
                <w:color w:val="auto"/>
                <w:szCs w:val="21"/>
              </w:rPr>
              <w:t>0</w:t>
            </w:r>
          </w:p>
        </w:tc>
        <w:tc>
          <w:tcPr>
            <w:tcW w:w="1276" w:type="dxa"/>
            <w:vAlign w:val="center"/>
          </w:tcPr>
          <w:p w14:paraId="7FF602EE">
            <w:pPr>
              <w:jc w:val="center"/>
              <w:rPr>
                <w:snapToGrid w:val="0"/>
                <w:color w:val="auto"/>
                <w:kern w:val="21"/>
                <w:szCs w:val="21"/>
              </w:rPr>
            </w:pPr>
            <w:r>
              <w:rPr>
                <w:color w:val="auto"/>
                <w:szCs w:val="21"/>
              </w:rPr>
              <w:t>0</w:t>
            </w:r>
          </w:p>
        </w:tc>
        <w:tc>
          <w:tcPr>
            <w:tcW w:w="1701" w:type="dxa"/>
            <w:vAlign w:val="center"/>
          </w:tcPr>
          <w:p w14:paraId="1BDB6531">
            <w:pPr>
              <w:adjustRightInd w:val="0"/>
              <w:snapToGrid w:val="0"/>
              <w:jc w:val="center"/>
              <w:rPr>
                <w:snapToGrid w:val="0"/>
                <w:color w:val="auto"/>
                <w:kern w:val="21"/>
                <w:szCs w:val="21"/>
              </w:rPr>
            </w:pPr>
            <w:r>
              <w:rPr>
                <w:color w:val="auto"/>
                <w:szCs w:val="21"/>
              </w:rPr>
              <w:t>0</w:t>
            </w:r>
          </w:p>
        </w:tc>
        <w:tc>
          <w:tcPr>
            <w:tcW w:w="1559" w:type="dxa"/>
            <w:vAlign w:val="center"/>
          </w:tcPr>
          <w:p w14:paraId="4AC5BEAD">
            <w:pPr>
              <w:jc w:val="center"/>
              <w:rPr>
                <w:color w:val="auto"/>
                <w:szCs w:val="21"/>
              </w:rPr>
            </w:pPr>
            <w:r>
              <w:rPr>
                <w:rFonts w:hint="eastAsia"/>
                <w:color w:val="auto"/>
                <w:kern w:val="0"/>
                <w:szCs w:val="21"/>
                <w:lang w:bidi="ar"/>
              </w:rPr>
              <w:t>0.87152</w:t>
            </w:r>
            <w:r>
              <w:rPr>
                <w:rFonts w:hint="eastAsia"/>
                <w:color w:val="auto"/>
                <w:szCs w:val="21"/>
              </w:rPr>
              <w:t>t/a</w:t>
            </w:r>
          </w:p>
        </w:tc>
        <w:tc>
          <w:tcPr>
            <w:tcW w:w="1761" w:type="dxa"/>
            <w:vAlign w:val="center"/>
          </w:tcPr>
          <w:p w14:paraId="1F30BD54">
            <w:pPr>
              <w:adjustRightInd w:val="0"/>
              <w:snapToGrid w:val="0"/>
              <w:jc w:val="center"/>
              <w:rPr>
                <w:snapToGrid w:val="0"/>
                <w:color w:val="auto"/>
                <w:kern w:val="21"/>
                <w:szCs w:val="21"/>
              </w:rPr>
            </w:pPr>
            <w:r>
              <w:rPr>
                <w:color w:val="auto"/>
                <w:szCs w:val="21"/>
              </w:rPr>
              <w:t>0</w:t>
            </w:r>
          </w:p>
        </w:tc>
        <w:tc>
          <w:tcPr>
            <w:tcW w:w="1639" w:type="dxa"/>
            <w:vAlign w:val="center"/>
          </w:tcPr>
          <w:p w14:paraId="2BDC081F">
            <w:pPr>
              <w:jc w:val="center"/>
              <w:rPr>
                <w:color w:val="auto"/>
                <w:szCs w:val="21"/>
              </w:rPr>
            </w:pPr>
            <w:r>
              <w:rPr>
                <w:rFonts w:hint="eastAsia"/>
                <w:color w:val="auto"/>
                <w:kern w:val="0"/>
                <w:szCs w:val="21"/>
                <w:lang w:bidi="ar"/>
              </w:rPr>
              <w:t>0.87152</w:t>
            </w:r>
            <w:r>
              <w:rPr>
                <w:rFonts w:hint="eastAsia"/>
                <w:color w:val="auto"/>
                <w:szCs w:val="21"/>
              </w:rPr>
              <w:t>t/a</w:t>
            </w:r>
          </w:p>
        </w:tc>
        <w:tc>
          <w:tcPr>
            <w:tcW w:w="1237" w:type="dxa"/>
            <w:vAlign w:val="center"/>
          </w:tcPr>
          <w:p w14:paraId="3330677A">
            <w:pPr>
              <w:jc w:val="center"/>
              <w:rPr>
                <w:color w:val="auto"/>
                <w:szCs w:val="21"/>
              </w:rPr>
            </w:pPr>
            <w:r>
              <w:rPr>
                <w:rFonts w:hint="eastAsia"/>
                <w:color w:val="auto"/>
                <w:kern w:val="0"/>
                <w:szCs w:val="21"/>
                <w:lang w:bidi="ar"/>
              </w:rPr>
              <w:t>+0.87152</w:t>
            </w:r>
            <w:r>
              <w:rPr>
                <w:rFonts w:hint="eastAsia"/>
                <w:color w:val="auto"/>
                <w:szCs w:val="21"/>
              </w:rPr>
              <w:t>t/a</w:t>
            </w:r>
          </w:p>
        </w:tc>
      </w:tr>
      <w:tr w14:paraId="5319BE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58B9C3BD">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6997201F">
            <w:pPr>
              <w:adjustRightInd w:val="0"/>
              <w:snapToGrid w:val="0"/>
              <w:jc w:val="center"/>
              <w:rPr>
                <w:color w:val="auto"/>
                <w:szCs w:val="21"/>
              </w:rPr>
            </w:pPr>
            <w:r>
              <w:rPr>
                <w:bCs/>
                <w:color w:val="auto"/>
                <w:kern w:val="21"/>
                <w:szCs w:val="21"/>
              </w:rPr>
              <w:t>SO</w:t>
            </w:r>
            <w:r>
              <w:rPr>
                <w:bCs/>
                <w:color w:val="auto"/>
                <w:kern w:val="21"/>
                <w:szCs w:val="21"/>
                <w:vertAlign w:val="subscript"/>
              </w:rPr>
              <w:t>2</w:t>
            </w:r>
          </w:p>
        </w:tc>
        <w:tc>
          <w:tcPr>
            <w:tcW w:w="1701" w:type="dxa"/>
            <w:vAlign w:val="center"/>
          </w:tcPr>
          <w:p w14:paraId="65B825C4">
            <w:pPr>
              <w:adjustRightInd w:val="0"/>
              <w:snapToGrid w:val="0"/>
              <w:jc w:val="center"/>
              <w:rPr>
                <w:color w:val="auto"/>
                <w:szCs w:val="21"/>
              </w:rPr>
            </w:pPr>
            <w:r>
              <w:rPr>
                <w:color w:val="auto"/>
                <w:szCs w:val="21"/>
              </w:rPr>
              <w:t>0</w:t>
            </w:r>
          </w:p>
        </w:tc>
        <w:tc>
          <w:tcPr>
            <w:tcW w:w="1276" w:type="dxa"/>
            <w:vAlign w:val="center"/>
          </w:tcPr>
          <w:p w14:paraId="648DCE9B">
            <w:pPr>
              <w:jc w:val="center"/>
              <w:rPr>
                <w:snapToGrid w:val="0"/>
                <w:color w:val="auto"/>
                <w:kern w:val="21"/>
                <w:szCs w:val="21"/>
              </w:rPr>
            </w:pPr>
            <w:r>
              <w:rPr>
                <w:color w:val="auto"/>
                <w:szCs w:val="21"/>
              </w:rPr>
              <w:t>0</w:t>
            </w:r>
          </w:p>
        </w:tc>
        <w:tc>
          <w:tcPr>
            <w:tcW w:w="1701" w:type="dxa"/>
            <w:vAlign w:val="center"/>
          </w:tcPr>
          <w:p w14:paraId="2F3BFA8F">
            <w:pPr>
              <w:adjustRightInd w:val="0"/>
              <w:snapToGrid w:val="0"/>
              <w:jc w:val="center"/>
              <w:rPr>
                <w:snapToGrid w:val="0"/>
                <w:color w:val="auto"/>
                <w:kern w:val="21"/>
                <w:szCs w:val="21"/>
              </w:rPr>
            </w:pPr>
            <w:r>
              <w:rPr>
                <w:color w:val="auto"/>
                <w:szCs w:val="21"/>
              </w:rPr>
              <w:t>0</w:t>
            </w:r>
          </w:p>
        </w:tc>
        <w:tc>
          <w:tcPr>
            <w:tcW w:w="1559" w:type="dxa"/>
            <w:vAlign w:val="center"/>
          </w:tcPr>
          <w:p w14:paraId="2B080928">
            <w:pPr>
              <w:jc w:val="center"/>
              <w:rPr>
                <w:color w:val="auto"/>
                <w:szCs w:val="21"/>
              </w:rPr>
            </w:pPr>
            <w:r>
              <w:rPr>
                <w:rFonts w:hint="eastAsia"/>
                <w:color w:val="auto"/>
                <w:szCs w:val="21"/>
              </w:rPr>
              <w:t>0.0544t/a</w:t>
            </w:r>
          </w:p>
        </w:tc>
        <w:tc>
          <w:tcPr>
            <w:tcW w:w="1761" w:type="dxa"/>
            <w:vAlign w:val="center"/>
          </w:tcPr>
          <w:p w14:paraId="6E5408C3">
            <w:pPr>
              <w:adjustRightInd w:val="0"/>
              <w:snapToGrid w:val="0"/>
              <w:jc w:val="center"/>
              <w:rPr>
                <w:snapToGrid w:val="0"/>
                <w:color w:val="auto"/>
                <w:kern w:val="21"/>
                <w:szCs w:val="21"/>
              </w:rPr>
            </w:pPr>
            <w:r>
              <w:rPr>
                <w:color w:val="auto"/>
                <w:szCs w:val="21"/>
              </w:rPr>
              <w:t>0</w:t>
            </w:r>
          </w:p>
        </w:tc>
        <w:tc>
          <w:tcPr>
            <w:tcW w:w="1639" w:type="dxa"/>
            <w:vAlign w:val="center"/>
          </w:tcPr>
          <w:p w14:paraId="28E11AC0">
            <w:pPr>
              <w:jc w:val="center"/>
              <w:rPr>
                <w:color w:val="auto"/>
                <w:szCs w:val="21"/>
              </w:rPr>
            </w:pPr>
            <w:r>
              <w:rPr>
                <w:rFonts w:hint="eastAsia"/>
                <w:color w:val="auto"/>
                <w:szCs w:val="21"/>
              </w:rPr>
              <w:t>0.0544t/a</w:t>
            </w:r>
          </w:p>
        </w:tc>
        <w:tc>
          <w:tcPr>
            <w:tcW w:w="1237" w:type="dxa"/>
            <w:vAlign w:val="center"/>
          </w:tcPr>
          <w:p w14:paraId="5ECBFF9B">
            <w:pPr>
              <w:jc w:val="center"/>
              <w:rPr>
                <w:color w:val="auto"/>
                <w:szCs w:val="21"/>
              </w:rPr>
            </w:pPr>
            <w:r>
              <w:rPr>
                <w:rFonts w:hint="eastAsia"/>
                <w:color w:val="auto"/>
                <w:szCs w:val="21"/>
              </w:rPr>
              <w:t>+0.0544t/a</w:t>
            </w:r>
          </w:p>
        </w:tc>
      </w:tr>
      <w:tr w14:paraId="6C73E7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1DB091AD">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19D15AE3">
            <w:pPr>
              <w:pStyle w:val="70"/>
              <w:spacing w:beforeLines="0" w:afterLines="0" w:line="240" w:lineRule="auto"/>
              <w:ind w:firstLine="0"/>
              <w:rPr>
                <w:rFonts w:ascii="Times New Roman"/>
                <w:snapToGrid w:val="0"/>
                <w:color w:val="auto"/>
                <w:kern w:val="21"/>
                <w:sz w:val="21"/>
                <w:szCs w:val="21"/>
              </w:rPr>
            </w:pPr>
            <w:r>
              <w:rPr>
                <w:rFonts w:ascii="Times New Roman"/>
                <w:color w:val="auto"/>
                <w:sz w:val="21"/>
                <w:szCs w:val="21"/>
              </w:rPr>
              <w:t>硫酸雾</w:t>
            </w:r>
          </w:p>
        </w:tc>
        <w:tc>
          <w:tcPr>
            <w:tcW w:w="1701" w:type="dxa"/>
            <w:vAlign w:val="center"/>
          </w:tcPr>
          <w:p w14:paraId="0F98836B">
            <w:pPr>
              <w:adjustRightInd w:val="0"/>
              <w:snapToGrid w:val="0"/>
              <w:jc w:val="center"/>
              <w:rPr>
                <w:color w:val="auto"/>
                <w:szCs w:val="21"/>
              </w:rPr>
            </w:pPr>
            <w:r>
              <w:rPr>
                <w:color w:val="auto"/>
                <w:szCs w:val="21"/>
              </w:rPr>
              <w:t>0</w:t>
            </w:r>
          </w:p>
        </w:tc>
        <w:tc>
          <w:tcPr>
            <w:tcW w:w="1276" w:type="dxa"/>
            <w:vAlign w:val="center"/>
          </w:tcPr>
          <w:p w14:paraId="68F66840">
            <w:pPr>
              <w:jc w:val="center"/>
              <w:rPr>
                <w:snapToGrid w:val="0"/>
                <w:color w:val="auto"/>
                <w:kern w:val="21"/>
                <w:szCs w:val="21"/>
              </w:rPr>
            </w:pPr>
            <w:r>
              <w:rPr>
                <w:color w:val="auto"/>
                <w:szCs w:val="21"/>
              </w:rPr>
              <w:t>0</w:t>
            </w:r>
          </w:p>
        </w:tc>
        <w:tc>
          <w:tcPr>
            <w:tcW w:w="1701" w:type="dxa"/>
            <w:vAlign w:val="center"/>
          </w:tcPr>
          <w:p w14:paraId="500A4AEC">
            <w:pPr>
              <w:adjustRightInd w:val="0"/>
              <w:snapToGrid w:val="0"/>
              <w:jc w:val="center"/>
              <w:rPr>
                <w:color w:val="auto"/>
                <w:szCs w:val="21"/>
              </w:rPr>
            </w:pPr>
            <w:r>
              <w:rPr>
                <w:color w:val="auto"/>
                <w:szCs w:val="21"/>
              </w:rPr>
              <w:t>0</w:t>
            </w:r>
          </w:p>
        </w:tc>
        <w:tc>
          <w:tcPr>
            <w:tcW w:w="1559" w:type="dxa"/>
            <w:vAlign w:val="center"/>
          </w:tcPr>
          <w:p w14:paraId="35E91A40">
            <w:pPr>
              <w:jc w:val="center"/>
              <w:rPr>
                <w:rFonts w:eastAsia="Microsoft YaHei UI"/>
                <w:color w:val="auto"/>
                <w:szCs w:val="21"/>
              </w:rPr>
            </w:pPr>
            <w:r>
              <w:rPr>
                <w:color w:val="auto"/>
                <w:kern w:val="0"/>
                <w:szCs w:val="21"/>
                <w:lang w:bidi="ar"/>
              </w:rPr>
              <w:t>0.0502</w:t>
            </w:r>
            <w:r>
              <w:rPr>
                <w:rFonts w:hint="eastAsia"/>
                <w:color w:val="auto"/>
                <w:szCs w:val="21"/>
              </w:rPr>
              <w:t>t/a</w:t>
            </w:r>
          </w:p>
        </w:tc>
        <w:tc>
          <w:tcPr>
            <w:tcW w:w="1761" w:type="dxa"/>
            <w:vAlign w:val="center"/>
          </w:tcPr>
          <w:p w14:paraId="4AA0CCE9">
            <w:pPr>
              <w:adjustRightInd w:val="0"/>
              <w:snapToGrid w:val="0"/>
              <w:jc w:val="center"/>
              <w:rPr>
                <w:color w:val="auto"/>
                <w:szCs w:val="21"/>
              </w:rPr>
            </w:pPr>
            <w:r>
              <w:rPr>
                <w:color w:val="auto"/>
                <w:szCs w:val="21"/>
              </w:rPr>
              <w:t>0</w:t>
            </w:r>
          </w:p>
        </w:tc>
        <w:tc>
          <w:tcPr>
            <w:tcW w:w="1639" w:type="dxa"/>
            <w:vAlign w:val="center"/>
          </w:tcPr>
          <w:p w14:paraId="15E1E150">
            <w:pPr>
              <w:jc w:val="center"/>
              <w:rPr>
                <w:rFonts w:eastAsia="Microsoft YaHei UI"/>
                <w:color w:val="auto"/>
                <w:szCs w:val="21"/>
              </w:rPr>
            </w:pPr>
            <w:r>
              <w:rPr>
                <w:color w:val="auto"/>
                <w:kern w:val="0"/>
                <w:szCs w:val="21"/>
                <w:lang w:bidi="ar"/>
              </w:rPr>
              <w:t>0.0502</w:t>
            </w:r>
            <w:r>
              <w:rPr>
                <w:rFonts w:hint="eastAsia"/>
                <w:color w:val="auto"/>
                <w:szCs w:val="21"/>
              </w:rPr>
              <w:t>t/a</w:t>
            </w:r>
          </w:p>
        </w:tc>
        <w:tc>
          <w:tcPr>
            <w:tcW w:w="1237" w:type="dxa"/>
            <w:vAlign w:val="center"/>
          </w:tcPr>
          <w:p w14:paraId="158D654D">
            <w:pPr>
              <w:jc w:val="center"/>
              <w:rPr>
                <w:rFonts w:eastAsia="Microsoft YaHei UI"/>
                <w:color w:val="auto"/>
                <w:szCs w:val="21"/>
              </w:rPr>
            </w:pPr>
            <w:r>
              <w:rPr>
                <w:rFonts w:hint="eastAsia"/>
                <w:color w:val="auto"/>
                <w:kern w:val="0"/>
                <w:szCs w:val="21"/>
                <w:lang w:bidi="ar"/>
              </w:rPr>
              <w:t>+</w:t>
            </w:r>
            <w:r>
              <w:rPr>
                <w:color w:val="auto"/>
                <w:kern w:val="0"/>
                <w:szCs w:val="21"/>
                <w:lang w:bidi="ar"/>
              </w:rPr>
              <w:t>0.0502</w:t>
            </w:r>
            <w:r>
              <w:rPr>
                <w:rFonts w:hint="eastAsia"/>
                <w:color w:val="auto"/>
                <w:szCs w:val="21"/>
              </w:rPr>
              <w:t>t/a</w:t>
            </w:r>
          </w:p>
        </w:tc>
      </w:tr>
      <w:tr w14:paraId="1C539B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3572F041">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1577B912">
            <w:pPr>
              <w:adjustRightInd w:val="0"/>
              <w:snapToGrid w:val="0"/>
              <w:jc w:val="center"/>
              <w:rPr>
                <w:color w:val="auto"/>
                <w:szCs w:val="21"/>
              </w:rPr>
            </w:pPr>
            <w:r>
              <w:rPr>
                <w:bCs/>
                <w:color w:val="auto"/>
                <w:kern w:val="21"/>
                <w:szCs w:val="21"/>
              </w:rPr>
              <w:t>NOx</w:t>
            </w:r>
          </w:p>
        </w:tc>
        <w:tc>
          <w:tcPr>
            <w:tcW w:w="1701" w:type="dxa"/>
            <w:vAlign w:val="center"/>
          </w:tcPr>
          <w:p w14:paraId="2D0397A5">
            <w:pPr>
              <w:adjustRightInd w:val="0"/>
              <w:snapToGrid w:val="0"/>
              <w:jc w:val="center"/>
              <w:rPr>
                <w:color w:val="auto"/>
                <w:szCs w:val="21"/>
              </w:rPr>
            </w:pPr>
            <w:r>
              <w:rPr>
                <w:color w:val="auto"/>
                <w:szCs w:val="21"/>
              </w:rPr>
              <w:t>0</w:t>
            </w:r>
          </w:p>
        </w:tc>
        <w:tc>
          <w:tcPr>
            <w:tcW w:w="1276" w:type="dxa"/>
            <w:vAlign w:val="center"/>
          </w:tcPr>
          <w:p w14:paraId="7DDD5FF1">
            <w:pPr>
              <w:jc w:val="center"/>
              <w:rPr>
                <w:snapToGrid w:val="0"/>
                <w:color w:val="auto"/>
                <w:kern w:val="21"/>
                <w:szCs w:val="21"/>
              </w:rPr>
            </w:pPr>
            <w:r>
              <w:rPr>
                <w:color w:val="auto"/>
                <w:szCs w:val="21"/>
              </w:rPr>
              <w:t>0</w:t>
            </w:r>
          </w:p>
        </w:tc>
        <w:tc>
          <w:tcPr>
            <w:tcW w:w="1701" w:type="dxa"/>
            <w:vAlign w:val="center"/>
          </w:tcPr>
          <w:p w14:paraId="30B699F0">
            <w:pPr>
              <w:adjustRightInd w:val="0"/>
              <w:snapToGrid w:val="0"/>
              <w:jc w:val="center"/>
              <w:rPr>
                <w:snapToGrid w:val="0"/>
                <w:color w:val="auto"/>
                <w:kern w:val="21"/>
                <w:szCs w:val="21"/>
              </w:rPr>
            </w:pPr>
            <w:r>
              <w:rPr>
                <w:color w:val="auto"/>
                <w:szCs w:val="21"/>
              </w:rPr>
              <w:t>0</w:t>
            </w:r>
          </w:p>
        </w:tc>
        <w:tc>
          <w:tcPr>
            <w:tcW w:w="1559" w:type="dxa"/>
            <w:vAlign w:val="center"/>
          </w:tcPr>
          <w:p w14:paraId="683C498D">
            <w:pPr>
              <w:jc w:val="center"/>
              <w:rPr>
                <w:color w:val="auto"/>
                <w:szCs w:val="21"/>
              </w:rPr>
            </w:pPr>
            <w:r>
              <w:rPr>
                <w:color w:val="auto"/>
                <w:kern w:val="0"/>
                <w:szCs w:val="21"/>
                <w:lang w:bidi="ar"/>
              </w:rPr>
              <w:t>0.255</w:t>
            </w:r>
            <w:r>
              <w:rPr>
                <w:rFonts w:hint="eastAsia"/>
                <w:color w:val="auto"/>
                <w:szCs w:val="21"/>
              </w:rPr>
              <w:t>t/a</w:t>
            </w:r>
          </w:p>
        </w:tc>
        <w:tc>
          <w:tcPr>
            <w:tcW w:w="1761" w:type="dxa"/>
            <w:vAlign w:val="center"/>
          </w:tcPr>
          <w:p w14:paraId="6BDE9D5B">
            <w:pPr>
              <w:adjustRightInd w:val="0"/>
              <w:snapToGrid w:val="0"/>
              <w:jc w:val="center"/>
              <w:rPr>
                <w:snapToGrid w:val="0"/>
                <w:color w:val="auto"/>
                <w:kern w:val="21"/>
                <w:szCs w:val="21"/>
              </w:rPr>
            </w:pPr>
            <w:r>
              <w:rPr>
                <w:color w:val="auto"/>
                <w:szCs w:val="21"/>
              </w:rPr>
              <w:t>0</w:t>
            </w:r>
          </w:p>
        </w:tc>
        <w:tc>
          <w:tcPr>
            <w:tcW w:w="1639" w:type="dxa"/>
            <w:vAlign w:val="center"/>
          </w:tcPr>
          <w:p w14:paraId="5647A4EB">
            <w:pPr>
              <w:jc w:val="center"/>
              <w:rPr>
                <w:color w:val="auto"/>
                <w:szCs w:val="21"/>
              </w:rPr>
            </w:pPr>
            <w:r>
              <w:rPr>
                <w:color w:val="auto"/>
                <w:kern w:val="0"/>
                <w:szCs w:val="21"/>
                <w:lang w:bidi="ar"/>
              </w:rPr>
              <w:t>0.255</w:t>
            </w:r>
            <w:r>
              <w:rPr>
                <w:rFonts w:hint="eastAsia"/>
                <w:color w:val="auto"/>
                <w:szCs w:val="21"/>
              </w:rPr>
              <w:t>t/a</w:t>
            </w:r>
          </w:p>
        </w:tc>
        <w:tc>
          <w:tcPr>
            <w:tcW w:w="1237" w:type="dxa"/>
            <w:vAlign w:val="center"/>
          </w:tcPr>
          <w:p w14:paraId="158EA4C3">
            <w:pPr>
              <w:jc w:val="center"/>
              <w:rPr>
                <w:color w:val="auto"/>
                <w:szCs w:val="21"/>
              </w:rPr>
            </w:pPr>
            <w:r>
              <w:rPr>
                <w:rFonts w:hint="eastAsia"/>
                <w:color w:val="auto"/>
                <w:kern w:val="0"/>
                <w:szCs w:val="21"/>
                <w:lang w:bidi="ar"/>
              </w:rPr>
              <w:t>+</w:t>
            </w:r>
            <w:r>
              <w:rPr>
                <w:color w:val="auto"/>
                <w:kern w:val="0"/>
                <w:szCs w:val="21"/>
                <w:lang w:bidi="ar"/>
              </w:rPr>
              <w:t>0.255</w:t>
            </w:r>
            <w:r>
              <w:rPr>
                <w:rFonts w:hint="eastAsia"/>
                <w:color w:val="auto"/>
                <w:szCs w:val="21"/>
              </w:rPr>
              <w:t>t/a</w:t>
            </w:r>
          </w:p>
        </w:tc>
      </w:tr>
      <w:tr w14:paraId="7F62EE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4E70A6ED">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52C0C470">
            <w:pPr>
              <w:adjustRightInd w:val="0"/>
              <w:snapToGrid w:val="0"/>
              <w:jc w:val="center"/>
              <w:rPr>
                <w:color w:val="auto"/>
                <w:szCs w:val="21"/>
              </w:rPr>
            </w:pPr>
            <w:r>
              <w:rPr>
                <w:rFonts w:hint="eastAsia"/>
                <w:color w:val="auto"/>
                <w:szCs w:val="21"/>
              </w:rPr>
              <w:t>TVOC</w:t>
            </w:r>
          </w:p>
        </w:tc>
        <w:tc>
          <w:tcPr>
            <w:tcW w:w="1701" w:type="dxa"/>
            <w:vAlign w:val="center"/>
          </w:tcPr>
          <w:p w14:paraId="483CDD92">
            <w:pPr>
              <w:adjustRightInd w:val="0"/>
              <w:snapToGrid w:val="0"/>
              <w:jc w:val="center"/>
              <w:rPr>
                <w:color w:val="auto"/>
                <w:szCs w:val="21"/>
              </w:rPr>
            </w:pPr>
            <w:r>
              <w:rPr>
                <w:color w:val="auto"/>
                <w:szCs w:val="21"/>
              </w:rPr>
              <w:t>0</w:t>
            </w:r>
          </w:p>
        </w:tc>
        <w:tc>
          <w:tcPr>
            <w:tcW w:w="1276" w:type="dxa"/>
            <w:vAlign w:val="center"/>
          </w:tcPr>
          <w:p w14:paraId="620CFE8E">
            <w:pPr>
              <w:jc w:val="center"/>
              <w:rPr>
                <w:snapToGrid w:val="0"/>
                <w:color w:val="auto"/>
                <w:kern w:val="21"/>
                <w:szCs w:val="21"/>
              </w:rPr>
            </w:pPr>
            <w:r>
              <w:rPr>
                <w:color w:val="auto"/>
                <w:szCs w:val="21"/>
              </w:rPr>
              <w:t>0</w:t>
            </w:r>
          </w:p>
        </w:tc>
        <w:tc>
          <w:tcPr>
            <w:tcW w:w="1701" w:type="dxa"/>
            <w:vAlign w:val="center"/>
          </w:tcPr>
          <w:p w14:paraId="278E8998">
            <w:pPr>
              <w:adjustRightInd w:val="0"/>
              <w:snapToGrid w:val="0"/>
              <w:jc w:val="center"/>
              <w:rPr>
                <w:snapToGrid w:val="0"/>
                <w:color w:val="auto"/>
                <w:kern w:val="21"/>
                <w:szCs w:val="21"/>
              </w:rPr>
            </w:pPr>
            <w:r>
              <w:rPr>
                <w:color w:val="auto"/>
                <w:szCs w:val="21"/>
              </w:rPr>
              <w:t>0</w:t>
            </w:r>
          </w:p>
        </w:tc>
        <w:tc>
          <w:tcPr>
            <w:tcW w:w="1559" w:type="dxa"/>
            <w:vAlign w:val="center"/>
          </w:tcPr>
          <w:p w14:paraId="2241574D">
            <w:pPr>
              <w:jc w:val="center"/>
              <w:rPr>
                <w:color w:val="auto"/>
                <w:szCs w:val="21"/>
              </w:rPr>
            </w:pPr>
            <w:r>
              <w:rPr>
                <w:color w:val="auto"/>
                <w:kern w:val="0"/>
                <w:szCs w:val="21"/>
                <w:lang w:bidi="ar"/>
              </w:rPr>
              <w:t>0.24263</w:t>
            </w:r>
            <w:r>
              <w:rPr>
                <w:rFonts w:hint="eastAsia"/>
                <w:color w:val="auto"/>
                <w:szCs w:val="21"/>
              </w:rPr>
              <w:t>t/a</w:t>
            </w:r>
          </w:p>
        </w:tc>
        <w:tc>
          <w:tcPr>
            <w:tcW w:w="1761" w:type="dxa"/>
            <w:vAlign w:val="center"/>
          </w:tcPr>
          <w:p w14:paraId="3FBED899">
            <w:pPr>
              <w:adjustRightInd w:val="0"/>
              <w:snapToGrid w:val="0"/>
              <w:jc w:val="center"/>
              <w:rPr>
                <w:snapToGrid w:val="0"/>
                <w:color w:val="auto"/>
                <w:kern w:val="21"/>
                <w:szCs w:val="21"/>
              </w:rPr>
            </w:pPr>
            <w:r>
              <w:rPr>
                <w:color w:val="auto"/>
                <w:szCs w:val="21"/>
              </w:rPr>
              <w:t>0</w:t>
            </w:r>
          </w:p>
        </w:tc>
        <w:tc>
          <w:tcPr>
            <w:tcW w:w="1639" w:type="dxa"/>
            <w:vAlign w:val="center"/>
          </w:tcPr>
          <w:p w14:paraId="17884531">
            <w:pPr>
              <w:jc w:val="center"/>
              <w:rPr>
                <w:color w:val="auto"/>
                <w:szCs w:val="21"/>
              </w:rPr>
            </w:pPr>
            <w:r>
              <w:rPr>
                <w:color w:val="auto"/>
                <w:kern w:val="0"/>
                <w:szCs w:val="21"/>
                <w:lang w:bidi="ar"/>
              </w:rPr>
              <w:t>0.24263</w:t>
            </w:r>
            <w:r>
              <w:rPr>
                <w:rFonts w:hint="eastAsia"/>
                <w:color w:val="auto"/>
                <w:szCs w:val="21"/>
              </w:rPr>
              <w:t>t/a</w:t>
            </w:r>
          </w:p>
        </w:tc>
        <w:tc>
          <w:tcPr>
            <w:tcW w:w="1237" w:type="dxa"/>
            <w:vAlign w:val="center"/>
          </w:tcPr>
          <w:p w14:paraId="61D339F2">
            <w:pPr>
              <w:jc w:val="center"/>
              <w:rPr>
                <w:color w:val="auto"/>
                <w:szCs w:val="21"/>
              </w:rPr>
            </w:pPr>
            <w:r>
              <w:rPr>
                <w:rFonts w:hint="eastAsia"/>
                <w:color w:val="auto"/>
                <w:kern w:val="0"/>
                <w:szCs w:val="21"/>
                <w:lang w:bidi="ar"/>
              </w:rPr>
              <w:t>+</w:t>
            </w:r>
            <w:r>
              <w:rPr>
                <w:color w:val="auto"/>
                <w:kern w:val="0"/>
                <w:szCs w:val="21"/>
                <w:lang w:bidi="ar"/>
              </w:rPr>
              <w:t>0.24263</w:t>
            </w:r>
            <w:r>
              <w:rPr>
                <w:rFonts w:hint="eastAsia"/>
                <w:color w:val="auto"/>
                <w:szCs w:val="21"/>
              </w:rPr>
              <w:t>t/a</w:t>
            </w:r>
          </w:p>
        </w:tc>
      </w:tr>
      <w:tr w14:paraId="41B274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restart"/>
            <w:vAlign w:val="center"/>
          </w:tcPr>
          <w:p w14:paraId="115AF853">
            <w:pPr>
              <w:pStyle w:val="70"/>
              <w:spacing w:beforeLines="0" w:afterLines="0" w:line="240" w:lineRule="auto"/>
              <w:ind w:firstLine="0"/>
              <w:rPr>
                <w:rFonts w:ascii="Times New Roman"/>
                <w:snapToGrid w:val="0"/>
                <w:color w:val="auto"/>
                <w:kern w:val="21"/>
                <w:sz w:val="21"/>
                <w:szCs w:val="21"/>
              </w:rPr>
            </w:pPr>
            <w:r>
              <w:rPr>
                <w:rFonts w:ascii="Times New Roman"/>
                <w:snapToGrid w:val="0"/>
                <w:color w:val="auto"/>
                <w:kern w:val="21"/>
                <w:sz w:val="21"/>
                <w:szCs w:val="21"/>
              </w:rPr>
              <w:t>废水</w:t>
            </w:r>
          </w:p>
        </w:tc>
        <w:tc>
          <w:tcPr>
            <w:tcW w:w="1984" w:type="dxa"/>
            <w:vAlign w:val="center"/>
          </w:tcPr>
          <w:p w14:paraId="69F5515B">
            <w:pPr>
              <w:pStyle w:val="70"/>
              <w:spacing w:beforeLines="0" w:afterLines="0" w:line="240" w:lineRule="auto"/>
              <w:ind w:firstLine="0"/>
              <w:rPr>
                <w:rFonts w:ascii="Times New Roman"/>
                <w:snapToGrid w:val="0"/>
                <w:color w:val="auto"/>
                <w:kern w:val="21"/>
                <w:sz w:val="21"/>
                <w:szCs w:val="21"/>
              </w:rPr>
            </w:pPr>
            <w:r>
              <w:rPr>
                <w:rFonts w:ascii="Times New Roman"/>
                <w:snapToGrid w:val="0"/>
                <w:color w:val="auto"/>
                <w:kern w:val="21"/>
                <w:sz w:val="21"/>
                <w:szCs w:val="21"/>
              </w:rPr>
              <w:t>废水量（万吨）</w:t>
            </w:r>
          </w:p>
        </w:tc>
        <w:tc>
          <w:tcPr>
            <w:tcW w:w="1701" w:type="dxa"/>
            <w:vAlign w:val="center"/>
          </w:tcPr>
          <w:p w14:paraId="033EFBA9">
            <w:pPr>
              <w:adjustRightInd w:val="0"/>
              <w:snapToGrid w:val="0"/>
              <w:jc w:val="center"/>
              <w:rPr>
                <w:color w:val="auto"/>
                <w:szCs w:val="21"/>
              </w:rPr>
            </w:pPr>
            <w:r>
              <w:rPr>
                <w:color w:val="auto"/>
                <w:szCs w:val="21"/>
              </w:rPr>
              <w:t>0</w:t>
            </w:r>
          </w:p>
        </w:tc>
        <w:tc>
          <w:tcPr>
            <w:tcW w:w="1276" w:type="dxa"/>
            <w:vAlign w:val="center"/>
          </w:tcPr>
          <w:p w14:paraId="22492F94">
            <w:pPr>
              <w:jc w:val="center"/>
              <w:rPr>
                <w:snapToGrid w:val="0"/>
                <w:color w:val="auto"/>
                <w:kern w:val="21"/>
                <w:szCs w:val="21"/>
              </w:rPr>
            </w:pPr>
            <w:r>
              <w:rPr>
                <w:color w:val="auto"/>
                <w:szCs w:val="21"/>
              </w:rPr>
              <w:t>0</w:t>
            </w:r>
          </w:p>
        </w:tc>
        <w:tc>
          <w:tcPr>
            <w:tcW w:w="1701" w:type="dxa"/>
            <w:vAlign w:val="center"/>
          </w:tcPr>
          <w:p w14:paraId="6CB3088C">
            <w:pPr>
              <w:adjustRightInd w:val="0"/>
              <w:snapToGrid w:val="0"/>
              <w:jc w:val="center"/>
              <w:rPr>
                <w:snapToGrid w:val="0"/>
                <w:color w:val="auto"/>
                <w:kern w:val="21"/>
                <w:szCs w:val="21"/>
              </w:rPr>
            </w:pPr>
            <w:r>
              <w:rPr>
                <w:color w:val="auto"/>
                <w:szCs w:val="21"/>
              </w:rPr>
              <w:t>0</w:t>
            </w:r>
          </w:p>
        </w:tc>
        <w:tc>
          <w:tcPr>
            <w:tcW w:w="1559" w:type="dxa"/>
            <w:vAlign w:val="center"/>
          </w:tcPr>
          <w:p w14:paraId="2B5BD427">
            <w:pPr>
              <w:pStyle w:val="127"/>
              <w:snapToGrid w:val="0"/>
              <w:textAlignment w:val="auto"/>
              <w:rPr>
                <w:color w:val="auto"/>
                <w:szCs w:val="21"/>
              </w:rPr>
            </w:pPr>
            <w:r>
              <w:rPr>
                <w:color w:val="auto"/>
                <w:szCs w:val="21"/>
              </w:rPr>
              <w:t>0.0</w:t>
            </w:r>
            <w:r>
              <w:rPr>
                <w:rFonts w:hint="eastAsia"/>
                <w:color w:val="auto"/>
                <w:szCs w:val="21"/>
              </w:rPr>
              <w:t>45</w:t>
            </w:r>
          </w:p>
        </w:tc>
        <w:tc>
          <w:tcPr>
            <w:tcW w:w="1761" w:type="dxa"/>
            <w:vAlign w:val="center"/>
          </w:tcPr>
          <w:p w14:paraId="7CE6A837">
            <w:pPr>
              <w:adjustRightInd w:val="0"/>
              <w:snapToGrid w:val="0"/>
              <w:jc w:val="center"/>
              <w:rPr>
                <w:snapToGrid w:val="0"/>
                <w:color w:val="auto"/>
                <w:kern w:val="21"/>
                <w:szCs w:val="21"/>
              </w:rPr>
            </w:pPr>
            <w:r>
              <w:rPr>
                <w:color w:val="auto"/>
                <w:szCs w:val="21"/>
              </w:rPr>
              <w:t>0</w:t>
            </w:r>
          </w:p>
        </w:tc>
        <w:tc>
          <w:tcPr>
            <w:tcW w:w="1639" w:type="dxa"/>
            <w:vAlign w:val="center"/>
          </w:tcPr>
          <w:p w14:paraId="37D05432">
            <w:pPr>
              <w:pStyle w:val="127"/>
              <w:snapToGrid w:val="0"/>
              <w:textAlignment w:val="auto"/>
              <w:rPr>
                <w:color w:val="auto"/>
                <w:szCs w:val="21"/>
              </w:rPr>
            </w:pPr>
            <w:r>
              <w:rPr>
                <w:color w:val="auto"/>
                <w:szCs w:val="21"/>
              </w:rPr>
              <w:t>0.0</w:t>
            </w:r>
            <w:r>
              <w:rPr>
                <w:rFonts w:hint="eastAsia"/>
                <w:color w:val="auto"/>
                <w:szCs w:val="21"/>
              </w:rPr>
              <w:t>45</w:t>
            </w:r>
          </w:p>
        </w:tc>
        <w:tc>
          <w:tcPr>
            <w:tcW w:w="1237" w:type="dxa"/>
            <w:vAlign w:val="center"/>
          </w:tcPr>
          <w:p w14:paraId="4E3AD2B6">
            <w:pPr>
              <w:pStyle w:val="127"/>
              <w:snapToGrid w:val="0"/>
              <w:textAlignment w:val="auto"/>
              <w:rPr>
                <w:color w:val="auto"/>
                <w:szCs w:val="21"/>
              </w:rPr>
            </w:pPr>
            <w:r>
              <w:rPr>
                <w:rFonts w:hint="eastAsia"/>
                <w:color w:val="auto"/>
                <w:szCs w:val="21"/>
              </w:rPr>
              <w:t>+</w:t>
            </w:r>
            <w:r>
              <w:rPr>
                <w:color w:val="auto"/>
                <w:szCs w:val="21"/>
              </w:rPr>
              <w:t>0.0</w:t>
            </w:r>
            <w:r>
              <w:rPr>
                <w:rFonts w:hint="eastAsia"/>
                <w:color w:val="auto"/>
                <w:szCs w:val="21"/>
              </w:rPr>
              <w:t>45</w:t>
            </w:r>
          </w:p>
        </w:tc>
      </w:tr>
      <w:tr w14:paraId="61F03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761BBC37">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2110767B">
            <w:pPr>
              <w:jc w:val="center"/>
              <w:rPr>
                <w:snapToGrid w:val="0"/>
                <w:color w:val="auto"/>
                <w:kern w:val="21"/>
                <w:szCs w:val="21"/>
              </w:rPr>
            </w:pPr>
            <w:r>
              <w:rPr>
                <w:color w:val="auto"/>
                <w:szCs w:val="21"/>
              </w:rPr>
              <w:t>CODcr</w:t>
            </w:r>
          </w:p>
        </w:tc>
        <w:tc>
          <w:tcPr>
            <w:tcW w:w="1701" w:type="dxa"/>
            <w:vAlign w:val="center"/>
          </w:tcPr>
          <w:p w14:paraId="0F9E00C3">
            <w:pPr>
              <w:adjustRightInd w:val="0"/>
              <w:snapToGrid w:val="0"/>
              <w:jc w:val="center"/>
              <w:rPr>
                <w:color w:val="auto"/>
                <w:szCs w:val="21"/>
              </w:rPr>
            </w:pPr>
            <w:r>
              <w:rPr>
                <w:color w:val="auto"/>
                <w:szCs w:val="21"/>
              </w:rPr>
              <w:t>0</w:t>
            </w:r>
          </w:p>
        </w:tc>
        <w:tc>
          <w:tcPr>
            <w:tcW w:w="1276" w:type="dxa"/>
            <w:vAlign w:val="center"/>
          </w:tcPr>
          <w:p w14:paraId="3B8FF588">
            <w:pPr>
              <w:jc w:val="center"/>
              <w:rPr>
                <w:snapToGrid w:val="0"/>
                <w:color w:val="auto"/>
                <w:kern w:val="21"/>
                <w:szCs w:val="21"/>
              </w:rPr>
            </w:pPr>
            <w:r>
              <w:rPr>
                <w:color w:val="auto"/>
                <w:szCs w:val="21"/>
              </w:rPr>
              <w:t>0</w:t>
            </w:r>
          </w:p>
        </w:tc>
        <w:tc>
          <w:tcPr>
            <w:tcW w:w="1701" w:type="dxa"/>
            <w:vAlign w:val="center"/>
          </w:tcPr>
          <w:p w14:paraId="1CCB4131">
            <w:pPr>
              <w:adjustRightInd w:val="0"/>
              <w:snapToGrid w:val="0"/>
              <w:jc w:val="center"/>
              <w:rPr>
                <w:snapToGrid w:val="0"/>
                <w:color w:val="auto"/>
                <w:kern w:val="21"/>
                <w:szCs w:val="21"/>
              </w:rPr>
            </w:pPr>
            <w:r>
              <w:rPr>
                <w:color w:val="auto"/>
                <w:szCs w:val="21"/>
              </w:rPr>
              <w:t>0</w:t>
            </w:r>
          </w:p>
        </w:tc>
        <w:tc>
          <w:tcPr>
            <w:tcW w:w="1559" w:type="dxa"/>
            <w:vAlign w:val="center"/>
          </w:tcPr>
          <w:p w14:paraId="3C90C606">
            <w:pPr>
              <w:pStyle w:val="127"/>
              <w:snapToGrid w:val="0"/>
              <w:textAlignment w:val="auto"/>
              <w:rPr>
                <w:color w:val="auto"/>
                <w:szCs w:val="21"/>
              </w:rPr>
            </w:pPr>
            <w:r>
              <w:rPr>
                <w:color w:val="auto"/>
                <w:szCs w:val="21"/>
              </w:rPr>
              <w:t>0.0</w:t>
            </w:r>
            <w:r>
              <w:rPr>
                <w:rFonts w:hint="eastAsia"/>
                <w:color w:val="auto"/>
                <w:szCs w:val="21"/>
              </w:rPr>
              <w:t>18t/a</w:t>
            </w:r>
          </w:p>
        </w:tc>
        <w:tc>
          <w:tcPr>
            <w:tcW w:w="1761" w:type="dxa"/>
            <w:vAlign w:val="center"/>
          </w:tcPr>
          <w:p w14:paraId="1909AA20">
            <w:pPr>
              <w:adjustRightInd w:val="0"/>
              <w:snapToGrid w:val="0"/>
              <w:jc w:val="center"/>
              <w:rPr>
                <w:snapToGrid w:val="0"/>
                <w:color w:val="auto"/>
                <w:kern w:val="21"/>
                <w:szCs w:val="21"/>
              </w:rPr>
            </w:pPr>
            <w:r>
              <w:rPr>
                <w:color w:val="auto"/>
                <w:szCs w:val="21"/>
              </w:rPr>
              <w:t>0</w:t>
            </w:r>
          </w:p>
        </w:tc>
        <w:tc>
          <w:tcPr>
            <w:tcW w:w="1639" w:type="dxa"/>
            <w:vAlign w:val="center"/>
          </w:tcPr>
          <w:p w14:paraId="22D04E37">
            <w:pPr>
              <w:pStyle w:val="127"/>
              <w:snapToGrid w:val="0"/>
              <w:textAlignment w:val="auto"/>
              <w:rPr>
                <w:color w:val="auto"/>
                <w:szCs w:val="21"/>
              </w:rPr>
            </w:pPr>
            <w:r>
              <w:rPr>
                <w:color w:val="auto"/>
                <w:szCs w:val="21"/>
              </w:rPr>
              <w:t>0.0</w:t>
            </w:r>
            <w:r>
              <w:rPr>
                <w:rFonts w:hint="eastAsia"/>
                <w:color w:val="auto"/>
                <w:szCs w:val="21"/>
              </w:rPr>
              <w:t>18t/a</w:t>
            </w:r>
          </w:p>
        </w:tc>
        <w:tc>
          <w:tcPr>
            <w:tcW w:w="1237" w:type="dxa"/>
            <w:vAlign w:val="center"/>
          </w:tcPr>
          <w:p w14:paraId="2C555D7D">
            <w:pPr>
              <w:pStyle w:val="127"/>
              <w:snapToGrid w:val="0"/>
              <w:textAlignment w:val="auto"/>
              <w:rPr>
                <w:color w:val="auto"/>
                <w:szCs w:val="21"/>
              </w:rPr>
            </w:pPr>
            <w:r>
              <w:rPr>
                <w:rFonts w:hint="eastAsia"/>
                <w:color w:val="auto"/>
                <w:szCs w:val="21"/>
              </w:rPr>
              <w:t>+</w:t>
            </w:r>
            <w:r>
              <w:rPr>
                <w:color w:val="auto"/>
                <w:szCs w:val="21"/>
              </w:rPr>
              <w:t>0.0</w:t>
            </w:r>
            <w:r>
              <w:rPr>
                <w:rFonts w:hint="eastAsia"/>
                <w:color w:val="auto"/>
                <w:szCs w:val="21"/>
              </w:rPr>
              <w:t>18t/a</w:t>
            </w:r>
          </w:p>
        </w:tc>
      </w:tr>
      <w:tr w14:paraId="59D47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58B3A497">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7EBE247F">
            <w:pPr>
              <w:jc w:val="center"/>
              <w:rPr>
                <w:snapToGrid w:val="0"/>
                <w:color w:val="auto"/>
                <w:kern w:val="21"/>
                <w:szCs w:val="21"/>
              </w:rPr>
            </w:pPr>
            <w:r>
              <w:rPr>
                <w:color w:val="auto"/>
                <w:szCs w:val="21"/>
              </w:rPr>
              <w:t>氨氮</w:t>
            </w:r>
          </w:p>
        </w:tc>
        <w:tc>
          <w:tcPr>
            <w:tcW w:w="1701" w:type="dxa"/>
            <w:vAlign w:val="center"/>
          </w:tcPr>
          <w:p w14:paraId="5F8B0EB3">
            <w:pPr>
              <w:adjustRightInd w:val="0"/>
              <w:snapToGrid w:val="0"/>
              <w:jc w:val="center"/>
              <w:rPr>
                <w:color w:val="auto"/>
                <w:szCs w:val="21"/>
              </w:rPr>
            </w:pPr>
            <w:r>
              <w:rPr>
                <w:color w:val="auto"/>
                <w:szCs w:val="21"/>
              </w:rPr>
              <w:t>0</w:t>
            </w:r>
          </w:p>
        </w:tc>
        <w:tc>
          <w:tcPr>
            <w:tcW w:w="1276" w:type="dxa"/>
            <w:vAlign w:val="center"/>
          </w:tcPr>
          <w:p w14:paraId="74BFDEE3">
            <w:pPr>
              <w:jc w:val="center"/>
              <w:rPr>
                <w:snapToGrid w:val="0"/>
                <w:color w:val="auto"/>
                <w:kern w:val="21"/>
                <w:szCs w:val="21"/>
              </w:rPr>
            </w:pPr>
            <w:r>
              <w:rPr>
                <w:color w:val="auto"/>
                <w:szCs w:val="21"/>
              </w:rPr>
              <w:t>0</w:t>
            </w:r>
          </w:p>
        </w:tc>
        <w:tc>
          <w:tcPr>
            <w:tcW w:w="1701" w:type="dxa"/>
            <w:vAlign w:val="center"/>
          </w:tcPr>
          <w:p w14:paraId="7FD69FF3">
            <w:pPr>
              <w:adjustRightInd w:val="0"/>
              <w:snapToGrid w:val="0"/>
              <w:jc w:val="center"/>
              <w:rPr>
                <w:snapToGrid w:val="0"/>
                <w:color w:val="auto"/>
                <w:kern w:val="21"/>
                <w:szCs w:val="21"/>
              </w:rPr>
            </w:pPr>
            <w:r>
              <w:rPr>
                <w:color w:val="auto"/>
                <w:szCs w:val="21"/>
              </w:rPr>
              <w:t>0</w:t>
            </w:r>
          </w:p>
        </w:tc>
        <w:tc>
          <w:tcPr>
            <w:tcW w:w="1559" w:type="dxa"/>
            <w:vAlign w:val="center"/>
          </w:tcPr>
          <w:p w14:paraId="67C32649">
            <w:pPr>
              <w:pStyle w:val="127"/>
              <w:snapToGrid w:val="0"/>
              <w:textAlignment w:val="auto"/>
              <w:rPr>
                <w:color w:val="auto"/>
                <w:szCs w:val="21"/>
              </w:rPr>
            </w:pPr>
            <w:r>
              <w:rPr>
                <w:color w:val="auto"/>
                <w:szCs w:val="21"/>
              </w:rPr>
              <w:t>0.00</w:t>
            </w:r>
            <w:r>
              <w:rPr>
                <w:rFonts w:hint="eastAsia"/>
                <w:color w:val="auto"/>
                <w:szCs w:val="21"/>
              </w:rPr>
              <w:t>09t/a</w:t>
            </w:r>
          </w:p>
        </w:tc>
        <w:tc>
          <w:tcPr>
            <w:tcW w:w="1761" w:type="dxa"/>
            <w:vAlign w:val="center"/>
          </w:tcPr>
          <w:p w14:paraId="44A0A5D8">
            <w:pPr>
              <w:adjustRightInd w:val="0"/>
              <w:snapToGrid w:val="0"/>
              <w:jc w:val="center"/>
              <w:rPr>
                <w:snapToGrid w:val="0"/>
                <w:color w:val="auto"/>
                <w:kern w:val="21"/>
                <w:szCs w:val="21"/>
              </w:rPr>
            </w:pPr>
            <w:r>
              <w:rPr>
                <w:color w:val="auto"/>
                <w:szCs w:val="21"/>
              </w:rPr>
              <w:t>0</w:t>
            </w:r>
          </w:p>
        </w:tc>
        <w:tc>
          <w:tcPr>
            <w:tcW w:w="1639" w:type="dxa"/>
            <w:vAlign w:val="center"/>
          </w:tcPr>
          <w:p w14:paraId="62073BD0">
            <w:pPr>
              <w:pStyle w:val="127"/>
              <w:snapToGrid w:val="0"/>
              <w:textAlignment w:val="auto"/>
              <w:rPr>
                <w:color w:val="auto"/>
                <w:szCs w:val="21"/>
              </w:rPr>
            </w:pPr>
            <w:r>
              <w:rPr>
                <w:color w:val="auto"/>
                <w:szCs w:val="21"/>
              </w:rPr>
              <w:t>0.00</w:t>
            </w:r>
            <w:r>
              <w:rPr>
                <w:rFonts w:hint="eastAsia"/>
                <w:color w:val="auto"/>
                <w:szCs w:val="21"/>
              </w:rPr>
              <w:t>09t/a</w:t>
            </w:r>
          </w:p>
        </w:tc>
        <w:tc>
          <w:tcPr>
            <w:tcW w:w="1237" w:type="dxa"/>
            <w:vAlign w:val="center"/>
          </w:tcPr>
          <w:p w14:paraId="4A8E8D6D">
            <w:pPr>
              <w:pStyle w:val="127"/>
              <w:snapToGrid w:val="0"/>
              <w:textAlignment w:val="auto"/>
              <w:rPr>
                <w:color w:val="auto"/>
                <w:szCs w:val="21"/>
              </w:rPr>
            </w:pPr>
            <w:r>
              <w:rPr>
                <w:rFonts w:hint="eastAsia"/>
                <w:color w:val="auto"/>
                <w:szCs w:val="21"/>
              </w:rPr>
              <w:t>+</w:t>
            </w:r>
            <w:r>
              <w:rPr>
                <w:color w:val="auto"/>
                <w:szCs w:val="21"/>
              </w:rPr>
              <w:t>0.00</w:t>
            </w:r>
            <w:r>
              <w:rPr>
                <w:rFonts w:hint="eastAsia"/>
                <w:color w:val="auto"/>
                <w:szCs w:val="21"/>
              </w:rPr>
              <w:t>09t/a</w:t>
            </w:r>
          </w:p>
        </w:tc>
      </w:tr>
      <w:tr w14:paraId="142073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restart"/>
            <w:vAlign w:val="center"/>
          </w:tcPr>
          <w:p w14:paraId="4755243A">
            <w:pPr>
              <w:pStyle w:val="70"/>
              <w:spacing w:beforeLines="0" w:afterLines="0" w:line="240" w:lineRule="auto"/>
              <w:ind w:firstLine="0"/>
              <w:rPr>
                <w:rFonts w:ascii="Times New Roman"/>
                <w:snapToGrid w:val="0"/>
                <w:color w:val="auto"/>
                <w:kern w:val="21"/>
                <w:sz w:val="21"/>
                <w:szCs w:val="21"/>
              </w:rPr>
            </w:pPr>
            <w:r>
              <w:rPr>
                <w:rFonts w:ascii="Times New Roman"/>
                <w:snapToGrid w:val="0"/>
                <w:color w:val="auto"/>
                <w:kern w:val="21"/>
                <w:sz w:val="21"/>
                <w:szCs w:val="21"/>
              </w:rPr>
              <w:t>一般工业固体废物</w:t>
            </w:r>
          </w:p>
        </w:tc>
        <w:tc>
          <w:tcPr>
            <w:tcW w:w="1984" w:type="dxa"/>
            <w:vAlign w:val="center"/>
          </w:tcPr>
          <w:p w14:paraId="285B9D56">
            <w:pPr>
              <w:keepNext/>
              <w:adjustRightInd w:val="0"/>
              <w:snapToGrid w:val="0"/>
              <w:jc w:val="center"/>
              <w:rPr>
                <w:color w:val="auto"/>
                <w:szCs w:val="21"/>
                <w:lang w:bidi="ar"/>
              </w:rPr>
            </w:pPr>
            <w:r>
              <w:rPr>
                <w:rFonts w:hint="eastAsia"/>
                <w:color w:val="auto"/>
                <w:szCs w:val="21"/>
                <w:lang w:bidi="ar"/>
              </w:rPr>
              <w:t>边角料</w:t>
            </w:r>
          </w:p>
        </w:tc>
        <w:tc>
          <w:tcPr>
            <w:tcW w:w="1701" w:type="dxa"/>
            <w:vAlign w:val="center"/>
          </w:tcPr>
          <w:p w14:paraId="5DAFC508">
            <w:pPr>
              <w:adjustRightInd w:val="0"/>
              <w:snapToGrid w:val="0"/>
              <w:jc w:val="center"/>
              <w:rPr>
                <w:color w:val="auto"/>
                <w:szCs w:val="21"/>
              </w:rPr>
            </w:pPr>
            <w:r>
              <w:rPr>
                <w:color w:val="auto"/>
                <w:szCs w:val="21"/>
              </w:rPr>
              <w:t>0</w:t>
            </w:r>
          </w:p>
        </w:tc>
        <w:tc>
          <w:tcPr>
            <w:tcW w:w="1276" w:type="dxa"/>
            <w:vAlign w:val="center"/>
          </w:tcPr>
          <w:p w14:paraId="3B26A71D">
            <w:pPr>
              <w:jc w:val="center"/>
              <w:rPr>
                <w:snapToGrid w:val="0"/>
                <w:color w:val="auto"/>
                <w:kern w:val="21"/>
                <w:szCs w:val="21"/>
              </w:rPr>
            </w:pPr>
            <w:r>
              <w:rPr>
                <w:color w:val="auto"/>
                <w:szCs w:val="21"/>
              </w:rPr>
              <w:t>0</w:t>
            </w:r>
          </w:p>
        </w:tc>
        <w:tc>
          <w:tcPr>
            <w:tcW w:w="1701" w:type="dxa"/>
            <w:vAlign w:val="center"/>
          </w:tcPr>
          <w:p w14:paraId="54E5C9E4">
            <w:pPr>
              <w:adjustRightInd w:val="0"/>
              <w:snapToGrid w:val="0"/>
              <w:jc w:val="center"/>
              <w:rPr>
                <w:snapToGrid w:val="0"/>
                <w:color w:val="auto"/>
                <w:kern w:val="21"/>
                <w:szCs w:val="21"/>
              </w:rPr>
            </w:pPr>
            <w:r>
              <w:rPr>
                <w:color w:val="auto"/>
                <w:szCs w:val="21"/>
              </w:rPr>
              <w:t>0</w:t>
            </w:r>
          </w:p>
        </w:tc>
        <w:tc>
          <w:tcPr>
            <w:tcW w:w="1559" w:type="dxa"/>
            <w:vAlign w:val="center"/>
          </w:tcPr>
          <w:p w14:paraId="0E7F1F2D">
            <w:pPr>
              <w:adjustRightInd w:val="0"/>
              <w:snapToGrid w:val="0"/>
              <w:jc w:val="center"/>
              <w:rPr>
                <w:bCs/>
                <w:color w:val="auto"/>
                <w:szCs w:val="21"/>
              </w:rPr>
            </w:pPr>
            <w:r>
              <w:rPr>
                <w:rFonts w:hint="eastAsia"/>
                <w:bCs/>
                <w:color w:val="auto"/>
                <w:szCs w:val="21"/>
              </w:rPr>
              <w:t>10.7</w:t>
            </w:r>
            <w:r>
              <w:rPr>
                <w:rFonts w:hint="eastAsia"/>
                <w:color w:val="auto"/>
                <w:szCs w:val="21"/>
              </w:rPr>
              <w:t>t/a</w:t>
            </w:r>
          </w:p>
        </w:tc>
        <w:tc>
          <w:tcPr>
            <w:tcW w:w="1761" w:type="dxa"/>
            <w:vAlign w:val="center"/>
          </w:tcPr>
          <w:p w14:paraId="3DDBB1AD">
            <w:pPr>
              <w:adjustRightInd w:val="0"/>
              <w:snapToGrid w:val="0"/>
              <w:jc w:val="center"/>
              <w:rPr>
                <w:snapToGrid w:val="0"/>
                <w:color w:val="auto"/>
                <w:kern w:val="21"/>
                <w:szCs w:val="21"/>
              </w:rPr>
            </w:pPr>
            <w:r>
              <w:rPr>
                <w:color w:val="auto"/>
                <w:szCs w:val="21"/>
              </w:rPr>
              <w:t>0</w:t>
            </w:r>
          </w:p>
        </w:tc>
        <w:tc>
          <w:tcPr>
            <w:tcW w:w="1639" w:type="dxa"/>
            <w:vAlign w:val="center"/>
          </w:tcPr>
          <w:p w14:paraId="303C19C2">
            <w:pPr>
              <w:adjustRightInd w:val="0"/>
              <w:snapToGrid w:val="0"/>
              <w:jc w:val="center"/>
              <w:rPr>
                <w:bCs/>
                <w:color w:val="auto"/>
                <w:szCs w:val="21"/>
              </w:rPr>
            </w:pPr>
            <w:r>
              <w:rPr>
                <w:rFonts w:hint="eastAsia"/>
                <w:bCs/>
                <w:color w:val="auto"/>
                <w:szCs w:val="21"/>
              </w:rPr>
              <w:t>10.7</w:t>
            </w:r>
            <w:r>
              <w:rPr>
                <w:rFonts w:hint="eastAsia"/>
                <w:color w:val="auto"/>
                <w:szCs w:val="21"/>
              </w:rPr>
              <w:t>t/a</w:t>
            </w:r>
          </w:p>
        </w:tc>
        <w:tc>
          <w:tcPr>
            <w:tcW w:w="1237" w:type="dxa"/>
            <w:vAlign w:val="center"/>
          </w:tcPr>
          <w:p w14:paraId="0CB4EE23">
            <w:pPr>
              <w:adjustRightInd w:val="0"/>
              <w:snapToGrid w:val="0"/>
              <w:jc w:val="center"/>
              <w:rPr>
                <w:bCs/>
                <w:color w:val="auto"/>
                <w:szCs w:val="21"/>
              </w:rPr>
            </w:pPr>
            <w:r>
              <w:rPr>
                <w:rFonts w:hint="eastAsia"/>
                <w:bCs/>
                <w:color w:val="auto"/>
                <w:szCs w:val="21"/>
              </w:rPr>
              <w:t>+10.7</w:t>
            </w:r>
            <w:r>
              <w:rPr>
                <w:rFonts w:hint="eastAsia"/>
                <w:color w:val="auto"/>
                <w:szCs w:val="21"/>
              </w:rPr>
              <w:t>t/a</w:t>
            </w:r>
          </w:p>
        </w:tc>
      </w:tr>
      <w:tr w14:paraId="4768A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3BF07E76">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14305647">
            <w:pPr>
              <w:keepNext/>
              <w:adjustRightInd w:val="0"/>
              <w:snapToGrid w:val="0"/>
              <w:jc w:val="center"/>
              <w:rPr>
                <w:color w:val="auto"/>
                <w:szCs w:val="21"/>
                <w:lang w:bidi="ar"/>
              </w:rPr>
            </w:pPr>
            <w:r>
              <w:rPr>
                <w:rFonts w:hint="eastAsia"/>
                <w:color w:val="auto"/>
                <w:szCs w:val="21"/>
                <w:lang w:bidi="ar"/>
              </w:rPr>
              <w:t>包装固废</w:t>
            </w:r>
          </w:p>
        </w:tc>
        <w:tc>
          <w:tcPr>
            <w:tcW w:w="1701" w:type="dxa"/>
            <w:vAlign w:val="center"/>
          </w:tcPr>
          <w:p w14:paraId="1D6A9A5E">
            <w:pPr>
              <w:adjustRightInd w:val="0"/>
              <w:snapToGrid w:val="0"/>
              <w:jc w:val="center"/>
              <w:rPr>
                <w:color w:val="auto"/>
                <w:szCs w:val="21"/>
              </w:rPr>
            </w:pPr>
            <w:r>
              <w:rPr>
                <w:color w:val="auto"/>
                <w:szCs w:val="21"/>
              </w:rPr>
              <w:t>0</w:t>
            </w:r>
          </w:p>
        </w:tc>
        <w:tc>
          <w:tcPr>
            <w:tcW w:w="1276" w:type="dxa"/>
            <w:vAlign w:val="center"/>
          </w:tcPr>
          <w:p w14:paraId="1DB0C0F2">
            <w:pPr>
              <w:jc w:val="center"/>
              <w:rPr>
                <w:snapToGrid w:val="0"/>
                <w:color w:val="auto"/>
                <w:kern w:val="21"/>
                <w:szCs w:val="21"/>
              </w:rPr>
            </w:pPr>
            <w:r>
              <w:rPr>
                <w:color w:val="auto"/>
                <w:szCs w:val="21"/>
              </w:rPr>
              <w:t>0</w:t>
            </w:r>
            <w:bookmarkStart w:id="9" w:name="_GoBack"/>
            <w:bookmarkEnd w:id="9"/>
          </w:p>
        </w:tc>
        <w:tc>
          <w:tcPr>
            <w:tcW w:w="1701" w:type="dxa"/>
            <w:vAlign w:val="center"/>
          </w:tcPr>
          <w:p w14:paraId="20E6D19E">
            <w:pPr>
              <w:adjustRightInd w:val="0"/>
              <w:snapToGrid w:val="0"/>
              <w:jc w:val="center"/>
              <w:rPr>
                <w:snapToGrid w:val="0"/>
                <w:color w:val="auto"/>
                <w:kern w:val="21"/>
                <w:szCs w:val="21"/>
              </w:rPr>
            </w:pPr>
            <w:r>
              <w:rPr>
                <w:color w:val="auto"/>
                <w:szCs w:val="21"/>
              </w:rPr>
              <w:t>0</w:t>
            </w:r>
          </w:p>
        </w:tc>
        <w:tc>
          <w:tcPr>
            <w:tcW w:w="1559" w:type="dxa"/>
            <w:vAlign w:val="center"/>
          </w:tcPr>
          <w:p w14:paraId="52045BBC">
            <w:pPr>
              <w:adjustRightInd w:val="0"/>
              <w:snapToGrid w:val="0"/>
              <w:jc w:val="center"/>
              <w:rPr>
                <w:bCs/>
                <w:color w:val="auto"/>
                <w:szCs w:val="21"/>
              </w:rPr>
            </w:pPr>
            <w:r>
              <w:rPr>
                <w:rFonts w:hint="eastAsia"/>
                <w:bCs/>
                <w:color w:val="auto"/>
                <w:szCs w:val="21"/>
              </w:rPr>
              <w:t>0.3</w:t>
            </w:r>
            <w:r>
              <w:rPr>
                <w:rFonts w:hint="eastAsia"/>
                <w:color w:val="auto"/>
                <w:szCs w:val="21"/>
              </w:rPr>
              <w:t>t/a</w:t>
            </w:r>
          </w:p>
        </w:tc>
        <w:tc>
          <w:tcPr>
            <w:tcW w:w="1761" w:type="dxa"/>
            <w:vAlign w:val="center"/>
          </w:tcPr>
          <w:p w14:paraId="0C402420">
            <w:pPr>
              <w:adjustRightInd w:val="0"/>
              <w:snapToGrid w:val="0"/>
              <w:jc w:val="center"/>
              <w:rPr>
                <w:snapToGrid w:val="0"/>
                <w:color w:val="auto"/>
                <w:kern w:val="21"/>
                <w:szCs w:val="21"/>
              </w:rPr>
            </w:pPr>
            <w:r>
              <w:rPr>
                <w:color w:val="auto"/>
                <w:szCs w:val="21"/>
              </w:rPr>
              <w:t>0</w:t>
            </w:r>
          </w:p>
        </w:tc>
        <w:tc>
          <w:tcPr>
            <w:tcW w:w="1639" w:type="dxa"/>
            <w:vAlign w:val="center"/>
          </w:tcPr>
          <w:p w14:paraId="13B69786">
            <w:pPr>
              <w:adjustRightInd w:val="0"/>
              <w:snapToGrid w:val="0"/>
              <w:jc w:val="center"/>
              <w:rPr>
                <w:bCs/>
                <w:color w:val="auto"/>
                <w:szCs w:val="21"/>
              </w:rPr>
            </w:pPr>
            <w:r>
              <w:rPr>
                <w:rFonts w:hint="eastAsia"/>
                <w:bCs/>
                <w:color w:val="auto"/>
                <w:szCs w:val="21"/>
              </w:rPr>
              <w:t>0.3</w:t>
            </w:r>
            <w:r>
              <w:rPr>
                <w:rFonts w:hint="eastAsia"/>
                <w:color w:val="auto"/>
                <w:szCs w:val="21"/>
              </w:rPr>
              <w:t>t/a</w:t>
            </w:r>
          </w:p>
        </w:tc>
        <w:tc>
          <w:tcPr>
            <w:tcW w:w="1237" w:type="dxa"/>
            <w:vAlign w:val="center"/>
          </w:tcPr>
          <w:p w14:paraId="5EDFB67C">
            <w:pPr>
              <w:adjustRightInd w:val="0"/>
              <w:snapToGrid w:val="0"/>
              <w:jc w:val="center"/>
              <w:rPr>
                <w:bCs/>
                <w:color w:val="auto"/>
                <w:szCs w:val="21"/>
              </w:rPr>
            </w:pPr>
            <w:r>
              <w:rPr>
                <w:rFonts w:hint="eastAsia"/>
                <w:bCs/>
                <w:color w:val="auto"/>
                <w:szCs w:val="21"/>
              </w:rPr>
              <w:t>+0.3</w:t>
            </w:r>
            <w:r>
              <w:rPr>
                <w:rFonts w:hint="eastAsia"/>
                <w:color w:val="auto"/>
                <w:szCs w:val="21"/>
              </w:rPr>
              <w:t>t/a</w:t>
            </w:r>
          </w:p>
        </w:tc>
      </w:tr>
      <w:tr w14:paraId="54742B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14AEE713">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14E37FB3">
            <w:pPr>
              <w:keepNext/>
              <w:adjustRightInd w:val="0"/>
              <w:snapToGrid w:val="0"/>
              <w:jc w:val="center"/>
              <w:rPr>
                <w:color w:val="auto"/>
                <w:szCs w:val="21"/>
                <w:lang w:bidi="ar"/>
              </w:rPr>
            </w:pPr>
            <w:r>
              <w:rPr>
                <w:rFonts w:hint="eastAsia"/>
                <w:color w:val="auto"/>
                <w:szCs w:val="21"/>
                <w:lang w:bidi="ar"/>
              </w:rPr>
              <w:t>金属粉尘</w:t>
            </w:r>
          </w:p>
        </w:tc>
        <w:tc>
          <w:tcPr>
            <w:tcW w:w="1701" w:type="dxa"/>
            <w:vAlign w:val="center"/>
          </w:tcPr>
          <w:p w14:paraId="76A6A78D">
            <w:pPr>
              <w:adjustRightInd w:val="0"/>
              <w:snapToGrid w:val="0"/>
              <w:jc w:val="center"/>
              <w:rPr>
                <w:color w:val="auto"/>
                <w:szCs w:val="21"/>
              </w:rPr>
            </w:pPr>
            <w:r>
              <w:rPr>
                <w:color w:val="auto"/>
                <w:szCs w:val="21"/>
              </w:rPr>
              <w:t>0</w:t>
            </w:r>
          </w:p>
        </w:tc>
        <w:tc>
          <w:tcPr>
            <w:tcW w:w="1276" w:type="dxa"/>
            <w:vAlign w:val="center"/>
          </w:tcPr>
          <w:p w14:paraId="7276CEE5">
            <w:pPr>
              <w:jc w:val="center"/>
              <w:rPr>
                <w:snapToGrid w:val="0"/>
                <w:color w:val="auto"/>
                <w:kern w:val="21"/>
                <w:szCs w:val="21"/>
              </w:rPr>
            </w:pPr>
            <w:r>
              <w:rPr>
                <w:color w:val="auto"/>
                <w:szCs w:val="21"/>
              </w:rPr>
              <w:t>0</w:t>
            </w:r>
          </w:p>
        </w:tc>
        <w:tc>
          <w:tcPr>
            <w:tcW w:w="1701" w:type="dxa"/>
            <w:vAlign w:val="center"/>
          </w:tcPr>
          <w:p w14:paraId="52EC1F00">
            <w:pPr>
              <w:adjustRightInd w:val="0"/>
              <w:snapToGrid w:val="0"/>
              <w:jc w:val="center"/>
              <w:rPr>
                <w:snapToGrid w:val="0"/>
                <w:color w:val="auto"/>
                <w:kern w:val="21"/>
                <w:szCs w:val="21"/>
              </w:rPr>
            </w:pPr>
            <w:r>
              <w:rPr>
                <w:color w:val="auto"/>
                <w:szCs w:val="21"/>
              </w:rPr>
              <w:t>0</w:t>
            </w:r>
          </w:p>
        </w:tc>
        <w:tc>
          <w:tcPr>
            <w:tcW w:w="1559" w:type="dxa"/>
            <w:vAlign w:val="center"/>
          </w:tcPr>
          <w:p w14:paraId="476E2DEC">
            <w:pPr>
              <w:adjustRightInd w:val="0"/>
              <w:snapToGrid w:val="0"/>
              <w:jc w:val="center"/>
              <w:rPr>
                <w:bCs/>
                <w:color w:val="auto"/>
                <w:szCs w:val="21"/>
              </w:rPr>
            </w:pPr>
            <w:r>
              <w:rPr>
                <w:rFonts w:hint="eastAsia"/>
                <w:bCs/>
                <w:color w:val="auto"/>
                <w:szCs w:val="21"/>
              </w:rPr>
              <w:t>0.4879</w:t>
            </w:r>
            <w:r>
              <w:rPr>
                <w:rFonts w:hint="eastAsia"/>
                <w:color w:val="auto"/>
                <w:szCs w:val="21"/>
              </w:rPr>
              <w:t>t/a</w:t>
            </w:r>
          </w:p>
        </w:tc>
        <w:tc>
          <w:tcPr>
            <w:tcW w:w="1761" w:type="dxa"/>
            <w:vAlign w:val="center"/>
          </w:tcPr>
          <w:p w14:paraId="68E4984A">
            <w:pPr>
              <w:adjustRightInd w:val="0"/>
              <w:snapToGrid w:val="0"/>
              <w:jc w:val="center"/>
              <w:rPr>
                <w:snapToGrid w:val="0"/>
                <w:color w:val="auto"/>
                <w:kern w:val="21"/>
                <w:szCs w:val="21"/>
              </w:rPr>
            </w:pPr>
            <w:r>
              <w:rPr>
                <w:color w:val="auto"/>
                <w:szCs w:val="21"/>
              </w:rPr>
              <w:t>0</w:t>
            </w:r>
          </w:p>
        </w:tc>
        <w:tc>
          <w:tcPr>
            <w:tcW w:w="1639" w:type="dxa"/>
            <w:vAlign w:val="center"/>
          </w:tcPr>
          <w:p w14:paraId="24B33BC1">
            <w:pPr>
              <w:adjustRightInd w:val="0"/>
              <w:snapToGrid w:val="0"/>
              <w:jc w:val="center"/>
              <w:rPr>
                <w:bCs/>
                <w:color w:val="auto"/>
                <w:szCs w:val="21"/>
              </w:rPr>
            </w:pPr>
            <w:r>
              <w:rPr>
                <w:rFonts w:hint="eastAsia"/>
                <w:bCs/>
                <w:color w:val="auto"/>
                <w:szCs w:val="21"/>
              </w:rPr>
              <w:t>0.4879</w:t>
            </w:r>
            <w:r>
              <w:rPr>
                <w:rFonts w:hint="eastAsia"/>
                <w:color w:val="auto"/>
                <w:szCs w:val="21"/>
              </w:rPr>
              <w:t>t/a</w:t>
            </w:r>
          </w:p>
        </w:tc>
        <w:tc>
          <w:tcPr>
            <w:tcW w:w="1237" w:type="dxa"/>
            <w:vAlign w:val="center"/>
          </w:tcPr>
          <w:p w14:paraId="0B083209">
            <w:pPr>
              <w:adjustRightInd w:val="0"/>
              <w:snapToGrid w:val="0"/>
              <w:jc w:val="center"/>
              <w:rPr>
                <w:bCs/>
                <w:color w:val="auto"/>
                <w:szCs w:val="21"/>
              </w:rPr>
            </w:pPr>
            <w:r>
              <w:rPr>
                <w:rFonts w:hint="eastAsia"/>
                <w:bCs/>
                <w:color w:val="auto"/>
                <w:szCs w:val="21"/>
              </w:rPr>
              <w:t>+0.4879</w:t>
            </w:r>
            <w:r>
              <w:rPr>
                <w:rFonts w:hint="eastAsia"/>
                <w:color w:val="auto"/>
                <w:szCs w:val="21"/>
              </w:rPr>
              <w:t>t/a</w:t>
            </w:r>
          </w:p>
        </w:tc>
      </w:tr>
      <w:tr w14:paraId="143033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07B022B8">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0B30AC76">
            <w:pPr>
              <w:keepNext/>
              <w:adjustRightInd w:val="0"/>
              <w:snapToGrid w:val="0"/>
              <w:jc w:val="center"/>
              <w:rPr>
                <w:color w:val="auto"/>
                <w:szCs w:val="21"/>
                <w:lang w:bidi="ar"/>
              </w:rPr>
            </w:pPr>
            <w:r>
              <w:rPr>
                <w:rFonts w:hint="eastAsia"/>
                <w:color w:val="auto"/>
                <w:szCs w:val="21"/>
                <w:lang w:bidi="ar"/>
              </w:rPr>
              <w:t>废布袋</w:t>
            </w:r>
          </w:p>
        </w:tc>
        <w:tc>
          <w:tcPr>
            <w:tcW w:w="1701" w:type="dxa"/>
            <w:vAlign w:val="center"/>
          </w:tcPr>
          <w:p w14:paraId="6554E682">
            <w:pPr>
              <w:adjustRightInd w:val="0"/>
              <w:snapToGrid w:val="0"/>
              <w:jc w:val="center"/>
              <w:rPr>
                <w:color w:val="auto"/>
                <w:szCs w:val="21"/>
              </w:rPr>
            </w:pPr>
            <w:r>
              <w:rPr>
                <w:color w:val="auto"/>
                <w:szCs w:val="21"/>
              </w:rPr>
              <w:t>0</w:t>
            </w:r>
          </w:p>
        </w:tc>
        <w:tc>
          <w:tcPr>
            <w:tcW w:w="1276" w:type="dxa"/>
            <w:vAlign w:val="center"/>
          </w:tcPr>
          <w:p w14:paraId="051BF98C">
            <w:pPr>
              <w:jc w:val="center"/>
              <w:rPr>
                <w:snapToGrid w:val="0"/>
                <w:color w:val="auto"/>
                <w:kern w:val="21"/>
                <w:szCs w:val="21"/>
              </w:rPr>
            </w:pPr>
            <w:r>
              <w:rPr>
                <w:color w:val="auto"/>
                <w:szCs w:val="21"/>
              </w:rPr>
              <w:t>0</w:t>
            </w:r>
          </w:p>
        </w:tc>
        <w:tc>
          <w:tcPr>
            <w:tcW w:w="1701" w:type="dxa"/>
            <w:vAlign w:val="center"/>
          </w:tcPr>
          <w:p w14:paraId="1D412E0D">
            <w:pPr>
              <w:adjustRightInd w:val="0"/>
              <w:snapToGrid w:val="0"/>
              <w:jc w:val="center"/>
              <w:rPr>
                <w:snapToGrid w:val="0"/>
                <w:color w:val="auto"/>
                <w:kern w:val="21"/>
                <w:szCs w:val="21"/>
              </w:rPr>
            </w:pPr>
            <w:r>
              <w:rPr>
                <w:color w:val="auto"/>
                <w:szCs w:val="21"/>
              </w:rPr>
              <w:t>0</w:t>
            </w:r>
          </w:p>
        </w:tc>
        <w:tc>
          <w:tcPr>
            <w:tcW w:w="1559" w:type="dxa"/>
            <w:vAlign w:val="center"/>
          </w:tcPr>
          <w:p w14:paraId="6890796B">
            <w:pPr>
              <w:adjustRightInd w:val="0"/>
              <w:snapToGrid w:val="0"/>
              <w:jc w:val="center"/>
              <w:rPr>
                <w:bCs/>
                <w:color w:val="auto"/>
                <w:szCs w:val="21"/>
              </w:rPr>
            </w:pPr>
            <w:r>
              <w:rPr>
                <w:rFonts w:hint="eastAsia"/>
                <w:bCs/>
                <w:color w:val="auto"/>
                <w:szCs w:val="21"/>
              </w:rPr>
              <w:t>0.1</w:t>
            </w:r>
            <w:r>
              <w:rPr>
                <w:rFonts w:hint="eastAsia"/>
                <w:color w:val="auto"/>
                <w:szCs w:val="21"/>
              </w:rPr>
              <w:t>t/a</w:t>
            </w:r>
          </w:p>
        </w:tc>
        <w:tc>
          <w:tcPr>
            <w:tcW w:w="1761" w:type="dxa"/>
            <w:vAlign w:val="center"/>
          </w:tcPr>
          <w:p w14:paraId="098EEFC4">
            <w:pPr>
              <w:adjustRightInd w:val="0"/>
              <w:snapToGrid w:val="0"/>
              <w:jc w:val="center"/>
              <w:rPr>
                <w:snapToGrid w:val="0"/>
                <w:color w:val="auto"/>
                <w:kern w:val="21"/>
                <w:szCs w:val="21"/>
              </w:rPr>
            </w:pPr>
            <w:r>
              <w:rPr>
                <w:color w:val="auto"/>
                <w:szCs w:val="21"/>
              </w:rPr>
              <w:t>0</w:t>
            </w:r>
          </w:p>
        </w:tc>
        <w:tc>
          <w:tcPr>
            <w:tcW w:w="1639" w:type="dxa"/>
            <w:vAlign w:val="center"/>
          </w:tcPr>
          <w:p w14:paraId="4B90E946">
            <w:pPr>
              <w:adjustRightInd w:val="0"/>
              <w:snapToGrid w:val="0"/>
              <w:jc w:val="center"/>
              <w:rPr>
                <w:bCs/>
                <w:color w:val="auto"/>
                <w:szCs w:val="21"/>
              </w:rPr>
            </w:pPr>
            <w:r>
              <w:rPr>
                <w:rFonts w:hint="eastAsia"/>
                <w:bCs/>
                <w:color w:val="auto"/>
                <w:szCs w:val="21"/>
              </w:rPr>
              <w:t>0.1</w:t>
            </w:r>
            <w:r>
              <w:rPr>
                <w:rFonts w:hint="eastAsia"/>
                <w:color w:val="auto"/>
                <w:szCs w:val="21"/>
              </w:rPr>
              <w:t>t/a</w:t>
            </w:r>
          </w:p>
        </w:tc>
        <w:tc>
          <w:tcPr>
            <w:tcW w:w="1237" w:type="dxa"/>
            <w:vAlign w:val="center"/>
          </w:tcPr>
          <w:p w14:paraId="11520FAE">
            <w:pPr>
              <w:adjustRightInd w:val="0"/>
              <w:snapToGrid w:val="0"/>
              <w:jc w:val="center"/>
              <w:rPr>
                <w:bCs/>
                <w:color w:val="auto"/>
                <w:szCs w:val="21"/>
              </w:rPr>
            </w:pPr>
            <w:r>
              <w:rPr>
                <w:rFonts w:hint="eastAsia"/>
                <w:bCs/>
                <w:color w:val="auto"/>
                <w:szCs w:val="21"/>
              </w:rPr>
              <w:t>+0.1</w:t>
            </w:r>
            <w:r>
              <w:rPr>
                <w:rFonts w:hint="eastAsia"/>
                <w:color w:val="auto"/>
                <w:szCs w:val="21"/>
              </w:rPr>
              <w:t>t/a</w:t>
            </w:r>
          </w:p>
        </w:tc>
      </w:tr>
      <w:tr w14:paraId="506D1D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182AB1BC">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38F13577">
            <w:pPr>
              <w:pStyle w:val="43"/>
              <w:spacing w:line="240" w:lineRule="auto"/>
              <w:ind w:firstLine="0" w:firstLineChars="0"/>
              <w:jc w:val="center"/>
              <w:rPr>
                <w:color w:val="auto"/>
                <w:sz w:val="21"/>
                <w:szCs w:val="21"/>
              </w:rPr>
            </w:pPr>
            <w:r>
              <w:rPr>
                <w:rFonts w:hint="eastAsia"/>
                <w:color w:val="auto"/>
                <w:sz w:val="21"/>
                <w:szCs w:val="21"/>
              </w:rPr>
              <w:t>废滤筒</w:t>
            </w:r>
          </w:p>
        </w:tc>
        <w:tc>
          <w:tcPr>
            <w:tcW w:w="1701" w:type="dxa"/>
            <w:vAlign w:val="center"/>
          </w:tcPr>
          <w:p w14:paraId="189CEA9A">
            <w:pPr>
              <w:adjustRightInd w:val="0"/>
              <w:snapToGrid w:val="0"/>
              <w:jc w:val="center"/>
              <w:rPr>
                <w:color w:val="auto"/>
                <w:szCs w:val="21"/>
              </w:rPr>
            </w:pPr>
            <w:r>
              <w:rPr>
                <w:color w:val="auto"/>
                <w:szCs w:val="21"/>
              </w:rPr>
              <w:t>0</w:t>
            </w:r>
          </w:p>
        </w:tc>
        <w:tc>
          <w:tcPr>
            <w:tcW w:w="1276" w:type="dxa"/>
            <w:vAlign w:val="center"/>
          </w:tcPr>
          <w:p w14:paraId="56E0DDA7">
            <w:pPr>
              <w:jc w:val="center"/>
              <w:rPr>
                <w:snapToGrid w:val="0"/>
                <w:color w:val="auto"/>
                <w:kern w:val="21"/>
                <w:szCs w:val="21"/>
              </w:rPr>
            </w:pPr>
            <w:r>
              <w:rPr>
                <w:color w:val="auto"/>
                <w:szCs w:val="21"/>
              </w:rPr>
              <w:t>0</w:t>
            </w:r>
          </w:p>
        </w:tc>
        <w:tc>
          <w:tcPr>
            <w:tcW w:w="1701" w:type="dxa"/>
            <w:vAlign w:val="center"/>
          </w:tcPr>
          <w:p w14:paraId="0BA422FE">
            <w:pPr>
              <w:adjustRightInd w:val="0"/>
              <w:snapToGrid w:val="0"/>
              <w:jc w:val="center"/>
              <w:rPr>
                <w:snapToGrid w:val="0"/>
                <w:color w:val="auto"/>
                <w:kern w:val="21"/>
                <w:szCs w:val="21"/>
              </w:rPr>
            </w:pPr>
            <w:r>
              <w:rPr>
                <w:color w:val="auto"/>
                <w:szCs w:val="21"/>
              </w:rPr>
              <w:t>0</w:t>
            </w:r>
          </w:p>
        </w:tc>
        <w:tc>
          <w:tcPr>
            <w:tcW w:w="1559" w:type="dxa"/>
            <w:vAlign w:val="center"/>
          </w:tcPr>
          <w:p w14:paraId="32DF1D27">
            <w:pPr>
              <w:adjustRightInd w:val="0"/>
              <w:snapToGrid w:val="0"/>
              <w:jc w:val="center"/>
              <w:rPr>
                <w:bCs/>
                <w:color w:val="auto"/>
                <w:szCs w:val="21"/>
              </w:rPr>
            </w:pPr>
            <w:r>
              <w:rPr>
                <w:rFonts w:hint="eastAsia"/>
                <w:bCs/>
                <w:color w:val="auto"/>
                <w:szCs w:val="21"/>
              </w:rPr>
              <w:t>0.2</w:t>
            </w:r>
            <w:r>
              <w:rPr>
                <w:rFonts w:hint="eastAsia"/>
                <w:color w:val="auto"/>
                <w:szCs w:val="21"/>
              </w:rPr>
              <w:t>t/a</w:t>
            </w:r>
          </w:p>
        </w:tc>
        <w:tc>
          <w:tcPr>
            <w:tcW w:w="1761" w:type="dxa"/>
            <w:vAlign w:val="center"/>
          </w:tcPr>
          <w:p w14:paraId="346E2175">
            <w:pPr>
              <w:adjustRightInd w:val="0"/>
              <w:snapToGrid w:val="0"/>
              <w:jc w:val="center"/>
              <w:rPr>
                <w:snapToGrid w:val="0"/>
                <w:color w:val="auto"/>
                <w:kern w:val="21"/>
                <w:szCs w:val="21"/>
              </w:rPr>
            </w:pPr>
            <w:r>
              <w:rPr>
                <w:color w:val="auto"/>
                <w:szCs w:val="21"/>
              </w:rPr>
              <w:t>0</w:t>
            </w:r>
          </w:p>
        </w:tc>
        <w:tc>
          <w:tcPr>
            <w:tcW w:w="1639" w:type="dxa"/>
            <w:vAlign w:val="center"/>
          </w:tcPr>
          <w:p w14:paraId="00065981">
            <w:pPr>
              <w:adjustRightInd w:val="0"/>
              <w:snapToGrid w:val="0"/>
              <w:jc w:val="center"/>
              <w:rPr>
                <w:bCs/>
                <w:color w:val="auto"/>
                <w:szCs w:val="21"/>
              </w:rPr>
            </w:pPr>
            <w:r>
              <w:rPr>
                <w:rFonts w:hint="eastAsia"/>
                <w:bCs/>
                <w:color w:val="auto"/>
                <w:szCs w:val="21"/>
              </w:rPr>
              <w:t>0.2</w:t>
            </w:r>
            <w:r>
              <w:rPr>
                <w:rFonts w:hint="eastAsia"/>
                <w:color w:val="auto"/>
                <w:szCs w:val="21"/>
              </w:rPr>
              <w:t>t/a</w:t>
            </w:r>
          </w:p>
        </w:tc>
        <w:tc>
          <w:tcPr>
            <w:tcW w:w="1237" w:type="dxa"/>
            <w:vAlign w:val="center"/>
          </w:tcPr>
          <w:p w14:paraId="0EA44EBB">
            <w:pPr>
              <w:adjustRightInd w:val="0"/>
              <w:snapToGrid w:val="0"/>
              <w:jc w:val="center"/>
              <w:rPr>
                <w:bCs/>
                <w:color w:val="auto"/>
                <w:szCs w:val="21"/>
              </w:rPr>
            </w:pPr>
            <w:r>
              <w:rPr>
                <w:rFonts w:hint="eastAsia"/>
                <w:bCs/>
                <w:color w:val="auto"/>
                <w:szCs w:val="21"/>
              </w:rPr>
              <w:t>+0.2</w:t>
            </w:r>
            <w:r>
              <w:rPr>
                <w:rFonts w:hint="eastAsia"/>
                <w:color w:val="auto"/>
                <w:szCs w:val="21"/>
              </w:rPr>
              <w:t>t/a</w:t>
            </w:r>
          </w:p>
        </w:tc>
      </w:tr>
      <w:tr w14:paraId="7F2FBD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0511762A">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09EECF2D">
            <w:pPr>
              <w:pStyle w:val="43"/>
              <w:spacing w:line="240" w:lineRule="auto"/>
              <w:ind w:firstLine="0" w:firstLineChars="0"/>
              <w:jc w:val="center"/>
              <w:rPr>
                <w:color w:val="auto"/>
                <w:sz w:val="21"/>
                <w:szCs w:val="21"/>
              </w:rPr>
            </w:pPr>
            <w:r>
              <w:rPr>
                <w:rFonts w:hint="eastAsia"/>
                <w:color w:val="auto"/>
                <w:sz w:val="21"/>
                <w:szCs w:val="21"/>
              </w:rPr>
              <w:t>废塑粉</w:t>
            </w:r>
          </w:p>
        </w:tc>
        <w:tc>
          <w:tcPr>
            <w:tcW w:w="1701" w:type="dxa"/>
            <w:vAlign w:val="center"/>
          </w:tcPr>
          <w:p w14:paraId="298EA161">
            <w:pPr>
              <w:adjustRightInd w:val="0"/>
              <w:snapToGrid w:val="0"/>
              <w:jc w:val="center"/>
              <w:rPr>
                <w:color w:val="auto"/>
                <w:szCs w:val="21"/>
              </w:rPr>
            </w:pPr>
            <w:r>
              <w:rPr>
                <w:color w:val="auto"/>
                <w:szCs w:val="21"/>
              </w:rPr>
              <w:t>0</w:t>
            </w:r>
          </w:p>
        </w:tc>
        <w:tc>
          <w:tcPr>
            <w:tcW w:w="1276" w:type="dxa"/>
            <w:vAlign w:val="center"/>
          </w:tcPr>
          <w:p w14:paraId="5FD1CA46">
            <w:pPr>
              <w:jc w:val="center"/>
              <w:rPr>
                <w:snapToGrid w:val="0"/>
                <w:color w:val="auto"/>
                <w:kern w:val="21"/>
                <w:szCs w:val="21"/>
              </w:rPr>
            </w:pPr>
            <w:r>
              <w:rPr>
                <w:color w:val="auto"/>
                <w:szCs w:val="21"/>
              </w:rPr>
              <w:t>0</w:t>
            </w:r>
          </w:p>
        </w:tc>
        <w:tc>
          <w:tcPr>
            <w:tcW w:w="1701" w:type="dxa"/>
            <w:vAlign w:val="center"/>
          </w:tcPr>
          <w:p w14:paraId="0E49B693">
            <w:pPr>
              <w:adjustRightInd w:val="0"/>
              <w:snapToGrid w:val="0"/>
              <w:jc w:val="center"/>
              <w:rPr>
                <w:snapToGrid w:val="0"/>
                <w:color w:val="auto"/>
                <w:kern w:val="21"/>
                <w:szCs w:val="21"/>
              </w:rPr>
            </w:pPr>
            <w:r>
              <w:rPr>
                <w:color w:val="auto"/>
                <w:szCs w:val="21"/>
              </w:rPr>
              <w:t>0</w:t>
            </w:r>
          </w:p>
        </w:tc>
        <w:tc>
          <w:tcPr>
            <w:tcW w:w="1559" w:type="dxa"/>
            <w:vAlign w:val="center"/>
          </w:tcPr>
          <w:p w14:paraId="3CEDE265">
            <w:pPr>
              <w:adjustRightInd w:val="0"/>
              <w:snapToGrid w:val="0"/>
              <w:jc w:val="center"/>
              <w:rPr>
                <w:bCs/>
                <w:color w:val="auto"/>
                <w:szCs w:val="21"/>
              </w:rPr>
            </w:pPr>
            <w:r>
              <w:rPr>
                <w:rFonts w:hint="eastAsia"/>
                <w:bCs/>
                <w:color w:val="auto"/>
                <w:szCs w:val="21"/>
              </w:rPr>
              <w:t>0.61</w:t>
            </w:r>
            <w:r>
              <w:rPr>
                <w:rFonts w:hint="eastAsia"/>
                <w:color w:val="auto"/>
                <w:szCs w:val="21"/>
              </w:rPr>
              <w:t>t/a</w:t>
            </w:r>
          </w:p>
        </w:tc>
        <w:tc>
          <w:tcPr>
            <w:tcW w:w="1761" w:type="dxa"/>
            <w:vAlign w:val="center"/>
          </w:tcPr>
          <w:p w14:paraId="0D1310FD">
            <w:pPr>
              <w:adjustRightInd w:val="0"/>
              <w:snapToGrid w:val="0"/>
              <w:jc w:val="center"/>
              <w:rPr>
                <w:snapToGrid w:val="0"/>
                <w:color w:val="auto"/>
                <w:kern w:val="21"/>
                <w:szCs w:val="21"/>
              </w:rPr>
            </w:pPr>
            <w:r>
              <w:rPr>
                <w:color w:val="auto"/>
                <w:szCs w:val="21"/>
              </w:rPr>
              <w:t>0</w:t>
            </w:r>
          </w:p>
        </w:tc>
        <w:tc>
          <w:tcPr>
            <w:tcW w:w="1639" w:type="dxa"/>
            <w:vAlign w:val="center"/>
          </w:tcPr>
          <w:p w14:paraId="2F7F7AA6">
            <w:pPr>
              <w:adjustRightInd w:val="0"/>
              <w:snapToGrid w:val="0"/>
              <w:jc w:val="center"/>
              <w:rPr>
                <w:bCs/>
                <w:color w:val="auto"/>
                <w:szCs w:val="21"/>
              </w:rPr>
            </w:pPr>
            <w:r>
              <w:rPr>
                <w:rFonts w:hint="eastAsia"/>
                <w:bCs/>
                <w:color w:val="auto"/>
                <w:szCs w:val="21"/>
              </w:rPr>
              <w:t>0.61</w:t>
            </w:r>
            <w:r>
              <w:rPr>
                <w:rFonts w:hint="eastAsia"/>
                <w:color w:val="auto"/>
                <w:szCs w:val="21"/>
              </w:rPr>
              <w:t>t/a</w:t>
            </w:r>
          </w:p>
        </w:tc>
        <w:tc>
          <w:tcPr>
            <w:tcW w:w="1237" w:type="dxa"/>
            <w:vAlign w:val="center"/>
          </w:tcPr>
          <w:p w14:paraId="489109BF">
            <w:pPr>
              <w:adjustRightInd w:val="0"/>
              <w:snapToGrid w:val="0"/>
              <w:jc w:val="center"/>
              <w:rPr>
                <w:bCs/>
                <w:color w:val="auto"/>
                <w:szCs w:val="21"/>
              </w:rPr>
            </w:pPr>
            <w:r>
              <w:rPr>
                <w:rFonts w:hint="eastAsia"/>
                <w:bCs/>
                <w:color w:val="auto"/>
                <w:szCs w:val="21"/>
              </w:rPr>
              <w:t>+0.61</w:t>
            </w:r>
            <w:r>
              <w:rPr>
                <w:rFonts w:hint="eastAsia"/>
                <w:color w:val="auto"/>
                <w:szCs w:val="21"/>
              </w:rPr>
              <w:t>t/a</w:t>
            </w:r>
          </w:p>
        </w:tc>
      </w:tr>
      <w:tr w14:paraId="246102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657C2A6C">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677459E8">
            <w:pPr>
              <w:pStyle w:val="43"/>
              <w:spacing w:line="240" w:lineRule="auto"/>
              <w:ind w:firstLine="0" w:firstLineChars="0"/>
              <w:jc w:val="center"/>
              <w:rPr>
                <w:color w:val="auto"/>
                <w:sz w:val="21"/>
                <w:szCs w:val="21"/>
              </w:rPr>
            </w:pPr>
            <w:r>
              <w:rPr>
                <w:rFonts w:hint="eastAsia"/>
                <w:color w:val="auto"/>
                <w:sz w:val="21"/>
                <w:szCs w:val="21"/>
              </w:rPr>
              <w:t>废砂纸</w:t>
            </w:r>
          </w:p>
        </w:tc>
        <w:tc>
          <w:tcPr>
            <w:tcW w:w="1701" w:type="dxa"/>
            <w:vAlign w:val="center"/>
          </w:tcPr>
          <w:p w14:paraId="75AA0FF7">
            <w:pPr>
              <w:adjustRightInd w:val="0"/>
              <w:snapToGrid w:val="0"/>
              <w:jc w:val="center"/>
              <w:rPr>
                <w:color w:val="auto"/>
                <w:szCs w:val="21"/>
              </w:rPr>
            </w:pPr>
            <w:r>
              <w:rPr>
                <w:color w:val="auto"/>
                <w:szCs w:val="21"/>
              </w:rPr>
              <w:t>0</w:t>
            </w:r>
          </w:p>
        </w:tc>
        <w:tc>
          <w:tcPr>
            <w:tcW w:w="1276" w:type="dxa"/>
            <w:vAlign w:val="center"/>
          </w:tcPr>
          <w:p w14:paraId="18336C25">
            <w:pPr>
              <w:jc w:val="center"/>
              <w:rPr>
                <w:snapToGrid w:val="0"/>
                <w:color w:val="auto"/>
                <w:kern w:val="21"/>
                <w:szCs w:val="21"/>
              </w:rPr>
            </w:pPr>
            <w:r>
              <w:rPr>
                <w:color w:val="auto"/>
                <w:szCs w:val="21"/>
              </w:rPr>
              <w:t>0</w:t>
            </w:r>
          </w:p>
        </w:tc>
        <w:tc>
          <w:tcPr>
            <w:tcW w:w="1701" w:type="dxa"/>
            <w:vAlign w:val="center"/>
          </w:tcPr>
          <w:p w14:paraId="07C89333">
            <w:pPr>
              <w:adjustRightInd w:val="0"/>
              <w:snapToGrid w:val="0"/>
              <w:jc w:val="center"/>
              <w:rPr>
                <w:color w:val="auto"/>
                <w:szCs w:val="21"/>
              </w:rPr>
            </w:pPr>
            <w:r>
              <w:rPr>
                <w:color w:val="auto"/>
                <w:szCs w:val="21"/>
              </w:rPr>
              <w:t>0</w:t>
            </w:r>
          </w:p>
        </w:tc>
        <w:tc>
          <w:tcPr>
            <w:tcW w:w="1559" w:type="dxa"/>
            <w:vAlign w:val="center"/>
          </w:tcPr>
          <w:p w14:paraId="34C3B124">
            <w:pPr>
              <w:adjustRightInd w:val="0"/>
              <w:snapToGrid w:val="0"/>
              <w:jc w:val="center"/>
              <w:rPr>
                <w:bCs/>
                <w:color w:val="auto"/>
                <w:szCs w:val="21"/>
              </w:rPr>
            </w:pPr>
            <w:r>
              <w:rPr>
                <w:rFonts w:hint="eastAsia"/>
                <w:bCs/>
                <w:color w:val="auto"/>
                <w:szCs w:val="21"/>
              </w:rPr>
              <w:t>0.2</w:t>
            </w:r>
            <w:r>
              <w:rPr>
                <w:rFonts w:hint="eastAsia"/>
                <w:color w:val="auto"/>
                <w:szCs w:val="21"/>
              </w:rPr>
              <w:t>t/a</w:t>
            </w:r>
          </w:p>
        </w:tc>
        <w:tc>
          <w:tcPr>
            <w:tcW w:w="1761" w:type="dxa"/>
            <w:vAlign w:val="center"/>
          </w:tcPr>
          <w:p w14:paraId="526F92F6">
            <w:pPr>
              <w:adjustRightInd w:val="0"/>
              <w:snapToGrid w:val="0"/>
              <w:jc w:val="center"/>
              <w:rPr>
                <w:color w:val="auto"/>
                <w:szCs w:val="21"/>
              </w:rPr>
            </w:pPr>
            <w:r>
              <w:rPr>
                <w:color w:val="auto"/>
                <w:szCs w:val="21"/>
              </w:rPr>
              <w:t>0</w:t>
            </w:r>
          </w:p>
        </w:tc>
        <w:tc>
          <w:tcPr>
            <w:tcW w:w="1639" w:type="dxa"/>
            <w:vAlign w:val="center"/>
          </w:tcPr>
          <w:p w14:paraId="1D65BBE4">
            <w:pPr>
              <w:adjustRightInd w:val="0"/>
              <w:snapToGrid w:val="0"/>
              <w:jc w:val="center"/>
              <w:rPr>
                <w:bCs/>
                <w:color w:val="auto"/>
                <w:szCs w:val="21"/>
              </w:rPr>
            </w:pPr>
            <w:r>
              <w:rPr>
                <w:rFonts w:hint="eastAsia"/>
                <w:bCs/>
                <w:color w:val="auto"/>
                <w:szCs w:val="21"/>
              </w:rPr>
              <w:t>0.2</w:t>
            </w:r>
            <w:r>
              <w:rPr>
                <w:rFonts w:hint="eastAsia"/>
                <w:color w:val="auto"/>
                <w:szCs w:val="21"/>
              </w:rPr>
              <w:t>t/a</w:t>
            </w:r>
          </w:p>
        </w:tc>
        <w:tc>
          <w:tcPr>
            <w:tcW w:w="1237" w:type="dxa"/>
            <w:vAlign w:val="center"/>
          </w:tcPr>
          <w:p w14:paraId="62E5C91B">
            <w:pPr>
              <w:adjustRightInd w:val="0"/>
              <w:snapToGrid w:val="0"/>
              <w:jc w:val="center"/>
              <w:rPr>
                <w:bCs/>
                <w:color w:val="auto"/>
                <w:szCs w:val="21"/>
              </w:rPr>
            </w:pPr>
            <w:r>
              <w:rPr>
                <w:rFonts w:hint="eastAsia"/>
                <w:bCs/>
                <w:color w:val="auto"/>
                <w:szCs w:val="21"/>
              </w:rPr>
              <w:t>+0.2</w:t>
            </w:r>
            <w:r>
              <w:rPr>
                <w:rFonts w:hint="eastAsia"/>
                <w:color w:val="auto"/>
                <w:szCs w:val="21"/>
              </w:rPr>
              <w:t>t/a</w:t>
            </w:r>
          </w:p>
        </w:tc>
      </w:tr>
      <w:tr w14:paraId="3955FB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restart"/>
            <w:vAlign w:val="center"/>
          </w:tcPr>
          <w:p w14:paraId="38A02B3D">
            <w:pPr>
              <w:pStyle w:val="70"/>
              <w:spacing w:beforeLines="0" w:afterLines="0" w:line="240" w:lineRule="auto"/>
              <w:ind w:firstLine="0"/>
              <w:rPr>
                <w:rFonts w:ascii="Times New Roman"/>
                <w:snapToGrid w:val="0"/>
                <w:color w:val="auto"/>
                <w:kern w:val="21"/>
                <w:sz w:val="21"/>
                <w:szCs w:val="21"/>
              </w:rPr>
            </w:pPr>
            <w:r>
              <w:rPr>
                <w:rFonts w:ascii="Times New Roman"/>
                <w:snapToGrid w:val="0"/>
                <w:color w:val="auto"/>
                <w:kern w:val="21"/>
                <w:sz w:val="21"/>
                <w:szCs w:val="21"/>
              </w:rPr>
              <w:t>危险废物</w:t>
            </w:r>
          </w:p>
        </w:tc>
        <w:tc>
          <w:tcPr>
            <w:tcW w:w="1984" w:type="dxa"/>
            <w:vAlign w:val="center"/>
          </w:tcPr>
          <w:p w14:paraId="73A7A2C4">
            <w:pPr>
              <w:keepNext/>
              <w:adjustRightInd w:val="0"/>
              <w:snapToGrid w:val="0"/>
              <w:jc w:val="center"/>
              <w:rPr>
                <w:color w:val="auto"/>
                <w:szCs w:val="21"/>
                <w:lang w:bidi="ar"/>
              </w:rPr>
            </w:pPr>
            <w:r>
              <w:rPr>
                <w:color w:val="auto"/>
                <w:szCs w:val="21"/>
                <w:lang w:bidi="ar"/>
              </w:rPr>
              <w:t>废活性炭</w:t>
            </w:r>
          </w:p>
        </w:tc>
        <w:tc>
          <w:tcPr>
            <w:tcW w:w="1701" w:type="dxa"/>
            <w:vAlign w:val="center"/>
          </w:tcPr>
          <w:p w14:paraId="011C30B8">
            <w:pPr>
              <w:adjustRightInd w:val="0"/>
              <w:snapToGrid w:val="0"/>
              <w:jc w:val="center"/>
              <w:rPr>
                <w:snapToGrid w:val="0"/>
                <w:color w:val="auto"/>
                <w:kern w:val="21"/>
                <w:szCs w:val="21"/>
              </w:rPr>
            </w:pPr>
            <w:r>
              <w:rPr>
                <w:color w:val="auto"/>
                <w:szCs w:val="21"/>
              </w:rPr>
              <w:t>0</w:t>
            </w:r>
          </w:p>
        </w:tc>
        <w:tc>
          <w:tcPr>
            <w:tcW w:w="1276" w:type="dxa"/>
            <w:vAlign w:val="center"/>
          </w:tcPr>
          <w:p w14:paraId="3185AB88">
            <w:pPr>
              <w:jc w:val="center"/>
              <w:rPr>
                <w:snapToGrid w:val="0"/>
                <w:color w:val="auto"/>
                <w:kern w:val="21"/>
                <w:szCs w:val="21"/>
              </w:rPr>
            </w:pPr>
            <w:r>
              <w:rPr>
                <w:color w:val="auto"/>
                <w:szCs w:val="21"/>
              </w:rPr>
              <w:t>0</w:t>
            </w:r>
          </w:p>
        </w:tc>
        <w:tc>
          <w:tcPr>
            <w:tcW w:w="1701" w:type="dxa"/>
            <w:vAlign w:val="center"/>
          </w:tcPr>
          <w:p w14:paraId="70124C15">
            <w:pPr>
              <w:adjustRightInd w:val="0"/>
              <w:snapToGrid w:val="0"/>
              <w:jc w:val="center"/>
              <w:rPr>
                <w:snapToGrid w:val="0"/>
                <w:color w:val="auto"/>
                <w:kern w:val="21"/>
                <w:szCs w:val="21"/>
              </w:rPr>
            </w:pPr>
            <w:r>
              <w:rPr>
                <w:color w:val="auto"/>
                <w:szCs w:val="21"/>
              </w:rPr>
              <w:t>0</w:t>
            </w:r>
          </w:p>
        </w:tc>
        <w:tc>
          <w:tcPr>
            <w:tcW w:w="1559" w:type="dxa"/>
            <w:vAlign w:val="center"/>
          </w:tcPr>
          <w:p w14:paraId="08FDB882">
            <w:pPr>
              <w:keepNext/>
              <w:adjustRightInd w:val="0"/>
              <w:snapToGrid w:val="0"/>
              <w:jc w:val="center"/>
              <w:rPr>
                <w:color w:val="auto"/>
                <w:kern w:val="0"/>
                <w:szCs w:val="21"/>
              </w:rPr>
            </w:pPr>
            <w:r>
              <w:rPr>
                <w:rFonts w:hint="eastAsia"/>
                <w:color w:val="auto"/>
                <w:kern w:val="0"/>
                <w:szCs w:val="21"/>
                <w:lang w:bidi="ar"/>
              </w:rPr>
              <w:t>18.6</w:t>
            </w:r>
            <w:r>
              <w:rPr>
                <w:rFonts w:hint="eastAsia"/>
                <w:color w:val="auto"/>
                <w:szCs w:val="21"/>
              </w:rPr>
              <w:t>t/a</w:t>
            </w:r>
          </w:p>
        </w:tc>
        <w:tc>
          <w:tcPr>
            <w:tcW w:w="1761" w:type="dxa"/>
            <w:vAlign w:val="center"/>
          </w:tcPr>
          <w:p w14:paraId="089BFA45">
            <w:pPr>
              <w:adjustRightInd w:val="0"/>
              <w:snapToGrid w:val="0"/>
              <w:jc w:val="center"/>
              <w:rPr>
                <w:snapToGrid w:val="0"/>
                <w:color w:val="auto"/>
                <w:kern w:val="21"/>
                <w:szCs w:val="21"/>
              </w:rPr>
            </w:pPr>
            <w:r>
              <w:rPr>
                <w:color w:val="auto"/>
                <w:szCs w:val="21"/>
              </w:rPr>
              <w:t>0</w:t>
            </w:r>
          </w:p>
        </w:tc>
        <w:tc>
          <w:tcPr>
            <w:tcW w:w="1639" w:type="dxa"/>
            <w:vAlign w:val="center"/>
          </w:tcPr>
          <w:p w14:paraId="62DCCE87">
            <w:pPr>
              <w:keepNext/>
              <w:adjustRightInd w:val="0"/>
              <w:snapToGrid w:val="0"/>
              <w:jc w:val="center"/>
              <w:rPr>
                <w:color w:val="auto"/>
                <w:kern w:val="0"/>
                <w:szCs w:val="21"/>
              </w:rPr>
            </w:pPr>
            <w:r>
              <w:rPr>
                <w:rFonts w:hint="eastAsia"/>
                <w:color w:val="auto"/>
                <w:kern w:val="0"/>
                <w:szCs w:val="21"/>
                <w:lang w:bidi="ar"/>
              </w:rPr>
              <w:t>18.6</w:t>
            </w:r>
            <w:r>
              <w:rPr>
                <w:rFonts w:hint="eastAsia"/>
                <w:color w:val="auto"/>
                <w:szCs w:val="21"/>
              </w:rPr>
              <w:t>t/a</w:t>
            </w:r>
          </w:p>
        </w:tc>
        <w:tc>
          <w:tcPr>
            <w:tcW w:w="1237" w:type="dxa"/>
            <w:vAlign w:val="center"/>
          </w:tcPr>
          <w:p w14:paraId="4BEC0A5A">
            <w:pPr>
              <w:keepNext/>
              <w:adjustRightInd w:val="0"/>
              <w:snapToGrid w:val="0"/>
              <w:jc w:val="center"/>
              <w:rPr>
                <w:color w:val="auto"/>
                <w:kern w:val="0"/>
                <w:szCs w:val="21"/>
              </w:rPr>
            </w:pPr>
            <w:r>
              <w:rPr>
                <w:rFonts w:hint="eastAsia"/>
                <w:bCs/>
                <w:color w:val="auto"/>
                <w:szCs w:val="21"/>
              </w:rPr>
              <w:t>+</w:t>
            </w:r>
            <w:r>
              <w:rPr>
                <w:rFonts w:hint="eastAsia"/>
                <w:color w:val="auto"/>
                <w:kern w:val="0"/>
                <w:szCs w:val="21"/>
                <w:lang w:bidi="ar"/>
              </w:rPr>
              <w:t>18.6</w:t>
            </w:r>
            <w:r>
              <w:rPr>
                <w:rFonts w:hint="eastAsia"/>
                <w:color w:val="auto"/>
                <w:szCs w:val="21"/>
              </w:rPr>
              <w:t>t/a</w:t>
            </w:r>
          </w:p>
        </w:tc>
      </w:tr>
      <w:tr w14:paraId="74FAD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329C8C66">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3AC2F72D">
            <w:pPr>
              <w:adjustRightInd w:val="0"/>
              <w:snapToGrid w:val="0"/>
              <w:jc w:val="center"/>
              <w:rPr>
                <w:bCs/>
                <w:color w:val="auto"/>
                <w:szCs w:val="21"/>
              </w:rPr>
            </w:pPr>
            <w:r>
              <w:rPr>
                <w:rFonts w:hint="eastAsia"/>
                <w:color w:val="auto"/>
                <w:szCs w:val="21"/>
                <w:lang w:bidi="ar"/>
              </w:rPr>
              <w:t>浓缩废液</w:t>
            </w:r>
          </w:p>
        </w:tc>
        <w:tc>
          <w:tcPr>
            <w:tcW w:w="1701" w:type="dxa"/>
            <w:vAlign w:val="center"/>
          </w:tcPr>
          <w:p w14:paraId="6491562F">
            <w:pPr>
              <w:adjustRightInd w:val="0"/>
              <w:snapToGrid w:val="0"/>
              <w:jc w:val="center"/>
              <w:rPr>
                <w:snapToGrid w:val="0"/>
                <w:color w:val="auto"/>
                <w:kern w:val="21"/>
                <w:szCs w:val="21"/>
              </w:rPr>
            </w:pPr>
            <w:r>
              <w:rPr>
                <w:color w:val="auto"/>
                <w:szCs w:val="21"/>
              </w:rPr>
              <w:t>0</w:t>
            </w:r>
          </w:p>
        </w:tc>
        <w:tc>
          <w:tcPr>
            <w:tcW w:w="1276" w:type="dxa"/>
            <w:vAlign w:val="center"/>
          </w:tcPr>
          <w:p w14:paraId="36A424F0">
            <w:pPr>
              <w:jc w:val="center"/>
              <w:rPr>
                <w:snapToGrid w:val="0"/>
                <w:color w:val="auto"/>
                <w:kern w:val="21"/>
                <w:szCs w:val="21"/>
              </w:rPr>
            </w:pPr>
            <w:r>
              <w:rPr>
                <w:color w:val="auto"/>
                <w:szCs w:val="21"/>
              </w:rPr>
              <w:t>0</w:t>
            </w:r>
          </w:p>
        </w:tc>
        <w:tc>
          <w:tcPr>
            <w:tcW w:w="1701" w:type="dxa"/>
            <w:vAlign w:val="center"/>
          </w:tcPr>
          <w:p w14:paraId="5229D930">
            <w:pPr>
              <w:adjustRightInd w:val="0"/>
              <w:snapToGrid w:val="0"/>
              <w:jc w:val="center"/>
              <w:rPr>
                <w:snapToGrid w:val="0"/>
                <w:color w:val="auto"/>
                <w:kern w:val="21"/>
                <w:szCs w:val="21"/>
              </w:rPr>
            </w:pPr>
            <w:r>
              <w:rPr>
                <w:color w:val="auto"/>
                <w:szCs w:val="21"/>
              </w:rPr>
              <w:t>0</w:t>
            </w:r>
          </w:p>
        </w:tc>
        <w:tc>
          <w:tcPr>
            <w:tcW w:w="1559" w:type="dxa"/>
            <w:vAlign w:val="center"/>
          </w:tcPr>
          <w:p w14:paraId="2A7DE3A6">
            <w:pPr>
              <w:adjustRightInd w:val="0"/>
              <w:snapToGrid w:val="0"/>
              <w:jc w:val="center"/>
              <w:rPr>
                <w:color w:val="auto"/>
                <w:kern w:val="0"/>
                <w:szCs w:val="21"/>
              </w:rPr>
            </w:pPr>
            <w:r>
              <w:rPr>
                <w:rFonts w:hint="eastAsia"/>
                <w:color w:val="auto"/>
                <w:szCs w:val="21"/>
                <w:lang w:bidi="ar"/>
              </w:rPr>
              <w:t>8.987</w:t>
            </w:r>
            <w:r>
              <w:rPr>
                <w:rFonts w:hint="eastAsia"/>
                <w:color w:val="auto"/>
                <w:szCs w:val="21"/>
              </w:rPr>
              <w:t>t/a</w:t>
            </w:r>
          </w:p>
        </w:tc>
        <w:tc>
          <w:tcPr>
            <w:tcW w:w="1761" w:type="dxa"/>
            <w:vAlign w:val="center"/>
          </w:tcPr>
          <w:p w14:paraId="3A932FA5">
            <w:pPr>
              <w:adjustRightInd w:val="0"/>
              <w:snapToGrid w:val="0"/>
              <w:jc w:val="center"/>
              <w:rPr>
                <w:snapToGrid w:val="0"/>
                <w:color w:val="auto"/>
                <w:kern w:val="21"/>
                <w:szCs w:val="21"/>
              </w:rPr>
            </w:pPr>
            <w:r>
              <w:rPr>
                <w:color w:val="auto"/>
                <w:szCs w:val="21"/>
              </w:rPr>
              <w:t>0</w:t>
            </w:r>
          </w:p>
        </w:tc>
        <w:tc>
          <w:tcPr>
            <w:tcW w:w="1639" w:type="dxa"/>
            <w:vAlign w:val="center"/>
          </w:tcPr>
          <w:p w14:paraId="3B97ACB3">
            <w:pPr>
              <w:adjustRightInd w:val="0"/>
              <w:snapToGrid w:val="0"/>
              <w:jc w:val="center"/>
              <w:rPr>
                <w:color w:val="auto"/>
                <w:kern w:val="0"/>
                <w:szCs w:val="21"/>
              </w:rPr>
            </w:pPr>
            <w:r>
              <w:rPr>
                <w:rFonts w:hint="eastAsia"/>
                <w:color w:val="auto"/>
                <w:szCs w:val="21"/>
                <w:lang w:bidi="ar"/>
              </w:rPr>
              <w:t>8.987</w:t>
            </w:r>
            <w:r>
              <w:rPr>
                <w:rFonts w:hint="eastAsia"/>
                <w:color w:val="auto"/>
                <w:szCs w:val="21"/>
              </w:rPr>
              <w:t>t/a</w:t>
            </w:r>
          </w:p>
        </w:tc>
        <w:tc>
          <w:tcPr>
            <w:tcW w:w="1237" w:type="dxa"/>
            <w:vAlign w:val="center"/>
          </w:tcPr>
          <w:p w14:paraId="44C92E1D">
            <w:pPr>
              <w:adjustRightInd w:val="0"/>
              <w:snapToGrid w:val="0"/>
              <w:jc w:val="center"/>
              <w:rPr>
                <w:color w:val="auto"/>
                <w:kern w:val="0"/>
                <w:szCs w:val="21"/>
              </w:rPr>
            </w:pPr>
            <w:r>
              <w:rPr>
                <w:rFonts w:hint="eastAsia"/>
                <w:color w:val="auto"/>
                <w:szCs w:val="21"/>
                <w:lang w:bidi="ar"/>
              </w:rPr>
              <w:t>+8.987</w:t>
            </w:r>
            <w:r>
              <w:rPr>
                <w:rFonts w:hint="eastAsia"/>
                <w:color w:val="auto"/>
                <w:szCs w:val="21"/>
              </w:rPr>
              <w:t>t/a</w:t>
            </w:r>
          </w:p>
        </w:tc>
      </w:tr>
      <w:tr w14:paraId="2759D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55D47D86">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53E06634">
            <w:pPr>
              <w:adjustRightInd w:val="0"/>
              <w:snapToGrid w:val="0"/>
              <w:jc w:val="center"/>
              <w:rPr>
                <w:bCs/>
                <w:color w:val="auto"/>
                <w:szCs w:val="21"/>
              </w:rPr>
            </w:pPr>
            <w:r>
              <w:rPr>
                <w:bCs/>
                <w:color w:val="auto"/>
                <w:szCs w:val="21"/>
              </w:rPr>
              <w:t>污泥</w:t>
            </w:r>
          </w:p>
        </w:tc>
        <w:tc>
          <w:tcPr>
            <w:tcW w:w="1701" w:type="dxa"/>
            <w:vAlign w:val="center"/>
          </w:tcPr>
          <w:p w14:paraId="62BDC1A3">
            <w:pPr>
              <w:adjustRightInd w:val="0"/>
              <w:snapToGrid w:val="0"/>
              <w:jc w:val="center"/>
              <w:rPr>
                <w:snapToGrid w:val="0"/>
                <w:color w:val="auto"/>
                <w:kern w:val="21"/>
                <w:szCs w:val="21"/>
              </w:rPr>
            </w:pPr>
            <w:r>
              <w:rPr>
                <w:color w:val="auto"/>
                <w:szCs w:val="21"/>
              </w:rPr>
              <w:t>0</w:t>
            </w:r>
          </w:p>
        </w:tc>
        <w:tc>
          <w:tcPr>
            <w:tcW w:w="1276" w:type="dxa"/>
            <w:vAlign w:val="center"/>
          </w:tcPr>
          <w:p w14:paraId="24BA87DF">
            <w:pPr>
              <w:jc w:val="center"/>
              <w:rPr>
                <w:snapToGrid w:val="0"/>
                <w:color w:val="auto"/>
                <w:kern w:val="21"/>
                <w:szCs w:val="21"/>
              </w:rPr>
            </w:pPr>
            <w:r>
              <w:rPr>
                <w:color w:val="auto"/>
                <w:szCs w:val="21"/>
              </w:rPr>
              <w:t>0</w:t>
            </w:r>
          </w:p>
        </w:tc>
        <w:tc>
          <w:tcPr>
            <w:tcW w:w="1701" w:type="dxa"/>
            <w:vAlign w:val="center"/>
          </w:tcPr>
          <w:p w14:paraId="22FB40F1">
            <w:pPr>
              <w:adjustRightInd w:val="0"/>
              <w:snapToGrid w:val="0"/>
              <w:jc w:val="center"/>
              <w:rPr>
                <w:snapToGrid w:val="0"/>
                <w:color w:val="auto"/>
                <w:kern w:val="21"/>
                <w:szCs w:val="21"/>
              </w:rPr>
            </w:pPr>
            <w:r>
              <w:rPr>
                <w:color w:val="auto"/>
                <w:szCs w:val="21"/>
              </w:rPr>
              <w:t>0</w:t>
            </w:r>
          </w:p>
        </w:tc>
        <w:tc>
          <w:tcPr>
            <w:tcW w:w="1559" w:type="dxa"/>
            <w:vAlign w:val="center"/>
          </w:tcPr>
          <w:p w14:paraId="1BF7299B">
            <w:pPr>
              <w:keepNext/>
              <w:adjustRightInd w:val="0"/>
              <w:snapToGrid w:val="0"/>
              <w:jc w:val="center"/>
              <w:rPr>
                <w:color w:val="auto"/>
                <w:kern w:val="0"/>
                <w:szCs w:val="21"/>
              </w:rPr>
            </w:pPr>
            <w:r>
              <w:rPr>
                <w:rFonts w:hint="eastAsia"/>
                <w:color w:val="auto"/>
                <w:szCs w:val="21"/>
              </w:rPr>
              <w:t>22.6t/a</w:t>
            </w:r>
          </w:p>
        </w:tc>
        <w:tc>
          <w:tcPr>
            <w:tcW w:w="1761" w:type="dxa"/>
            <w:vAlign w:val="center"/>
          </w:tcPr>
          <w:p w14:paraId="7403E0CB">
            <w:pPr>
              <w:adjustRightInd w:val="0"/>
              <w:snapToGrid w:val="0"/>
              <w:jc w:val="center"/>
              <w:rPr>
                <w:snapToGrid w:val="0"/>
                <w:color w:val="auto"/>
                <w:kern w:val="21"/>
                <w:szCs w:val="21"/>
              </w:rPr>
            </w:pPr>
            <w:r>
              <w:rPr>
                <w:color w:val="auto"/>
                <w:szCs w:val="21"/>
              </w:rPr>
              <w:t>0</w:t>
            </w:r>
          </w:p>
        </w:tc>
        <w:tc>
          <w:tcPr>
            <w:tcW w:w="1639" w:type="dxa"/>
            <w:vAlign w:val="center"/>
          </w:tcPr>
          <w:p w14:paraId="53D3C282">
            <w:pPr>
              <w:keepNext/>
              <w:adjustRightInd w:val="0"/>
              <w:snapToGrid w:val="0"/>
              <w:jc w:val="center"/>
              <w:rPr>
                <w:color w:val="auto"/>
                <w:kern w:val="0"/>
                <w:szCs w:val="21"/>
              </w:rPr>
            </w:pPr>
            <w:r>
              <w:rPr>
                <w:rFonts w:hint="eastAsia"/>
                <w:color w:val="auto"/>
                <w:szCs w:val="21"/>
              </w:rPr>
              <w:t>22.6t/a</w:t>
            </w:r>
          </w:p>
        </w:tc>
        <w:tc>
          <w:tcPr>
            <w:tcW w:w="1237" w:type="dxa"/>
            <w:vAlign w:val="center"/>
          </w:tcPr>
          <w:p w14:paraId="7DD9CB51">
            <w:pPr>
              <w:keepNext/>
              <w:adjustRightInd w:val="0"/>
              <w:snapToGrid w:val="0"/>
              <w:jc w:val="center"/>
              <w:rPr>
                <w:color w:val="auto"/>
                <w:kern w:val="0"/>
                <w:szCs w:val="21"/>
              </w:rPr>
            </w:pPr>
            <w:r>
              <w:rPr>
                <w:rFonts w:hint="eastAsia"/>
                <w:bCs/>
                <w:color w:val="auto"/>
                <w:szCs w:val="21"/>
              </w:rPr>
              <w:t>+</w:t>
            </w:r>
            <w:r>
              <w:rPr>
                <w:rFonts w:hint="eastAsia"/>
                <w:color w:val="auto"/>
                <w:szCs w:val="21"/>
              </w:rPr>
              <w:t>22.6t/a</w:t>
            </w:r>
          </w:p>
        </w:tc>
      </w:tr>
      <w:tr w14:paraId="4834FB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3CA5FFB0">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474EE4CB">
            <w:pPr>
              <w:keepNext/>
              <w:adjustRightInd w:val="0"/>
              <w:snapToGrid w:val="0"/>
              <w:jc w:val="center"/>
              <w:rPr>
                <w:color w:val="auto"/>
                <w:szCs w:val="21"/>
                <w:lang w:bidi="ar"/>
              </w:rPr>
            </w:pPr>
            <w:r>
              <w:rPr>
                <w:color w:val="auto"/>
                <w:szCs w:val="21"/>
                <w:lang w:bidi="ar"/>
              </w:rPr>
              <w:t>废原料空桶</w:t>
            </w:r>
          </w:p>
        </w:tc>
        <w:tc>
          <w:tcPr>
            <w:tcW w:w="1701" w:type="dxa"/>
            <w:vAlign w:val="center"/>
          </w:tcPr>
          <w:p w14:paraId="38AC2221">
            <w:pPr>
              <w:adjustRightInd w:val="0"/>
              <w:snapToGrid w:val="0"/>
              <w:jc w:val="center"/>
              <w:rPr>
                <w:snapToGrid w:val="0"/>
                <w:color w:val="auto"/>
                <w:kern w:val="21"/>
                <w:szCs w:val="21"/>
              </w:rPr>
            </w:pPr>
            <w:r>
              <w:rPr>
                <w:color w:val="auto"/>
                <w:szCs w:val="21"/>
              </w:rPr>
              <w:t>0</w:t>
            </w:r>
          </w:p>
        </w:tc>
        <w:tc>
          <w:tcPr>
            <w:tcW w:w="1276" w:type="dxa"/>
            <w:vAlign w:val="center"/>
          </w:tcPr>
          <w:p w14:paraId="3EA6126C">
            <w:pPr>
              <w:jc w:val="center"/>
              <w:rPr>
                <w:snapToGrid w:val="0"/>
                <w:color w:val="auto"/>
                <w:kern w:val="21"/>
                <w:szCs w:val="21"/>
              </w:rPr>
            </w:pPr>
            <w:r>
              <w:rPr>
                <w:color w:val="auto"/>
                <w:szCs w:val="21"/>
              </w:rPr>
              <w:t>0</w:t>
            </w:r>
          </w:p>
        </w:tc>
        <w:tc>
          <w:tcPr>
            <w:tcW w:w="1701" w:type="dxa"/>
            <w:vAlign w:val="center"/>
          </w:tcPr>
          <w:p w14:paraId="041D8930">
            <w:pPr>
              <w:adjustRightInd w:val="0"/>
              <w:snapToGrid w:val="0"/>
              <w:jc w:val="center"/>
              <w:rPr>
                <w:snapToGrid w:val="0"/>
                <w:color w:val="auto"/>
                <w:kern w:val="21"/>
                <w:szCs w:val="21"/>
              </w:rPr>
            </w:pPr>
            <w:r>
              <w:rPr>
                <w:color w:val="auto"/>
                <w:szCs w:val="21"/>
              </w:rPr>
              <w:t>0</w:t>
            </w:r>
          </w:p>
        </w:tc>
        <w:tc>
          <w:tcPr>
            <w:tcW w:w="1559" w:type="dxa"/>
            <w:vAlign w:val="center"/>
          </w:tcPr>
          <w:p w14:paraId="7C24A2A4">
            <w:pPr>
              <w:keepNext/>
              <w:adjustRightInd w:val="0"/>
              <w:snapToGrid w:val="0"/>
              <w:jc w:val="center"/>
              <w:rPr>
                <w:color w:val="auto"/>
                <w:kern w:val="0"/>
                <w:szCs w:val="21"/>
              </w:rPr>
            </w:pPr>
            <w:r>
              <w:rPr>
                <w:rFonts w:hint="eastAsia"/>
                <w:color w:val="auto"/>
                <w:kern w:val="0"/>
                <w:szCs w:val="21"/>
              </w:rPr>
              <w:t>1</w:t>
            </w:r>
            <w:r>
              <w:rPr>
                <w:rFonts w:hint="eastAsia"/>
                <w:color w:val="auto"/>
                <w:szCs w:val="21"/>
              </w:rPr>
              <w:t>t/a</w:t>
            </w:r>
          </w:p>
        </w:tc>
        <w:tc>
          <w:tcPr>
            <w:tcW w:w="1761" w:type="dxa"/>
            <w:vAlign w:val="center"/>
          </w:tcPr>
          <w:p w14:paraId="2480743A">
            <w:pPr>
              <w:adjustRightInd w:val="0"/>
              <w:snapToGrid w:val="0"/>
              <w:jc w:val="center"/>
              <w:rPr>
                <w:snapToGrid w:val="0"/>
                <w:color w:val="auto"/>
                <w:kern w:val="21"/>
                <w:szCs w:val="21"/>
              </w:rPr>
            </w:pPr>
            <w:r>
              <w:rPr>
                <w:color w:val="auto"/>
                <w:szCs w:val="21"/>
              </w:rPr>
              <w:t>0</w:t>
            </w:r>
          </w:p>
        </w:tc>
        <w:tc>
          <w:tcPr>
            <w:tcW w:w="1639" w:type="dxa"/>
            <w:vAlign w:val="center"/>
          </w:tcPr>
          <w:p w14:paraId="6EF79847">
            <w:pPr>
              <w:keepNext/>
              <w:adjustRightInd w:val="0"/>
              <w:snapToGrid w:val="0"/>
              <w:jc w:val="center"/>
              <w:rPr>
                <w:color w:val="auto"/>
                <w:kern w:val="0"/>
                <w:szCs w:val="21"/>
              </w:rPr>
            </w:pPr>
            <w:r>
              <w:rPr>
                <w:rFonts w:hint="eastAsia"/>
                <w:color w:val="auto"/>
                <w:kern w:val="0"/>
                <w:szCs w:val="21"/>
              </w:rPr>
              <w:t>1</w:t>
            </w:r>
            <w:r>
              <w:rPr>
                <w:rFonts w:hint="eastAsia"/>
                <w:color w:val="auto"/>
                <w:szCs w:val="21"/>
              </w:rPr>
              <w:t>t/a</w:t>
            </w:r>
          </w:p>
        </w:tc>
        <w:tc>
          <w:tcPr>
            <w:tcW w:w="1237" w:type="dxa"/>
            <w:vAlign w:val="center"/>
          </w:tcPr>
          <w:p w14:paraId="2B99D960">
            <w:pPr>
              <w:keepNext/>
              <w:adjustRightInd w:val="0"/>
              <w:snapToGrid w:val="0"/>
              <w:jc w:val="center"/>
              <w:rPr>
                <w:color w:val="auto"/>
                <w:kern w:val="0"/>
                <w:szCs w:val="21"/>
              </w:rPr>
            </w:pPr>
            <w:r>
              <w:rPr>
                <w:rFonts w:hint="eastAsia"/>
                <w:color w:val="auto"/>
                <w:kern w:val="0"/>
                <w:szCs w:val="21"/>
              </w:rPr>
              <w:t>+1</w:t>
            </w:r>
            <w:r>
              <w:rPr>
                <w:rFonts w:hint="eastAsia"/>
                <w:color w:val="auto"/>
                <w:szCs w:val="21"/>
              </w:rPr>
              <w:t>t/a</w:t>
            </w:r>
          </w:p>
        </w:tc>
      </w:tr>
      <w:tr w14:paraId="794EBE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33AE10EB">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37CBC87C">
            <w:pPr>
              <w:keepNext/>
              <w:adjustRightInd w:val="0"/>
              <w:snapToGrid w:val="0"/>
              <w:jc w:val="center"/>
              <w:rPr>
                <w:color w:val="auto"/>
                <w:szCs w:val="21"/>
                <w:lang w:bidi="ar"/>
              </w:rPr>
            </w:pPr>
            <w:r>
              <w:rPr>
                <w:color w:val="auto"/>
                <w:szCs w:val="21"/>
                <w:lang w:bidi="ar"/>
              </w:rPr>
              <w:t>废机油</w:t>
            </w:r>
          </w:p>
        </w:tc>
        <w:tc>
          <w:tcPr>
            <w:tcW w:w="1701" w:type="dxa"/>
            <w:vAlign w:val="center"/>
          </w:tcPr>
          <w:p w14:paraId="1FD710F8">
            <w:pPr>
              <w:adjustRightInd w:val="0"/>
              <w:snapToGrid w:val="0"/>
              <w:jc w:val="center"/>
              <w:rPr>
                <w:snapToGrid w:val="0"/>
                <w:color w:val="auto"/>
                <w:kern w:val="21"/>
                <w:szCs w:val="21"/>
              </w:rPr>
            </w:pPr>
            <w:r>
              <w:rPr>
                <w:color w:val="auto"/>
                <w:szCs w:val="21"/>
              </w:rPr>
              <w:t>0</w:t>
            </w:r>
          </w:p>
        </w:tc>
        <w:tc>
          <w:tcPr>
            <w:tcW w:w="1276" w:type="dxa"/>
            <w:vAlign w:val="center"/>
          </w:tcPr>
          <w:p w14:paraId="18B2BE5B">
            <w:pPr>
              <w:jc w:val="center"/>
              <w:rPr>
                <w:snapToGrid w:val="0"/>
                <w:color w:val="auto"/>
                <w:kern w:val="21"/>
                <w:szCs w:val="21"/>
              </w:rPr>
            </w:pPr>
            <w:r>
              <w:rPr>
                <w:color w:val="auto"/>
                <w:szCs w:val="21"/>
              </w:rPr>
              <w:t>0</w:t>
            </w:r>
          </w:p>
        </w:tc>
        <w:tc>
          <w:tcPr>
            <w:tcW w:w="1701" w:type="dxa"/>
            <w:vAlign w:val="center"/>
          </w:tcPr>
          <w:p w14:paraId="1C3D6EBF">
            <w:pPr>
              <w:adjustRightInd w:val="0"/>
              <w:snapToGrid w:val="0"/>
              <w:jc w:val="center"/>
              <w:rPr>
                <w:snapToGrid w:val="0"/>
                <w:color w:val="auto"/>
                <w:kern w:val="21"/>
                <w:szCs w:val="21"/>
              </w:rPr>
            </w:pPr>
            <w:r>
              <w:rPr>
                <w:color w:val="auto"/>
                <w:szCs w:val="21"/>
              </w:rPr>
              <w:t>0</w:t>
            </w:r>
          </w:p>
        </w:tc>
        <w:tc>
          <w:tcPr>
            <w:tcW w:w="1559" w:type="dxa"/>
            <w:vAlign w:val="center"/>
          </w:tcPr>
          <w:p w14:paraId="7BCE4603">
            <w:pPr>
              <w:keepNext/>
              <w:adjustRightInd w:val="0"/>
              <w:snapToGrid w:val="0"/>
              <w:jc w:val="center"/>
              <w:rPr>
                <w:color w:val="auto"/>
                <w:kern w:val="0"/>
                <w:szCs w:val="21"/>
              </w:rPr>
            </w:pPr>
            <w:r>
              <w:rPr>
                <w:color w:val="auto"/>
                <w:kern w:val="0"/>
                <w:szCs w:val="21"/>
              </w:rPr>
              <w:t>0.2</w:t>
            </w:r>
            <w:r>
              <w:rPr>
                <w:rFonts w:hint="eastAsia"/>
                <w:color w:val="auto"/>
                <w:szCs w:val="21"/>
              </w:rPr>
              <w:t>t/a</w:t>
            </w:r>
          </w:p>
        </w:tc>
        <w:tc>
          <w:tcPr>
            <w:tcW w:w="1761" w:type="dxa"/>
            <w:vAlign w:val="center"/>
          </w:tcPr>
          <w:p w14:paraId="3360DCDF">
            <w:pPr>
              <w:adjustRightInd w:val="0"/>
              <w:snapToGrid w:val="0"/>
              <w:jc w:val="center"/>
              <w:rPr>
                <w:snapToGrid w:val="0"/>
                <w:color w:val="auto"/>
                <w:kern w:val="21"/>
                <w:szCs w:val="21"/>
              </w:rPr>
            </w:pPr>
            <w:r>
              <w:rPr>
                <w:color w:val="auto"/>
                <w:szCs w:val="21"/>
              </w:rPr>
              <w:t>0</w:t>
            </w:r>
          </w:p>
        </w:tc>
        <w:tc>
          <w:tcPr>
            <w:tcW w:w="1639" w:type="dxa"/>
            <w:vAlign w:val="center"/>
          </w:tcPr>
          <w:p w14:paraId="2606338D">
            <w:pPr>
              <w:keepNext/>
              <w:adjustRightInd w:val="0"/>
              <w:snapToGrid w:val="0"/>
              <w:jc w:val="center"/>
              <w:rPr>
                <w:color w:val="auto"/>
                <w:kern w:val="0"/>
                <w:szCs w:val="21"/>
              </w:rPr>
            </w:pPr>
            <w:r>
              <w:rPr>
                <w:color w:val="auto"/>
                <w:kern w:val="0"/>
                <w:szCs w:val="21"/>
              </w:rPr>
              <w:t>0.2</w:t>
            </w:r>
            <w:r>
              <w:rPr>
                <w:rFonts w:hint="eastAsia"/>
                <w:color w:val="auto"/>
                <w:szCs w:val="21"/>
              </w:rPr>
              <w:t>t/a</w:t>
            </w:r>
          </w:p>
        </w:tc>
        <w:tc>
          <w:tcPr>
            <w:tcW w:w="1237" w:type="dxa"/>
            <w:vAlign w:val="center"/>
          </w:tcPr>
          <w:p w14:paraId="56F46836">
            <w:pPr>
              <w:keepNext/>
              <w:adjustRightInd w:val="0"/>
              <w:snapToGrid w:val="0"/>
              <w:jc w:val="center"/>
              <w:rPr>
                <w:color w:val="auto"/>
                <w:kern w:val="0"/>
                <w:szCs w:val="21"/>
              </w:rPr>
            </w:pPr>
            <w:r>
              <w:rPr>
                <w:rFonts w:hint="eastAsia"/>
                <w:color w:val="auto"/>
                <w:kern w:val="0"/>
                <w:szCs w:val="21"/>
              </w:rPr>
              <w:t>+</w:t>
            </w:r>
            <w:r>
              <w:rPr>
                <w:color w:val="auto"/>
                <w:kern w:val="0"/>
                <w:szCs w:val="21"/>
              </w:rPr>
              <w:t>0.2</w:t>
            </w:r>
            <w:r>
              <w:rPr>
                <w:rFonts w:hint="eastAsia"/>
                <w:color w:val="auto"/>
                <w:szCs w:val="21"/>
              </w:rPr>
              <w:t>t/a</w:t>
            </w:r>
          </w:p>
        </w:tc>
      </w:tr>
      <w:tr w14:paraId="16DEF9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5CDFC728">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0FE82FF6">
            <w:pPr>
              <w:keepNext/>
              <w:adjustRightInd w:val="0"/>
              <w:snapToGrid w:val="0"/>
              <w:jc w:val="center"/>
              <w:rPr>
                <w:color w:val="auto"/>
                <w:szCs w:val="21"/>
                <w:lang w:bidi="ar"/>
              </w:rPr>
            </w:pPr>
            <w:r>
              <w:rPr>
                <w:color w:val="auto"/>
                <w:szCs w:val="21"/>
                <w:lang w:bidi="ar"/>
              </w:rPr>
              <w:t>废含油抹布和手套</w:t>
            </w:r>
          </w:p>
        </w:tc>
        <w:tc>
          <w:tcPr>
            <w:tcW w:w="1701" w:type="dxa"/>
            <w:vAlign w:val="center"/>
          </w:tcPr>
          <w:p w14:paraId="5984AF75">
            <w:pPr>
              <w:adjustRightInd w:val="0"/>
              <w:snapToGrid w:val="0"/>
              <w:jc w:val="center"/>
              <w:rPr>
                <w:snapToGrid w:val="0"/>
                <w:color w:val="auto"/>
                <w:kern w:val="21"/>
                <w:szCs w:val="21"/>
              </w:rPr>
            </w:pPr>
            <w:r>
              <w:rPr>
                <w:color w:val="auto"/>
                <w:szCs w:val="21"/>
              </w:rPr>
              <w:t>0</w:t>
            </w:r>
          </w:p>
        </w:tc>
        <w:tc>
          <w:tcPr>
            <w:tcW w:w="1276" w:type="dxa"/>
            <w:vAlign w:val="center"/>
          </w:tcPr>
          <w:p w14:paraId="524BF318">
            <w:pPr>
              <w:jc w:val="center"/>
              <w:rPr>
                <w:snapToGrid w:val="0"/>
                <w:color w:val="auto"/>
                <w:kern w:val="21"/>
                <w:szCs w:val="21"/>
              </w:rPr>
            </w:pPr>
            <w:r>
              <w:rPr>
                <w:color w:val="auto"/>
                <w:szCs w:val="21"/>
              </w:rPr>
              <w:t>0</w:t>
            </w:r>
          </w:p>
        </w:tc>
        <w:tc>
          <w:tcPr>
            <w:tcW w:w="1701" w:type="dxa"/>
            <w:vAlign w:val="center"/>
          </w:tcPr>
          <w:p w14:paraId="46B9C685">
            <w:pPr>
              <w:adjustRightInd w:val="0"/>
              <w:snapToGrid w:val="0"/>
              <w:jc w:val="center"/>
              <w:rPr>
                <w:snapToGrid w:val="0"/>
                <w:color w:val="auto"/>
                <w:kern w:val="21"/>
                <w:szCs w:val="21"/>
              </w:rPr>
            </w:pPr>
            <w:r>
              <w:rPr>
                <w:color w:val="auto"/>
                <w:szCs w:val="21"/>
              </w:rPr>
              <w:t>0</w:t>
            </w:r>
          </w:p>
        </w:tc>
        <w:tc>
          <w:tcPr>
            <w:tcW w:w="1559" w:type="dxa"/>
            <w:vAlign w:val="center"/>
          </w:tcPr>
          <w:p w14:paraId="6001BE3F">
            <w:pPr>
              <w:keepNext/>
              <w:adjustRightInd w:val="0"/>
              <w:snapToGrid w:val="0"/>
              <w:jc w:val="center"/>
              <w:rPr>
                <w:color w:val="auto"/>
                <w:kern w:val="0"/>
                <w:szCs w:val="21"/>
              </w:rPr>
            </w:pPr>
            <w:r>
              <w:rPr>
                <w:color w:val="auto"/>
                <w:kern w:val="0"/>
                <w:szCs w:val="21"/>
              </w:rPr>
              <w:t>0.1</w:t>
            </w:r>
            <w:r>
              <w:rPr>
                <w:rFonts w:hint="eastAsia"/>
                <w:color w:val="auto"/>
                <w:szCs w:val="21"/>
              </w:rPr>
              <w:t>t/a</w:t>
            </w:r>
          </w:p>
        </w:tc>
        <w:tc>
          <w:tcPr>
            <w:tcW w:w="1761" w:type="dxa"/>
            <w:vAlign w:val="center"/>
          </w:tcPr>
          <w:p w14:paraId="3DEC603D">
            <w:pPr>
              <w:adjustRightInd w:val="0"/>
              <w:snapToGrid w:val="0"/>
              <w:jc w:val="center"/>
              <w:rPr>
                <w:snapToGrid w:val="0"/>
                <w:color w:val="auto"/>
                <w:kern w:val="21"/>
                <w:szCs w:val="21"/>
              </w:rPr>
            </w:pPr>
            <w:r>
              <w:rPr>
                <w:color w:val="auto"/>
                <w:szCs w:val="21"/>
              </w:rPr>
              <w:t>0</w:t>
            </w:r>
          </w:p>
        </w:tc>
        <w:tc>
          <w:tcPr>
            <w:tcW w:w="1639" w:type="dxa"/>
            <w:vAlign w:val="center"/>
          </w:tcPr>
          <w:p w14:paraId="3034C679">
            <w:pPr>
              <w:keepNext/>
              <w:adjustRightInd w:val="0"/>
              <w:snapToGrid w:val="0"/>
              <w:jc w:val="center"/>
              <w:rPr>
                <w:color w:val="auto"/>
                <w:kern w:val="0"/>
                <w:szCs w:val="21"/>
              </w:rPr>
            </w:pPr>
            <w:r>
              <w:rPr>
                <w:color w:val="auto"/>
                <w:kern w:val="0"/>
                <w:szCs w:val="21"/>
              </w:rPr>
              <w:t>0.1</w:t>
            </w:r>
            <w:r>
              <w:rPr>
                <w:rFonts w:hint="eastAsia"/>
                <w:color w:val="auto"/>
                <w:szCs w:val="21"/>
              </w:rPr>
              <w:t>t/a</w:t>
            </w:r>
          </w:p>
        </w:tc>
        <w:tc>
          <w:tcPr>
            <w:tcW w:w="1237" w:type="dxa"/>
            <w:vAlign w:val="center"/>
          </w:tcPr>
          <w:p w14:paraId="73AEE047">
            <w:pPr>
              <w:keepNext/>
              <w:adjustRightInd w:val="0"/>
              <w:snapToGrid w:val="0"/>
              <w:jc w:val="center"/>
              <w:rPr>
                <w:color w:val="auto"/>
                <w:kern w:val="0"/>
                <w:szCs w:val="21"/>
              </w:rPr>
            </w:pPr>
            <w:r>
              <w:rPr>
                <w:rFonts w:hint="eastAsia"/>
                <w:color w:val="auto"/>
                <w:kern w:val="0"/>
                <w:szCs w:val="21"/>
              </w:rPr>
              <w:t>+</w:t>
            </w:r>
            <w:r>
              <w:rPr>
                <w:color w:val="auto"/>
                <w:kern w:val="0"/>
                <w:szCs w:val="21"/>
              </w:rPr>
              <w:t>0.1</w:t>
            </w:r>
            <w:r>
              <w:rPr>
                <w:rFonts w:hint="eastAsia"/>
                <w:color w:val="auto"/>
                <w:szCs w:val="21"/>
              </w:rPr>
              <w:t>t/a</w:t>
            </w:r>
          </w:p>
        </w:tc>
      </w:tr>
      <w:tr w14:paraId="482B26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030B3203">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5F8A42B4">
            <w:pPr>
              <w:keepNext/>
              <w:adjustRightInd w:val="0"/>
              <w:snapToGrid w:val="0"/>
              <w:jc w:val="center"/>
              <w:rPr>
                <w:color w:val="auto"/>
                <w:kern w:val="0"/>
                <w:szCs w:val="21"/>
              </w:rPr>
            </w:pPr>
            <w:r>
              <w:rPr>
                <w:color w:val="auto"/>
                <w:kern w:val="0"/>
                <w:szCs w:val="21"/>
              </w:rPr>
              <w:t>废滤芯</w:t>
            </w:r>
          </w:p>
        </w:tc>
        <w:tc>
          <w:tcPr>
            <w:tcW w:w="1701" w:type="dxa"/>
            <w:vAlign w:val="center"/>
          </w:tcPr>
          <w:p w14:paraId="562DD446">
            <w:pPr>
              <w:adjustRightInd w:val="0"/>
              <w:snapToGrid w:val="0"/>
              <w:jc w:val="center"/>
              <w:rPr>
                <w:snapToGrid w:val="0"/>
                <w:color w:val="auto"/>
                <w:kern w:val="21"/>
                <w:szCs w:val="21"/>
              </w:rPr>
            </w:pPr>
            <w:r>
              <w:rPr>
                <w:color w:val="auto"/>
                <w:szCs w:val="21"/>
              </w:rPr>
              <w:t>0</w:t>
            </w:r>
          </w:p>
        </w:tc>
        <w:tc>
          <w:tcPr>
            <w:tcW w:w="1276" w:type="dxa"/>
            <w:vAlign w:val="center"/>
          </w:tcPr>
          <w:p w14:paraId="37356CF4">
            <w:pPr>
              <w:jc w:val="center"/>
              <w:rPr>
                <w:snapToGrid w:val="0"/>
                <w:color w:val="auto"/>
                <w:kern w:val="21"/>
                <w:szCs w:val="21"/>
              </w:rPr>
            </w:pPr>
            <w:r>
              <w:rPr>
                <w:color w:val="auto"/>
                <w:szCs w:val="21"/>
              </w:rPr>
              <w:t>0</w:t>
            </w:r>
          </w:p>
        </w:tc>
        <w:tc>
          <w:tcPr>
            <w:tcW w:w="1701" w:type="dxa"/>
            <w:vAlign w:val="center"/>
          </w:tcPr>
          <w:p w14:paraId="17A19938">
            <w:pPr>
              <w:adjustRightInd w:val="0"/>
              <w:snapToGrid w:val="0"/>
              <w:jc w:val="center"/>
              <w:rPr>
                <w:snapToGrid w:val="0"/>
                <w:color w:val="auto"/>
                <w:kern w:val="21"/>
                <w:szCs w:val="21"/>
              </w:rPr>
            </w:pPr>
            <w:r>
              <w:rPr>
                <w:color w:val="auto"/>
                <w:szCs w:val="21"/>
              </w:rPr>
              <w:t>0</w:t>
            </w:r>
          </w:p>
        </w:tc>
        <w:tc>
          <w:tcPr>
            <w:tcW w:w="1559" w:type="dxa"/>
            <w:vAlign w:val="center"/>
          </w:tcPr>
          <w:p w14:paraId="2D7FC53F">
            <w:pPr>
              <w:keepNext/>
              <w:adjustRightInd w:val="0"/>
              <w:snapToGrid w:val="0"/>
              <w:jc w:val="center"/>
              <w:rPr>
                <w:color w:val="auto"/>
                <w:kern w:val="0"/>
                <w:szCs w:val="21"/>
              </w:rPr>
            </w:pPr>
            <w:r>
              <w:rPr>
                <w:rFonts w:hint="eastAsia"/>
                <w:color w:val="auto"/>
                <w:kern w:val="0"/>
                <w:szCs w:val="21"/>
              </w:rPr>
              <w:t>0.12</w:t>
            </w:r>
            <w:r>
              <w:rPr>
                <w:rFonts w:hint="eastAsia"/>
                <w:color w:val="auto"/>
                <w:szCs w:val="21"/>
              </w:rPr>
              <w:t>t/a</w:t>
            </w:r>
          </w:p>
        </w:tc>
        <w:tc>
          <w:tcPr>
            <w:tcW w:w="1761" w:type="dxa"/>
            <w:vAlign w:val="center"/>
          </w:tcPr>
          <w:p w14:paraId="19BEDBCE">
            <w:pPr>
              <w:adjustRightInd w:val="0"/>
              <w:snapToGrid w:val="0"/>
              <w:jc w:val="center"/>
              <w:rPr>
                <w:snapToGrid w:val="0"/>
                <w:color w:val="auto"/>
                <w:kern w:val="21"/>
                <w:szCs w:val="21"/>
              </w:rPr>
            </w:pPr>
            <w:r>
              <w:rPr>
                <w:color w:val="auto"/>
                <w:szCs w:val="21"/>
              </w:rPr>
              <w:t>0</w:t>
            </w:r>
          </w:p>
        </w:tc>
        <w:tc>
          <w:tcPr>
            <w:tcW w:w="1639" w:type="dxa"/>
            <w:vAlign w:val="center"/>
          </w:tcPr>
          <w:p w14:paraId="4A03201D">
            <w:pPr>
              <w:keepNext/>
              <w:adjustRightInd w:val="0"/>
              <w:snapToGrid w:val="0"/>
              <w:jc w:val="center"/>
              <w:rPr>
                <w:color w:val="auto"/>
                <w:kern w:val="0"/>
                <w:szCs w:val="21"/>
              </w:rPr>
            </w:pPr>
            <w:r>
              <w:rPr>
                <w:rFonts w:hint="eastAsia"/>
                <w:color w:val="auto"/>
                <w:kern w:val="0"/>
                <w:szCs w:val="21"/>
              </w:rPr>
              <w:t>0.12</w:t>
            </w:r>
            <w:r>
              <w:rPr>
                <w:rFonts w:hint="eastAsia"/>
                <w:color w:val="auto"/>
                <w:szCs w:val="21"/>
              </w:rPr>
              <w:t>t/a</w:t>
            </w:r>
          </w:p>
        </w:tc>
        <w:tc>
          <w:tcPr>
            <w:tcW w:w="1237" w:type="dxa"/>
            <w:vAlign w:val="center"/>
          </w:tcPr>
          <w:p w14:paraId="74F3CDCD">
            <w:pPr>
              <w:keepNext/>
              <w:adjustRightInd w:val="0"/>
              <w:snapToGrid w:val="0"/>
              <w:jc w:val="center"/>
              <w:rPr>
                <w:color w:val="auto"/>
                <w:kern w:val="0"/>
                <w:szCs w:val="21"/>
              </w:rPr>
            </w:pPr>
            <w:r>
              <w:rPr>
                <w:rFonts w:hint="eastAsia"/>
                <w:color w:val="auto"/>
                <w:kern w:val="0"/>
                <w:szCs w:val="21"/>
              </w:rPr>
              <w:t>+0.12</w:t>
            </w:r>
            <w:r>
              <w:rPr>
                <w:rFonts w:hint="eastAsia"/>
                <w:color w:val="auto"/>
                <w:szCs w:val="21"/>
              </w:rPr>
              <w:t>t/a</w:t>
            </w:r>
          </w:p>
        </w:tc>
      </w:tr>
      <w:tr w14:paraId="4BFF8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3A6E5EFE">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373F1AFA">
            <w:pPr>
              <w:keepNext/>
              <w:adjustRightInd w:val="0"/>
              <w:snapToGrid w:val="0"/>
              <w:jc w:val="center"/>
              <w:rPr>
                <w:color w:val="auto"/>
                <w:kern w:val="0"/>
                <w:szCs w:val="21"/>
              </w:rPr>
            </w:pPr>
            <w:r>
              <w:rPr>
                <w:color w:val="auto"/>
                <w:kern w:val="0"/>
                <w:szCs w:val="21"/>
              </w:rPr>
              <w:t>废槽渣</w:t>
            </w:r>
          </w:p>
        </w:tc>
        <w:tc>
          <w:tcPr>
            <w:tcW w:w="1701" w:type="dxa"/>
            <w:vAlign w:val="center"/>
          </w:tcPr>
          <w:p w14:paraId="0AFAC775">
            <w:pPr>
              <w:adjustRightInd w:val="0"/>
              <w:snapToGrid w:val="0"/>
              <w:jc w:val="center"/>
              <w:rPr>
                <w:snapToGrid w:val="0"/>
                <w:color w:val="auto"/>
                <w:kern w:val="21"/>
                <w:szCs w:val="21"/>
              </w:rPr>
            </w:pPr>
            <w:r>
              <w:rPr>
                <w:color w:val="auto"/>
                <w:szCs w:val="21"/>
              </w:rPr>
              <w:t>0</w:t>
            </w:r>
          </w:p>
        </w:tc>
        <w:tc>
          <w:tcPr>
            <w:tcW w:w="1276" w:type="dxa"/>
            <w:vAlign w:val="center"/>
          </w:tcPr>
          <w:p w14:paraId="51C296CA">
            <w:pPr>
              <w:jc w:val="center"/>
              <w:rPr>
                <w:snapToGrid w:val="0"/>
                <w:color w:val="auto"/>
                <w:kern w:val="21"/>
                <w:szCs w:val="21"/>
              </w:rPr>
            </w:pPr>
            <w:r>
              <w:rPr>
                <w:color w:val="auto"/>
                <w:szCs w:val="21"/>
              </w:rPr>
              <w:t>0</w:t>
            </w:r>
          </w:p>
        </w:tc>
        <w:tc>
          <w:tcPr>
            <w:tcW w:w="1701" w:type="dxa"/>
            <w:vAlign w:val="center"/>
          </w:tcPr>
          <w:p w14:paraId="311FA192">
            <w:pPr>
              <w:adjustRightInd w:val="0"/>
              <w:snapToGrid w:val="0"/>
              <w:jc w:val="center"/>
              <w:rPr>
                <w:snapToGrid w:val="0"/>
                <w:color w:val="auto"/>
                <w:kern w:val="21"/>
                <w:szCs w:val="21"/>
              </w:rPr>
            </w:pPr>
            <w:r>
              <w:rPr>
                <w:color w:val="auto"/>
                <w:szCs w:val="21"/>
              </w:rPr>
              <w:t>0</w:t>
            </w:r>
          </w:p>
        </w:tc>
        <w:tc>
          <w:tcPr>
            <w:tcW w:w="1559" w:type="dxa"/>
            <w:vAlign w:val="center"/>
          </w:tcPr>
          <w:p w14:paraId="25861DE1">
            <w:pPr>
              <w:keepNext/>
              <w:adjustRightInd w:val="0"/>
              <w:snapToGrid w:val="0"/>
              <w:jc w:val="center"/>
              <w:rPr>
                <w:color w:val="auto"/>
                <w:kern w:val="0"/>
                <w:szCs w:val="21"/>
              </w:rPr>
            </w:pPr>
            <w:r>
              <w:rPr>
                <w:rFonts w:hint="eastAsia"/>
                <w:color w:val="auto"/>
                <w:kern w:val="0"/>
                <w:szCs w:val="21"/>
              </w:rPr>
              <w:t>4.86</w:t>
            </w:r>
            <w:r>
              <w:rPr>
                <w:rFonts w:hint="eastAsia"/>
                <w:color w:val="auto"/>
                <w:szCs w:val="21"/>
              </w:rPr>
              <w:t>t/a</w:t>
            </w:r>
          </w:p>
        </w:tc>
        <w:tc>
          <w:tcPr>
            <w:tcW w:w="1761" w:type="dxa"/>
            <w:vAlign w:val="center"/>
          </w:tcPr>
          <w:p w14:paraId="2535114A">
            <w:pPr>
              <w:adjustRightInd w:val="0"/>
              <w:snapToGrid w:val="0"/>
              <w:jc w:val="center"/>
              <w:rPr>
                <w:color w:val="auto"/>
                <w:szCs w:val="21"/>
              </w:rPr>
            </w:pPr>
            <w:r>
              <w:rPr>
                <w:rFonts w:hint="eastAsia"/>
                <w:color w:val="auto"/>
                <w:szCs w:val="21"/>
              </w:rPr>
              <w:t>0</w:t>
            </w:r>
          </w:p>
        </w:tc>
        <w:tc>
          <w:tcPr>
            <w:tcW w:w="1639" w:type="dxa"/>
            <w:vAlign w:val="center"/>
          </w:tcPr>
          <w:p w14:paraId="7FE50178">
            <w:pPr>
              <w:keepNext/>
              <w:adjustRightInd w:val="0"/>
              <w:snapToGrid w:val="0"/>
              <w:jc w:val="center"/>
              <w:rPr>
                <w:color w:val="auto"/>
                <w:kern w:val="0"/>
                <w:szCs w:val="21"/>
              </w:rPr>
            </w:pPr>
            <w:r>
              <w:rPr>
                <w:rFonts w:hint="eastAsia"/>
                <w:color w:val="auto"/>
                <w:kern w:val="0"/>
                <w:szCs w:val="21"/>
              </w:rPr>
              <w:t>4.86</w:t>
            </w:r>
            <w:r>
              <w:rPr>
                <w:rFonts w:hint="eastAsia"/>
                <w:color w:val="auto"/>
                <w:szCs w:val="21"/>
              </w:rPr>
              <w:t>t/a</w:t>
            </w:r>
          </w:p>
        </w:tc>
        <w:tc>
          <w:tcPr>
            <w:tcW w:w="1237" w:type="dxa"/>
            <w:vAlign w:val="center"/>
          </w:tcPr>
          <w:p w14:paraId="0F7664A3">
            <w:pPr>
              <w:keepNext/>
              <w:adjustRightInd w:val="0"/>
              <w:snapToGrid w:val="0"/>
              <w:jc w:val="center"/>
              <w:rPr>
                <w:color w:val="auto"/>
                <w:kern w:val="0"/>
                <w:szCs w:val="21"/>
              </w:rPr>
            </w:pPr>
            <w:r>
              <w:rPr>
                <w:rFonts w:hint="eastAsia"/>
                <w:color w:val="auto"/>
                <w:kern w:val="0"/>
                <w:szCs w:val="21"/>
              </w:rPr>
              <w:t>+4.86</w:t>
            </w:r>
            <w:r>
              <w:rPr>
                <w:rFonts w:hint="eastAsia"/>
                <w:color w:val="auto"/>
                <w:szCs w:val="21"/>
              </w:rPr>
              <w:t>t/a</w:t>
            </w:r>
          </w:p>
        </w:tc>
      </w:tr>
      <w:tr w14:paraId="1C6B1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24FB1BA5">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50604183">
            <w:pPr>
              <w:keepNext/>
              <w:adjustRightInd w:val="0"/>
              <w:snapToGrid w:val="0"/>
              <w:jc w:val="center"/>
              <w:rPr>
                <w:color w:val="auto"/>
                <w:kern w:val="0"/>
                <w:szCs w:val="21"/>
              </w:rPr>
            </w:pPr>
            <w:r>
              <w:rPr>
                <w:rFonts w:hint="eastAsia"/>
                <w:color w:val="auto"/>
                <w:kern w:val="0"/>
                <w:szCs w:val="21"/>
              </w:rPr>
              <w:t>水帘柜废水</w:t>
            </w:r>
          </w:p>
        </w:tc>
        <w:tc>
          <w:tcPr>
            <w:tcW w:w="1701" w:type="dxa"/>
            <w:vAlign w:val="center"/>
          </w:tcPr>
          <w:p w14:paraId="17BE1DC0">
            <w:pPr>
              <w:adjustRightInd w:val="0"/>
              <w:snapToGrid w:val="0"/>
              <w:jc w:val="center"/>
              <w:rPr>
                <w:snapToGrid w:val="0"/>
                <w:color w:val="auto"/>
                <w:kern w:val="21"/>
                <w:szCs w:val="21"/>
              </w:rPr>
            </w:pPr>
            <w:r>
              <w:rPr>
                <w:color w:val="auto"/>
                <w:szCs w:val="21"/>
              </w:rPr>
              <w:t>0</w:t>
            </w:r>
          </w:p>
        </w:tc>
        <w:tc>
          <w:tcPr>
            <w:tcW w:w="1276" w:type="dxa"/>
            <w:vAlign w:val="center"/>
          </w:tcPr>
          <w:p w14:paraId="73881C73">
            <w:pPr>
              <w:jc w:val="center"/>
              <w:rPr>
                <w:snapToGrid w:val="0"/>
                <w:color w:val="auto"/>
                <w:kern w:val="21"/>
                <w:szCs w:val="21"/>
              </w:rPr>
            </w:pPr>
            <w:r>
              <w:rPr>
                <w:color w:val="auto"/>
                <w:szCs w:val="21"/>
              </w:rPr>
              <w:t>0</w:t>
            </w:r>
          </w:p>
        </w:tc>
        <w:tc>
          <w:tcPr>
            <w:tcW w:w="1701" w:type="dxa"/>
            <w:vAlign w:val="center"/>
          </w:tcPr>
          <w:p w14:paraId="47B84F7A">
            <w:pPr>
              <w:adjustRightInd w:val="0"/>
              <w:snapToGrid w:val="0"/>
              <w:jc w:val="center"/>
              <w:rPr>
                <w:snapToGrid w:val="0"/>
                <w:color w:val="auto"/>
                <w:kern w:val="21"/>
                <w:szCs w:val="21"/>
              </w:rPr>
            </w:pPr>
            <w:r>
              <w:rPr>
                <w:color w:val="auto"/>
                <w:szCs w:val="21"/>
              </w:rPr>
              <w:t>0</w:t>
            </w:r>
          </w:p>
        </w:tc>
        <w:tc>
          <w:tcPr>
            <w:tcW w:w="1559" w:type="dxa"/>
            <w:vAlign w:val="center"/>
          </w:tcPr>
          <w:p w14:paraId="04CDE426">
            <w:pPr>
              <w:keepNext/>
              <w:adjustRightInd w:val="0"/>
              <w:snapToGrid w:val="0"/>
              <w:jc w:val="center"/>
              <w:rPr>
                <w:color w:val="auto"/>
                <w:kern w:val="0"/>
                <w:szCs w:val="21"/>
              </w:rPr>
            </w:pPr>
            <w:r>
              <w:rPr>
                <w:rFonts w:hint="eastAsia"/>
                <w:color w:val="auto"/>
                <w:kern w:val="0"/>
                <w:szCs w:val="21"/>
              </w:rPr>
              <w:t>19.76</w:t>
            </w:r>
            <w:r>
              <w:rPr>
                <w:rFonts w:hint="eastAsia"/>
                <w:color w:val="auto"/>
                <w:szCs w:val="21"/>
              </w:rPr>
              <w:t>t/a</w:t>
            </w:r>
          </w:p>
        </w:tc>
        <w:tc>
          <w:tcPr>
            <w:tcW w:w="1761" w:type="dxa"/>
            <w:vAlign w:val="center"/>
          </w:tcPr>
          <w:p w14:paraId="69B63DB3">
            <w:pPr>
              <w:adjustRightInd w:val="0"/>
              <w:snapToGrid w:val="0"/>
              <w:jc w:val="center"/>
              <w:rPr>
                <w:snapToGrid w:val="0"/>
                <w:color w:val="auto"/>
                <w:kern w:val="21"/>
                <w:szCs w:val="21"/>
              </w:rPr>
            </w:pPr>
            <w:r>
              <w:rPr>
                <w:color w:val="auto"/>
                <w:szCs w:val="21"/>
              </w:rPr>
              <w:t>0</w:t>
            </w:r>
          </w:p>
        </w:tc>
        <w:tc>
          <w:tcPr>
            <w:tcW w:w="1639" w:type="dxa"/>
            <w:vAlign w:val="center"/>
          </w:tcPr>
          <w:p w14:paraId="0F69E933">
            <w:pPr>
              <w:keepNext/>
              <w:adjustRightInd w:val="0"/>
              <w:snapToGrid w:val="0"/>
              <w:jc w:val="center"/>
              <w:rPr>
                <w:color w:val="auto"/>
                <w:kern w:val="0"/>
                <w:szCs w:val="21"/>
              </w:rPr>
            </w:pPr>
            <w:r>
              <w:rPr>
                <w:rFonts w:hint="eastAsia"/>
                <w:color w:val="auto"/>
                <w:kern w:val="0"/>
                <w:szCs w:val="21"/>
              </w:rPr>
              <w:t>19.76</w:t>
            </w:r>
            <w:r>
              <w:rPr>
                <w:rFonts w:hint="eastAsia"/>
                <w:color w:val="auto"/>
                <w:szCs w:val="21"/>
              </w:rPr>
              <w:t>t/a</w:t>
            </w:r>
          </w:p>
        </w:tc>
        <w:tc>
          <w:tcPr>
            <w:tcW w:w="1237" w:type="dxa"/>
            <w:vAlign w:val="center"/>
          </w:tcPr>
          <w:p w14:paraId="6D2415F4">
            <w:pPr>
              <w:keepNext/>
              <w:adjustRightInd w:val="0"/>
              <w:snapToGrid w:val="0"/>
              <w:jc w:val="center"/>
              <w:rPr>
                <w:color w:val="auto"/>
                <w:kern w:val="0"/>
                <w:szCs w:val="21"/>
              </w:rPr>
            </w:pPr>
            <w:r>
              <w:rPr>
                <w:rFonts w:hint="eastAsia"/>
                <w:color w:val="auto"/>
                <w:kern w:val="0"/>
                <w:szCs w:val="21"/>
              </w:rPr>
              <w:t>+19.76</w:t>
            </w:r>
            <w:r>
              <w:rPr>
                <w:rFonts w:hint="eastAsia"/>
                <w:color w:val="auto"/>
                <w:szCs w:val="21"/>
              </w:rPr>
              <w:t>t/a</w:t>
            </w:r>
          </w:p>
        </w:tc>
      </w:tr>
      <w:tr w14:paraId="242AA7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Merge w:val="continue"/>
            <w:vAlign w:val="center"/>
          </w:tcPr>
          <w:p w14:paraId="5336AD53">
            <w:pPr>
              <w:pStyle w:val="70"/>
              <w:spacing w:beforeLines="0" w:afterLines="0" w:line="240" w:lineRule="auto"/>
              <w:ind w:firstLine="0"/>
              <w:rPr>
                <w:rFonts w:ascii="Times New Roman"/>
                <w:snapToGrid w:val="0"/>
                <w:color w:val="auto"/>
                <w:kern w:val="21"/>
                <w:sz w:val="21"/>
                <w:szCs w:val="21"/>
              </w:rPr>
            </w:pPr>
          </w:p>
        </w:tc>
        <w:tc>
          <w:tcPr>
            <w:tcW w:w="1984" w:type="dxa"/>
            <w:vAlign w:val="center"/>
          </w:tcPr>
          <w:p w14:paraId="73A42802">
            <w:pPr>
              <w:keepNext/>
              <w:adjustRightInd w:val="0"/>
              <w:snapToGrid w:val="0"/>
              <w:jc w:val="center"/>
              <w:rPr>
                <w:color w:val="auto"/>
                <w:kern w:val="0"/>
                <w:szCs w:val="21"/>
              </w:rPr>
            </w:pPr>
            <w:r>
              <w:rPr>
                <w:rFonts w:hint="eastAsia"/>
                <w:color w:val="auto"/>
                <w:kern w:val="0"/>
                <w:szCs w:val="21"/>
              </w:rPr>
              <w:t>废漆渣</w:t>
            </w:r>
          </w:p>
        </w:tc>
        <w:tc>
          <w:tcPr>
            <w:tcW w:w="1701" w:type="dxa"/>
            <w:vAlign w:val="center"/>
          </w:tcPr>
          <w:p w14:paraId="7B9FD347">
            <w:pPr>
              <w:adjustRightInd w:val="0"/>
              <w:snapToGrid w:val="0"/>
              <w:jc w:val="center"/>
              <w:rPr>
                <w:snapToGrid w:val="0"/>
                <w:color w:val="auto"/>
                <w:kern w:val="21"/>
                <w:szCs w:val="21"/>
              </w:rPr>
            </w:pPr>
            <w:r>
              <w:rPr>
                <w:color w:val="auto"/>
                <w:szCs w:val="21"/>
              </w:rPr>
              <w:t>0</w:t>
            </w:r>
          </w:p>
        </w:tc>
        <w:tc>
          <w:tcPr>
            <w:tcW w:w="1276" w:type="dxa"/>
            <w:vAlign w:val="center"/>
          </w:tcPr>
          <w:p w14:paraId="3D79430E">
            <w:pPr>
              <w:jc w:val="center"/>
              <w:rPr>
                <w:snapToGrid w:val="0"/>
                <w:color w:val="auto"/>
                <w:kern w:val="21"/>
                <w:szCs w:val="21"/>
              </w:rPr>
            </w:pPr>
            <w:r>
              <w:rPr>
                <w:color w:val="auto"/>
                <w:szCs w:val="21"/>
              </w:rPr>
              <w:t>0</w:t>
            </w:r>
          </w:p>
        </w:tc>
        <w:tc>
          <w:tcPr>
            <w:tcW w:w="1701" w:type="dxa"/>
            <w:vAlign w:val="center"/>
          </w:tcPr>
          <w:p w14:paraId="700E3817">
            <w:pPr>
              <w:adjustRightInd w:val="0"/>
              <w:snapToGrid w:val="0"/>
              <w:jc w:val="center"/>
              <w:rPr>
                <w:snapToGrid w:val="0"/>
                <w:color w:val="auto"/>
                <w:kern w:val="21"/>
                <w:szCs w:val="21"/>
              </w:rPr>
            </w:pPr>
            <w:r>
              <w:rPr>
                <w:color w:val="auto"/>
                <w:szCs w:val="21"/>
              </w:rPr>
              <w:t>0</w:t>
            </w:r>
          </w:p>
        </w:tc>
        <w:tc>
          <w:tcPr>
            <w:tcW w:w="1559" w:type="dxa"/>
            <w:vAlign w:val="center"/>
          </w:tcPr>
          <w:p w14:paraId="6C8AB98C">
            <w:pPr>
              <w:keepNext/>
              <w:adjustRightInd w:val="0"/>
              <w:snapToGrid w:val="0"/>
              <w:jc w:val="center"/>
              <w:rPr>
                <w:color w:val="auto"/>
                <w:kern w:val="0"/>
                <w:szCs w:val="21"/>
              </w:rPr>
            </w:pPr>
            <w:r>
              <w:rPr>
                <w:rFonts w:hint="eastAsia"/>
                <w:color w:val="auto"/>
                <w:kern w:val="0"/>
                <w:szCs w:val="21"/>
              </w:rPr>
              <w:t>0.5</w:t>
            </w:r>
            <w:r>
              <w:rPr>
                <w:rFonts w:hint="eastAsia"/>
                <w:color w:val="auto"/>
                <w:szCs w:val="21"/>
              </w:rPr>
              <w:t>t/a</w:t>
            </w:r>
          </w:p>
        </w:tc>
        <w:tc>
          <w:tcPr>
            <w:tcW w:w="1761" w:type="dxa"/>
            <w:vAlign w:val="center"/>
          </w:tcPr>
          <w:p w14:paraId="20FD1EFB">
            <w:pPr>
              <w:adjustRightInd w:val="0"/>
              <w:snapToGrid w:val="0"/>
              <w:jc w:val="center"/>
              <w:rPr>
                <w:snapToGrid w:val="0"/>
                <w:color w:val="auto"/>
                <w:kern w:val="21"/>
                <w:szCs w:val="21"/>
              </w:rPr>
            </w:pPr>
            <w:r>
              <w:rPr>
                <w:color w:val="auto"/>
                <w:szCs w:val="21"/>
              </w:rPr>
              <w:t>0</w:t>
            </w:r>
          </w:p>
        </w:tc>
        <w:tc>
          <w:tcPr>
            <w:tcW w:w="1639" w:type="dxa"/>
            <w:vAlign w:val="center"/>
          </w:tcPr>
          <w:p w14:paraId="299A450C">
            <w:pPr>
              <w:keepNext/>
              <w:adjustRightInd w:val="0"/>
              <w:snapToGrid w:val="0"/>
              <w:jc w:val="center"/>
              <w:rPr>
                <w:color w:val="auto"/>
                <w:kern w:val="0"/>
                <w:szCs w:val="21"/>
              </w:rPr>
            </w:pPr>
            <w:r>
              <w:rPr>
                <w:rFonts w:hint="eastAsia"/>
                <w:color w:val="auto"/>
                <w:kern w:val="0"/>
                <w:szCs w:val="21"/>
              </w:rPr>
              <w:t>0.5</w:t>
            </w:r>
            <w:r>
              <w:rPr>
                <w:rFonts w:hint="eastAsia"/>
                <w:color w:val="auto"/>
                <w:szCs w:val="21"/>
              </w:rPr>
              <w:t>t/a</w:t>
            </w:r>
          </w:p>
        </w:tc>
        <w:tc>
          <w:tcPr>
            <w:tcW w:w="1237" w:type="dxa"/>
            <w:vAlign w:val="center"/>
          </w:tcPr>
          <w:p w14:paraId="1E57AA3D">
            <w:pPr>
              <w:keepNext/>
              <w:adjustRightInd w:val="0"/>
              <w:snapToGrid w:val="0"/>
              <w:jc w:val="center"/>
              <w:rPr>
                <w:color w:val="auto"/>
                <w:kern w:val="0"/>
                <w:szCs w:val="21"/>
              </w:rPr>
            </w:pPr>
            <w:r>
              <w:rPr>
                <w:rFonts w:hint="eastAsia"/>
                <w:color w:val="auto"/>
                <w:kern w:val="0"/>
                <w:szCs w:val="21"/>
              </w:rPr>
              <w:t>+0.5</w:t>
            </w:r>
            <w:r>
              <w:rPr>
                <w:rFonts w:hint="eastAsia"/>
                <w:color w:val="auto"/>
                <w:szCs w:val="21"/>
              </w:rPr>
              <w:t>t/a</w:t>
            </w:r>
          </w:p>
        </w:tc>
      </w:tr>
      <w:tr w14:paraId="11B55F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191" w:type="dxa"/>
            <w:vAlign w:val="center"/>
          </w:tcPr>
          <w:p w14:paraId="136B7BD6">
            <w:pPr>
              <w:pStyle w:val="70"/>
              <w:spacing w:beforeLines="0" w:afterLines="0" w:line="240" w:lineRule="auto"/>
              <w:ind w:firstLine="0"/>
              <w:rPr>
                <w:rFonts w:ascii="Times New Roman"/>
                <w:snapToGrid w:val="0"/>
                <w:color w:val="auto"/>
                <w:kern w:val="21"/>
                <w:sz w:val="21"/>
                <w:szCs w:val="21"/>
              </w:rPr>
            </w:pPr>
            <w:r>
              <w:rPr>
                <w:rFonts w:hint="eastAsia" w:ascii="Times New Roman"/>
                <w:snapToGrid w:val="0"/>
                <w:color w:val="auto"/>
                <w:kern w:val="21"/>
                <w:sz w:val="21"/>
                <w:szCs w:val="21"/>
              </w:rPr>
              <w:t>生活垃圾</w:t>
            </w:r>
          </w:p>
        </w:tc>
        <w:tc>
          <w:tcPr>
            <w:tcW w:w="1984" w:type="dxa"/>
            <w:vAlign w:val="center"/>
          </w:tcPr>
          <w:p w14:paraId="1D7A7485">
            <w:pPr>
              <w:adjustRightInd w:val="0"/>
              <w:snapToGrid w:val="0"/>
              <w:jc w:val="center"/>
              <w:rPr>
                <w:color w:val="auto"/>
                <w:szCs w:val="21"/>
                <w:lang w:bidi="ar"/>
              </w:rPr>
            </w:pPr>
            <w:r>
              <w:rPr>
                <w:color w:val="auto"/>
                <w:szCs w:val="21"/>
                <w:lang w:bidi="ar"/>
              </w:rPr>
              <w:t>员工生活垃圾</w:t>
            </w:r>
          </w:p>
        </w:tc>
        <w:tc>
          <w:tcPr>
            <w:tcW w:w="1701" w:type="dxa"/>
            <w:vAlign w:val="center"/>
          </w:tcPr>
          <w:p w14:paraId="7DD4D97F">
            <w:pPr>
              <w:adjustRightInd w:val="0"/>
              <w:snapToGrid w:val="0"/>
              <w:jc w:val="center"/>
              <w:rPr>
                <w:snapToGrid w:val="0"/>
                <w:color w:val="auto"/>
                <w:kern w:val="21"/>
                <w:szCs w:val="21"/>
              </w:rPr>
            </w:pPr>
            <w:r>
              <w:rPr>
                <w:color w:val="auto"/>
                <w:szCs w:val="21"/>
              </w:rPr>
              <w:t>0</w:t>
            </w:r>
          </w:p>
        </w:tc>
        <w:tc>
          <w:tcPr>
            <w:tcW w:w="1276" w:type="dxa"/>
            <w:vAlign w:val="center"/>
          </w:tcPr>
          <w:p w14:paraId="69A8CC67">
            <w:pPr>
              <w:jc w:val="center"/>
              <w:rPr>
                <w:snapToGrid w:val="0"/>
                <w:color w:val="auto"/>
                <w:kern w:val="21"/>
                <w:szCs w:val="21"/>
              </w:rPr>
            </w:pPr>
            <w:r>
              <w:rPr>
                <w:color w:val="auto"/>
                <w:szCs w:val="21"/>
              </w:rPr>
              <w:t>0</w:t>
            </w:r>
          </w:p>
        </w:tc>
        <w:tc>
          <w:tcPr>
            <w:tcW w:w="1701" w:type="dxa"/>
            <w:vAlign w:val="center"/>
          </w:tcPr>
          <w:p w14:paraId="0BB68195">
            <w:pPr>
              <w:adjustRightInd w:val="0"/>
              <w:snapToGrid w:val="0"/>
              <w:jc w:val="center"/>
              <w:rPr>
                <w:snapToGrid w:val="0"/>
                <w:color w:val="auto"/>
                <w:kern w:val="21"/>
                <w:szCs w:val="21"/>
              </w:rPr>
            </w:pPr>
            <w:r>
              <w:rPr>
                <w:color w:val="auto"/>
                <w:szCs w:val="21"/>
              </w:rPr>
              <w:t>0</w:t>
            </w:r>
          </w:p>
        </w:tc>
        <w:tc>
          <w:tcPr>
            <w:tcW w:w="1559" w:type="dxa"/>
            <w:vAlign w:val="center"/>
          </w:tcPr>
          <w:p w14:paraId="7395F5C3">
            <w:pPr>
              <w:adjustRightInd w:val="0"/>
              <w:snapToGrid w:val="0"/>
              <w:jc w:val="center"/>
              <w:rPr>
                <w:bCs/>
                <w:color w:val="auto"/>
                <w:szCs w:val="21"/>
              </w:rPr>
            </w:pPr>
            <w:r>
              <w:rPr>
                <w:rFonts w:hint="eastAsia"/>
                <w:bCs/>
                <w:color w:val="auto"/>
                <w:szCs w:val="21"/>
              </w:rPr>
              <w:t>7.5</w:t>
            </w:r>
            <w:r>
              <w:rPr>
                <w:rFonts w:hint="eastAsia"/>
                <w:color w:val="auto"/>
                <w:szCs w:val="21"/>
              </w:rPr>
              <w:t>t/a</w:t>
            </w:r>
          </w:p>
        </w:tc>
        <w:tc>
          <w:tcPr>
            <w:tcW w:w="1761" w:type="dxa"/>
            <w:vAlign w:val="center"/>
          </w:tcPr>
          <w:p w14:paraId="5B02225D">
            <w:pPr>
              <w:adjustRightInd w:val="0"/>
              <w:snapToGrid w:val="0"/>
              <w:jc w:val="center"/>
              <w:rPr>
                <w:snapToGrid w:val="0"/>
                <w:color w:val="auto"/>
                <w:kern w:val="21"/>
                <w:szCs w:val="21"/>
              </w:rPr>
            </w:pPr>
            <w:r>
              <w:rPr>
                <w:color w:val="auto"/>
                <w:szCs w:val="21"/>
              </w:rPr>
              <w:t>0</w:t>
            </w:r>
          </w:p>
        </w:tc>
        <w:tc>
          <w:tcPr>
            <w:tcW w:w="1639" w:type="dxa"/>
            <w:vAlign w:val="center"/>
          </w:tcPr>
          <w:p w14:paraId="7BED329B">
            <w:pPr>
              <w:adjustRightInd w:val="0"/>
              <w:snapToGrid w:val="0"/>
              <w:jc w:val="center"/>
              <w:rPr>
                <w:bCs/>
                <w:color w:val="auto"/>
                <w:szCs w:val="21"/>
              </w:rPr>
            </w:pPr>
            <w:r>
              <w:rPr>
                <w:rFonts w:hint="eastAsia"/>
                <w:bCs/>
                <w:color w:val="auto"/>
                <w:szCs w:val="21"/>
              </w:rPr>
              <w:t>7.5</w:t>
            </w:r>
            <w:r>
              <w:rPr>
                <w:rFonts w:hint="eastAsia"/>
                <w:color w:val="auto"/>
                <w:szCs w:val="21"/>
              </w:rPr>
              <w:t>t/a</w:t>
            </w:r>
          </w:p>
        </w:tc>
        <w:tc>
          <w:tcPr>
            <w:tcW w:w="1237" w:type="dxa"/>
            <w:vAlign w:val="center"/>
          </w:tcPr>
          <w:p w14:paraId="55BB68EE">
            <w:pPr>
              <w:adjustRightInd w:val="0"/>
              <w:snapToGrid w:val="0"/>
              <w:jc w:val="center"/>
              <w:rPr>
                <w:bCs/>
                <w:color w:val="auto"/>
                <w:szCs w:val="21"/>
              </w:rPr>
            </w:pPr>
            <w:r>
              <w:rPr>
                <w:rFonts w:hint="eastAsia"/>
                <w:bCs/>
                <w:color w:val="auto"/>
                <w:szCs w:val="21"/>
              </w:rPr>
              <w:t>+7.5</w:t>
            </w:r>
            <w:r>
              <w:rPr>
                <w:rFonts w:hint="eastAsia"/>
                <w:color w:val="auto"/>
                <w:szCs w:val="21"/>
              </w:rPr>
              <w:t>t/a</w:t>
            </w:r>
          </w:p>
        </w:tc>
      </w:tr>
    </w:tbl>
    <w:p w14:paraId="5D751772">
      <w:pPr>
        <w:pStyle w:val="70"/>
        <w:spacing w:before="192" w:beforeLines="80" w:after="24"/>
        <w:jc w:val="left"/>
        <w:rPr>
          <w:rFonts w:hint="eastAsia"/>
          <w:lang w:val="en-US" w:eastAsia="zh-CN"/>
        </w:rPr>
      </w:pPr>
      <w:r>
        <w:rPr>
          <w:rFonts w:ascii="Times New Roman"/>
          <w:snapToGrid w:val="0"/>
          <w:color w:val="auto"/>
          <w:kern w:val="21"/>
          <w:sz w:val="21"/>
          <w:szCs w:val="21"/>
        </w:rPr>
        <w:t>注：</w:t>
      </w:r>
      <w:r>
        <w:rPr>
          <w:rFonts w:ascii="Times New Roman"/>
          <w:snapToGrid w:val="0"/>
          <w:color w:val="auto"/>
          <w:spacing w:val="-16"/>
          <w:kern w:val="21"/>
          <w:sz w:val="21"/>
          <w:szCs w:val="21"/>
        </w:rPr>
        <w:fldChar w:fldCharType="begin"/>
      </w:r>
      <w:r>
        <w:rPr>
          <w:rFonts w:ascii="Times New Roman"/>
          <w:snapToGrid w:val="0"/>
          <w:color w:val="auto"/>
          <w:spacing w:val="-16"/>
          <w:kern w:val="21"/>
          <w:sz w:val="21"/>
          <w:szCs w:val="21"/>
        </w:rPr>
        <w:instrText xml:space="preserve"> = 6 \* GB3 \* MERGEFORMAT </w:instrText>
      </w:r>
      <w:r>
        <w:rPr>
          <w:rFonts w:ascii="Times New Roman"/>
          <w:snapToGrid w:val="0"/>
          <w:color w:val="auto"/>
          <w:spacing w:val="-16"/>
          <w:kern w:val="21"/>
          <w:sz w:val="21"/>
          <w:szCs w:val="21"/>
        </w:rPr>
        <w:fldChar w:fldCharType="separate"/>
      </w:r>
      <w:r>
        <w:rPr>
          <w:rFonts w:hint="eastAsia" w:hAnsi="宋体" w:cs="宋体"/>
          <w:color w:val="auto"/>
          <w:sz w:val="21"/>
          <w:szCs w:val="21"/>
        </w:rPr>
        <w:t>⑥</w:t>
      </w:r>
      <w:r>
        <w:rPr>
          <w:rFonts w:ascii="Times New Roman"/>
          <w:snapToGrid w:val="0"/>
          <w:color w:val="auto"/>
          <w:spacing w:val="-16"/>
          <w:kern w:val="21"/>
          <w:sz w:val="21"/>
          <w:szCs w:val="21"/>
        </w:rPr>
        <w:fldChar w:fldCharType="end"/>
      </w:r>
      <w:r>
        <w:rPr>
          <w:rFonts w:ascii="Times New Roman"/>
          <w:snapToGrid w:val="0"/>
          <w:color w:val="auto"/>
          <w:spacing w:val="-1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1 \* GB3 \* MERGEFORMAT </w:instrText>
      </w:r>
      <w:r>
        <w:rPr>
          <w:rFonts w:ascii="Times New Roman"/>
          <w:snapToGrid w:val="0"/>
          <w:color w:val="auto"/>
          <w:spacing w:val="-6"/>
          <w:kern w:val="21"/>
          <w:sz w:val="21"/>
          <w:szCs w:val="21"/>
        </w:rPr>
        <w:fldChar w:fldCharType="separate"/>
      </w:r>
      <w:r>
        <w:rPr>
          <w:rFonts w:hint="eastAsia" w:hAnsi="宋体" w:cs="宋体"/>
          <w:color w:val="auto"/>
          <w:sz w:val="21"/>
          <w:szCs w:val="21"/>
        </w:rPr>
        <w:t>①</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3 \* GB3 \* MERGEFORMAT </w:instrText>
      </w:r>
      <w:r>
        <w:rPr>
          <w:rFonts w:ascii="Times New Roman"/>
          <w:snapToGrid w:val="0"/>
          <w:color w:val="auto"/>
          <w:spacing w:val="-6"/>
          <w:kern w:val="21"/>
          <w:sz w:val="21"/>
          <w:szCs w:val="21"/>
        </w:rPr>
        <w:fldChar w:fldCharType="separate"/>
      </w:r>
      <w:r>
        <w:rPr>
          <w:rFonts w:hint="eastAsia" w:hAnsi="宋体" w:cs="宋体"/>
          <w:color w:val="auto"/>
          <w:sz w:val="21"/>
          <w:szCs w:val="21"/>
        </w:rPr>
        <w:t>③</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4 \* GB3 \* MERGEFORMAT </w:instrText>
      </w:r>
      <w:r>
        <w:rPr>
          <w:rFonts w:ascii="Times New Roman"/>
          <w:snapToGrid w:val="0"/>
          <w:color w:val="auto"/>
          <w:spacing w:val="-6"/>
          <w:kern w:val="21"/>
          <w:sz w:val="21"/>
          <w:szCs w:val="21"/>
        </w:rPr>
        <w:fldChar w:fldCharType="separate"/>
      </w:r>
      <w:r>
        <w:rPr>
          <w:rFonts w:hint="eastAsia" w:hAnsi="宋体" w:cs="宋体"/>
          <w:color w:val="auto"/>
          <w:sz w:val="21"/>
          <w:szCs w:val="21"/>
        </w:rPr>
        <w:t>④</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16"/>
          <w:kern w:val="21"/>
          <w:sz w:val="21"/>
          <w:szCs w:val="21"/>
        </w:rPr>
        <w:fldChar w:fldCharType="begin"/>
      </w:r>
      <w:r>
        <w:rPr>
          <w:rFonts w:ascii="Times New Roman"/>
          <w:snapToGrid w:val="0"/>
          <w:color w:val="auto"/>
          <w:spacing w:val="-16"/>
          <w:kern w:val="21"/>
          <w:sz w:val="21"/>
          <w:szCs w:val="21"/>
        </w:rPr>
        <w:instrText xml:space="preserve"> = 5 \* GB3 \* MERGEFORMAT </w:instrText>
      </w:r>
      <w:r>
        <w:rPr>
          <w:rFonts w:ascii="Times New Roman"/>
          <w:snapToGrid w:val="0"/>
          <w:color w:val="auto"/>
          <w:spacing w:val="-16"/>
          <w:kern w:val="21"/>
          <w:sz w:val="21"/>
          <w:szCs w:val="21"/>
        </w:rPr>
        <w:fldChar w:fldCharType="separate"/>
      </w:r>
      <w:r>
        <w:rPr>
          <w:rFonts w:hint="eastAsia" w:hAnsi="宋体" w:cs="宋体"/>
          <w:color w:val="auto"/>
          <w:sz w:val="21"/>
          <w:szCs w:val="21"/>
        </w:rPr>
        <w:t>⑤</w:t>
      </w:r>
      <w:r>
        <w:rPr>
          <w:rFonts w:ascii="Times New Roman"/>
          <w:snapToGrid w:val="0"/>
          <w:color w:val="auto"/>
          <w:spacing w:val="-16"/>
          <w:kern w:val="21"/>
          <w:sz w:val="21"/>
          <w:szCs w:val="21"/>
        </w:rPr>
        <w:fldChar w:fldCharType="end"/>
      </w:r>
      <w:r>
        <w:rPr>
          <w:rFonts w:ascii="Times New Roman"/>
          <w:snapToGrid w:val="0"/>
          <w:color w:val="auto"/>
          <w:spacing w:val="-1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7 \* GB3 \* MERGEFORMAT </w:instrText>
      </w:r>
      <w:r>
        <w:rPr>
          <w:rFonts w:ascii="Times New Roman"/>
          <w:snapToGrid w:val="0"/>
          <w:color w:val="auto"/>
          <w:spacing w:val="-6"/>
          <w:kern w:val="21"/>
          <w:sz w:val="21"/>
          <w:szCs w:val="21"/>
        </w:rPr>
        <w:fldChar w:fldCharType="separate"/>
      </w:r>
      <w:r>
        <w:rPr>
          <w:rFonts w:hint="eastAsia" w:hAnsi="宋体" w:cs="宋体"/>
          <w:color w:val="auto"/>
          <w:sz w:val="21"/>
          <w:szCs w:val="21"/>
        </w:rPr>
        <w:t>⑦</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16"/>
          <w:kern w:val="21"/>
          <w:sz w:val="21"/>
          <w:szCs w:val="21"/>
        </w:rPr>
        <w:fldChar w:fldCharType="begin"/>
      </w:r>
      <w:r>
        <w:rPr>
          <w:rFonts w:ascii="Times New Roman"/>
          <w:snapToGrid w:val="0"/>
          <w:color w:val="auto"/>
          <w:spacing w:val="-16"/>
          <w:kern w:val="21"/>
          <w:sz w:val="21"/>
          <w:szCs w:val="21"/>
        </w:rPr>
        <w:instrText xml:space="preserve"> = 6 \* GB3 \* MERGEFORMAT </w:instrText>
      </w:r>
      <w:r>
        <w:rPr>
          <w:rFonts w:ascii="Times New Roman"/>
          <w:snapToGrid w:val="0"/>
          <w:color w:val="auto"/>
          <w:spacing w:val="-16"/>
          <w:kern w:val="21"/>
          <w:sz w:val="21"/>
          <w:szCs w:val="21"/>
        </w:rPr>
        <w:fldChar w:fldCharType="separate"/>
      </w:r>
      <w:r>
        <w:rPr>
          <w:rFonts w:hint="eastAsia" w:hAnsi="宋体" w:cs="宋体"/>
          <w:color w:val="auto"/>
          <w:sz w:val="21"/>
          <w:szCs w:val="21"/>
        </w:rPr>
        <w:t>⑥</w:t>
      </w:r>
      <w:r>
        <w:rPr>
          <w:rFonts w:ascii="Times New Roman"/>
          <w:snapToGrid w:val="0"/>
          <w:color w:val="auto"/>
          <w:spacing w:val="-16"/>
          <w:kern w:val="21"/>
          <w:sz w:val="21"/>
          <w:szCs w:val="21"/>
        </w:rPr>
        <w:fldChar w:fldCharType="end"/>
      </w:r>
      <w:r>
        <w:rPr>
          <w:rFonts w:ascii="Times New Roman"/>
          <w:snapToGrid w:val="0"/>
          <w:color w:val="auto"/>
          <w:spacing w:val="-1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1 \* GB3 \* MERGEFORMAT </w:instrText>
      </w:r>
      <w:r>
        <w:rPr>
          <w:rFonts w:ascii="Times New Roman"/>
          <w:snapToGrid w:val="0"/>
          <w:color w:val="auto"/>
          <w:spacing w:val="-6"/>
          <w:kern w:val="21"/>
          <w:sz w:val="21"/>
          <w:szCs w:val="21"/>
        </w:rPr>
        <w:fldChar w:fldCharType="separate"/>
      </w:r>
      <w:r>
        <w:rPr>
          <w:rFonts w:hint="eastAsia" w:hAnsi="宋体" w:cs="宋体"/>
          <w:color w:val="auto"/>
          <w:sz w:val="21"/>
          <w:szCs w:val="21"/>
        </w:rPr>
        <w:t>①</w:t>
      </w:r>
      <w:r>
        <w:rPr>
          <w:rFonts w:ascii="Times New Roman"/>
          <w:snapToGrid w:val="0"/>
          <w:color w:val="auto"/>
          <w:spacing w:val="-6"/>
          <w:kern w:val="21"/>
          <w:sz w:val="21"/>
          <w:szCs w:val="21"/>
        </w:rPr>
        <w:fldChar w:fldCharType="end"/>
      </w:r>
    </w:p>
    <w:sectPr>
      <w:headerReference r:id="rId6" w:type="default"/>
      <w:footerReference r:id="rId7" w:type="default"/>
      <w:pgSz w:w="16838" w:h="11906" w:orient="landscape"/>
      <w:pgMar w:top="850" w:right="1361" w:bottom="850" w:left="136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36D5F84-DD71-4D4C-A561-997C75713C27}"/>
  </w:font>
  <w:font w:name="黑体">
    <w:panose1 w:val="02010609060101010101"/>
    <w:charset w:val="86"/>
    <w:family w:val="auto"/>
    <w:pitch w:val="default"/>
    <w:sig w:usb0="800002BF" w:usb1="38CF7CFA" w:usb2="00000016" w:usb3="00000000" w:csb0="00040001" w:csb1="00000000"/>
    <w:embedRegular r:id="rId2" w:fontKey="{44156ACD-E4CA-4E22-B448-09EB0FD816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38CCEAA-8D0D-48CD-99B3-4E7F0831DE55}"/>
  </w:font>
  <w:font w:name="Tahoma">
    <w:panose1 w:val="020B0604030504040204"/>
    <w:charset w:val="00"/>
    <w:family w:val="swiss"/>
    <w:pitch w:val="default"/>
    <w:sig w:usb0="E1002EFF" w:usb1="C000605B" w:usb2="00000029" w:usb3="00000000" w:csb0="200101FF" w:csb1="2028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Impact">
    <w:panose1 w:val="020B0806030902050204"/>
    <w:charset w:val="00"/>
    <w:family w:val="swiss"/>
    <w:pitch w:val="default"/>
    <w:sig w:usb0="00000287" w:usb1="00000000" w:usb2="00000000" w:usb3="00000000" w:csb0="2000009F" w:csb1="DFD70000"/>
  </w:font>
  <w:font w:name="Dutch801 Rm BT">
    <w:panose1 w:val="02020603060505020304"/>
    <w:charset w:val="00"/>
    <w:family w:val="roman"/>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embedRegular r:id="rId4" w:fontKey="{4B15E6AA-3FCD-43A2-B96D-2C836D9FC187}"/>
  </w:font>
  <w:font w:name="微软雅黑">
    <w:panose1 w:val="020B0503020204020204"/>
    <w:charset w:val="86"/>
    <w:family w:val="swiss"/>
    <w:pitch w:val="default"/>
    <w:sig w:usb0="80000287" w:usb1="2ACF3C50" w:usb2="00000016" w:usb3="00000000" w:csb0="0004001F" w:csb1="00000000"/>
    <w:embedRegular r:id="rId5" w:fontKey="{C171BDA4-952D-4DB0-ACBD-5FEEE7D56B15}"/>
  </w:font>
  <w:font w:name="CG Times (WN)">
    <w:altName w:val="Times New Roman"/>
    <w:panose1 w:val="00000000000000000000"/>
    <w:charset w:val="00"/>
    <w:family w:val="modern"/>
    <w:pitch w:val="default"/>
    <w:sig w:usb0="00000000" w:usb1="00000000" w:usb2="00000000" w:usb3="00000000" w:csb0="00000001" w:csb1="00000000"/>
  </w:font>
  <w:font w:name="Microsoft YaHei UI">
    <w:panose1 w:val="020B0503020204020204"/>
    <w:charset w:val="86"/>
    <w:family w:val="swiss"/>
    <w:pitch w:val="default"/>
    <w:sig w:usb0="80000287" w:usb1="2ACF3C50" w:usb2="00000016" w:usb3="00000000" w:csb0="0004001F" w:csb1="00000000"/>
    <w:embedRegular r:id="rId6" w:fontKey="{AA11BF97-E57B-4D6C-A0A8-23E84552D4CB}"/>
  </w:font>
  <w:font w:name="方正小标宋_GBK">
    <w:panose1 w:val="02000000000000000000"/>
    <w:charset w:val="86"/>
    <w:family w:val="script"/>
    <w:pitch w:val="default"/>
    <w:sig w:usb0="A00002BF" w:usb1="38CF7CFA" w:usb2="00082016" w:usb3="00000000" w:csb0="00040001" w:csb1="00000000"/>
    <w:embedRegular r:id="rId7" w:fontKey="{078430B9-5DA6-4506-8D37-9BA45312312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6A091">
    <w:pPr>
      <w:pStyle w:val="2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E4CAC">
    <w:pPr>
      <w:pStyle w:val="26"/>
      <w:ind w:right="360" w:firstLine="360"/>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E122F0">
                          <w:pPr>
                            <w:pStyle w:val="26"/>
                            <w:rPr>
                              <w:rStyle w:val="39"/>
                              <w:sz w:val="28"/>
                              <w:szCs w:val="28"/>
                            </w:rPr>
                          </w:pPr>
                          <w:r>
                            <w:rPr>
                              <w:rStyle w:val="39"/>
                              <w:sz w:val="28"/>
                              <w:szCs w:val="28"/>
                            </w:rPr>
                            <w:t>—</w:t>
                          </w:r>
                          <w:r>
                            <w:rPr>
                              <w:sz w:val="26"/>
                              <w:szCs w:val="26"/>
                            </w:rPr>
                            <w:fldChar w:fldCharType="begin"/>
                          </w:r>
                          <w:r>
                            <w:rPr>
                              <w:rStyle w:val="39"/>
                              <w:sz w:val="26"/>
                              <w:szCs w:val="26"/>
                            </w:rPr>
                            <w:instrText xml:space="preserve">PAGE  </w:instrText>
                          </w:r>
                          <w:r>
                            <w:rPr>
                              <w:sz w:val="26"/>
                              <w:szCs w:val="26"/>
                            </w:rPr>
                            <w:fldChar w:fldCharType="separate"/>
                          </w:r>
                          <w:r>
                            <w:rPr>
                              <w:rStyle w:val="39"/>
                              <w:sz w:val="26"/>
                              <w:szCs w:val="26"/>
                            </w:rPr>
                            <w:t>28</w:t>
                          </w:r>
                          <w:r>
                            <w:rPr>
                              <w:sz w:val="26"/>
                              <w:szCs w:val="26"/>
                            </w:rPr>
                            <w:fldChar w:fldCharType="end"/>
                          </w:r>
                          <w:r>
                            <w:rPr>
                              <w:rStyle w:val="39"/>
                              <w:sz w:val="28"/>
                              <w:szCs w:val="28"/>
                            </w:rPr>
                            <w:t>—</w:t>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BHV4QZxgEAAJIDAAAOAAAAAAAAAAEAIAAAAB4BAABkcnMvZTJvRG9jLnht&#10;bFBLBQYAAAAABgAGAFkBAABWBQAAAAA=&#10;">
              <v:fill on="f" focussize="0,0"/>
              <v:stroke on="f"/>
              <v:imagedata o:title=""/>
              <o:lock v:ext="edit" aspectratio="f"/>
              <v:textbox inset="0mm,0mm,0mm,0mm" style="mso-fit-shape-to-text:t;">
                <w:txbxContent>
                  <w:p w14:paraId="37E122F0">
                    <w:pPr>
                      <w:pStyle w:val="26"/>
                      <w:rPr>
                        <w:rStyle w:val="39"/>
                        <w:sz w:val="28"/>
                        <w:szCs w:val="28"/>
                      </w:rPr>
                    </w:pPr>
                    <w:r>
                      <w:rPr>
                        <w:rStyle w:val="39"/>
                        <w:sz w:val="28"/>
                        <w:szCs w:val="28"/>
                      </w:rPr>
                      <w:t>—</w:t>
                    </w:r>
                    <w:r>
                      <w:rPr>
                        <w:sz w:val="26"/>
                        <w:szCs w:val="26"/>
                      </w:rPr>
                      <w:fldChar w:fldCharType="begin"/>
                    </w:r>
                    <w:r>
                      <w:rPr>
                        <w:rStyle w:val="39"/>
                        <w:sz w:val="26"/>
                        <w:szCs w:val="26"/>
                      </w:rPr>
                      <w:instrText xml:space="preserve">PAGE  </w:instrText>
                    </w:r>
                    <w:r>
                      <w:rPr>
                        <w:sz w:val="26"/>
                        <w:szCs w:val="26"/>
                      </w:rPr>
                      <w:fldChar w:fldCharType="separate"/>
                    </w:r>
                    <w:r>
                      <w:rPr>
                        <w:rStyle w:val="39"/>
                        <w:sz w:val="26"/>
                        <w:szCs w:val="26"/>
                      </w:rPr>
                      <w:t>28</w:t>
                    </w:r>
                    <w:r>
                      <w:rPr>
                        <w:sz w:val="26"/>
                        <w:szCs w:val="26"/>
                      </w:rPr>
                      <w:fldChar w:fldCharType="end"/>
                    </w:r>
                    <w:r>
                      <w:rPr>
                        <w:rStyle w:val="39"/>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9802C">
    <w:pPr>
      <w:pStyle w:val="26"/>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5" name="文本框 30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D3D915">
                          <w:pPr>
                            <w:pStyle w:val="26"/>
                          </w:pPr>
                          <w:r>
                            <w:rPr>
                              <w:rFonts w:hint="eastAsia"/>
                            </w:rPr>
                            <w:fldChar w:fldCharType="begin"/>
                          </w:r>
                          <w:r>
                            <w:rPr>
                              <w:rFonts w:hint="eastAsia"/>
                            </w:rPr>
                            <w:instrText xml:space="preserve"> PAGE  \* MERGEFORMAT </w:instrText>
                          </w:r>
                          <w:r>
                            <w:rPr>
                              <w:rFonts w:hint="eastAsia"/>
                            </w:rPr>
                            <w:fldChar w:fldCharType="separate"/>
                          </w:r>
                          <w:r>
                            <w:t>231</w:t>
                          </w:r>
                          <w:r>
                            <w:rPr>
                              <w:rFonts w:hint="eastAsia"/>
                            </w:rPr>
                            <w:fldChar w:fldCharType="end"/>
                          </w:r>
                        </w:p>
                      </w:txbxContent>
                    </wps:txbx>
                    <wps:bodyPr wrap="none" lIns="0" tIns="0" rIns="0" bIns="0">
                      <a:spAutoFit/>
                    </wps:bodyPr>
                  </wps:wsp>
                </a:graphicData>
              </a:graphic>
            </wp:anchor>
          </w:drawing>
        </mc:Choice>
        <mc:Fallback>
          <w:pict>
            <v:shape id="文本框 3073"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AncRBrxgEAAJIDAAAOAAAAAAAAAAEAIAAAAB4BAABkcnMvZTJvRG9jLnht&#10;bFBLBQYAAAAABgAGAFkBAABWBQAAAAA=&#10;">
              <v:fill on="f" focussize="0,0"/>
              <v:stroke on="f"/>
              <v:imagedata o:title=""/>
              <o:lock v:ext="edit" aspectratio="f"/>
              <v:textbox inset="0mm,0mm,0mm,0mm" style="mso-fit-shape-to-text:t;">
                <w:txbxContent>
                  <w:p w14:paraId="3FD3D915">
                    <w:pPr>
                      <w:pStyle w:val="26"/>
                    </w:pPr>
                    <w:r>
                      <w:rPr>
                        <w:rFonts w:hint="eastAsia"/>
                      </w:rPr>
                      <w:fldChar w:fldCharType="begin"/>
                    </w:r>
                    <w:r>
                      <w:rPr>
                        <w:rFonts w:hint="eastAsia"/>
                      </w:rPr>
                      <w:instrText xml:space="preserve"> PAGE  \* MERGEFORMAT </w:instrText>
                    </w:r>
                    <w:r>
                      <w:rPr>
                        <w:rFonts w:hint="eastAsia"/>
                      </w:rPr>
                      <w:fldChar w:fldCharType="separate"/>
                    </w:r>
                    <w:r>
                      <w:t>231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2332F">
    <w:pPr>
      <w:pStyle w:val="2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1315E">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11A12"/>
    <w:multiLevelType w:val="multilevel"/>
    <w:tmpl w:val="91B11A12"/>
    <w:lvl w:ilvl="0" w:tentative="0">
      <w:start w:val="3"/>
      <w:numFmt w:val="decimal"/>
      <w:lvlText w:val="%1."/>
      <w:lvlJc w:val="left"/>
      <w:pPr>
        <w:ind w:left="425" w:hanging="425"/>
      </w:pPr>
      <w:rPr>
        <w:rFonts w:hint="default" w:ascii="Times New Roman" w:hAnsi="Times New Roman" w:eastAsia="宋体" w:cs="Times New Roman"/>
        <w:sz w:val="21"/>
      </w:rPr>
    </w:lvl>
    <w:lvl w:ilvl="1" w:tentative="0">
      <w:start w:val="1"/>
      <w:numFmt w:val="decimal"/>
      <w:lvlText w:val="%1.%2"/>
      <w:lvlJc w:val="left"/>
      <w:pPr>
        <w:tabs>
          <w:tab w:val="left" w:pos="0"/>
        </w:tabs>
        <w:ind w:left="420" w:hanging="420"/>
      </w:pPr>
      <w:rPr>
        <w:rFonts w:hint="default" w:ascii="宋体" w:hAnsi="宋体" w:eastAsia="宋体" w:cs="宋体"/>
        <w:sz w:val="21"/>
      </w:rPr>
    </w:lvl>
    <w:lvl w:ilvl="2" w:tentative="0">
      <w:start w:val="1"/>
      <w:numFmt w:val="decimal"/>
      <w:pStyle w:val="4"/>
      <w:lvlText w:val="%1.%2.%3"/>
      <w:lvlJc w:val="left"/>
      <w:pPr>
        <w:ind w:left="709" w:hanging="709"/>
      </w:pPr>
      <w:rPr>
        <w:rFonts w:hint="default" w:ascii="Times New Roman" w:hAnsi="Times New Roman" w:eastAsia="宋体" w:cs="Times New Roman"/>
        <w:sz w:val="21"/>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91EFAEB9"/>
    <w:multiLevelType w:val="singleLevel"/>
    <w:tmpl w:val="91EFAEB9"/>
    <w:lvl w:ilvl="0" w:tentative="0">
      <w:start w:val="1"/>
      <w:numFmt w:val="chineseCounting"/>
      <w:suff w:val="nothing"/>
      <w:lvlText w:val="%1、"/>
      <w:lvlJc w:val="left"/>
      <w:rPr>
        <w:rFonts w:hint="eastAsia"/>
      </w:rPr>
    </w:lvl>
  </w:abstractNum>
  <w:abstractNum w:abstractNumId="2">
    <w:nsid w:val="9B2C60A8"/>
    <w:multiLevelType w:val="multilevel"/>
    <w:tmpl w:val="9B2C60A8"/>
    <w:lvl w:ilvl="0" w:tentative="0">
      <w:start w:val="1"/>
      <w:numFmt w:val="decimal"/>
      <w:lvlText w:val="表2-%1"/>
      <w:lvlJc w:val="left"/>
      <w:pPr>
        <w:ind w:left="420" w:hanging="420"/>
      </w:pPr>
      <w:rPr>
        <w:rFonts w:hint="default" w:ascii="Times New Roman" w:hAnsi="Times New Roman" w:eastAsia="宋体" w:cs="宋体"/>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D8E6E32"/>
    <w:multiLevelType w:val="singleLevel"/>
    <w:tmpl w:val="AD8E6E32"/>
    <w:lvl w:ilvl="0" w:tentative="0">
      <w:start w:val="1"/>
      <w:numFmt w:val="decimal"/>
      <w:suff w:val="nothing"/>
      <w:lvlText w:val="%1、"/>
      <w:lvlJc w:val="left"/>
    </w:lvl>
  </w:abstractNum>
  <w:abstractNum w:abstractNumId="4">
    <w:nsid w:val="B4F21286"/>
    <w:multiLevelType w:val="singleLevel"/>
    <w:tmpl w:val="B4F21286"/>
    <w:lvl w:ilvl="0" w:tentative="0">
      <w:start w:val="2"/>
      <w:numFmt w:val="chineseCounting"/>
      <w:suff w:val="nothing"/>
      <w:lvlText w:val="%1、"/>
      <w:lvlJc w:val="left"/>
      <w:rPr>
        <w:rFonts w:hint="eastAsia"/>
      </w:rPr>
    </w:lvl>
  </w:abstractNum>
  <w:abstractNum w:abstractNumId="5">
    <w:nsid w:val="E1B91A3E"/>
    <w:multiLevelType w:val="singleLevel"/>
    <w:tmpl w:val="E1B91A3E"/>
    <w:lvl w:ilvl="0" w:tentative="0">
      <w:start w:val="1"/>
      <w:numFmt w:val="decimal"/>
      <w:suff w:val="nothing"/>
      <w:lvlText w:val="（%1）"/>
      <w:lvlJc w:val="left"/>
    </w:lvl>
  </w:abstractNum>
  <w:abstractNum w:abstractNumId="6">
    <w:nsid w:val="F50E8F46"/>
    <w:multiLevelType w:val="singleLevel"/>
    <w:tmpl w:val="F50E8F46"/>
    <w:lvl w:ilvl="0" w:tentative="0">
      <w:start w:val="67"/>
      <w:numFmt w:val="decimal"/>
      <w:suff w:val="nothing"/>
      <w:lvlText w:val="%1、"/>
      <w:lvlJc w:val="left"/>
    </w:lvl>
  </w:abstractNum>
  <w:abstractNum w:abstractNumId="7">
    <w:nsid w:val="F7ADDA16"/>
    <w:multiLevelType w:val="singleLevel"/>
    <w:tmpl w:val="F7ADDA16"/>
    <w:lvl w:ilvl="0" w:tentative="0">
      <w:start w:val="1"/>
      <w:numFmt w:val="decimal"/>
      <w:suff w:val="nothing"/>
      <w:lvlText w:val="表3-%1"/>
      <w:lvlJc w:val="left"/>
      <w:pPr>
        <w:ind w:left="0" w:firstLine="403"/>
      </w:pPr>
      <w:rPr>
        <w:rFonts w:hint="default" w:ascii="Times New Roman" w:hAnsi="Times New Roman" w:cs="Times New Roman"/>
        <w:b/>
        <w:bCs/>
        <w:sz w:val="21"/>
        <w:szCs w:val="21"/>
      </w:rPr>
    </w:lvl>
  </w:abstractNum>
  <w:abstractNum w:abstractNumId="8">
    <w:nsid w:val="02298143"/>
    <w:multiLevelType w:val="singleLevel"/>
    <w:tmpl w:val="02298143"/>
    <w:lvl w:ilvl="0" w:tentative="0">
      <w:start w:val="76"/>
      <w:numFmt w:val="decimal"/>
      <w:suff w:val="nothing"/>
      <w:lvlText w:val="%1、"/>
      <w:lvlJc w:val="left"/>
    </w:lvl>
  </w:abstractNum>
  <w:abstractNum w:abstractNumId="9">
    <w:nsid w:val="0AEA86C3"/>
    <w:multiLevelType w:val="singleLevel"/>
    <w:tmpl w:val="0AEA86C3"/>
    <w:lvl w:ilvl="0" w:tentative="0">
      <w:start w:val="2"/>
      <w:numFmt w:val="decimal"/>
      <w:suff w:val="nothing"/>
      <w:lvlText w:val="%1、"/>
      <w:lvlJc w:val="left"/>
      <w:pPr>
        <w:ind w:left="420" w:firstLine="0"/>
      </w:pPr>
    </w:lvl>
  </w:abstractNum>
  <w:abstractNum w:abstractNumId="10">
    <w:nsid w:val="1020878F"/>
    <w:multiLevelType w:val="singleLevel"/>
    <w:tmpl w:val="1020878F"/>
    <w:lvl w:ilvl="0" w:tentative="0">
      <w:start w:val="1"/>
      <w:numFmt w:val="decimal"/>
      <w:suff w:val="nothing"/>
      <w:lvlText w:val="（%1）"/>
      <w:lvlJc w:val="left"/>
    </w:lvl>
  </w:abstractNum>
  <w:abstractNum w:abstractNumId="11">
    <w:nsid w:val="1C730107"/>
    <w:multiLevelType w:val="singleLevel"/>
    <w:tmpl w:val="1C730107"/>
    <w:lvl w:ilvl="0" w:tentative="0">
      <w:start w:val="2"/>
      <w:numFmt w:val="decimal"/>
      <w:suff w:val="nothing"/>
      <w:lvlText w:val="%1、"/>
      <w:lvlJc w:val="left"/>
    </w:lvl>
  </w:abstractNum>
  <w:abstractNum w:abstractNumId="12">
    <w:nsid w:val="2541D832"/>
    <w:multiLevelType w:val="singleLevel"/>
    <w:tmpl w:val="2541D832"/>
    <w:lvl w:ilvl="0" w:tentative="0">
      <w:start w:val="1"/>
      <w:numFmt w:val="decimal"/>
      <w:lvlText w:val="%1."/>
      <w:lvlJc w:val="left"/>
      <w:pPr>
        <w:tabs>
          <w:tab w:val="left" w:pos="312"/>
        </w:tabs>
      </w:pPr>
    </w:lvl>
  </w:abstractNum>
  <w:abstractNum w:abstractNumId="13">
    <w:nsid w:val="35886077"/>
    <w:multiLevelType w:val="singleLevel"/>
    <w:tmpl w:val="35886077"/>
    <w:lvl w:ilvl="0" w:tentative="0">
      <w:start w:val="1"/>
      <w:numFmt w:val="chineseCounting"/>
      <w:suff w:val="nothing"/>
      <w:lvlText w:val="%1、"/>
      <w:lvlJc w:val="left"/>
      <w:rPr>
        <w:rFonts w:hint="eastAsia"/>
        <w:lang w:val="en-US"/>
      </w:rPr>
    </w:lvl>
  </w:abstractNum>
  <w:abstractNum w:abstractNumId="14">
    <w:nsid w:val="3CFC6EDE"/>
    <w:multiLevelType w:val="singleLevel"/>
    <w:tmpl w:val="3CFC6EDE"/>
    <w:lvl w:ilvl="0" w:tentative="0">
      <w:start w:val="1"/>
      <w:numFmt w:val="chineseCounting"/>
      <w:suff w:val="nothing"/>
      <w:lvlText w:val="（%1）"/>
      <w:lvlJc w:val="left"/>
      <w:rPr>
        <w:rFonts w:hint="eastAsia"/>
      </w:rPr>
    </w:lvl>
  </w:abstractNum>
  <w:abstractNum w:abstractNumId="15">
    <w:nsid w:val="41D842C0"/>
    <w:multiLevelType w:val="multilevel"/>
    <w:tmpl w:val="41D842C0"/>
    <w:lvl w:ilvl="0" w:tentative="0">
      <w:start w:val="1"/>
      <w:numFmt w:val="decimal"/>
      <w:lvlText w:val="图4-%1"/>
      <w:lvlJc w:val="center"/>
      <w:pPr>
        <w:ind w:left="420" w:hanging="420"/>
      </w:pPr>
      <w:rPr>
        <w:rFonts w:hint="default" w:ascii="Times New Roman" w:hAnsi="Times New Roman" w:eastAsia="宋体" w:cs="Times New Roman"/>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BB6D82B"/>
    <w:multiLevelType w:val="singleLevel"/>
    <w:tmpl w:val="4BB6D82B"/>
    <w:lvl w:ilvl="0" w:tentative="0">
      <w:start w:val="1"/>
      <w:numFmt w:val="bullet"/>
      <w:pStyle w:val="11"/>
      <w:lvlText w:val=""/>
      <w:lvlJc w:val="left"/>
      <w:pPr>
        <w:tabs>
          <w:tab w:val="left" w:pos="780"/>
        </w:tabs>
        <w:ind w:left="780" w:hanging="360"/>
      </w:pPr>
      <w:rPr>
        <w:rFonts w:hint="default" w:ascii="Wingdings" w:hAnsi="Wingdings"/>
      </w:rPr>
    </w:lvl>
  </w:abstractNum>
  <w:abstractNum w:abstractNumId="17">
    <w:nsid w:val="533E5A1D"/>
    <w:multiLevelType w:val="singleLevel"/>
    <w:tmpl w:val="533E5A1D"/>
    <w:lvl w:ilvl="0" w:tentative="0">
      <w:start w:val="1"/>
      <w:numFmt w:val="decimal"/>
      <w:lvlText w:val="图2-%1"/>
      <w:lvlJc w:val="left"/>
      <w:pPr>
        <w:tabs>
          <w:tab w:val="left" w:pos="312"/>
        </w:tabs>
      </w:pPr>
      <w:rPr>
        <w:rFonts w:hint="default" w:ascii="Times New Roman" w:hAnsi="Times New Roman" w:eastAsia="宋体" w:cs="Times New Roman"/>
        <w:b/>
        <w:bCs/>
      </w:rPr>
    </w:lvl>
  </w:abstractNum>
  <w:abstractNum w:abstractNumId="18">
    <w:nsid w:val="66116A90"/>
    <w:multiLevelType w:val="multilevel"/>
    <w:tmpl w:val="66116A90"/>
    <w:lvl w:ilvl="0" w:tentative="0">
      <w:start w:val="1"/>
      <w:numFmt w:val="none"/>
      <w:suff w:val="nothing"/>
      <w:lvlText w:val=""/>
      <w:lvlJc w:val="left"/>
      <w:pPr>
        <w:ind w:left="0" w:firstLine="0"/>
      </w:pPr>
      <w:rPr>
        <w:rFonts w:hint="eastAsia"/>
      </w:rPr>
    </w:lvl>
    <w:lvl w:ilvl="1" w:tentative="0">
      <w:start w:val="1"/>
      <w:numFmt w:val="decimal"/>
      <w:suff w:val="space"/>
      <w:lvlText w:val="%2"/>
      <w:lvlJc w:val="left"/>
      <w:pPr>
        <w:ind w:left="426" w:firstLine="0"/>
      </w:pPr>
      <w:rPr>
        <w:rFonts w:hint="eastAsia"/>
      </w:rPr>
    </w:lvl>
    <w:lvl w:ilvl="2" w:tentative="0">
      <w:start w:val="1"/>
      <w:numFmt w:val="decimal"/>
      <w:suff w:val="space"/>
      <w:lvlText w:val="%2.%3"/>
      <w:lvlJc w:val="left"/>
      <w:pPr>
        <w:ind w:left="284" w:firstLine="0"/>
      </w:pPr>
      <w:rPr>
        <w:rFonts w:hint="eastAsia"/>
      </w:rPr>
    </w:lvl>
    <w:lvl w:ilvl="3" w:tentative="0">
      <w:start w:val="1"/>
      <w:numFmt w:val="decimal"/>
      <w:pStyle w:val="5"/>
      <w:suff w:val="space"/>
      <w:lvlText w:val="%2.%3.%4"/>
      <w:lvlJc w:val="left"/>
      <w:pPr>
        <w:ind w:left="284" w:firstLine="0"/>
      </w:pPr>
      <w:rPr>
        <w:rFonts w:hint="eastAsia"/>
      </w:rPr>
    </w:lvl>
    <w:lvl w:ilvl="4" w:tentative="0">
      <w:start w:val="1"/>
      <w:numFmt w:val="decimal"/>
      <w:suff w:val="space"/>
      <w:lvlText w:val="%2.%3.%4.%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9">
    <w:nsid w:val="6BE149DF"/>
    <w:multiLevelType w:val="singleLevel"/>
    <w:tmpl w:val="6BE149DF"/>
    <w:lvl w:ilvl="0" w:tentative="0">
      <w:start w:val="3"/>
      <w:numFmt w:val="decimal"/>
      <w:suff w:val="nothing"/>
      <w:lvlText w:val="%1）"/>
      <w:lvlJc w:val="left"/>
    </w:lvl>
  </w:abstractNum>
  <w:abstractNum w:abstractNumId="20">
    <w:nsid w:val="7632099B"/>
    <w:multiLevelType w:val="singleLevel"/>
    <w:tmpl w:val="7632099B"/>
    <w:lvl w:ilvl="0" w:tentative="0">
      <w:start w:val="5"/>
      <w:numFmt w:val="chineseCounting"/>
      <w:suff w:val="nothing"/>
      <w:lvlText w:val="%1、"/>
      <w:lvlJc w:val="left"/>
      <w:rPr>
        <w:rFonts w:hint="eastAsia"/>
      </w:rPr>
    </w:lvl>
  </w:abstractNum>
  <w:abstractNum w:abstractNumId="21">
    <w:nsid w:val="779C79CE"/>
    <w:multiLevelType w:val="multilevel"/>
    <w:tmpl w:val="779C79CE"/>
    <w:lvl w:ilvl="0" w:tentative="0">
      <w:start w:val="1"/>
      <w:numFmt w:val="decimal"/>
      <w:lvlText w:val="表4-%1"/>
      <w:lvlJc w:val="left"/>
      <w:pPr>
        <w:ind w:left="420" w:hanging="420"/>
      </w:pPr>
      <w:rPr>
        <w:rFonts w:hint="default" w:ascii="Times New Roman" w:hAnsi="Times New Roman" w:cs="Times New Roman"/>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8"/>
  </w:num>
  <w:num w:numId="3">
    <w:abstractNumId w:val="16"/>
  </w:num>
  <w:num w:numId="4">
    <w:abstractNumId w:val="6"/>
  </w:num>
  <w:num w:numId="5">
    <w:abstractNumId w:val="8"/>
  </w:num>
  <w:num w:numId="6">
    <w:abstractNumId w:val="14"/>
  </w:num>
  <w:num w:numId="7">
    <w:abstractNumId w:val="20"/>
  </w:num>
  <w:num w:numId="8">
    <w:abstractNumId w:val="4"/>
  </w:num>
  <w:num w:numId="9">
    <w:abstractNumId w:val="13"/>
  </w:num>
  <w:num w:numId="10">
    <w:abstractNumId w:val="2"/>
  </w:num>
  <w:num w:numId="11">
    <w:abstractNumId w:val="10"/>
  </w:num>
  <w:num w:numId="12">
    <w:abstractNumId w:val="17"/>
  </w:num>
  <w:num w:numId="13">
    <w:abstractNumId w:val="12"/>
  </w:num>
  <w:num w:numId="14">
    <w:abstractNumId w:val="9"/>
  </w:num>
  <w:num w:numId="15">
    <w:abstractNumId w:val="5"/>
  </w:num>
  <w:num w:numId="16">
    <w:abstractNumId w:val="1"/>
  </w:num>
  <w:num w:numId="17">
    <w:abstractNumId w:val="7"/>
  </w:num>
  <w:num w:numId="18">
    <w:abstractNumId w:val="21"/>
  </w:num>
  <w:num w:numId="19">
    <w:abstractNumId w:val="15"/>
  </w:num>
  <w:num w:numId="20">
    <w:abstractNumId w:val="19"/>
  </w:num>
  <w:num w:numId="21">
    <w:abstractNumId w:val="3"/>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E1ZjU0ZWQwZmMyZDRkMGZlOGU2NmI5ZmI4MzI1MjkifQ=="/>
  </w:docVars>
  <w:rsids>
    <w:rsidRoot w:val="00172A27"/>
    <w:rsid w:val="0000018B"/>
    <w:rsid w:val="00000F3D"/>
    <w:rsid w:val="00001BC4"/>
    <w:rsid w:val="0000402A"/>
    <w:rsid w:val="000043BE"/>
    <w:rsid w:val="00004747"/>
    <w:rsid w:val="00005C6E"/>
    <w:rsid w:val="000060B3"/>
    <w:rsid w:val="00006C03"/>
    <w:rsid w:val="000103A7"/>
    <w:rsid w:val="000115BE"/>
    <w:rsid w:val="0001238A"/>
    <w:rsid w:val="000248F3"/>
    <w:rsid w:val="00032079"/>
    <w:rsid w:val="000350F1"/>
    <w:rsid w:val="00035911"/>
    <w:rsid w:val="00037C51"/>
    <w:rsid w:val="00041592"/>
    <w:rsid w:val="0004364B"/>
    <w:rsid w:val="00043D45"/>
    <w:rsid w:val="00043D80"/>
    <w:rsid w:val="00044F75"/>
    <w:rsid w:val="00046307"/>
    <w:rsid w:val="00050AF3"/>
    <w:rsid w:val="0005204B"/>
    <w:rsid w:val="00053E56"/>
    <w:rsid w:val="000546B7"/>
    <w:rsid w:val="0006022C"/>
    <w:rsid w:val="00060D86"/>
    <w:rsid w:val="00061B1F"/>
    <w:rsid w:val="00062DAB"/>
    <w:rsid w:val="00063EF4"/>
    <w:rsid w:val="00064B7A"/>
    <w:rsid w:val="00067617"/>
    <w:rsid w:val="00067D49"/>
    <w:rsid w:val="00072BE5"/>
    <w:rsid w:val="000733C4"/>
    <w:rsid w:val="00073B4D"/>
    <w:rsid w:val="00074783"/>
    <w:rsid w:val="00075512"/>
    <w:rsid w:val="000757F5"/>
    <w:rsid w:val="00077047"/>
    <w:rsid w:val="0008070B"/>
    <w:rsid w:val="00080909"/>
    <w:rsid w:val="000810AC"/>
    <w:rsid w:val="00081A02"/>
    <w:rsid w:val="00082231"/>
    <w:rsid w:val="000844B3"/>
    <w:rsid w:val="0008470E"/>
    <w:rsid w:val="0008656D"/>
    <w:rsid w:val="000874F6"/>
    <w:rsid w:val="0009048E"/>
    <w:rsid w:val="00091647"/>
    <w:rsid w:val="000916C3"/>
    <w:rsid w:val="00092100"/>
    <w:rsid w:val="00092D38"/>
    <w:rsid w:val="0009377B"/>
    <w:rsid w:val="000939EB"/>
    <w:rsid w:val="00093F4B"/>
    <w:rsid w:val="000948C9"/>
    <w:rsid w:val="000955AD"/>
    <w:rsid w:val="00095A32"/>
    <w:rsid w:val="00097F72"/>
    <w:rsid w:val="000A20C9"/>
    <w:rsid w:val="000A25B1"/>
    <w:rsid w:val="000A5F49"/>
    <w:rsid w:val="000A6EF5"/>
    <w:rsid w:val="000A7200"/>
    <w:rsid w:val="000B058F"/>
    <w:rsid w:val="000B4467"/>
    <w:rsid w:val="000B4DB9"/>
    <w:rsid w:val="000B5A0D"/>
    <w:rsid w:val="000B667A"/>
    <w:rsid w:val="000B749D"/>
    <w:rsid w:val="000C09AC"/>
    <w:rsid w:val="000C1C1F"/>
    <w:rsid w:val="000C61F2"/>
    <w:rsid w:val="000C68D7"/>
    <w:rsid w:val="000C767F"/>
    <w:rsid w:val="000D0034"/>
    <w:rsid w:val="000D331B"/>
    <w:rsid w:val="000D4EB9"/>
    <w:rsid w:val="000D5A44"/>
    <w:rsid w:val="000D6106"/>
    <w:rsid w:val="000D62D0"/>
    <w:rsid w:val="000D7D75"/>
    <w:rsid w:val="000D7EA0"/>
    <w:rsid w:val="000E0108"/>
    <w:rsid w:val="000E0887"/>
    <w:rsid w:val="000E1C5F"/>
    <w:rsid w:val="000E2478"/>
    <w:rsid w:val="000E2F80"/>
    <w:rsid w:val="000E3ED2"/>
    <w:rsid w:val="000E5741"/>
    <w:rsid w:val="000E7A39"/>
    <w:rsid w:val="000E7B7D"/>
    <w:rsid w:val="000E7D17"/>
    <w:rsid w:val="000F02D8"/>
    <w:rsid w:val="000F150B"/>
    <w:rsid w:val="000F27DB"/>
    <w:rsid w:val="000F4728"/>
    <w:rsid w:val="000F4788"/>
    <w:rsid w:val="000F653D"/>
    <w:rsid w:val="000F70D0"/>
    <w:rsid w:val="00106F16"/>
    <w:rsid w:val="00112885"/>
    <w:rsid w:val="00113BAA"/>
    <w:rsid w:val="00114BAE"/>
    <w:rsid w:val="001175C1"/>
    <w:rsid w:val="001213F3"/>
    <w:rsid w:val="00123FA8"/>
    <w:rsid w:val="00125D0B"/>
    <w:rsid w:val="00126E84"/>
    <w:rsid w:val="00127E2C"/>
    <w:rsid w:val="001309B1"/>
    <w:rsid w:val="00131F42"/>
    <w:rsid w:val="001328A3"/>
    <w:rsid w:val="00133BCF"/>
    <w:rsid w:val="001357F1"/>
    <w:rsid w:val="00137901"/>
    <w:rsid w:val="00140FA8"/>
    <w:rsid w:val="00142302"/>
    <w:rsid w:val="00142E82"/>
    <w:rsid w:val="00142FEB"/>
    <w:rsid w:val="00143A2D"/>
    <w:rsid w:val="001441E9"/>
    <w:rsid w:val="001456BD"/>
    <w:rsid w:val="00145A41"/>
    <w:rsid w:val="00151675"/>
    <w:rsid w:val="001521D6"/>
    <w:rsid w:val="00154FA4"/>
    <w:rsid w:val="00156FEF"/>
    <w:rsid w:val="00157435"/>
    <w:rsid w:val="00163D0E"/>
    <w:rsid w:val="00166068"/>
    <w:rsid w:val="00166BA3"/>
    <w:rsid w:val="00172A27"/>
    <w:rsid w:val="00173EB2"/>
    <w:rsid w:val="00174B06"/>
    <w:rsid w:val="0017504D"/>
    <w:rsid w:val="0017671A"/>
    <w:rsid w:val="00176F51"/>
    <w:rsid w:val="0017712D"/>
    <w:rsid w:val="00177422"/>
    <w:rsid w:val="001777E3"/>
    <w:rsid w:val="00181457"/>
    <w:rsid w:val="001817E6"/>
    <w:rsid w:val="00184590"/>
    <w:rsid w:val="001853E7"/>
    <w:rsid w:val="001870D1"/>
    <w:rsid w:val="0018781E"/>
    <w:rsid w:val="001909DF"/>
    <w:rsid w:val="00191CEE"/>
    <w:rsid w:val="0019262D"/>
    <w:rsid w:val="00192C10"/>
    <w:rsid w:val="001950B4"/>
    <w:rsid w:val="00195326"/>
    <w:rsid w:val="001964DB"/>
    <w:rsid w:val="00197ED0"/>
    <w:rsid w:val="001A08FC"/>
    <w:rsid w:val="001A10F2"/>
    <w:rsid w:val="001A15DE"/>
    <w:rsid w:val="001A1B35"/>
    <w:rsid w:val="001A1EE7"/>
    <w:rsid w:val="001A2C25"/>
    <w:rsid w:val="001A3FD8"/>
    <w:rsid w:val="001A48A2"/>
    <w:rsid w:val="001A5714"/>
    <w:rsid w:val="001A6F61"/>
    <w:rsid w:val="001B0BD9"/>
    <w:rsid w:val="001B1B98"/>
    <w:rsid w:val="001B3DA8"/>
    <w:rsid w:val="001B72B8"/>
    <w:rsid w:val="001C31B7"/>
    <w:rsid w:val="001C3661"/>
    <w:rsid w:val="001C68CB"/>
    <w:rsid w:val="001C69B3"/>
    <w:rsid w:val="001C7C99"/>
    <w:rsid w:val="001D05E5"/>
    <w:rsid w:val="001D12DB"/>
    <w:rsid w:val="001D178A"/>
    <w:rsid w:val="001D2E8F"/>
    <w:rsid w:val="001D5595"/>
    <w:rsid w:val="001D658F"/>
    <w:rsid w:val="001D6D6E"/>
    <w:rsid w:val="001D7874"/>
    <w:rsid w:val="001D7966"/>
    <w:rsid w:val="001D7E9D"/>
    <w:rsid w:val="001D7F22"/>
    <w:rsid w:val="001E2398"/>
    <w:rsid w:val="001E3926"/>
    <w:rsid w:val="001E44ED"/>
    <w:rsid w:val="001E4A50"/>
    <w:rsid w:val="001E5798"/>
    <w:rsid w:val="001F0F17"/>
    <w:rsid w:val="001F3326"/>
    <w:rsid w:val="001F3347"/>
    <w:rsid w:val="001F493C"/>
    <w:rsid w:val="001F5D02"/>
    <w:rsid w:val="001F69E4"/>
    <w:rsid w:val="001F7B4F"/>
    <w:rsid w:val="002009C5"/>
    <w:rsid w:val="00201102"/>
    <w:rsid w:val="002038DE"/>
    <w:rsid w:val="00205297"/>
    <w:rsid w:val="00210DDD"/>
    <w:rsid w:val="00210E32"/>
    <w:rsid w:val="00211D35"/>
    <w:rsid w:val="002125B4"/>
    <w:rsid w:val="00212BAA"/>
    <w:rsid w:val="002138A0"/>
    <w:rsid w:val="00213A78"/>
    <w:rsid w:val="002155B8"/>
    <w:rsid w:val="00216D2D"/>
    <w:rsid w:val="002201EA"/>
    <w:rsid w:val="00220F78"/>
    <w:rsid w:val="002216F9"/>
    <w:rsid w:val="00222D9F"/>
    <w:rsid w:val="002243D7"/>
    <w:rsid w:val="00224839"/>
    <w:rsid w:val="002249B2"/>
    <w:rsid w:val="0022535B"/>
    <w:rsid w:val="00225F30"/>
    <w:rsid w:val="00226574"/>
    <w:rsid w:val="0022685B"/>
    <w:rsid w:val="002278EC"/>
    <w:rsid w:val="0023280E"/>
    <w:rsid w:val="00233683"/>
    <w:rsid w:val="0023438C"/>
    <w:rsid w:val="002347FB"/>
    <w:rsid w:val="00234F1C"/>
    <w:rsid w:val="0023674E"/>
    <w:rsid w:val="002377D1"/>
    <w:rsid w:val="0024085C"/>
    <w:rsid w:val="00240AD3"/>
    <w:rsid w:val="00241D86"/>
    <w:rsid w:val="002457F6"/>
    <w:rsid w:val="00247061"/>
    <w:rsid w:val="002506BC"/>
    <w:rsid w:val="00251A7E"/>
    <w:rsid w:val="00253870"/>
    <w:rsid w:val="00254345"/>
    <w:rsid w:val="00254CF8"/>
    <w:rsid w:val="00255B06"/>
    <w:rsid w:val="0026000D"/>
    <w:rsid w:val="00262452"/>
    <w:rsid w:val="002625AD"/>
    <w:rsid w:val="00262658"/>
    <w:rsid w:val="002643BD"/>
    <w:rsid w:val="00264557"/>
    <w:rsid w:val="00264A13"/>
    <w:rsid w:val="002706E8"/>
    <w:rsid w:val="0027106F"/>
    <w:rsid w:val="00272346"/>
    <w:rsid w:val="00273CE7"/>
    <w:rsid w:val="00274750"/>
    <w:rsid w:val="00274CEF"/>
    <w:rsid w:val="00275979"/>
    <w:rsid w:val="002770D1"/>
    <w:rsid w:val="002805AB"/>
    <w:rsid w:val="00281133"/>
    <w:rsid w:val="002811D7"/>
    <w:rsid w:val="00284204"/>
    <w:rsid w:val="00287C55"/>
    <w:rsid w:val="002902E3"/>
    <w:rsid w:val="00291773"/>
    <w:rsid w:val="00292EAA"/>
    <w:rsid w:val="002972E4"/>
    <w:rsid w:val="002A0D9C"/>
    <w:rsid w:val="002A168C"/>
    <w:rsid w:val="002A3935"/>
    <w:rsid w:val="002A3DC7"/>
    <w:rsid w:val="002B1D30"/>
    <w:rsid w:val="002B3C40"/>
    <w:rsid w:val="002B49E2"/>
    <w:rsid w:val="002B5504"/>
    <w:rsid w:val="002B659F"/>
    <w:rsid w:val="002B6DB6"/>
    <w:rsid w:val="002B7B00"/>
    <w:rsid w:val="002B7C44"/>
    <w:rsid w:val="002B7FC2"/>
    <w:rsid w:val="002C048B"/>
    <w:rsid w:val="002C2B17"/>
    <w:rsid w:val="002C3FFA"/>
    <w:rsid w:val="002C7542"/>
    <w:rsid w:val="002D262A"/>
    <w:rsid w:val="002D3DD0"/>
    <w:rsid w:val="002E1F3A"/>
    <w:rsid w:val="002E298A"/>
    <w:rsid w:val="002E4B8D"/>
    <w:rsid w:val="002E6EF0"/>
    <w:rsid w:val="002F0652"/>
    <w:rsid w:val="002F14BC"/>
    <w:rsid w:val="002F31D2"/>
    <w:rsid w:val="002F370E"/>
    <w:rsid w:val="002F38F0"/>
    <w:rsid w:val="002F43B1"/>
    <w:rsid w:val="002F57C0"/>
    <w:rsid w:val="002F65DD"/>
    <w:rsid w:val="00300291"/>
    <w:rsid w:val="00300E1B"/>
    <w:rsid w:val="00301978"/>
    <w:rsid w:val="003029CB"/>
    <w:rsid w:val="00302C30"/>
    <w:rsid w:val="0030332C"/>
    <w:rsid w:val="003051C2"/>
    <w:rsid w:val="00306574"/>
    <w:rsid w:val="00307A95"/>
    <w:rsid w:val="00312296"/>
    <w:rsid w:val="00312594"/>
    <w:rsid w:val="00312E70"/>
    <w:rsid w:val="00313A70"/>
    <w:rsid w:val="00314F0E"/>
    <w:rsid w:val="00317198"/>
    <w:rsid w:val="003175D8"/>
    <w:rsid w:val="00320B54"/>
    <w:rsid w:val="003217DA"/>
    <w:rsid w:val="00321B1B"/>
    <w:rsid w:val="00321D8E"/>
    <w:rsid w:val="00322154"/>
    <w:rsid w:val="00325237"/>
    <w:rsid w:val="00325928"/>
    <w:rsid w:val="00326624"/>
    <w:rsid w:val="00330603"/>
    <w:rsid w:val="00332863"/>
    <w:rsid w:val="003336D4"/>
    <w:rsid w:val="00334B70"/>
    <w:rsid w:val="0033684D"/>
    <w:rsid w:val="00337B42"/>
    <w:rsid w:val="003412E5"/>
    <w:rsid w:val="00341B42"/>
    <w:rsid w:val="00342AB9"/>
    <w:rsid w:val="00342E34"/>
    <w:rsid w:val="0034348F"/>
    <w:rsid w:val="00343736"/>
    <w:rsid w:val="00346415"/>
    <w:rsid w:val="003469E6"/>
    <w:rsid w:val="00346A75"/>
    <w:rsid w:val="00352D7D"/>
    <w:rsid w:val="003533E4"/>
    <w:rsid w:val="00354219"/>
    <w:rsid w:val="003559AC"/>
    <w:rsid w:val="00356653"/>
    <w:rsid w:val="00356E2F"/>
    <w:rsid w:val="003573AA"/>
    <w:rsid w:val="0035743F"/>
    <w:rsid w:val="00357BE2"/>
    <w:rsid w:val="0036170C"/>
    <w:rsid w:val="00361C30"/>
    <w:rsid w:val="0036432D"/>
    <w:rsid w:val="00366E0F"/>
    <w:rsid w:val="003725F7"/>
    <w:rsid w:val="00380194"/>
    <w:rsid w:val="00380EFD"/>
    <w:rsid w:val="00381A72"/>
    <w:rsid w:val="00384676"/>
    <w:rsid w:val="0038711A"/>
    <w:rsid w:val="00390857"/>
    <w:rsid w:val="003915FD"/>
    <w:rsid w:val="00393D7F"/>
    <w:rsid w:val="0039770E"/>
    <w:rsid w:val="003A0C6E"/>
    <w:rsid w:val="003A4BF3"/>
    <w:rsid w:val="003A6B16"/>
    <w:rsid w:val="003A7FD8"/>
    <w:rsid w:val="003B1F97"/>
    <w:rsid w:val="003B21B5"/>
    <w:rsid w:val="003B2F4A"/>
    <w:rsid w:val="003B3E4C"/>
    <w:rsid w:val="003B420D"/>
    <w:rsid w:val="003B4D0B"/>
    <w:rsid w:val="003C3347"/>
    <w:rsid w:val="003C6C16"/>
    <w:rsid w:val="003D0B4C"/>
    <w:rsid w:val="003D794D"/>
    <w:rsid w:val="003D7D7F"/>
    <w:rsid w:val="003E1E5F"/>
    <w:rsid w:val="003E3058"/>
    <w:rsid w:val="003E3378"/>
    <w:rsid w:val="003E66E5"/>
    <w:rsid w:val="003E76A9"/>
    <w:rsid w:val="003E7742"/>
    <w:rsid w:val="003F02FE"/>
    <w:rsid w:val="003F0809"/>
    <w:rsid w:val="003F0F6B"/>
    <w:rsid w:val="003F2BA2"/>
    <w:rsid w:val="003F4FB5"/>
    <w:rsid w:val="003F6A8C"/>
    <w:rsid w:val="003F755C"/>
    <w:rsid w:val="00404103"/>
    <w:rsid w:val="00406063"/>
    <w:rsid w:val="0040619A"/>
    <w:rsid w:val="00406F01"/>
    <w:rsid w:val="00410E77"/>
    <w:rsid w:val="00411ACD"/>
    <w:rsid w:val="00412DC5"/>
    <w:rsid w:val="004137AC"/>
    <w:rsid w:val="00413CD6"/>
    <w:rsid w:val="0041540D"/>
    <w:rsid w:val="00416D50"/>
    <w:rsid w:val="00416FD5"/>
    <w:rsid w:val="0041706C"/>
    <w:rsid w:val="00417772"/>
    <w:rsid w:val="00420E6A"/>
    <w:rsid w:val="00422A42"/>
    <w:rsid w:val="0042487B"/>
    <w:rsid w:val="0042575F"/>
    <w:rsid w:val="00425A9E"/>
    <w:rsid w:val="00426D6B"/>
    <w:rsid w:val="004319F5"/>
    <w:rsid w:val="00431E6C"/>
    <w:rsid w:val="00433811"/>
    <w:rsid w:val="00433CE7"/>
    <w:rsid w:val="00434E80"/>
    <w:rsid w:val="00436C15"/>
    <w:rsid w:val="00436EBF"/>
    <w:rsid w:val="004373C5"/>
    <w:rsid w:val="00441793"/>
    <w:rsid w:val="00442A4C"/>
    <w:rsid w:val="00445082"/>
    <w:rsid w:val="00452738"/>
    <w:rsid w:val="004534F5"/>
    <w:rsid w:val="004538F6"/>
    <w:rsid w:val="00453953"/>
    <w:rsid w:val="00456091"/>
    <w:rsid w:val="00456BFC"/>
    <w:rsid w:val="00460137"/>
    <w:rsid w:val="00460713"/>
    <w:rsid w:val="00460FAF"/>
    <w:rsid w:val="004614AC"/>
    <w:rsid w:val="00462CF6"/>
    <w:rsid w:val="00463160"/>
    <w:rsid w:val="004654AB"/>
    <w:rsid w:val="00466321"/>
    <w:rsid w:val="00471DD7"/>
    <w:rsid w:val="004727A5"/>
    <w:rsid w:val="004729CD"/>
    <w:rsid w:val="00472D78"/>
    <w:rsid w:val="00473DA4"/>
    <w:rsid w:val="00474013"/>
    <w:rsid w:val="00475CAB"/>
    <w:rsid w:val="0047629A"/>
    <w:rsid w:val="004819A6"/>
    <w:rsid w:val="00482719"/>
    <w:rsid w:val="004848C0"/>
    <w:rsid w:val="00484B9B"/>
    <w:rsid w:val="004855F6"/>
    <w:rsid w:val="00486102"/>
    <w:rsid w:val="0048661E"/>
    <w:rsid w:val="00486E21"/>
    <w:rsid w:val="00494670"/>
    <w:rsid w:val="00494890"/>
    <w:rsid w:val="004A32D5"/>
    <w:rsid w:val="004A3823"/>
    <w:rsid w:val="004A56BE"/>
    <w:rsid w:val="004A7BAD"/>
    <w:rsid w:val="004A7CFA"/>
    <w:rsid w:val="004B1664"/>
    <w:rsid w:val="004B2B21"/>
    <w:rsid w:val="004B6A6E"/>
    <w:rsid w:val="004C177A"/>
    <w:rsid w:val="004C2377"/>
    <w:rsid w:val="004C257E"/>
    <w:rsid w:val="004C276D"/>
    <w:rsid w:val="004C2FF9"/>
    <w:rsid w:val="004C3782"/>
    <w:rsid w:val="004D02F7"/>
    <w:rsid w:val="004D3CCB"/>
    <w:rsid w:val="004D49BC"/>
    <w:rsid w:val="004E0863"/>
    <w:rsid w:val="004E08DA"/>
    <w:rsid w:val="004E41F8"/>
    <w:rsid w:val="004E42A4"/>
    <w:rsid w:val="004E48E6"/>
    <w:rsid w:val="004E6752"/>
    <w:rsid w:val="004E6946"/>
    <w:rsid w:val="004E721A"/>
    <w:rsid w:val="004E77A6"/>
    <w:rsid w:val="004F0782"/>
    <w:rsid w:val="004F1AD8"/>
    <w:rsid w:val="004F2116"/>
    <w:rsid w:val="004F7BCB"/>
    <w:rsid w:val="005039CB"/>
    <w:rsid w:val="0050558F"/>
    <w:rsid w:val="00506286"/>
    <w:rsid w:val="00510813"/>
    <w:rsid w:val="00511990"/>
    <w:rsid w:val="00511DE0"/>
    <w:rsid w:val="00513949"/>
    <w:rsid w:val="00514870"/>
    <w:rsid w:val="00514B9B"/>
    <w:rsid w:val="00516898"/>
    <w:rsid w:val="00516F96"/>
    <w:rsid w:val="00517F02"/>
    <w:rsid w:val="00521543"/>
    <w:rsid w:val="005241EE"/>
    <w:rsid w:val="00524303"/>
    <w:rsid w:val="00524669"/>
    <w:rsid w:val="005258A2"/>
    <w:rsid w:val="00530045"/>
    <w:rsid w:val="005307A2"/>
    <w:rsid w:val="005307B2"/>
    <w:rsid w:val="00531099"/>
    <w:rsid w:val="00531E62"/>
    <w:rsid w:val="00533956"/>
    <w:rsid w:val="00537C28"/>
    <w:rsid w:val="005401AE"/>
    <w:rsid w:val="00542E07"/>
    <w:rsid w:val="00543C3E"/>
    <w:rsid w:val="00545424"/>
    <w:rsid w:val="00546967"/>
    <w:rsid w:val="00547AA6"/>
    <w:rsid w:val="005518C8"/>
    <w:rsid w:val="0055386D"/>
    <w:rsid w:val="00553CB4"/>
    <w:rsid w:val="00554A7B"/>
    <w:rsid w:val="0055572C"/>
    <w:rsid w:val="00556A24"/>
    <w:rsid w:val="0056106A"/>
    <w:rsid w:val="00565BE8"/>
    <w:rsid w:val="00566AFD"/>
    <w:rsid w:val="005675BB"/>
    <w:rsid w:val="005679DD"/>
    <w:rsid w:val="005720AE"/>
    <w:rsid w:val="00572E23"/>
    <w:rsid w:val="0057538A"/>
    <w:rsid w:val="005753B9"/>
    <w:rsid w:val="00580515"/>
    <w:rsid w:val="00581368"/>
    <w:rsid w:val="00582742"/>
    <w:rsid w:val="0058289D"/>
    <w:rsid w:val="00583881"/>
    <w:rsid w:val="00583B93"/>
    <w:rsid w:val="00592843"/>
    <w:rsid w:val="00593901"/>
    <w:rsid w:val="00594417"/>
    <w:rsid w:val="00594D77"/>
    <w:rsid w:val="005955D9"/>
    <w:rsid w:val="005969E4"/>
    <w:rsid w:val="005A06B7"/>
    <w:rsid w:val="005A1759"/>
    <w:rsid w:val="005A611F"/>
    <w:rsid w:val="005A68A7"/>
    <w:rsid w:val="005A7E88"/>
    <w:rsid w:val="005B04CA"/>
    <w:rsid w:val="005B2D70"/>
    <w:rsid w:val="005B2EC1"/>
    <w:rsid w:val="005B6463"/>
    <w:rsid w:val="005C00CE"/>
    <w:rsid w:val="005C1819"/>
    <w:rsid w:val="005C45A3"/>
    <w:rsid w:val="005C50A2"/>
    <w:rsid w:val="005C53CA"/>
    <w:rsid w:val="005D000F"/>
    <w:rsid w:val="005D06F3"/>
    <w:rsid w:val="005D36AB"/>
    <w:rsid w:val="005E0F1F"/>
    <w:rsid w:val="005E2935"/>
    <w:rsid w:val="005E2DD6"/>
    <w:rsid w:val="005E60F5"/>
    <w:rsid w:val="005F0B34"/>
    <w:rsid w:val="005F65CD"/>
    <w:rsid w:val="006009D4"/>
    <w:rsid w:val="00604507"/>
    <w:rsid w:val="006048C9"/>
    <w:rsid w:val="006049A6"/>
    <w:rsid w:val="00604BB8"/>
    <w:rsid w:val="00606AD7"/>
    <w:rsid w:val="00607EDC"/>
    <w:rsid w:val="0061309B"/>
    <w:rsid w:val="00613FDB"/>
    <w:rsid w:val="00615C36"/>
    <w:rsid w:val="00617CC3"/>
    <w:rsid w:val="006204EB"/>
    <w:rsid w:val="00621525"/>
    <w:rsid w:val="0062164B"/>
    <w:rsid w:val="00626732"/>
    <w:rsid w:val="00630170"/>
    <w:rsid w:val="006308E1"/>
    <w:rsid w:val="006336F4"/>
    <w:rsid w:val="00634025"/>
    <w:rsid w:val="006346BD"/>
    <w:rsid w:val="00636B5A"/>
    <w:rsid w:val="00636F4D"/>
    <w:rsid w:val="006377A6"/>
    <w:rsid w:val="00637A3D"/>
    <w:rsid w:val="006411EF"/>
    <w:rsid w:val="006431D8"/>
    <w:rsid w:val="00645254"/>
    <w:rsid w:val="0064628D"/>
    <w:rsid w:val="00646D6A"/>
    <w:rsid w:val="00650C35"/>
    <w:rsid w:val="00650EDA"/>
    <w:rsid w:val="00651742"/>
    <w:rsid w:val="00652D15"/>
    <w:rsid w:val="00652E38"/>
    <w:rsid w:val="00654FD3"/>
    <w:rsid w:val="00656EF4"/>
    <w:rsid w:val="00663161"/>
    <w:rsid w:val="00663806"/>
    <w:rsid w:val="0066584A"/>
    <w:rsid w:val="00671F36"/>
    <w:rsid w:val="0067253F"/>
    <w:rsid w:val="00672B5B"/>
    <w:rsid w:val="006738ED"/>
    <w:rsid w:val="00674079"/>
    <w:rsid w:val="006748B8"/>
    <w:rsid w:val="006752A5"/>
    <w:rsid w:val="00675A6F"/>
    <w:rsid w:val="00676473"/>
    <w:rsid w:val="006774A8"/>
    <w:rsid w:val="006775C3"/>
    <w:rsid w:val="00677ADB"/>
    <w:rsid w:val="006808F5"/>
    <w:rsid w:val="00681F6A"/>
    <w:rsid w:val="00681FC1"/>
    <w:rsid w:val="00682270"/>
    <w:rsid w:val="0068263B"/>
    <w:rsid w:val="006829B6"/>
    <w:rsid w:val="00682ECD"/>
    <w:rsid w:val="00684F42"/>
    <w:rsid w:val="00686C4D"/>
    <w:rsid w:val="006874E5"/>
    <w:rsid w:val="006900A2"/>
    <w:rsid w:val="006906FF"/>
    <w:rsid w:val="0069196D"/>
    <w:rsid w:val="0069290A"/>
    <w:rsid w:val="0069443D"/>
    <w:rsid w:val="00696950"/>
    <w:rsid w:val="0069775A"/>
    <w:rsid w:val="00697813"/>
    <w:rsid w:val="006A1105"/>
    <w:rsid w:val="006A3EE8"/>
    <w:rsid w:val="006A6312"/>
    <w:rsid w:val="006A72BF"/>
    <w:rsid w:val="006B03F2"/>
    <w:rsid w:val="006B0D2E"/>
    <w:rsid w:val="006B230F"/>
    <w:rsid w:val="006B37DC"/>
    <w:rsid w:val="006B4DDF"/>
    <w:rsid w:val="006B4F68"/>
    <w:rsid w:val="006C0592"/>
    <w:rsid w:val="006C123B"/>
    <w:rsid w:val="006C272E"/>
    <w:rsid w:val="006C2CAA"/>
    <w:rsid w:val="006C37A4"/>
    <w:rsid w:val="006C5479"/>
    <w:rsid w:val="006D0F7A"/>
    <w:rsid w:val="006D13B5"/>
    <w:rsid w:val="006D39C0"/>
    <w:rsid w:val="006D3A60"/>
    <w:rsid w:val="006D5F75"/>
    <w:rsid w:val="006D7864"/>
    <w:rsid w:val="006D7A97"/>
    <w:rsid w:val="006E0550"/>
    <w:rsid w:val="006E10BB"/>
    <w:rsid w:val="006E12FF"/>
    <w:rsid w:val="006E28DF"/>
    <w:rsid w:val="006E4597"/>
    <w:rsid w:val="006E4788"/>
    <w:rsid w:val="006E607E"/>
    <w:rsid w:val="006E6600"/>
    <w:rsid w:val="006E69A0"/>
    <w:rsid w:val="006E6AC1"/>
    <w:rsid w:val="006E75FA"/>
    <w:rsid w:val="006E7601"/>
    <w:rsid w:val="006E7878"/>
    <w:rsid w:val="006F02A3"/>
    <w:rsid w:val="006F03AC"/>
    <w:rsid w:val="006F3BDC"/>
    <w:rsid w:val="0070043D"/>
    <w:rsid w:val="00701268"/>
    <w:rsid w:val="00703A8E"/>
    <w:rsid w:val="00706C5D"/>
    <w:rsid w:val="00706DA6"/>
    <w:rsid w:val="0070718D"/>
    <w:rsid w:val="007077EF"/>
    <w:rsid w:val="00710B93"/>
    <w:rsid w:val="00717EA0"/>
    <w:rsid w:val="007203E4"/>
    <w:rsid w:val="0072044F"/>
    <w:rsid w:val="007217A9"/>
    <w:rsid w:val="00722FA3"/>
    <w:rsid w:val="00724E72"/>
    <w:rsid w:val="007325B1"/>
    <w:rsid w:val="00732922"/>
    <w:rsid w:val="00732BB4"/>
    <w:rsid w:val="00736468"/>
    <w:rsid w:val="00741A9F"/>
    <w:rsid w:val="00744EC3"/>
    <w:rsid w:val="00744FB4"/>
    <w:rsid w:val="0074518A"/>
    <w:rsid w:val="00745586"/>
    <w:rsid w:val="0074656F"/>
    <w:rsid w:val="00746A94"/>
    <w:rsid w:val="0075137C"/>
    <w:rsid w:val="0075162E"/>
    <w:rsid w:val="007528C7"/>
    <w:rsid w:val="00754034"/>
    <w:rsid w:val="00755CF0"/>
    <w:rsid w:val="00756186"/>
    <w:rsid w:val="00756556"/>
    <w:rsid w:val="007569CD"/>
    <w:rsid w:val="007618C4"/>
    <w:rsid w:val="00763D0C"/>
    <w:rsid w:val="00764EC6"/>
    <w:rsid w:val="00764FD5"/>
    <w:rsid w:val="00766544"/>
    <w:rsid w:val="00766D08"/>
    <w:rsid w:val="007670EA"/>
    <w:rsid w:val="00767980"/>
    <w:rsid w:val="00767981"/>
    <w:rsid w:val="007700C0"/>
    <w:rsid w:val="00770691"/>
    <w:rsid w:val="00770B19"/>
    <w:rsid w:val="00770D78"/>
    <w:rsid w:val="0077463F"/>
    <w:rsid w:val="00776107"/>
    <w:rsid w:val="007764ED"/>
    <w:rsid w:val="0077675F"/>
    <w:rsid w:val="007836EA"/>
    <w:rsid w:val="00784CDA"/>
    <w:rsid w:val="007906C4"/>
    <w:rsid w:val="00790CF1"/>
    <w:rsid w:val="00792059"/>
    <w:rsid w:val="007927EB"/>
    <w:rsid w:val="007940EA"/>
    <w:rsid w:val="00794637"/>
    <w:rsid w:val="00794D73"/>
    <w:rsid w:val="00795B7F"/>
    <w:rsid w:val="007967E8"/>
    <w:rsid w:val="007A051D"/>
    <w:rsid w:val="007A0DD0"/>
    <w:rsid w:val="007A1253"/>
    <w:rsid w:val="007A2170"/>
    <w:rsid w:val="007A22BF"/>
    <w:rsid w:val="007A3323"/>
    <w:rsid w:val="007A36C6"/>
    <w:rsid w:val="007A4121"/>
    <w:rsid w:val="007A4351"/>
    <w:rsid w:val="007A493D"/>
    <w:rsid w:val="007A4BC5"/>
    <w:rsid w:val="007A55D2"/>
    <w:rsid w:val="007A5FD1"/>
    <w:rsid w:val="007B2CDB"/>
    <w:rsid w:val="007B35C6"/>
    <w:rsid w:val="007B633C"/>
    <w:rsid w:val="007B72B8"/>
    <w:rsid w:val="007B73D5"/>
    <w:rsid w:val="007B7A58"/>
    <w:rsid w:val="007C21B5"/>
    <w:rsid w:val="007C38BD"/>
    <w:rsid w:val="007C6D32"/>
    <w:rsid w:val="007D1B2C"/>
    <w:rsid w:val="007D1E67"/>
    <w:rsid w:val="007D522E"/>
    <w:rsid w:val="007D6BE7"/>
    <w:rsid w:val="007D79D4"/>
    <w:rsid w:val="007E4BD2"/>
    <w:rsid w:val="007F0A0C"/>
    <w:rsid w:val="007F4918"/>
    <w:rsid w:val="007F70C5"/>
    <w:rsid w:val="007F781A"/>
    <w:rsid w:val="00801393"/>
    <w:rsid w:val="00802112"/>
    <w:rsid w:val="00802F88"/>
    <w:rsid w:val="008030D7"/>
    <w:rsid w:val="008045BD"/>
    <w:rsid w:val="0080497B"/>
    <w:rsid w:val="008060CA"/>
    <w:rsid w:val="0081293E"/>
    <w:rsid w:val="00814795"/>
    <w:rsid w:val="00815465"/>
    <w:rsid w:val="0081618A"/>
    <w:rsid w:val="0081724F"/>
    <w:rsid w:val="00817684"/>
    <w:rsid w:val="00817E9A"/>
    <w:rsid w:val="00822160"/>
    <w:rsid w:val="0082220E"/>
    <w:rsid w:val="008266E3"/>
    <w:rsid w:val="00830551"/>
    <w:rsid w:val="008306BD"/>
    <w:rsid w:val="00831A80"/>
    <w:rsid w:val="00831DCD"/>
    <w:rsid w:val="00833743"/>
    <w:rsid w:val="008340A4"/>
    <w:rsid w:val="00835C5B"/>
    <w:rsid w:val="008360AA"/>
    <w:rsid w:val="008434DA"/>
    <w:rsid w:val="008442D3"/>
    <w:rsid w:val="00844E61"/>
    <w:rsid w:val="008458D3"/>
    <w:rsid w:val="00846033"/>
    <w:rsid w:val="00847C95"/>
    <w:rsid w:val="00847F67"/>
    <w:rsid w:val="00850178"/>
    <w:rsid w:val="00850713"/>
    <w:rsid w:val="00851921"/>
    <w:rsid w:val="00851FBB"/>
    <w:rsid w:val="00854C63"/>
    <w:rsid w:val="00855A3C"/>
    <w:rsid w:val="008600A0"/>
    <w:rsid w:val="00861B67"/>
    <w:rsid w:val="00864AF1"/>
    <w:rsid w:val="00864F53"/>
    <w:rsid w:val="0086636E"/>
    <w:rsid w:val="0087135F"/>
    <w:rsid w:val="00871AFD"/>
    <w:rsid w:val="00872D94"/>
    <w:rsid w:val="00873290"/>
    <w:rsid w:val="0087423A"/>
    <w:rsid w:val="00874928"/>
    <w:rsid w:val="0087532B"/>
    <w:rsid w:val="008759CC"/>
    <w:rsid w:val="008775FE"/>
    <w:rsid w:val="00877B61"/>
    <w:rsid w:val="00880364"/>
    <w:rsid w:val="008819A7"/>
    <w:rsid w:val="00881B29"/>
    <w:rsid w:val="0088214D"/>
    <w:rsid w:val="00883679"/>
    <w:rsid w:val="00884734"/>
    <w:rsid w:val="00890158"/>
    <w:rsid w:val="00891592"/>
    <w:rsid w:val="00891691"/>
    <w:rsid w:val="00891E9E"/>
    <w:rsid w:val="00893308"/>
    <w:rsid w:val="00895E17"/>
    <w:rsid w:val="0089694E"/>
    <w:rsid w:val="008A0587"/>
    <w:rsid w:val="008A0928"/>
    <w:rsid w:val="008A1141"/>
    <w:rsid w:val="008A191A"/>
    <w:rsid w:val="008A2F68"/>
    <w:rsid w:val="008A4EB9"/>
    <w:rsid w:val="008A5B37"/>
    <w:rsid w:val="008A5FC1"/>
    <w:rsid w:val="008B2FED"/>
    <w:rsid w:val="008B4FA6"/>
    <w:rsid w:val="008B5282"/>
    <w:rsid w:val="008B5284"/>
    <w:rsid w:val="008B52B0"/>
    <w:rsid w:val="008B60A8"/>
    <w:rsid w:val="008B6252"/>
    <w:rsid w:val="008B7984"/>
    <w:rsid w:val="008B7C17"/>
    <w:rsid w:val="008C004F"/>
    <w:rsid w:val="008C1900"/>
    <w:rsid w:val="008C2D01"/>
    <w:rsid w:val="008C40E6"/>
    <w:rsid w:val="008C5FD3"/>
    <w:rsid w:val="008D07CE"/>
    <w:rsid w:val="008D0F7A"/>
    <w:rsid w:val="008D68E4"/>
    <w:rsid w:val="008E0506"/>
    <w:rsid w:val="008E0CFF"/>
    <w:rsid w:val="008E1494"/>
    <w:rsid w:val="008E1981"/>
    <w:rsid w:val="008E33A8"/>
    <w:rsid w:val="008E3CC1"/>
    <w:rsid w:val="008E5D6B"/>
    <w:rsid w:val="008E76F0"/>
    <w:rsid w:val="008E7EB4"/>
    <w:rsid w:val="008F0C3A"/>
    <w:rsid w:val="008F1321"/>
    <w:rsid w:val="008F15BF"/>
    <w:rsid w:val="008F15EB"/>
    <w:rsid w:val="008F15FE"/>
    <w:rsid w:val="008F2D29"/>
    <w:rsid w:val="008F3787"/>
    <w:rsid w:val="008F448F"/>
    <w:rsid w:val="008F5187"/>
    <w:rsid w:val="008F60D8"/>
    <w:rsid w:val="008F68DE"/>
    <w:rsid w:val="008F6F50"/>
    <w:rsid w:val="008F74B1"/>
    <w:rsid w:val="00900EA4"/>
    <w:rsid w:val="0090147C"/>
    <w:rsid w:val="00902727"/>
    <w:rsid w:val="00902D40"/>
    <w:rsid w:val="0090312B"/>
    <w:rsid w:val="00905086"/>
    <w:rsid w:val="009057C0"/>
    <w:rsid w:val="00905D0C"/>
    <w:rsid w:val="00906D37"/>
    <w:rsid w:val="00910D96"/>
    <w:rsid w:val="00911550"/>
    <w:rsid w:val="009128E8"/>
    <w:rsid w:val="00913D57"/>
    <w:rsid w:val="009157AF"/>
    <w:rsid w:val="00916731"/>
    <w:rsid w:val="00916A6D"/>
    <w:rsid w:val="0091736D"/>
    <w:rsid w:val="00923946"/>
    <w:rsid w:val="00924009"/>
    <w:rsid w:val="009243D0"/>
    <w:rsid w:val="00925908"/>
    <w:rsid w:val="0092663B"/>
    <w:rsid w:val="00926BA6"/>
    <w:rsid w:val="0093037A"/>
    <w:rsid w:val="009305E6"/>
    <w:rsid w:val="0093294C"/>
    <w:rsid w:val="00933CE3"/>
    <w:rsid w:val="00935080"/>
    <w:rsid w:val="00940395"/>
    <w:rsid w:val="0094154D"/>
    <w:rsid w:val="00946F5A"/>
    <w:rsid w:val="009513C9"/>
    <w:rsid w:val="00951423"/>
    <w:rsid w:val="0095155F"/>
    <w:rsid w:val="00954429"/>
    <w:rsid w:val="00954DE5"/>
    <w:rsid w:val="00955554"/>
    <w:rsid w:val="00955BFE"/>
    <w:rsid w:val="00956219"/>
    <w:rsid w:val="009563CE"/>
    <w:rsid w:val="00956628"/>
    <w:rsid w:val="00956808"/>
    <w:rsid w:val="00956C52"/>
    <w:rsid w:val="00961098"/>
    <w:rsid w:val="009613B5"/>
    <w:rsid w:val="009616EE"/>
    <w:rsid w:val="00961B60"/>
    <w:rsid w:val="00963011"/>
    <w:rsid w:val="00963206"/>
    <w:rsid w:val="009646D7"/>
    <w:rsid w:val="009669D0"/>
    <w:rsid w:val="00966EFD"/>
    <w:rsid w:val="00970009"/>
    <w:rsid w:val="0097109A"/>
    <w:rsid w:val="00973130"/>
    <w:rsid w:val="009747CC"/>
    <w:rsid w:val="00975A4B"/>
    <w:rsid w:val="00976328"/>
    <w:rsid w:val="00976341"/>
    <w:rsid w:val="0097680D"/>
    <w:rsid w:val="0098175D"/>
    <w:rsid w:val="00982438"/>
    <w:rsid w:val="0098404C"/>
    <w:rsid w:val="00985283"/>
    <w:rsid w:val="009857C5"/>
    <w:rsid w:val="00985E79"/>
    <w:rsid w:val="00987DE2"/>
    <w:rsid w:val="0099144B"/>
    <w:rsid w:val="00991FAA"/>
    <w:rsid w:val="0099353D"/>
    <w:rsid w:val="00995992"/>
    <w:rsid w:val="00996B33"/>
    <w:rsid w:val="00996FAC"/>
    <w:rsid w:val="009A03E5"/>
    <w:rsid w:val="009A0F3B"/>
    <w:rsid w:val="009A1BB4"/>
    <w:rsid w:val="009A2628"/>
    <w:rsid w:val="009A3200"/>
    <w:rsid w:val="009A4769"/>
    <w:rsid w:val="009A5000"/>
    <w:rsid w:val="009B0897"/>
    <w:rsid w:val="009B34D2"/>
    <w:rsid w:val="009B391E"/>
    <w:rsid w:val="009B7BD9"/>
    <w:rsid w:val="009C0505"/>
    <w:rsid w:val="009C3671"/>
    <w:rsid w:val="009C7DD5"/>
    <w:rsid w:val="009D2032"/>
    <w:rsid w:val="009D2A19"/>
    <w:rsid w:val="009D300F"/>
    <w:rsid w:val="009D3901"/>
    <w:rsid w:val="009D4E07"/>
    <w:rsid w:val="009D4EEB"/>
    <w:rsid w:val="009D5DF1"/>
    <w:rsid w:val="009D5E24"/>
    <w:rsid w:val="009D71E8"/>
    <w:rsid w:val="009E18C5"/>
    <w:rsid w:val="009E227D"/>
    <w:rsid w:val="009E5019"/>
    <w:rsid w:val="009E5347"/>
    <w:rsid w:val="009F2595"/>
    <w:rsid w:val="009F2EFF"/>
    <w:rsid w:val="009F2FC7"/>
    <w:rsid w:val="009F709C"/>
    <w:rsid w:val="00A04F1B"/>
    <w:rsid w:val="00A0501B"/>
    <w:rsid w:val="00A075D8"/>
    <w:rsid w:val="00A1354A"/>
    <w:rsid w:val="00A1447B"/>
    <w:rsid w:val="00A14947"/>
    <w:rsid w:val="00A166E4"/>
    <w:rsid w:val="00A1739C"/>
    <w:rsid w:val="00A279A5"/>
    <w:rsid w:val="00A30847"/>
    <w:rsid w:val="00A32A83"/>
    <w:rsid w:val="00A3349A"/>
    <w:rsid w:val="00A368DB"/>
    <w:rsid w:val="00A37188"/>
    <w:rsid w:val="00A404D1"/>
    <w:rsid w:val="00A40B08"/>
    <w:rsid w:val="00A40E6C"/>
    <w:rsid w:val="00A423AA"/>
    <w:rsid w:val="00A4256D"/>
    <w:rsid w:val="00A452D1"/>
    <w:rsid w:val="00A45B5C"/>
    <w:rsid w:val="00A4608C"/>
    <w:rsid w:val="00A46604"/>
    <w:rsid w:val="00A46924"/>
    <w:rsid w:val="00A503E1"/>
    <w:rsid w:val="00A50600"/>
    <w:rsid w:val="00A5065B"/>
    <w:rsid w:val="00A53EC6"/>
    <w:rsid w:val="00A54278"/>
    <w:rsid w:val="00A54AB9"/>
    <w:rsid w:val="00A55C0F"/>
    <w:rsid w:val="00A57964"/>
    <w:rsid w:val="00A60B7A"/>
    <w:rsid w:val="00A60FAB"/>
    <w:rsid w:val="00A67D5C"/>
    <w:rsid w:val="00A67FE7"/>
    <w:rsid w:val="00A705A3"/>
    <w:rsid w:val="00A71567"/>
    <w:rsid w:val="00A717A1"/>
    <w:rsid w:val="00A717DB"/>
    <w:rsid w:val="00A72665"/>
    <w:rsid w:val="00A72827"/>
    <w:rsid w:val="00A728F9"/>
    <w:rsid w:val="00A73B01"/>
    <w:rsid w:val="00A74D69"/>
    <w:rsid w:val="00A75053"/>
    <w:rsid w:val="00A76D8D"/>
    <w:rsid w:val="00A82A82"/>
    <w:rsid w:val="00A84434"/>
    <w:rsid w:val="00A8713F"/>
    <w:rsid w:val="00A87DC9"/>
    <w:rsid w:val="00A90BA1"/>
    <w:rsid w:val="00A95E6D"/>
    <w:rsid w:val="00A9642B"/>
    <w:rsid w:val="00A97A9A"/>
    <w:rsid w:val="00A97E4E"/>
    <w:rsid w:val="00AA0671"/>
    <w:rsid w:val="00AA2531"/>
    <w:rsid w:val="00AA3B48"/>
    <w:rsid w:val="00AA7CC1"/>
    <w:rsid w:val="00AB138F"/>
    <w:rsid w:val="00AB1E09"/>
    <w:rsid w:val="00AB268E"/>
    <w:rsid w:val="00AB5330"/>
    <w:rsid w:val="00AB59BB"/>
    <w:rsid w:val="00AB5F0D"/>
    <w:rsid w:val="00AB647F"/>
    <w:rsid w:val="00AB65EB"/>
    <w:rsid w:val="00AB7747"/>
    <w:rsid w:val="00AC14CE"/>
    <w:rsid w:val="00AC2A56"/>
    <w:rsid w:val="00AC2DCD"/>
    <w:rsid w:val="00AC3FEF"/>
    <w:rsid w:val="00AC4C3C"/>
    <w:rsid w:val="00AC693E"/>
    <w:rsid w:val="00AD01D5"/>
    <w:rsid w:val="00AD055E"/>
    <w:rsid w:val="00AD454A"/>
    <w:rsid w:val="00AD47A7"/>
    <w:rsid w:val="00AD5F09"/>
    <w:rsid w:val="00AD69EA"/>
    <w:rsid w:val="00AE0D4B"/>
    <w:rsid w:val="00AE15E6"/>
    <w:rsid w:val="00AE4969"/>
    <w:rsid w:val="00AE5911"/>
    <w:rsid w:val="00AF0CBF"/>
    <w:rsid w:val="00AF194D"/>
    <w:rsid w:val="00AF257F"/>
    <w:rsid w:val="00AF31F6"/>
    <w:rsid w:val="00AF33CF"/>
    <w:rsid w:val="00AF4D50"/>
    <w:rsid w:val="00AF58BF"/>
    <w:rsid w:val="00AF6179"/>
    <w:rsid w:val="00AF61D7"/>
    <w:rsid w:val="00AF76D5"/>
    <w:rsid w:val="00B00456"/>
    <w:rsid w:val="00B0446C"/>
    <w:rsid w:val="00B111F8"/>
    <w:rsid w:val="00B1295A"/>
    <w:rsid w:val="00B1304C"/>
    <w:rsid w:val="00B17E02"/>
    <w:rsid w:val="00B20A45"/>
    <w:rsid w:val="00B221B6"/>
    <w:rsid w:val="00B22C5C"/>
    <w:rsid w:val="00B24F30"/>
    <w:rsid w:val="00B25667"/>
    <w:rsid w:val="00B26512"/>
    <w:rsid w:val="00B27D10"/>
    <w:rsid w:val="00B31714"/>
    <w:rsid w:val="00B31A12"/>
    <w:rsid w:val="00B31ABF"/>
    <w:rsid w:val="00B31AC2"/>
    <w:rsid w:val="00B31C77"/>
    <w:rsid w:val="00B33BE3"/>
    <w:rsid w:val="00B33CBB"/>
    <w:rsid w:val="00B374A6"/>
    <w:rsid w:val="00B374C3"/>
    <w:rsid w:val="00B40885"/>
    <w:rsid w:val="00B4325D"/>
    <w:rsid w:val="00B47B74"/>
    <w:rsid w:val="00B47CAA"/>
    <w:rsid w:val="00B50096"/>
    <w:rsid w:val="00B513DB"/>
    <w:rsid w:val="00B52754"/>
    <w:rsid w:val="00B52AAF"/>
    <w:rsid w:val="00B537F6"/>
    <w:rsid w:val="00B53B5D"/>
    <w:rsid w:val="00B57067"/>
    <w:rsid w:val="00B6055E"/>
    <w:rsid w:val="00B606B5"/>
    <w:rsid w:val="00B62A35"/>
    <w:rsid w:val="00B6317D"/>
    <w:rsid w:val="00B63817"/>
    <w:rsid w:val="00B6431F"/>
    <w:rsid w:val="00B65528"/>
    <w:rsid w:val="00B67694"/>
    <w:rsid w:val="00B7210D"/>
    <w:rsid w:val="00B72FD0"/>
    <w:rsid w:val="00B7348A"/>
    <w:rsid w:val="00B7419F"/>
    <w:rsid w:val="00B7723F"/>
    <w:rsid w:val="00B80534"/>
    <w:rsid w:val="00B81322"/>
    <w:rsid w:val="00B8341E"/>
    <w:rsid w:val="00B8433C"/>
    <w:rsid w:val="00B84A5A"/>
    <w:rsid w:val="00B87491"/>
    <w:rsid w:val="00B92F32"/>
    <w:rsid w:val="00B95804"/>
    <w:rsid w:val="00BA034C"/>
    <w:rsid w:val="00BA1A55"/>
    <w:rsid w:val="00BA29E9"/>
    <w:rsid w:val="00BA3D33"/>
    <w:rsid w:val="00BA611B"/>
    <w:rsid w:val="00BA6C68"/>
    <w:rsid w:val="00BA6D94"/>
    <w:rsid w:val="00BA7142"/>
    <w:rsid w:val="00BB1DD4"/>
    <w:rsid w:val="00BB237C"/>
    <w:rsid w:val="00BB24EB"/>
    <w:rsid w:val="00BB2F6C"/>
    <w:rsid w:val="00BB3237"/>
    <w:rsid w:val="00BB35D6"/>
    <w:rsid w:val="00BB3E1A"/>
    <w:rsid w:val="00BB41A3"/>
    <w:rsid w:val="00BB4BD2"/>
    <w:rsid w:val="00BC020B"/>
    <w:rsid w:val="00BC1599"/>
    <w:rsid w:val="00BC198A"/>
    <w:rsid w:val="00BC32DC"/>
    <w:rsid w:val="00BC35B6"/>
    <w:rsid w:val="00BC440F"/>
    <w:rsid w:val="00BC7006"/>
    <w:rsid w:val="00BD0A30"/>
    <w:rsid w:val="00BD10DE"/>
    <w:rsid w:val="00BD1B51"/>
    <w:rsid w:val="00BD4596"/>
    <w:rsid w:val="00BD484B"/>
    <w:rsid w:val="00BD63C8"/>
    <w:rsid w:val="00BD6A30"/>
    <w:rsid w:val="00BE05EF"/>
    <w:rsid w:val="00BE1405"/>
    <w:rsid w:val="00BE312D"/>
    <w:rsid w:val="00BE521A"/>
    <w:rsid w:val="00BE5805"/>
    <w:rsid w:val="00BE5AA5"/>
    <w:rsid w:val="00BF13A7"/>
    <w:rsid w:val="00BF1701"/>
    <w:rsid w:val="00BF1C20"/>
    <w:rsid w:val="00BF5256"/>
    <w:rsid w:val="00BF5888"/>
    <w:rsid w:val="00BF5A2C"/>
    <w:rsid w:val="00C03A8E"/>
    <w:rsid w:val="00C03C45"/>
    <w:rsid w:val="00C04004"/>
    <w:rsid w:val="00C05034"/>
    <w:rsid w:val="00C059D3"/>
    <w:rsid w:val="00C07383"/>
    <w:rsid w:val="00C07936"/>
    <w:rsid w:val="00C10578"/>
    <w:rsid w:val="00C11035"/>
    <w:rsid w:val="00C12878"/>
    <w:rsid w:val="00C135BC"/>
    <w:rsid w:val="00C13D4C"/>
    <w:rsid w:val="00C15C95"/>
    <w:rsid w:val="00C16F01"/>
    <w:rsid w:val="00C209CD"/>
    <w:rsid w:val="00C20CD1"/>
    <w:rsid w:val="00C23BF1"/>
    <w:rsid w:val="00C2408E"/>
    <w:rsid w:val="00C245B4"/>
    <w:rsid w:val="00C2596A"/>
    <w:rsid w:val="00C27537"/>
    <w:rsid w:val="00C27878"/>
    <w:rsid w:val="00C3065E"/>
    <w:rsid w:val="00C315D0"/>
    <w:rsid w:val="00C328FE"/>
    <w:rsid w:val="00C32D00"/>
    <w:rsid w:val="00C33507"/>
    <w:rsid w:val="00C33BEE"/>
    <w:rsid w:val="00C34A5F"/>
    <w:rsid w:val="00C36CDF"/>
    <w:rsid w:val="00C3712B"/>
    <w:rsid w:val="00C41ABC"/>
    <w:rsid w:val="00C4409D"/>
    <w:rsid w:val="00C44370"/>
    <w:rsid w:val="00C44E72"/>
    <w:rsid w:val="00C458FB"/>
    <w:rsid w:val="00C45A06"/>
    <w:rsid w:val="00C465D6"/>
    <w:rsid w:val="00C47E5B"/>
    <w:rsid w:val="00C506B0"/>
    <w:rsid w:val="00C50EBB"/>
    <w:rsid w:val="00C5203E"/>
    <w:rsid w:val="00C52B9F"/>
    <w:rsid w:val="00C52F67"/>
    <w:rsid w:val="00C53FAC"/>
    <w:rsid w:val="00C57E63"/>
    <w:rsid w:val="00C61262"/>
    <w:rsid w:val="00C61E4B"/>
    <w:rsid w:val="00C62606"/>
    <w:rsid w:val="00C62623"/>
    <w:rsid w:val="00C632CD"/>
    <w:rsid w:val="00C64BFF"/>
    <w:rsid w:val="00C64D41"/>
    <w:rsid w:val="00C65369"/>
    <w:rsid w:val="00C704E9"/>
    <w:rsid w:val="00C7304C"/>
    <w:rsid w:val="00C730AC"/>
    <w:rsid w:val="00C757A9"/>
    <w:rsid w:val="00C758AB"/>
    <w:rsid w:val="00C763C9"/>
    <w:rsid w:val="00C80057"/>
    <w:rsid w:val="00C80EEF"/>
    <w:rsid w:val="00C82232"/>
    <w:rsid w:val="00C82485"/>
    <w:rsid w:val="00C82913"/>
    <w:rsid w:val="00C83628"/>
    <w:rsid w:val="00C8519A"/>
    <w:rsid w:val="00C87AAA"/>
    <w:rsid w:val="00C913FE"/>
    <w:rsid w:val="00C91B43"/>
    <w:rsid w:val="00C91C82"/>
    <w:rsid w:val="00C9261A"/>
    <w:rsid w:val="00C93F42"/>
    <w:rsid w:val="00C9621D"/>
    <w:rsid w:val="00C96AD5"/>
    <w:rsid w:val="00C972B1"/>
    <w:rsid w:val="00CA2CCE"/>
    <w:rsid w:val="00CA43FD"/>
    <w:rsid w:val="00CA6A48"/>
    <w:rsid w:val="00CA7212"/>
    <w:rsid w:val="00CA7EF8"/>
    <w:rsid w:val="00CB03E0"/>
    <w:rsid w:val="00CB04BD"/>
    <w:rsid w:val="00CB3217"/>
    <w:rsid w:val="00CB3304"/>
    <w:rsid w:val="00CB44C7"/>
    <w:rsid w:val="00CB4EE8"/>
    <w:rsid w:val="00CB6B26"/>
    <w:rsid w:val="00CB75A1"/>
    <w:rsid w:val="00CC3F42"/>
    <w:rsid w:val="00CC489B"/>
    <w:rsid w:val="00CC70FD"/>
    <w:rsid w:val="00CC7A65"/>
    <w:rsid w:val="00CD2BCD"/>
    <w:rsid w:val="00CD2C17"/>
    <w:rsid w:val="00CD3A4C"/>
    <w:rsid w:val="00CD4E11"/>
    <w:rsid w:val="00CD657D"/>
    <w:rsid w:val="00CE01B5"/>
    <w:rsid w:val="00CE10E9"/>
    <w:rsid w:val="00CE2910"/>
    <w:rsid w:val="00CE3503"/>
    <w:rsid w:val="00CE37F4"/>
    <w:rsid w:val="00CE5393"/>
    <w:rsid w:val="00CE5661"/>
    <w:rsid w:val="00CE5A9B"/>
    <w:rsid w:val="00CF031F"/>
    <w:rsid w:val="00CF1029"/>
    <w:rsid w:val="00CF2703"/>
    <w:rsid w:val="00CF36BE"/>
    <w:rsid w:val="00CF3BC4"/>
    <w:rsid w:val="00CF3EF2"/>
    <w:rsid w:val="00CF6000"/>
    <w:rsid w:val="00CF723C"/>
    <w:rsid w:val="00D003F3"/>
    <w:rsid w:val="00D0069F"/>
    <w:rsid w:val="00D01045"/>
    <w:rsid w:val="00D01E7C"/>
    <w:rsid w:val="00D0364F"/>
    <w:rsid w:val="00D04CF5"/>
    <w:rsid w:val="00D05736"/>
    <w:rsid w:val="00D06834"/>
    <w:rsid w:val="00D06ABE"/>
    <w:rsid w:val="00D1264F"/>
    <w:rsid w:val="00D12FEB"/>
    <w:rsid w:val="00D1362D"/>
    <w:rsid w:val="00D16539"/>
    <w:rsid w:val="00D16FD2"/>
    <w:rsid w:val="00D17E65"/>
    <w:rsid w:val="00D201DF"/>
    <w:rsid w:val="00D253DE"/>
    <w:rsid w:val="00D303F2"/>
    <w:rsid w:val="00D308ED"/>
    <w:rsid w:val="00D34191"/>
    <w:rsid w:val="00D35117"/>
    <w:rsid w:val="00D354D7"/>
    <w:rsid w:val="00D36D86"/>
    <w:rsid w:val="00D4017C"/>
    <w:rsid w:val="00D40B55"/>
    <w:rsid w:val="00D40CA8"/>
    <w:rsid w:val="00D41FAC"/>
    <w:rsid w:val="00D4231F"/>
    <w:rsid w:val="00D423B9"/>
    <w:rsid w:val="00D42566"/>
    <w:rsid w:val="00D428AA"/>
    <w:rsid w:val="00D43B4F"/>
    <w:rsid w:val="00D44C48"/>
    <w:rsid w:val="00D4750C"/>
    <w:rsid w:val="00D50833"/>
    <w:rsid w:val="00D50A34"/>
    <w:rsid w:val="00D51C86"/>
    <w:rsid w:val="00D53EFA"/>
    <w:rsid w:val="00D57008"/>
    <w:rsid w:val="00D57CBA"/>
    <w:rsid w:val="00D57DDD"/>
    <w:rsid w:val="00D607AB"/>
    <w:rsid w:val="00D647E6"/>
    <w:rsid w:val="00D652AD"/>
    <w:rsid w:val="00D65D76"/>
    <w:rsid w:val="00D66AB9"/>
    <w:rsid w:val="00D66AD7"/>
    <w:rsid w:val="00D72509"/>
    <w:rsid w:val="00D74B1B"/>
    <w:rsid w:val="00D753CA"/>
    <w:rsid w:val="00D8094E"/>
    <w:rsid w:val="00D8226A"/>
    <w:rsid w:val="00D833DD"/>
    <w:rsid w:val="00D8419F"/>
    <w:rsid w:val="00D87CD6"/>
    <w:rsid w:val="00D90C4F"/>
    <w:rsid w:val="00D91846"/>
    <w:rsid w:val="00D929C1"/>
    <w:rsid w:val="00D94A7C"/>
    <w:rsid w:val="00D95896"/>
    <w:rsid w:val="00DA7715"/>
    <w:rsid w:val="00DB0078"/>
    <w:rsid w:val="00DB209D"/>
    <w:rsid w:val="00DB24B3"/>
    <w:rsid w:val="00DB25AB"/>
    <w:rsid w:val="00DB2983"/>
    <w:rsid w:val="00DB3FAC"/>
    <w:rsid w:val="00DB4B43"/>
    <w:rsid w:val="00DB4FF7"/>
    <w:rsid w:val="00DB5A67"/>
    <w:rsid w:val="00DB5CFC"/>
    <w:rsid w:val="00DB5DD0"/>
    <w:rsid w:val="00DB71B0"/>
    <w:rsid w:val="00DB76AC"/>
    <w:rsid w:val="00DC0909"/>
    <w:rsid w:val="00DC1257"/>
    <w:rsid w:val="00DC1793"/>
    <w:rsid w:val="00DC20EA"/>
    <w:rsid w:val="00DC3DC0"/>
    <w:rsid w:val="00DC5B2B"/>
    <w:rsid w:val="00DC7359"/>
    <w:rsid w:val="00DC78E7"/>
    <w:rsid w:val="00DD2CD3"/>
    <w:rsid w:val="00DD318D"/>
    <w:rsid w:val="00DD58F8"/>
    <w:rsid w:val="00DE1089"/>
    <w:rsid w:val="00DE600B"/>
    <w:rsid w:val="00DE6331"/>
    <w:rsid w:val="00DE7D36"/>
    <w:rsid w:val="00DF2045"/>
    <w:rsid w:val="00DF2DBE"/>
    <w:rsid w:val="00DF2E12"/>
    <w:rsid w:val="00DF514A"/>
    <w:rsid w:val="00DF6690"/>
    <w:rsid w:val="00DF6804"/>
    <w:rsid w:val="00E01E88"/>
    <w:rsid w:val="00E02BFF"/>
    <w:rsid w:val="00E02EF4"/>
    <w:rsid w:val="00E0358D"/>
    <w:rsid w:val="00E03B9C"/>
    <w:rsid w:val="00E04323"/>
    <w:rsid w:val="00E070A2"/>
    <w:rsid w:val="00E103F1"/>
    <w:rsid w:val="00E1060F"/>
    <w:rsid w:val="00E11CC2"/>
    <w:rsid w:val="00E11DC7"/>
    <w:rsid w:val="00E12382"/>
    <w:rsid w:val="00E16A20"/>
    <w:rsid w:val="00E1712B"/>
    <w:rsid w:val="00E178B3"/>
    <w:rsid w:val="00E261E1"/>
    <w:rsid w:val="00E2656A"/>
    <w:rsid w:val="00E26766"/>
    <w:rsid w:val="00E3019F"/>
    <w:rsid w:val="00E30938"/>
    <w:rsid w:val="00E32E30"/>
    <w:rsid w:val="00E34429"/>
    <w:rsid w:val="00E3638A"/>
    <w:rsid w:val="00E365E5"/>
    <w:rsid w:val="00E41062"/>
    <w:rsid w:val="00E412D0"/>
    <w:rsid w:val="00E4558C"/>
    <w:rsid w:val="00E47CCE"/>
    <w:rsid w:val="00E51F3C"/>
    <w:rsid w:val="00E545C3"/>
    <w:rsid w:val="00E55883"/>
    <w:rsid w:val="00E56322"/>
    <w:rsid w:val="00E56E7F"/>
    <w:rsid w:val="00E60982"/>
    <w:rsid w:val="00E61DA5"/>
    <w:rsid w:val="00E62C62"/>
    <w:rsid w:val="00E654C1"/>
    <w:rsid w:val="00E65D97"/>
    <w:rsid w:val="00E675FE"/>
    <w:rsid w:val="00E70F60"/>
    <w:rsid w:val="00E72A5A"/>
    <w:rsid w:val="00E73354"/>
    <w:rsid w:val="00E75AF3"/>
    <w:rsid w:val="00E7785C"/>
    <w:rsid w:val="00E80370"/>
    <w:rsid w:val="00E837CE"/>
    <w:rsid w:val="00E84813"/>
    <w:rsid w:val="00E84A96"/>
    <w:rsid w:val="00E855E4"/>
    <w:rsid w:val="00E870FC"/>
    <w:rsid w:val="00E9242D"/>
    <w:rsid w:val="00E93DF7"/>
    <w:rsid w:val="00E968EF"/>
    <w:rsid w:val="00E97A48"/>
    <w:rsid w:val="00EA01F6"/>
    <w:rsid w:val="00EA4306"/>
    <w:rsid w:val="00EA6AC6"/>
    <w:rsid w:val="00EA6CB8"/>
    <w:rsid w:val="00EA7719"/>
    <w:rsid w:val="00EB197C"/>
    <w:rsid w:val="00EB5255"/>
    <w:rsid w:val="00EB5C47"/>
    <w:rsid w:val="00EB5C74"/>
    <w:rsid w:val="00EB7F64"/>
    <w:rsid w:val="00EC18B7"/>
    <w:rsid w:val="00EC2F95"/>
    <w:rsid w:val="00EC4768"/>
    <w:rsid w:val="00EC483A"/>
    <w:rsid w:val="00EC5326"/>
    <w:rsid w:val="00EC6E90"/>
    <w:rsid w:val="00EC74E6"/>
    <w:rsid w:val="00EC7576"/>
    <w:rsid w:val="00ED04DE"/>
    <w:rsid w:val="00ED0639"/>
    <w:rsid w:val="00ED0F47"/>
    <w:rsid w:val="00ED1692"/>
    <w:rsid w:val="00ED2D0D"/>
    <w:rsid w:val="00ED33CC"/>
    <w:rsid w:val="00ED38F4"/>
    <w:rsid w:val="00ED4944"/>
    <w:rsid w:val="00EE4425"/>
    <w:rsid w:val="00EE482E"/>
    <w:rsid w:val="00EE5331"/>
    <w:rsid w:val="00EF4755"/>
    <w:rsid w:val="00EF4FAA"/>
    <w:rsid w:val="00EF5ABD"/>
    <w:rsid w:val="00EF65E3"/>
    <w:rsid w:val="00EF7135"/>
    <w:rsid w:val="00EF780C"/>
    <w:rsid w:val="00F007B2"/>
    <w:rsid w:val="00F014C4"/>
    <w:rsid w:val="00F027DB"/>
    <w:rsid w:val="00F04A45"/>
    <w:rsid w:val="00F06663"/>
    <w:rsid w:val="00F11855"/>
    <w:rsid w:val="00F120C9"/>
    <w:rsid w:val="00F12304"/>
    <w:rsid w:val="00F13CFF"/>
    <w:rsid w:val="00F1421F"/>
    <w:rsid w:val="00F14A7A"/>
    <w:rsid w:val="00F154DE"/>
    <w:rsid w:val="00F16A6B"/>
    <w:rsid w:val="00F20D91"/>
    <w:rsid w:val="00F21850"/>
    <w:rsid w:val="00F22985"/>
    <w:rsid w:val="00F22EAF"/>
    <w:rsid w:val="00F23DC1"/>
    <w:rsid w:val="00F243A4"/>
    <w:rsid w:val="00F25F1A"/>
    <w:rsid w:val="00F26EBB"/>
    <w:rsid w:val="00F27582"/>
    <w:rsid w:val="00F27A48"/>
    <w:rsid w:val="00F27EE1"/>
    <w:rsid w:val="00F3383E"/>
    <w:rsid w:val="00F35AFB"/>
    <w:rsid w:val="00F41166"/>
    <w:rsid w:val="00F43241"/>
    <w:rsid w:val="00F43DF0"/>
    <w:rsid w:val="00F44D96"/>
    <w:rsid w:val="00F465A7"/>
    <w:rsid w:val="00F50B7C"/>
    <w:rsid w:val="00F54534"/>
    <w:rsid w:val="00F550E6"/>
    <w:rsid w:val="00F5724E"/>
    <w:rsid w:val="00F635F4"/>
    <w:rsid w:val="00F65663"/>
    <w:rsid w:val="00F65712"/>
    <w:rsid w:val="00F67DB6"/>
    <w:rsid w:val="00F709A6"/>
    <w:rsid w:val="00F72C2D"/>
    <w:rsid w:val="00F74345"/>
    <w:rsid w:val="00F74DAE"/>
    <w:rsid w:val="00F76B75"/>
    <w:rsid w:val="00F77B83"/>
    <w:rsid w:val="00F77DC6"/>
    <w:rsid w:val="00F80A0A"/>
    <w:rsid w:val="00F82B19"/>
    <w:rsid w:val="00F82DC9"/>
    <w:rsid w:val="00F83AB7"/>
    <w:rsid w:val="00F86513"/>
    <w:rsid w:val="00F9212D"/>
    <w:rsid w:val="00F92457"/>
    <w:rsid w:val="00F92FD3"/>
    <w:rsid w:val="00F93CEF"/>
    <w:rsid w:val="00F941C4"/>
    <w:rsid w:val="00F94545"/>
    <w:rsid w:val="00F95E89"/>
    <w:rsid w:val="00F965DA"/>
    <w:rsid w:val="00FA206F"/>
    <w:rsid w:val="00FA2BBF"/>
    <w:rsid w:val="00FA406A"/>
    <w:rsid w:val="00FA4F67"/>
    <w:rsid w:val="00FA5FB9"/>
    <w:rsid w:val="00FB039D"/>
    <w:rsid w:val="00FB1A16"/>
    <w:rsid w:val="00FB26F1"/>
    <w:rsid w:val="00FB503A"/>
    <w:rsid w:val="00FB516C"/>
    <w:rsid w:val="00FB64AA"/>
    <w:rsid w:val="00FB651B"/>
    <w:rsid w:val="00FB6A73"/>
    <w:rsid w:val="00FB75D5"/>
    <w:rsid w:val="00FB7FCA"/>
    <w:rsid w:val="00FB7FDA"/>
    <w:rsid w:val="00FC09CA"/>
    <w:rsid w:val="00FC1BCD"/>
    <w:rsid w:val="00FC3945"/>
    <w:rsid w:val="00FC5074"/>
    <w:rsid w:val="00FC5BC9"/>
    <w:rsid w:val="00FC603E"/>
    <w:rsid w:val="00FC70F0"/>
    <w:rsid w:val="00FD0236"/>
    <w:rsid w:val="00FD0BBF"/>
    <w:rsid w:val="00FD0E6D"/>
    <w:rsid w:val="00FD18F4"/>
    <w:rsid w:val="00FD1C7D"/>
    <w:rsid w:val="00FD4536"/>
    <w:rsid w:val="00FD5053"/>
    <w:rsid w:val="00FD54DB"/>
    <w:rsid w:val="00FD619F"/>
    <w:rsid w:val="00FE0343"/>
    <w:rsid w:val="00FE0DBA"/>
    <w:rsid w:val="00FE2EBF"/>
    <w:rsid w:val="00FE485E"/>
    <w:rsid w:val="00FE71D3"/>
    <w:rsid w:val="00FF22C3"/>
    <w:rsid w:val="00FF2793"/>
    <w:rsid w:val="00FF2DDE"/>
    <w:rsid w:val="00FF47B8"/>
    <w:rsid w:val="00FF5E58"/>
    <w:rsid w:val="01064C9A"/>
    <w:rsid w:val="011A24F4"/>
    <w:rsid w:val="01215B80"/>
    <w:rsid w:val="01237500"/>
    <w:rsid w:val="012820C9"/>
    <w:rsid w:val="01290F7E"/>
    <w:rsid w:val="012A2737"/>
    <w:rsid w:val="01311D17"/>
    <w:rsid w:val="013C06BC"/>
    <w:rsid w:val="015D1E09"/>
    <w:rsid w:val="01674201"/>
    <w:rsid w:val="016814B1"/>
    <w:rsid w:val="018D1F09"/>
    <w:rsid w:val="018F2EE2"/>
    <w:rsid w:val="01A66FAC"/>
    <w:rsid w:val="01BB2C92"/>
    <w:rsid w:val="01BE0797"/>
    <w:rsid w:val="01CA3F1A"/>
    <w:rsid w:val="01CC5EE4"/>
    <w:rsid w:val="01E80DBD"/>
    <w:rsid w:val="01E925F2"/>
    <w:rsid w:val="01F36409"/>
    <w:rsid w:val="01F6141B"/>
    <w:rsid w:val="01F75B97"/>
    <w:rsid w:val="01FE59A9"/>
    <w:rsid w:val="022B2C0A"/>
    <w:rsid w:val="022D1F39"/>
    <w:rsid w:val="02315D47"/>
    <w:rsid w:val="02470386"/>
    <w:rsid w:val="024B62DD"/>
    <w:rsid w:val="02597C05"/>
    <w:rsid w:val="02697903"/>
    <w:rsid w:val="027125E7"/>
    <w:rsid w:val="02754146"/>
    <w:rsid w:val="02952C5E"/>
    <w:rsid w:val="02A1185C"/>
    <w:rsid w:val="02C019D4"/>
    <w:rsid w:val="02F14006"/>
    <w:rsid w:val="02F57CDA"/>
    <w:rsid w:val="02F96569"/>
    <w:rsid w:val="02FE0950"/>
    <w:rsid w:val="03086AA8"/>
    <w:rsid w:val="030D35BA"/>
    <w:rsid w:val="030E628E"/>
    <w:rsid w:val="034E1AD9"/>
    <w:rsid w:val="034E3B46"/>
    <w:rsid w:val="035241C7"/>
    <w:rsid w:val="035A704B"/>
    <w:rsid w:val="0361733D"/>
    <w:rsid w:val="036E2462"/>
    <w:rsid w:val="037C7496"/>
    <w:rsid w:val="03885E3A"/>
    <w:rsid w:val="038C40B3"/>
    <w:rsid w:val="03C41B4C"/>
    <w:rsid w:val="03C9261A"/>
    <w:rsid w:val="03D8437B"/>
    <w:rsid w:val="03DE514C"/>
    <w:rsid w:val="03E121C8"/>
    <w:rsid w:val="03E8760A"/>
    <w:rsid w:val="03EA7B21"/>
    <w:rsid w:val="03F428C6"/>
    <w:rsid w:val="03FA1581"/>
    <w:rsid w:val="0422003D"/>
    <w:rsid w:val="04347207"/>
    <w:rsid w:val="04363AE8"/>
    <w:rsid w:val="043F0BEF"/>
    <w:rsid w:val="044C330C"/>
    <w:rsid w:val="0472769F"/>
    <w:rsid w:val="04834485"/>
    <w:rsid w:val="04887041"/>
    <w:rsid w:val="048900BC"/>
    <w:rsid w:val="04930216"/>
    <w:rsid w:val="049D5915"/>
    <w:rsid w:val="04B425C4"/>
    <w:rsid w:val="04BB376C"/>
    <w:rsid w:val="04BC0F1C"/>
    <w:rsid w:val="04C74740"/>
    <w:rsid w:val="04E93A67"/>
    <w:rsid w:val="05047743"/>
    <w:rsid w:val="051860E5"/>
    <w:rsid w:val="051B7B51"/>
    <w:rsid w:val="052133BF"/>
    <w:rsid w:val="05371D61"/>
    <w:rsid w:val="055406CA"/>
    <w:rsid w:val="0559183C"/>
    <w:rsid w:val="056027DC"/>
    <w:rsid w:val="0584434F"/>
    <w:rsid w:val="05AB7BBE"/>
    <w:rsid w:val="05B253F0"/>
    <w:rsid w:val="05B84D2F"/>
    <w:rsid w:val="05CB71F5"/>
    <w:rsid w:val="05D023E5"/>
    <w:rsid w:val="05D8751B"/>
    <w:rsid w:val="05EF03F3"/>
    <w:rsid w:val="05F83EAE"/>
    <w:rsid w:val="05FC263E"/>
    <w:rsid w:val="061A7178"/>
    <w:rsid w:val="06206C00"/>
    <w:rsid w:val="062A31D9"/>
    <w:rsid w:val="062D4053"/>
    <w:rsid w:val="062D7DD0"/>
    <w:rsid w:val="063E7D85"/>
    <w:rsid w:val="065F572B"/>
    <w:rsid w:val="06707E29"/>
    <w:rsid w:val="06797526"/>
    <w:rsid w:val="067E0BDA"/>
    <w:rsid w:val="068365A0"/>
    <w:rsid w:val="06A0349B"/>
    <w:rsid w:val="06A238B9"/>
    <w:rsid w:val="06A92350"/>
    <w:rsid w:val="06B052CE"/>
    <w:rsid w:val="06BB619D"/>
    <w:rsid w:val="06CC08E0"/>
    <w:rsid w:val="06DA4BFF"/>
    <w:rsid w:val="06DE41BE"/>
    <w:rsid w:val="06E635A4"/>
    <w:rsid w:val="06F15AA5"/>
    <w:rsid w:val="06F63BA1"/>
    <w:rsid w:val="06FC0970"/>
    <w:rsid w:val="06FC2291"/>
    <w:rsid w:val="06FF4665"/>
    <w:rsid w:val="070702F4"/>
    <w:rsid w:val="070F3BD8"/>
    <w:rsid w:val="07293586"/>
    <w:rsid w:val="07295285"/>
    <w:rsid w:val="07307CAC"/>
    <w:rsid w:val="073F2CB4"/>
    <w:rsid w:val="074B20D5"/>
    <w:rsid w:val="07636392"/>
    <w:rsid w:val="07762B7A"/>
    <w:rsid w:val="07770C56"/>
    <w:rsid w:val="07783040"/>
    <w:rsid w:val="07834FAC"/>
    <w:rsid w:val="07835161"/>
    <w:rsid w:val="0783725B"/>
    <w:rsid w:val="07AD260E"/>
    <w:rsid w:val="07B0770E"/>
    <w:rsid w:val="07B32C99"/>
    <w:rsid w:val="07B74F40"/>
    <w:rsid w:val="07BA6793"/>
    <w:rsid w:val="07BB2EE5"/>
    <w:rsid w:val="07E40663"/>
    <w:rsid w:val="07E85E2B"/>
    <w:rsid w:val="07EA1DFF"/>
    <w:rsid w:val="08221087"/>
    <w:rsid w:val="082371A9"/>
    <w:rsid w:val="08250DAB"/>
    <w:rsid w:val="08324ED9"/>
    <w:rsid w:val="0838381A"/>
    <w:rsid w:val="083E2F6B"/>
    <w:rsid w:val="086A5B0F"/>
    <w:rsid w:val="087A240E"/>
    <w:rsid w:val="08857A98"/>
    <w:rsid w:val="088E3EF3"/>
    <w:rsid w:val="089E3FB1"/>
    <w:rsid w:val="08AB6853"/>
    <w:rsid w:val="08BB636A"/>
    <w:rsid w:val="08C571E9"/>
    <w:rsid w:val="08EC575D"/>
    <w:rsid w:val="08F0070A"/>
    <w:rsid w:val="09091795"/>
    <w:rsid w:val="092217DD"/>
    <w:rsid w:val="092B0741"/>
    <w:rsid w:val="092D6C8C"/>
    <w:rsid w:val="092F562C"/>
    <w:rsid w:val="093836A2"/>
    <w:rsid w:val="093A7294"/>
    <w:rsid w:val="095567BF"/>
    <w:rsid w:val="09616F12"/>
    <w:rsid w:val="096B2F12"/>
    <w:rsid w:val="096B7D90"/>
    <w:rsid w:val="0974768F"/>
    <w:rsid w:val="097E2118"/>
    <w:rsid w:val="09842C00"/>
    <w:rsid w:val="098739B2"/>
    <w:rsid w:val="098D54CF"/>
    <w:rsid w:val="098E58FB"/>
    <w:rsid w:val="09A635E9"/>
    <w:rsid w:val="09A6701A"/>
    <w:rsid w:val="09B56237"/>
    <w:rsid w:val="09B74B30"/>
    <w:rsid w:val="09C434D4"/>
    <w:rsid w:val="09C94073"/>
    <w:rsid w:val="09D75580"/>
    <w:rsid w:val="09E375F8"/>
    <w:rsid w:val="0A022679"/>
    <w:rsid w:val="0A0A4E5E"/>
    <w:rsid w:val="0A0F2E11"/>
    <w:rsid w:val="0A2071DF"/>
    <w:rsid w:val="0A263993"/>
    <w:rsid w:val="0A2A19F9"/>
    <w:rsid w:val="0A2A21EF"/>
    <w:rsid w:val="0A2D3AC2"/>
    <w:rsid w:val="0A3208AE"/>
    <w:rsid w:val="0A40121D"/>
    <w:rsid w:val="0A5648C6"/>
    <w:rsid w:val="0A59408D"/>
    <w:rsid w:val="0A622F6D"/>
    <w:rsid w:val="0A671572"/>
    <w:rsid w:val="0A8F7AAE"/>
    <w:rsid w:val="0AA70ED2"/>
    <w:rsid w:val="0AA755DF"/>
    <w:rsid w:val="0ABC0143"/>
    <w:rsid w:val="0AC86C20"/>
    <w:rsid w:val="0ACB4F8A"/>
    <w:rsid w:val="0ACE430C"/>
    <w:rsid w:val="0ACF5F66"/>
    <w:rsid w:val="0AE40036"/>
    <w:rsid w:val="0AE41BA8"/>
    <w:rsid w:val="0AF07761"/>
    <w:rsid w:val="0B010D5E"/>
    <w:rsid w:val="0B04224A"/>
    <w:rsid w:val="0B077F8D"/>
    <w:rsid w:val="0B120D44"/>
    <w:rsid w:val="0B14520E"/>
    <w:rsid w:val="0B185CF6"/>
    <w:rsid w:val="0B416FFB"/>
    <w:rsid w:val="0B446AEB"/>
    <w:rsid w:val="0B512FB6"/>
    <w:rsid w:val="0B527CFD"/>
    <w:rsid w:val="0B705B32"/>
    <w:rsid w:val="0B8060B7"/>
    <w:rsid w:val="0B813335"/>
    <w:rsid w:val="0B830356"/>
    <w:rsid w:val="0B865355"/>
    <w:rsid w:val="0B974E6D"/>
    <w:rsid w:val="0B9C2483"/>
    <w:rsid w:val="0BAB3C26"/>
    <w:rsid w:val="0BBF678B"/>
    <w:rsid w:val="0BCA3494"/>
    <w:rsid w:val="0BD27BF6"/>
    <w:rsid w:val="0BD303BC"/>
    <w:rsid w:val="0BE24B2A"/>
    <w:rsid w:val="0BE7141E"/>
    <w:rsid w:val="0BEA0B61"/>
    <w:rsid w:val="0BED7FE8"/>
    <w:rsid w:val="0BEE2331"/>
    <w:rsid w:val="0BF26547"/>
    <w:rsid w:val="0C103097"/>
    <w:rsid w:val="0C250424"/>
    <w:rsid w:val="0C3B3C7D"/>
    <w:rsid w:val="0C3E5543"/>
    <w:rsid w:val="0C40400A"/>
    <w:rsid w:val="0C654F6B"/>
    <w:rsid w:val="0C6A432F"/>
    <w:rsid w:val="0C796C68"/>
    <w:rsid w:val="0C8022ED"/>
    <w:rsid w:val="0C847AEC"/>
    <w:rsid w:val="0C9C2DEA"/>
    <w:rsid w:val="0CA81FDE"/>
    <w:rsid w:val="0CAB2EAE"/>
    <w:rsid w:val="0CB63A18"/>
    <w:rsid w:val="0CCF0636"/>
    <w:rsid w:val="0CD46E85"/>
    <w:rsid w:val="0CE17B2C"/>
    <w:rsid w:val="0CE265BB"/>
    <w:rsid w:val="0CE373DE"/>
    <w:rsid w:val="0D0B3D64"/>
    <w:rsid w:val="0D0F7236"/>
    <w:rsid w:val="0D2319E7"/>
    <w:rsid w:val="0D244E26"/>
    <w:rsid w:val="0D31309F"/>
    <w:rsid w:val="0D4A5F0F"/>
    <w:rsid w:val="0D4B23B2"/>
    <w:rsid w:val="0D621C7D"/>
    <w:rsid w:val="0D7931DB"/>
    <w:rsid w:val="0D953218"/>
    <w:rsid w:val="0DA27AF9"/>
    <w:rsid w:val="0DAC452F"/>
    <w:rsid w:val="0DAD0977"/>
    <w:rsid w:val="0E0C3F06"/>
    <w:rsid w:val="0E1C10F3"/>
    <w:rsid w:val="0E2739C1"/>
    <w:rsid w:val="0E381128"/>
    <w:rsid w:val="0E3C7F4D"/>
    <w:rsid w:val="0E4868F2"/>
    <w:rsid w:val="0E63372C"/>
    <w:rsid w:val="0E6B3492"/>
    <w:rsid w:val="0E73034D"/>
    <w:rsid w:val="0E770F85"/>
    <w:rsid w:val="0E816FC5"/>
    <w:rsid w:val="0E8C797A"/>
    <w:rsid w:val="0E8F62CF"/>
    <w:rsid w:val="0E9A3896"/>
    <w:rsid w:val="0E9A4B84"/>
    <w:rsid w:val="0EAA418D"/>
    <w:rsid w:val="0EB50E67"/>
    <w:rsid w:val="0EB57897"/>
    <w:rsid w:val="0EC87A33"/>
    <w:rsid w:val="0EE24FD5"/>
    <w:rsid w:val="0EEF2C49"/>
    <w:rsid w:val="0EF600FC"/>
    <w:rsid w:val="0F13775A"/>
    <w:rsid w:val="0F1F58A5"/>
    <w:rsid w:val="0F24110D"/>
    <w:rsid w:val="0F2C7FC2"/>
    <w:rsid w:val="0F347270"/>
    <w:rsid w:val="0F3C14D5"/>
    <w:rsid w:val="0F3D3F7D"/>
    <w:rsid w:val="0F3D654C"/>
    <w:rsid w:val="0F4E618A"/>
    <w:rsid w:val="0F501F02"/>
    <w:rsid w:val="0F5F45FE"/>
    <w:rsid w:val="0F6459AD"/>
    <w:rsid w:val="0F774A52"/>
    <w:rsid w:val="0F9A112B"/>
    <w:rsid w:val="0F9D4A1B"/>
    <w:rsid w:val="0FA433A6"/>
    <w:rsid w:val="0FC50A87"/>
    <w:rsid w:val="0FC959A2"/>
    <w:rsid w:val="0FD7426F"/>
    <w:rsid w:val="0FF41820"/>
    <w:rsid w:val="0FFF0547"/>
    <w:rsid w:val="10087BDF"/>
    <w:rsid w:val="101051ED"/>
    <w:rsid w:val="101A42BE"/>
    <w:rsid w:val="102162B8"/>
    <w:rsid w:val="104F1C9F"/>
    <w:rsid w:val="104F3F68"/>
    <w:rsid w:val="10527056"/>
    <w:rsid w:val="106D2F64"/>
    <w:rsid w:val="10711E0A"/>
    <w:rsid w:val="10860FCC"/>
    <w:rsid w:val="10947BCD"/>
    <w:rsid w:val="10A652F8"/>
    <w:rsid w:val="10B60105"/>
    <w:rsid w:val="10B63710"/>
    <w:rsid w:val="10B83CE5"/>
    <w:rsid w:val="10D91A83"/>
    <w:rsid w:val="10F10820"/>
    <w:rsid w:val="10F90377"/>
    <w:rsid w:val="10FE0170"/>
    <w:rsid w:val="10FF2D32"/>
    <w:rsid w:val="111C2F7A"/>
    <w:rsid w:val="11385A8A"/>
    <w:rsid w:val="11396F66"/>
    <w:rsid w:val="11427BDD"/>
    <w:rsid w:val="114F7F97"/>
    <w:rsid w:val="11534357"/>
    <w:rsid w:val="11567578"/>
    <w:rsid w:val="115832F0"/>
    <w:rsid w:val="11665CA1"/>
    <w:rsid w:val="117E1BBF"/>
    <w:rsid w:val="117E7713"/>
    <w:rsid w:val="11812847"/>
    <w:rsid w:val="11881D3E"/>
    <w:rsid w:val="118C7725"/>
    <w:rsid w:val="1190567D"/>
    <w:rsid w:val="119F692D"/>
    <w:rsid w:val="11A326FA"/>
    <w:rsid w:val="11AC3D00"/>
    <w:rsid w:val="11B12A00"/>
    <w:rsid w:val="11EB7C2B"/>
    <w:rsid w:val="11EC3A38"/>
    <w:rsid w:val="11F61272"/>
    <w:rsid w:val="11F823DD"/>
    <w:rsid w:val="11FB57A5"/>
    <w:rsid w:val="11FC011F"/>
    <w:rsid w:val="12015736"/>
    <w:rsid w:val="120C7C36"/>
    <w:rsid w:val="12224E20"/>
    <w:rsid w:val="1232769D"/>
    <w:rsid w:val="123D1751"/>
    <w:rsid w:val="123F13F4"/>
    <w:rsid w:val="12490E8B"/>
    <w:rsid w:val="124E4E5A"/>
    <w:rsid w:val="12597320"/>
    <w:rsid w:val="126E1EA4"/>
    <w:rsid w:val="12725029"/>
    <w:rsid w:val="127F48AC"/>
    <w:rsid w:val="128771E6"/>
    <w:rsid w:val="128C4476"/>
    <w:rsid w:val="12944340"/>
    <w:rsid w:val="12986478"/>
    <w:rsid w:val="12997BAB"/>
    <w:rsid w:val="12A7545C"/>
    <w:rsid w:val="12B40A65"/>
    <w:rsid w:val="12C33AC5"/>
    <w:rsid w:val="12CF5C6D"/>
    <w:rsid w:val="12D0745C"/>
    <w:rsid w:val="12EA2F3A"/>
    <w:rsid w:val="1304784E"/>
    <w:rsid w:val="13125355"/>
    <w:rsid w:val="132E255A"/>
    <w:rsid w:val="132E6BE8"/>
    <w:rsid w:val="133A0C4F"/>
    <w:rsid w:val="134168C5"/>
    <w:rsid w:val="134D481D"/>
    <w:rsid w:val="13545D39"/>
    <w:rsid w:val="1356385F"/>
    <w:rsid w:val="137075B2"/>
    <w:rsid w:val="138959E3"/>
    <w:rsid w:val="138A6EE1"/>
    <w:rsid w:val="13951726"/>
    <w:rsid w:val="13B34502"/>
    <w:rsid w:val="13B47564"/>
    <w:rsid w:val="13BF1404"/>
    <w:rsid w:val="13C702B9"/>
    <w:rsid w:val="13DD5D2E"/>
    <w:rsid w:val="13EB54F6"/>
    <w:rsid w:val="13FD3751"/>
    <w:rsid w:val="140B621A"/>
    <w:rsid w:val="140C2170"/>
    <w:rsid w:val="140D7CB3"/>
    <w:rsid w:val="141C6857"/>
    <w:rsid w:val="14220ED5"/>
    <w:rsid w:val="142F32B1"/>
    <w:rsid w:val="14396509"/>
    <w:rsid w:val="14397409"/>
    <w:rsid w:val="143E4A1F"/>
    <w:rsid w:val="14466FE1"/>
    <w:rsid w:val="145B1BB8"/>
    <w:rsid w:val="1468384A"/>
    <w:rsid w:val="146B17ED"/>
    <w:rsid w:val="147A357D"/>
    <w:rsid w:val="147F2CAC"/>
    <w:rsid w:val="148A2B3C"/>
    <w:rsid w:val="148A7C64"/>
    <w:rsid w:val="148D45F4"/>
    <w:rsid w:val="14952165"/>
    <w:rsid w:val="14961937"/>
    <w:rsid w:val="149D1C91"/>
    <w:rsid w:val="14AE3227"/>
    <w:rsid w:val="14B24AC5"/>
    <w:rsid w:val="14BD4DE9"/>
    <w:rsid w:val="14DD2C3C"/>
    <w:rsid w:val="14E35B6D"/>
    <w:rsid w:val="15075964"/>
    <w:rsid w:val="150D2643"/>
    <w:rsid w:val="151632A6"/>
    <w:rsid w:val="15192D96"/>
    <w:rsid w:val="152642CB"/>
    <w:rsid w:val="152872A1"/>
    <w:rsid w:val="154140AC"/>
    <w:rsid w:val="1547674F"/>
    <w:rsid w:val="154C6CC8"/>
    <w:rsid w:val="1554407C"/>
    <w:rsid w:val="15666071"/>
    <w:rsid w:val="156753C3"/>
    <w:rsid w:val="15681628"/>
    <w:rsid w:val="156B7752"/>
    <w:rsid w:val="159A258D"/>
    <w:rsid w:val="15A02F9B"/>
    <w:rsid w:val="15A22D8C"/>
    <w:rsid w:val="15C2342E"/>
    <w:rsid w:val="15C30CAF"/>
    <w:rsid w:val="15CD6122"/>
    <w:rsid w:val="15D0443E"/>
    <w:rsid w:val="15D171CD"/>
    <w:rsid w:val="15F113D7"/>
    <w:rsid w:val="16087E1D"/>
    <w:rsid w:val="160C46A9"/>
    <w:rsid w:val="1624508E"/>
    <w:rsid w:val="162D0AB5"/>
    <w:rsid w:val="164C3B77"/>
    <w:rsid w:val="164E081E"/>
    <w:rsid w:val="16590D28"/>
    <w:rsid w:val="165B2195"/>
    <w:rsid w:val="1662251B"/>
    <w:rsid w:val="166528EF"/>
    <w:rsid w:val="16673B66"/>
    <w:rsid w:val="166D22D9"/>
    <w:rsid w:val="1675224E"/>
    <w:rsid w:val="167C182F"/>
    <w:rsid w:val="16922E00"/>
    <w:rsid w:val="16977E7B"/>
    <w:rsid w:val="169B72F5"/>
    <w:rsid w:val="169C3C7F"/>
    <w:rsid w:val="16AA639C"/>
    <w:rsid w:val="16B816DF"/>
    <w:rsid w:val="16BA4105"/>
    <w:rsid w:val="16C240F4"/>
    <w:rsid w:val="16CD725C"/>
    <w:rsid w:val="17045380"/>
    <w:rsid w:val="170B54AD"/>
    <w:rsid w:val="170E3278"/>
    <w:rsid w:val="170F4451"/>
    <w:rsid w:val="170F4E4B"/>
    <w:rsid w:val="1739607E"/>
    <w:rsid w:val="17485BB5"/>
    <w:rsid w:val="1752549D"/>
    <w:rsid w:val="1759666D"/>
    <w:rsid w:val="17635963"/>
    <w:rsid w:val="17701D14"/>
    <w:rsid w:val="17735226"/>
    <w:rsid w:val="17914D78"/>
    <w:rsid w:val="17B7711F"/>
    <w:rsid w:val="17C009B5"/>
    <w:rsid w:val="17DA4A5F"/>
    <w:rsid w:val="17DD7041"/>
    <w:rsid w:val="17E31439"/>
    <w:rsid w:val="18004856"/>
    <w:rsid w:val="182757CA"/>
    <w:rsid w:val="184C3483"/>
    <w:rsid w:val="184E7B2F"/>
    <w:rsid w:val="18567E5D"/>
    <w:rsid w:val="185B306D"/>
    <w:rsid w:val="187529D9"/>
    <w:rsid w:val="18851CF3"/>
    <w:rsid w:val="188C744F"/>
    <w:rsid w:val="189F624C"/>
    <w:rsid w:val="18AF74C5"/>
    <w:rsid w:val="18B936A3"/>
    <w:rsid w:val="18D53568"/>
    <w:rsid w:val="18D81560"/>
    <w:rsid w:val="18E611E1"/>
    <w:rsid w:val="1901601B"/>
    <w:rsid w:val="19090C5B"/>
    <w:rsid w:val="192B3098"/>
    <w:rsid w:val="193E0608"/>
    <w:rsid w:val="19461C39"/>
    <w:rsid w:val="194B54E8"/>
    <w:rsid w:val="194C4E4B"/>
    <w:rsid w:val="195433E5"/>
    <w:rsid w:val="195D5B61"/>
    <w:rsid w:val="19601F09"/>
    <w:rsid w:val="196A3171"/>
    <w:rsid w:val="197B401F"/>
    <w:rsid w:val="19812785"/>
    <w:rsid w:val="199250F4"/>
    <w:rsid w:val="199A50D5"/>
    <w:rsid w:val="19B51743"/>
    <w:rsid w:val="19C669A6"/>
    <w:rsid w:val="19D73CC9"/>
    <w:rsid w:val="19DF7D93"/>
    <w:rsid w:val="19EC6CCB"/>
    <w:rsid w:val="1A0902B8"/>
    <w:rsid w:val="1A0A6273"/>
    <w:rsid w:val="1A1B310D"/>
    <w:rsid w:val="1A1C62DC"/>
    <w:rsid w:val="1A1C66C0"/>
    <w:rsid w:val="1A340ED3"/>
    <w:rsid w:val="1A42393B"/>
    <w:rsid w:val="1A423E36"/>
    <w:rsid w:val="1A574945"/>
    <w:rsid w:val="1A671389"/>
    <w:rsid w:val="1A677054"/>
    <w:rsid w:val="1A725422"/>
    <w:rsid w:val="1A8B45A2"/>
    <w:rsid w:val="1A9F5AEC"/>
    <w:rsid w:val="1AAD45DE"/>
    <w:rsid w:val="1AB6305A"/>
    <w:rsid w:val="1ACC11BA"/>
    <w:rsid w:val="1AD11829"/>
    <w:rsid w:val="1AD86AC7"/>
    <w:rsid w:val="1ADE386E"/>
    <w:rsid w:val="1AFC298D"/>
    <w:rsid w:val="1B046F80"/>
    <w:rsid w:val="1B0F622D"/>
    <w:rsid w:val="1B1D61C9"/>
    <w:rsid w:val="1B2A6831"/>
    <w:rsid w:val="1B2B55D1"/>
    <w:rsid w:val="1B2D30F7"/>
    <w:rsid w:val="1B3267B5"/>
    <w:rsid w:val="1B40161D"/>
    <w:rsid w:val="1B4072CF"/>
    <w:rsid w:val="1B430B6D"/>
    <w:rsid w:val="1B441859"/>
    <w:rsid w:val="1B505038"/>
    <w:rsid w:val="1B573E82"/>
    <w:rsid w:val="1B6603B7"/>
    <w:rsid w:val="1B6606B1"/>
    <w:rsid w:val="1B694F16"/>
    <w:rsid w:val="1B7B1DBB"/>
    <w:rsid w:val="1B830F69"/>
    <w:rsid w:val="1B8F2A9E"/>
    <w:rsid w:val="1BA16EE5"/>
    <w:rsid w:val="1BA23AE5"/>
    <w:rsid w:val="1BB344A8"/>
    <w:rsid w:val="1BC525BC"/>
    <w:rsid w:val="1BD37BC9"/>
    <w:rsid w:val="1BD73063"/>
    <w:rsid w:val="1BE0016A"/>
    <w:rsid w:val="1BE0460E"/>
    <w:rsid w:val="1BE1475C"/>
    <w:rsid w:val="1BF07615"/>
    <w:rsid w:val="1BF956CF"/>
    <w:rsid w:val="1C026332"/>
    <w:rsid w:val="1C1442B7"/>
    <w:rsid w:val="1C163B8C"/>
    <w:rsid w:val="1C197B20"/>
    <w:rsid w:val="1C1C3DA0"/>
    <w:rsid w:val="1C2453B2"/>
    <w:rsid w:val="1C442B27"/>
    <w:rsid w:val="1C5111C4"/>
    <w:rsid w:val="1C533032"/>
    <w:rsid w:val="1C5E7925"/>
    <w:rsid w:val="1C6123E3"/>
    <w:rsid w:val="1C962F1E"/>
    <w:rsid w:val="1CA73F09"/>
    <w:rsid w:val="1CB87339"/>
    <w:rsid w:val="1CB95D70"/>
    <w:rsid w:val="1CD35F20"/>
    <w:rsid w:val="1CDF44D2"/>
    <w:rsid w:val="1CE7025E"/>
    <w:rsid w:val="1CFD070F"/>
    <w:rsid w:val="1CFF3ED8"/>
    <w:rsid w:val="1D085BCA"/>
    <w:rsid w:val="1D215E89"/>
    <w:rsid w:val="1D271DC8"/>
    <w:rsid w:val="1D2828BF"/>
    <w:rsid w:val="1D282D7C"/>
    <w:rsid w:val="1D2B7B0B"/>
    <w:rsid w:val="1D3A2382"/>
    <w:rsid w:val="1D492483"/>
    <w:rsid w:val="1D4B5AB7"/>
    <w:rsid w:val="1D530C71"/>
    <w:rsid w:val="1D57445C"/>
    <w:rsid w:val="1D591F96"/>
    <w:rsid w:val="1D593674"/>
    <w:rsid w:val="1D5F6196"/>
    <w:rsid w:val="1D6132A5"/>
    <w:rsid w:val="1D6F6E1B"/>
    <w:rsid w:val="1D752B34"/>
    <w:rsid w:val="1D81668F"/>
    <w:rsid w:val="1D86147E"/>
    <w:rsid w:val="1D8E56D5"/>
    <w:rsid w:val="1D903E12"/>
    <w:rsid w:val="1D9444A0"/>
    <w:rsid w:val="1D9C7EFB"/>
    <w:rsid w:val="1DA74F9E"/>
    <w:rsid w:val="1DA84CB7"/>
    <w:rsid w:val="1DB852B3"/>
    <w:rsid w:val="1DBB3851"/>
    <w:rsid w:val="1DC064A5"/>
    <w:rsid w:val="1DD779B4"/>
    <w:rsid w:val="1DD8524D"/>
    <w:rsid w:val="1DE657E0"/>
    <w:rsid w:val="1DEA2862"/>
    <w:rsid w:val="1DFE0D7B"/>
    <w:rsid w:val="1E0635CD"/>
    <w:rsid w:val="1E1854AD"/>
    <w:rsid w:val="1E294DE4"/>
    <w:rsid w:val="1E3B3D7D"/>
    <w:rsid w:val="1E446570"/>
    <w:rsid w:val="1E576E25"/>
    <w:rsid w:val="1E5E3602"/>
    <w:rsid w:val="1E7A43DA"/>
    <w:rsid w:val="1E9D67E6"/>
    <w:rsid w:val="1EA20F9B"/>
    <w:rsid w:val="1EB43740"/>
    <w:rsid w:val="1EBC456D"/>
    <w:rsid w:val="1ED41ADC"/>
    <w:rsid w:val="1EEE7042"/>
    <w:rsid w:val="1EF12496"/>
    <w:rsid w:val="1EF5265F"/>
    <w:rsid w:val="1EF74148"/>
    <w:rsid w:val="1EFB1165"/>
    <w:rsid w:val="1F226F40"/>
    <w:rsid w:val="1F28119D"/>
    <w:rsid w:val="1F33368A"/>
    <w:rsid w:val="1F49071C"/>
    <w:rsid w:val="1F66145A"/>
    <w:rsid w:val="1F745799"/>
    <w:rsid w:val="1F7527F1"/>
    <w:rsid w:val="1F75506D"/>
    <w:rsid w:val="1F8452B0"/>
    <w:rsid w:val="1F8D0609"/>
    <w:rsid w:val="1F8E0C3C"/>
    <w:rsid w:val="1F933745"/>
    <w:rsid w:val="1F980D5B"/>
    <w:rsid w:val="1FBB33C8"/>
    <w:rsid w:val="1FC02C10"/>
    <w:rsid w:val="1FD4446B"/>
    <w:rsid w:val="1FE7539E"/>
    <w:rsid w:val="1FED72F9"/>
    <w:rsid w:val="1FF03502"/>
    <w:rsid w:val="1FF24910"/>
    <w:rsid w:val="200A5653"/>
    <w:rsid w:val="201578D9"/>
    <w:rsid w:val="201A5919"/>
    <w:rsid w:val="2025043D"/>
    <w:rsid w:val="20341A88"/>
    <w:rsid w:val="203D5894"/>
    <w:rsid w:val="204C3468"/>
    <w:rsid w:val="20531852"/>
    <w:rsid w:val="206335DD"/>
    <w:rsid w:val="206670F5"/>
    <w:rsid w:val="20671BE0"/>
    <w:rsid w:val="206D3F96"/>
    <w:rsid w:val="20717F2A"/>
    <w:rsid w:val="207C156A"/>
    <w:rsid w:val="207F250F"/>
    <w:rsid w:val="208C6B12"/>
    <w:rsid w:val="20963CB8"/>
    <w:rsid w:val="2096528F"/>
    <w:rsid w:val="2099122F"/>
    <w:rsid w:val="20A420AE"/>
    <w:rsid w:val="20A81A1B"/>
    <w:rsid w:val="20AA12A8"/>
    <w:rsid w:val="20B07FB6"/>
    <w:rsid w:val="20B646FB"/>
    <w:rsid w:val="20C81DA3"/>
    <w:rsid w:val="20CA3197"/>
    <w:rsid w:val="20DE6FFC"/>
    <w:rsid w:val="20E5082C"/>
    <w:rsid w:val="20E72867"/>
    <w:rsid w:val="20E73D48"/>
    <w:rsid w:val="20F36B91"/>
    <w:rsid w:val="210219E5"/>
    <w:rsid w:val="210D7225"/>
    <w:rsid w:val="2113274F"/>
    <w:rsid w:val="21132D8F"/>
    <w:rsid w:val="211C05E4"/>
    <w:rsid w:val="211C60E8"/>
    <w:rsid w:val="211D776A"/>
    <w:rsid w:val="21240AF9"/>
    <w:rsid w:val="213B74B1"/>
    <w:rsid w:val="213E224F"/>
    <w:rsid w:val="21480009"/>
    <w:rsid w:val="215008D7"/>
    <w:rsid w:val="21505D92"/>
    <w:rsid w:val="215A2310"/>
    <w:rsid w:val="215A682D"/>
    <w:rsid w:val="216043C0"/>
    <w:rsid w:val="21635E68"/>
    <w:rsid w:val="21690C01"/>
    <w:rsid w:val="216B2F20"/>
    <w:rsid w:val="21717AB6"/>
    <w:rsid w:val="217549B1"/>
    <w:rsid w:val="2177761B"/>
    <w:rsid w:val="21787096"/>
    <w:rsid w:val="217D645B"/>
    <w:rsid w:val="219B3022"/>
    <w:rsid w:val="21BE719F"/>
    <w:rsid w:val="21D342CD"/>
    <w:rsid w:val="21DA671E"/>
    <w:rsid w:val="21DE318A"/>
    <w:rsid w:val="21E94C80"/>
    <w:rsid w:val="21EF5B80"/>
    <w:rsid w:val="21F11323"/>
    <w:rsid w:val="21F42C0B"/>
    <w:rsid w:val="21F7620D"/>
    <w:rsid w:val="21FE58F7"/>
    <w:rsid w:val="22010E3A"/>
    <w:rsid w:val="22034BB2"/>
    <w:rsid w:val="2215214B"/>
    <w:rsid w:val="22160D89"/>
    <w:rsid w:val="222029C6"/>
    <w:rsid w:val="22526676"/>
    <w:rsid w:val="225278E7"/>
    <w:rsid w:val="22576990"/>
    <w:rsid w:val="22637D7E"/>
    <w:rsid w:val="226715E5"/>
    <w:rsid w:val="226C51DE"/>
    <w:rsid w:val="22877591"/>
    <w:rsid w:val="228B7D11"/>
    <w:rsid w:val="229B4E71"/>
    <w:rsid w:val="22A719E1"/>
    <w:rsid w:val="22A77C33"/>
    <w:rsid w:val="22B6684C"/>
    <w:rsid w:val="22B71E69"/>
    <w:rsid w:val="22B94E78"/>
    <w:rsid w:val="22C27589"/>
    <w:rsid w:val="22C86D30"/>
    <w:rsid w:val="22CF466A"/>
    <w:rsid w:val="22D327D6"/>
    <w:rsid w:val="22E62AB1"/>
    <w:rsid w:val="22F47480"/>
    <w:rsid w:val="22F64717"/>
    <w:rsid w:val="22F8223D"/>
    <w:rsid w:val="22FB142B"/>
    <w:rsid w:val="23005B0C"/>
    <w:rsid w:val="231150AD"/>
    <w:rsid w:val="23474F72"/>
    <w:rsid w:val="234A03BA"/>
    <w:rsid w:val="234B4FD9"/>
    <w:rsid w:val="23512450"/>
    <w:rsid w:val="23691B5A"/>
    <w:rsid w:val="237A5A55"/>
    <w:rsid w:val="239A1546"/>
    <w:rsid w:val="239C3366"/>
    <w:rsid w:val="23B32BD1"/>
    <w:rsid w:val="23B4085A"/>
    <w:rsid w:val="23BE3486"/>
    <w:rsid w:val="23CD36CA"/>
    <w:rsid w:val="23D711EC"/>
    <w:rsid w:val="23DE1C48"/>
    <w:rsid w:val="23F05373"/>
    <w:rsid w:val="23F0709E"/>
    <w:rsid w:val="23F073B8"/>
    <w:rsid w:val="23FA0237"/>
    <w:rsid w:val="23FC3FAF"/>
    <w:rsid w:val="240210CD"/>
    <w:rsid w:val="240A66CC"/>
    <w:rsid w:val="241C74DA"/>
    <w:rsid w:val="242B448F"/>
    <w:rsid w:val="24407166"/>
    <w:rsid w:val="24443260"/>
    <w:rsid w:val="24613403"/>
    <w:rsid w:val="24613E12"/>
    <w:rsid w:val="24681644"/>
    <w:rsid w:val="246833F2"/>
    <w:rsid w:val="247B17E7"/>
    <w:rsid w:val="249D44C1"/>
    <w:rsid w:val="24B915B0"/>
    <w:rsid w:val="24BF09F7"/>
    <w:rsid w:val="24CA7739"/>
    <w:rsid w:val="24CB4573"/>
    <w:rsid w:val="24D30AFC"/>
    <w:rsid w:val="24D9609E"/>
    <w:rsid w:val="24F923BA"/>
    <w:rsid w:val="25072C0B"/>
    <w:rsid w:val="25107E7F"/>
    <w:rsid w:val="251365A3"/>
    <w:rsid w:val="25162E4E"/>
    <w:rsid w:val="251B5B0D"/>
    <w:rsid w:val="25222C44"/>
    <w:rsid w:val="252D53FE"/>
    <w:rsid w:val="252E1F46"/>
    <w:rsid w:val="25331C52"/>
    <w:rsid w:val="25387269"/>
    <w:rsid w:val="253B3382"/>
    <w:rsid w:val="25457290"/>
    <w:rsid w:val="254B71CA"/>
    <w:rsid w:val="255418A8"/>
    <w:rsid w:val="25577C7F"/>
    <w:rsid w:val="25577E23"/>
    <w:rsid w:val="2573204F"/>
    <w:rsid w:val="25787665"/>
    <w:rsid w:val="25970746"/>
    <w:rsid w:val="25C91C6F"/>
    <w:rsid w:val="25DA0320"/>
    <w:rsid w:val="25DA74AE"/>
    <w:rsid w:val="25DB1A3B"/>
    <w:rsid w:val="25E1520A"/>
    <w:rsid w:val="25E42F4C"/>
    <w:rsid w:val="25EC2D81"/>
    <w:rsid w:val="25F33BB9"/>
    <w:rsid w:val="260718E7"/>
    <w:rsid w:val="260C0E4A"/>
    <w:rsid w:val="260E05E6"/>
    <w:rsid w:val="26142B7A"/>
    <w:rsid w:val="261A2B50"/>
    <w:rsid w:val="26431A21"/>
    <w:rsid w:val="264E03C6"/>
    <w:rsid w:val="264F40BB"/>
    <w:rsid w:val="26541D97"/>
    <w:rsid w:val="2670022F"/>
    <w:rsid w:val="267A740D"/>
    <w:rsid w:val="26867B60"/>
    <w:rsid w:val="26975E2C"/>
    <w:rsid w:val="26A34BB6"/>
    <w:rsid w:val="26A561C0"/>
    <w:rsid w:val="26CA0394"/>
    <w:rsid w:val="26CE3254"/>
    <w:rsid w:val="26E054C2"/>
    <w:rsid w:val="26E10E4C"/>
    <w:rsid w:val="270C275B"/>
    <w:rsid w:val="27337CE7"/>
    <w:rsid w:val="2769195B"/>
    <w:rsid w:val="27693709"/>
    <w:rsid w:val="276B2117"/>
    <w:rsid w:val="276B2414"/>
    <w:rsid w:val="276D1AC0"/>
    <w:rsid w:val="276F4A98"/>
    <w:rsid w:val="277057A2"/>
    <w:rsid w:val="277910F7"/>
    <w:rsid w:val="277C0753"/>
    <w:rsid w:val="278422F1"/>
    <w:rsid w:val="27890B3D"/>
    <w:rsid w:val="278A5B78"/>
    <w:rsid w:val="278B4061"/>
    <w:rsid w:val="279172A9"/>
    <w:rsid w:val="27A24E6D"/>
    <w:rsid w:val="27A660D1"/>
    <w:rsid w:val="27AB177B"/>
    <w:rsid w:val="27BF5A1F"/>
    <w:rsid w:val="27C01165"/>
    <w:rsid w:val="27CD5F7A"/>
    <w:rsid w:val="27D11C81"/>
    <w:rsid w:val="27D33279"/>
    <w:rsid w:val="27D35027"/>
    <w:rsid w:val="27D50D9F"/>
    <w:rsid w:val="27D52B4D"/>
    <w:rsid w:val="27DD5279"/>
    <w:rsid w:val="27F702BD"/>
    <w:rsid w:val="27FC15A5"/>
    <w:rsid w:val="28066EEC"/>
    <w:rsid w:val="280B7703"/>
    <w:rsid w:val="283275E9"/>
    <w:rsid w:val="28355CE1"/>
    <w:rsid w:val="28433BE1"/>
    <w:rsid w:val="28481571"/>
    <w:rsid w:val="284B4080"/>
    <w:rsid w:val="284F5F5A"/>
    <w:rsid w:val="287148A3"/>
    <w:rsid w:val="287E5795"/>
    <w:rsid w:val="288D1679"/>
    <w:rsid w:val="28B906C0"/>
    <w:rsid w:val="28B94034"/>
    <w:rsid w:val="28C13362"/>
    <w:rsid w:val="28C560BE"/>
    <w:rsid w:val="28DA4193"/>
    <w:rsid w:val="28F87EA7"/>
    <w:rsid w:val="28FE60D3"/>
    <w:rsid w:val="29072C32"/>
    <w:rsid w:val="290F7E25"/>
    <w:rsid w:val="2918044D"/>
    <w:rsid w:val="29206EB8"/>
    <w:rsid w:val="292506A0"/>
    <w:rsid w:val="29393F0E"/>
    <w:rsid w:val="293B198F"/>
    <w:rsid w:val="29474AEB"/>
    <w:rsid w:val="29564AE9"/>
    <w:rsid w:val="29595666"/>
    <w:rsid w:val="295B3DDE"/>
    <w:rsid w:val="296C0930"/>
    <w:rsid w:val="297840D8"/>
    <w:rsid w:val="298505A2"/>
    <w:rsid w:val="29874881"/>
    <w:rsid w:val="29A50C45"/>
    <w:rsid w:val="29B02542"/>
    <w:rsid w:val="29B82726"/>
    <w:rsid w:val="29C81F78"/>
    <w:rsid w:val="29DF3FF0"/>
    <w:rsid w:val="29E325E0"/>
    <w:rsid w:val="29E4176D"/>
    <w:rsid w:val="29EE7EF6"/>
    <w:rsid w:val="29F85218"/>
    <w:rsid w:val="2A093C30"/>
    <w:rsid w:val="2A1925D6"/>
    <w:rsid w:val="2A30050E"/>
    <w:rsid w:val="2A3A75DF"/>
    <w:rsid w:val="2A452503"/>
    <w:rsid w:val="2A465F84"/>
    <w:rsid w:val="2A5A37DD"/>
    <w:rsid w:val="2A6A28AE"/>
    <w:rsid w:val="2A6F6EB1"/>
    <w:rsid w:val="2A7853FD"/>
    <w:rsid w:val="2A792582"/>
    <w:rsid w:val="2A80778E"/>
    <w:rsid w:val="2A834AE2"/>
    <w:rsid w:val="2A8820F8"/>
    <w:rsid w:val="2A924FCC"/>
    <w:rsid w:val="2A9263D7"/>
    <w:rsid w:val="2A97364B"/>
    <w:rsid w:val="2A9D36CA"/>
    <w:rsid w:val="2AA23EE1"/>
    <w:rsid w:val="2AA44A58"/>
    <w:rsid w:val="2AC63B8E"/>
    <w:rsid w:val="2AC670C5"/>
    <w:rsid w:val="2ACA34EA"/>
    <w:rsid w:val="2ACD3FAF"/>
    <w:rsid w:val="2AD0598A"/>
    <w:rsid w:val="2AD07A12"/>
    <w:rsid w:val="2AD14039"/>
    <w:rsid w:val="2ADA4B52"/>
    <w:rsid w:val="2AEF44DF"/>
    <w:rsid w:val="2AF25C74"/>
    <w:rsid w:val="2AFD73C3"/>
    <w:rsid w:val="2B075500"/>
    <w:rsid w:val="2B081E41"/>
    <w:rsid w:val="2B146082"/>
    <w:rsid w:val="2B1560E8"/>
    <w:rsid w:val="2B1A0BFE"/>
    <w:rsid w:val="2B1B2080"/>
    <w:rsid w:val="2B261911"/>
    <w:rsid w:val="2B2D4763"/>
    <w:rsid w:val="2B3B0A90"/>
    <w:rsid w:val="2B40415F"/>
    <w:rsid w:val="2B5755BC"/>
    <w:rsid w:val="2B59251B"/>
    <w:rsid w:val="2B627CD5"/>
    <w:rsid w:val="2B7E174D"/>
    <w:rsid w:val="2B852ADC"/>
    <w:rsid w:val="2B8A5847"/>
    <w:rsid w:val="2B905923"/>
    <w:rsid w:val="2B922A02"/>
    <w:rsid w:val="2B9D28FD"/>
    <w:rsid w:val="2B9D6077"/>
    <w:rsid w:val="2BA936A8"/>
    <w:rsid w:val="2BAA0794"/>
    <w:rsid w:val="2BAC2F5D"/>
    <w:rsid w:val="2BD355F5"/>
    <w:rsid w:val="2BD737E1"/>
    <w:rsid w:val="2BE105AE"/>
    <w:rsid w:val="2BE1276B"/>
    <w:rsid w:val="2BE82B52"/>
    <w:rsid w:val="2BF13CCD"/>
    <w:rsid w:val="2BF437BD"/>
    <w:rsid w:val="2BF744BE"/>
    <w:rsid w:val="2BF96E18"/>
    <w:rsid w:val="2C005DCA"/>
    <w:rsid w:val="2C2F252F"/>
    <w:rsid w:val="2C315A5A"/>
    <w:rsid w:val="2C385DA0"/>
    <w:rsid w:val="2C4B1C25"/>
    <w:rsid w:val="2C4E7372"/>
    <w:rsid w:val="2C500DDE"/>
    <w:rsid w:val="2C564223"/>
    <w:rsid w:val="2C5A7151"/>
    <w:rsid w:val="2C5A7AC4"/>
    <w:rsid w:val="2C6465DD"/>
    <w:rsid w:val="2C6D71FB"/>
    <w:rsid w:val="2C6E3570"/>
    <w:rsid w:val="2C7D37B3"/>
    <w:rsid w:val="2C815051"/>
    <w:rsid w:val="2C820DC9"/>
    <w:rsid w:val="2C836BD0"/>
    <w:rsid w:val="2C842D93"/>
    <w:rsid w:val="2C866B0B"/>
    <w:rsid w:val="2C8B2374"/>
    <w:rsid w:val="2CA456F0"/>
    <w:rsid w:val="2CB860C4"/>
    <w:rsid w:val="2CBE44F7"/>
    <w:rsid w:val="2CCB09C2"/>
    <w:rsid w:val="2CF14635"/>
    <w:rsid w:val="2CF31CB5"/>
    <w:rsid w:val="2D116261"/>
    <w:rsid w:val="2D213FD6"/>
    <w:rsid w:val="2D342E07"/>
    <w:rsid w:val="2D390EF1"/>
    <w:rsid w:val="2D426ED6"/>
    <w:rsid w:val="2D450775"/>
    <w:rsid w:val="2D4D13D7"/>
    <w:rsid w:val="2D510EC7"/>
    <w:rsid w:val="2D5361D5"/>
    <w:rsid w:val="2D5C161A"/>
    <w:rsid w:val="2D624764"/>
    <w:rsid w:val="2D645092"/>
    <w:rsid w:val="2D7013FE"/>
    <w:rsid w:val="2D7626DC"/>
    <w:rsid w:val="2D945258"/>
    <w:rsid w:val="2D990AC0"/>
    <w:rsid w:val="2D9E56F5"/>
    <w:rsid w:val="2D9E7E85"/>
    <w:rsid w:val="2DA03F25"/>
    <w:rsid w:val="2DA21723"/>
    <w:rsid w:val="2DDD275B"/>
    <w:rsid w:val="2DE955A4"/>
    <w:rsid w:val="2DF126AA"/>
    <w:rsid w:val="2E277E7A"/>
    <w:rsid w:val="2E2E0121"/>
    <w:rsid w:val="2E3B56D4"/>
    <w:rsid w:val="2E5D1AEE"/>
    <w:rsid w:val="2E5D389C"/>
    <w:rsid w:val="2E6331BE"/>
    <w:rsid w:val="2E667F96"/>
    <w:rsid w:val="2E67471B"/>
    <w:rsid w:val="2E755089"/>
    <w:rsid w:val="2E8062B1"/>
    <w:rsid w:val="2E8226AB"/>
    <w:rsid w:val="2E842045"/>
    <w:rsid w:val="2E876B6B"/>
    <w:rsid w:val="2E933610"/>
    <w:rsid w:val="2EA12CAF"/>
    <w:rsid w:val="2EA96AE1"/>
    <w:rsid w:val="2EC102CF"/>
    <w:rsid w:val="2ECD6C74"/>
    <w:rsid w:val="2ED31DB0"/>
    <w:rsid w:val="2ED33E69"/>
    <w:rsid w:val="2EDF0755"/>
    <w:rsid w:val="2EE35D0C"/>
    <w:rsid w:val="2EE543BC"/>
    <w:rsid w:val="2EE74AAC"/>
    <w:rsid w:val="2EEE2746"/>
    <w:rsid w:val="2F01691D"/>
    <w:rsid w:val="2F347874"/>
    <w:rsid w:val="2F366763"/>
    <w:rsid w:val="2F6E0D15"/>
    <w:rsid w:val="2F805A94"/>
    <w:rsid w:val="2F9D26A8"/>
    <w:rsid w:val="2FAC1422"/>
    <w:rsid w:val="2FAD747E"/>
    <w:rsid w:val="2FB0126D"/>
    <w:rsid w:val="2FB40B36"/>
    <w:rsid w:val="2FB62D77"/>
    <w:rsid w:val="2FB976E6"/>
    <w:rsid w:val="2FC00586"/>
    <w:rsid w:val="2FC516F9"/>
    <w:rsid w:val="2FC811E9"/>
    <w:rsid w:val="2FCC2A87"/>
    <w:rsid w:val="2FD065E6"/>
    <w:rsid w:val="2FD96870"/>
    <w:rsid w:val="2FE36023"/>
    <w:rsid w:val="2FE878B6"/>
    <w:rsid w:val="2FF26266"/>
    <w:rsid w:val="2FF63FA8"/>
    <w:rsid w:val="300C75D9"/>
    <w:rsid w:val="30126596"/>
    <w:rsid w:val="30201025"/>
    <w:rsid w:val="302D0810"/>
    <w:rsid w:val="303F594F"/>
    <w:rsid w:val="305434F8"/>
    <w:rsid w:val="30580BC9"/>
    <w:rsid w:val="305F38FB"/>
    <w:rsid w:val="306952A2"/>
    <w:rsid w:val="306B1F20"/>
    <w:rsid w:val="3075618D"/>
    <w:rsid w:val="30785D3E"/>
    <w:rsid w:val="309418B1"/>
    <w:rsid w:val="309F1CA1"/>
    <w:rsid w:val="30B1388A"/>
    <w:rsid w:val="30B978AD"/>
    <w:rsid w:val="30CD6B79"/>
    <w:rsid w:val="30D23796"/>
    <w:rsid w:val="30D75188"/>
    <w:rsid w:val="30E15A68"/>
    <w:rsid w:val="30F46739"/>
    <w:rsid w:val="30FC114A"/>
    <w:rsid w:val="30FE6CCF"/>
    <w:rsid w:val="310721F4"/>
    <w:rsid w:val="310C6BF4"/>
    <w:rsid w:val="310E70CF"/>
    <w:rsid w:val="311E2ED7"/>
    <w:rsid w:val="31232B7B"/>
    <w:rsid w:val="313A1C72"/>
    <w:rsid w:val="313C3697"/>
    <w:rsid w:val="313C3C3D"/>
    <w:rsid w:val="313E79B5"/>
    <w:rsid w:val="31476416"/>
    <w:rsid w:val="31554CFE"/>
    <w:rsid w:val="315619EE"/>
    <w:rsid w:val="31592A40"/>
    <w:rsid w:val="315C449C"/>
    <w:rsid w:val="315F435B"/>
    <w:rsid w:val="31605B7D"/>
    <w:rsid w:val="3163566D"/>
    <w:rsid w:val="31646916"/>
    <w:rsid w:val="3169572A"/>
    <w:rsid w:val="31771119"/>
    <w:rsid w:val="317875EF"/>
    <w:rsid w:val="31794E91"/>
    <w:rsid w:val="31870BB3"/>
    <w:rsid w:val="318B5F83"/>
    <w:rsid w:val="318C4BC4"/>
    <w:rsid w:val="3195334D"/>
    <w:rsid w:val="31962E02"/>
    <w:rsid w:val="319677F1"/>
    <w:rsid w:val="31A262EB"/>
    <w:rsid w:val="31B82709"/>
    <w:rsid w:val="31D05482"/>
    <w:rsid w:val="31E06CBE"/>
    <w:rsid w:val="31E542D4"/>
    <w:rsid w:val="31F2254D"/>
    <w:rsid w:val="31F94254"/>
    <w:rsid w:val="31FF0C17"/>
    <w:rsid w:val="32041467"/>
    <w:rsid w:val="32154BCD"/>
    <w:rsid w:val="321D3A6E"/>
    <w:rsid w:val="32233B2D"/>
    <w:rsid w:val="322E0888"/>
    <w:rsid w:val="32400B34"/>
    <w:rsid w:val="3251363C"/>
    <w:rsid w:val="325B4671"/>
    <w:rsid w:val="32611B88"/>
    <w:rsid w:val="32713DBA"/>
    <w:rsid w:val="32761CCD"/>
    <w:rsid w:val="327823DB"/>
    <w:rsid w:val="3284589B"/>
    <w:rsid w:val="328A0EEA"/>
    <w:rsid w:val="329E6876"/>
    <w:rsid w:val="32B31CDC"/>
    <w:rsid w:val="32C105C7"/>
    <w:rsid w:val="32C51A10"/>
    <w:rsid w:val="32C57C62"/>
    <w:rsid w:val="32C93491"/>
    <w:rsid w:val="32D103B5"/>
    <w:rsid w:val="32D110C9"/>
    <w:rsid w:val="32D22AAA"/>
    <w:rsid w:val="32D34E46"/>
    <w:rsid w:val="32DA721B"/>
    <w:rsid w:val="32E20814"/>
    <w:rsid w:val="32E412E6"/>
    <w:rsid w:val="32EE71B8"/>
    <w:rsid w:val="3317670F"/>
    <w:rsid w:val="331C6B8D"/>
    <w:rsid w:val="332350B4"/>
    <w:rsid w:val="333015F2"/>
    <w:rsid w:val="334B6320"/>
    <w:rsid w:val="335334BF"/>
    <w:rsid w:val="33652480"/>
    <w:rsid w:val="338B2C59"/>
    <w:rsid w:val="338C5890"/>
    <w:rsid w:val="33931B2F"/>
    <w:rsid w:val="33936F7A"/>
    <w:rsid w:val="33981880"/>
    <w:rsid w:val="33A65CE5"/>
    <w:rsid w:val="33BC72B7"/>
    <w:rsid w:val="33D068BE"/>
    <w:rsid w:val="33D934D4"/>
    <w:rsid w:val="33DF6B01"/>
    <w:rsid w:val="33E3225F"/>
    <w:rsid w:val="33FE2F6A"/>
    <w:rsid w:val="34011431"/>
    <w:rsid w:val="34011DBB"/>
    <w:rsid w:val="3404781F"/>
    <w:rsid w:val="340D1880"/>
    <w:rsid w:val="340E07E5"/>
    <w:rsid w:val="3415204E"/>
    <w:rsid w:val="341B3FDD"/>
    <w:rsid w:val="341F2C5E"/>
    <w:rsid w:val="3421071B"/>
    <w:rsid w:val="342262F2"/>
    <w:rsid w:val="34235BF7"/>
    <w:rsid w:val="343479C8"/>
    <w:rsid w:val="343878F4"/>
    <w:rsid w:val="34484687"/>
    <w:rsid w:val="344D2D94"/>
    <w:rsid w:val="344F0124"/>
    <w:rsid w:val="34592D57"/>
    <w:rsid w:val="346C28A2"/>
    <w:rsid w:val="346C4839"/>
    <w:rsid w:val="3478244F"/>
    <w:rsid w:val="347B0F20"/>
    <w:rsid w:val="34890400"/>
    <w:rsid w:val="34943D90"/>
    <w:rsid w:val="34AA710F"/>
    <w:rsid w:val="34C44675"/>
    <w:rsid w:val="34C96CB6"/>
    <w:rsid w:val="34E846A5"/>
    <w:rsid w:val="35011425"/>
    <w:rsid w:val="35016DD3"/>
    <w:rsid w:val="35170C48"/>
    <w:rsid w:val="35190631"/>
    <w:rsid w:val="351D29B0"/>
    <w:rsid w:val="35371A4E"/>
    <w:rsid w:val="353A4937"/>
    <w:rsid w:val="354603DD"/>
    <w:rsid w:val="35551771"/>
    <w:rsid w:val="355552CD"/>
    <w:rsid w:val="356615C8"/>
    <w:rsid w:val="357F67EE"/>
    <w:rsid w:val="358C5FA8"/>
    <w:rsid w:val="35A16764"/>
    <w:rsid w:val="35AA7D7C"/>
    <w:rsid w:val="35C15DF1"/>
    <w:rsid w:val="35D25701"/>
    <w:rsid w:val="35D5601F"/>
    <w:rsid w:val="35D56186"/>
    <w:rsid w:val="35E4153A"/>
    <w:rsid w:val="35F37751"/>
    <w:rsid w:val="35F9034E"/>
    <w:rsid w:val="36025C55"/>
    <w:rsid w:val="36074A7F"/>
    <w:rsid w:val="36096A32"/>
    <w:rsid w:val="3612023C"/>
    <w:rsid w:val="361F7FF2"/>
    <w:rsid w:val="36282A02"/>
    <w:rsid w:val="36287CF1"/>
    <w:rsid w:val="36371DF8"/>
    <w:rsid w:val="363B4FE2"/>
    <w:rsid w:val="36462E68"/>
    <w:rsid w:val="36613D32"/>
    <w:rsid w:val="36835E6A"/>
    <w:rsid w:val="36871E24"/>
    <w:rsid w:val="368A30C3"/>
    <w:rsid w:val="36923549"/>
    <w:rsid w:val="36987B67"/>
    <w:rsid w:val="369E5576"/>
    <w:rsid w:val="36B52F30"/>
    <w:rsid w:val="36B75FBF"/>
    <w:rsid w:val="36BD0C45"/>
    <w:rsid w:val="36C0334B"/>
    <w:rsid w:val="36C247DA"/>
    <w:rsid w:val="36CC5A63"/>
    <w:rsid w:val="36CF10AF"/>
    <w:rsid w:val="370276D6"/>
    <w:rsid w:val="37061FB8"/>
    <w:rsid w:val="3707527B"/>
    <w:rsid w:val="370E77AF"/>
    <w:rsid w:val="3717243A"/>
    <w:rsid w:val="372F60EF"/>
    <w:rsid w:val="37347390"/>
    <w:rsid w:val="37392302"/>
    <w:rsid w:val="374B6987"/>
    <w:rsid w:val="37513567"/>
    <w:rsid w:val="375500CD"/>
    <w:rsid w:val="375524A0"/>
    <w:rsid w:val="375C6F98"/>
    <w:rsid w:val="3760733E"/>
    <w:rsid w:val="376A1745"/>
    <w:rsid w:val="377063EE"/>
    <w:rsid w:val="377834F5"/>
    <w:rsid w:val="377C5B85"/>
    <w:rsid w:val="37A7208E"/>
    <w:rsid w:val="37BF40CD"/>
    <w:rsid w:val="37C65E26"/>
    <w:rsid w:val="37C77E0B"/>
    <w:rsid w:val="37C9267E"/>
    <w:rsid w:val="37CB7AC8"/>
    <w:rsid w:val="37CC5F56"/>
    <w:rsid w:val="37E00298"/>
    <w:rsid w:val="37E20BA1"/>
    <w:rsid w:val="381551E7"/>
    <w:rsid w:val="382A2632"/>
    <w:rsid w:val="383E029A"/>
    <w:rsid w:val="384621E2"/>
    <w:rsid w:val="38581A26"/>
    <w:rsid w:val="38780E67"/>
    <w:rsid w:val="3885408B"/>
    <w:rsid w:val="38983E4E"/>
    <w:rsid w:val="38A00D6A"/>
    <w:rsid w:val="38AE3672"/>
    <w:rsid w:val="38B302F9"/>
    <w:rsid w:val="38C73A26"/>
    <w:rsid w:val="38CC66FA"/>
    <w:rsid w:val="38CF5396"/>
    <w:rsid w:val="38D1110E"/>
    <w:rsid w:val="38D61860"/>
    <w:rsid w:val="38DA36AE"/>
    <w:rsid w:val="38EA0422"/>
    <w:rsid w:val="38F12CD3"/>
    <w:rsid w:val="38F2483E"/>
    <w:rsid w:val="38F91806"/>
    <w:rsid w:val="38F94775"/>
    <w:rsid w:val="3917707D"/>
    <w:rsid w:val="392971ED"/>
    <w:rsid w:val="39303720"/>
    <w:rsid w:val="39325651"/>
    <w:rsid w:val="393767B2"/>
    <w:rsid w:val="39396CB4"/>
    <w:rsid w:val="39463AD0"/>
    <w:rsid w:val="394F0285"/>
    <w:rsid w:val="395E6FAD"/>
    <w:rsid w:val="395F7529"/>
    <w:rsid w:val="39662BDB"/>
    <w:rsid w:val="3969650A"/>
    <w:rsid w:val="396E2E01"/>
    <w:rsid w:val="39812B34"/>
    <w:rsid w:val="39857847"/>
    <w:rsid w:val="398E34A3"/>
    <w:rsid w:val="39A43BE4"/>
    <w:rsid w:val="39A469C4"/>
    <w:rsid w:val="39B21228"/>
    <w:rsid w:val="39B45A4A"/>
    <w:rsid w:val="39B60304"/>
    <w:rsid w:val="39B747A8"/>
    <w:rsid w:val="39C42A21"/>
    <w:rsid w:val="39C55E51"/>
    <w:rsid w:val="39C82DD9"/>
    <w:rsid w:val="39D553D5"/>
    <w:rsid w:val="39E8224D"/>
    <w:rsid w:val="39F540DE"/>
    <w:rsid w:val="3A0B0650"/>
    <w:rsid w:val="3A1A1054"/>
    <w:rsid w:val="3A1F7E7D"/>
    <w:rsid w:val="3A2322FA"/>
    <w:rsid w:val="3A3B55B4"/>
    <w:rsid w:val="3A5A2099"/>
    <w:rsid w:val="3A676883"/>
    <w:rsid w:val="3A697D75"/>
    <w:rsid w:val="3A704957"/>
    <w:rsid w:val="3A725DEC"/>
    <w:rsid w:val="3A872856"/>
    <w:rsid w:val="3A96260F"/>
    <w:rsid w:val="3A996C6A"/>
    <w:rsid w:val="3A9E14C4"/>
    <w:rsid w:val="3AA22279"/>
    <w:rsid w:val="3AAC3BE1"/>
    <w:rsid w:val="3AAF5EAA"/>
    <w:rsid w:val="3AB269F2"/>
    <w:rsid w:val="3AB339A7"/>
    <w:rsid w:val="3AB631DA"/>
    <w:rsid w:val="3AB94550"/>
    <w:rsid w:val="3ABE56C2"/>
    <w:rsid w:val="3ACB50A9"/>
    <w:rsid w:val="3ACE12F0"/>
    <w:rsid w:val="3AD05EAE"/>
    <w:rsid w:val="3AD969A0"/>
    <w:rsid w:val="3ADC23A9"/>
    <w:rsid w:val="3AFE520E"/>
    <w:rsid w:val="3B093902"/>
    <w:rsid w:val="3B181000"/>
    <w:rsid w:val="3B2023A2"/>
    <w:rsid w:val="3B2746C2"/>
    <w:rsid w:val="3B3616FD"/>
    <w:rsid w:val="3B3763D1"/>
    <w:rsid w:val="3B4C25E0"/>
    <w:rsid w:val="3B5065FA"/>
    <w:rsid w:val="3B522286"/>
    <w:rsid w:val="3B57750E"/>
    <w:rsid w:val="3B64270E"/>
    <w:rsid w:val="3B7A6C0A"/>
    <w:rsid w:val="3B7C7A57"/>
    <w:rsid w:val="3B8B7C9A"/>
    <w:rsid w:val="3B8C756F"/>
    <w:rsid w:val="3B9D79CE"/>
    <w:rsid w:val="3B9F5AD6"/>
    <w:rsid w:val="3BAC43EB"/>
    <w:rsid w:val="3BAE6333"/>
    <w:rsid w:val="3BB24FC2"/>
    <w:rsid w:val="3BBA7AA0"/>
    <w:rsid w:val="3BBE5A6D"/>
    <w:rsid w:val="3BC66F24"/>
    <w:rsid w:val="3BD80A06"/>
    <w:rsid w:val="3BDD426E"/>
    <w:rsid w:val="3BDE4D0E"/>
    <w:rsid w:val="3BE60890"/>
    <w:rsid w:val="3BE9676F"/>
    <w:rsid w:val="3BEE0319"/>
    <w:rsid w:val="3BF07AFD"/>
    <w:rsid w:val="3BF23490"/>
    <w:rsid w:val="3BF734CB"/>
    <w:rsid w:val="3BFB747E"/>
    <w:rsid w:val="3BFD1D71"/>
    <w:rsid w:val="3C101F4E"/>
    <w:rsid w:val="3C125CC6"/>
    <w:rsid w:val="3C132CEC"/>
    <w:rsid w:val="3C1608BC"/>
    <w:rsid w:val="3C2F6E1E"/>
    <w:rsid w:val="3C3366A0"/>
    <w:rsid w:val="3C3545FF"/>
    <w:rsid w:val="3C3952EC"/>
    <w:rsid w:val="3C4542ED"/>
    <w:rsid w:val="3C4F64BA"/>
    <w:rsid w:val="3C543DB5"/>
    <w:rsid w:val="3C5B72FE"/>
    <w:rsid w:val="3C5E4961"/>
    <w:rsid w:val="3CB74ABF"/>
    <w:rsid w:val="3CBC20D5"/>
    <w:rsid w:val="3CCF3BB7"/>
    <w:rsid w:val="3CD656FC"/>
    <w:rsid w:val="3CDA245A"/>
    <w:rsid w:val="3CE6551C"/>
    <w:rsid w:val="3CED5BEC"/>
    <w:rsid w:val="3D125759"/>
    <w:rsid w:val="3D1E06B7"/>
    <w:rsid w:val="3D38505A"/>
    <w:rsid w:val="3D491BBB"/>
    <w:rsid w:val="3D501AF0"/>
    <w:rsid w:val="3D516CC2"/>
    <w:rsid w:val="3D5B18EE"/>
    <w:rsid w:val="3D5D7415"/>
    <w:rsid w:val="3D630101"/>
    <w:rsid w:val="3D6E3BAA"/>
    <w:rsid w:val="3D74650C"/>
    <w:rsid w:val="3D9646D4"/>
    <w:rsid w:val="3D9B7871"/>
    <w:rsid w:val="3DA212CB"/>
    <w:rsid w:val="3DA768E2"/>
    <w:rsid w:val="3DAB60B8"/>
    <w:rsid w:val="3DB1150E"/>
    <w:rsid w:val="3DBB2682"/>
    <w:rsid w:val="3DBC1671"/>
    <w:rsid w:val="3DD72133"/>
    <w:rsid w:val="3DED085D"/>
    <w:rsid w:val="3DF6161E"/>
    <w:rsid w:val="3DFA4C63"/>
    <w:rsid w:val="3E057438"/>
    <w:rsid w:val="3E0C2919"/>
    <w:rsid w:val="3E1C2308"/>
    <w:rsid w:val="3E22515D"/>
    <w:rsid w:val="3E2C68CF"/>
    <w:rsid w:val="3E3363C7"/>
    <w:rsid w:val="3E46023E"/>
    <w:rsid w:val="3E5A2E84"/>
    <w:rsid w:val="3E8375FD"/>
    <w:rsid w:val="3E88342C"/>
    <w:rsid w:val="3E8F1850"/>
    <w:rsid w:val="3E9D1381"/>
    <w:rsid w:val="3EAF7506"/>
    <w:rsid w:val="3EB70DA6"/>
    <w:rsid w:val="3EBF6BD7"/>
    <w:rsid w:val="3EDA0523"/>
    <w:rsid w:val="3EF9316D"/>
    <w:rsid w:val="3F05705C"/>
    <w:rsid w:val="3F141D55"/>
    <w:rsid w:val="3F424B14"/>
    <w:rsid w:val="3F47212A"/>
    <w:rsid w:val="3F5B5BD6"/>
    <w:rsid w:val="3F62020E"/>
    <w:rsid w:val="3F6C393F"/>
    <w:rsid w:val="3F6E289E"/>
    <w:rsid w:val="3F7026E8"/>
    <w:rsid w:val="3F7A0C57"/>
    <w:rsid w:val="3F7E1686"/>
    <w:rsid w:val="3FAD2B9E"/>
    <w:rsid w:val="3FB13C3B"/>
    <w:rsid w:val="3FB24A64"/>
    <w:rsid w:val="3FC7326B"/>
    <w:rsid w:val="3FE96D5E"/>
    <w:rsid w:val="3FFF6C71"/>
    <w:rsid w:val="400F6201"/>
    <w:rsid w:val="40100F75"/>
    <w:rsid w:val="401960C9"/>
    <w:rsid w:val="401B7113"/>
    <w:rsid w:val="40273D0A"/>
    <w:rsid w:val="403276AA"/>
    <w:rsid w:val="403F72A5"/>
    <w:rsid w:val="40455EFD"/>
    <w:rsid w:val="405C1C05"/>
    <w:rsid w:val="405F16F6"/>
    <w:rsid w:val="40642868"/>
    <w:rsid w:val="407A6407"/>
    <w:rsid w:val="407E79D3"/>
    <w:rsid w:val="40A67324"/>
    <w:rsid w:val="40AB4DDF"/>
    <w:rsid w:val="40B52091"/>
    <w:rsid w:val="40B7611B"/>
    <w:rsid w:val="40CA51AC"/>
    <w:rsid w:val="40D73786"/>
    <w:rsid w:val="40DC68A2"/>
    <w:rsid w:val="40EC5168"/>
    <w:rsid w:val="40F159CD"/>
    <w:rsid w:val="40F64D19"/>
    <w:rsid w:val="40FA324F"/>
    <w:rsid w:val="40FD44E4"/>
    <w:rsid w:val="41073BA0"/>
    <w:rsid w:val="41154AED"/>
    <w:rsid w:val="411B6DAD"/>
    <w:rsid w:val="41342563"/>
    <w:rsid w:val="414032D5"/>
    <w:rsid w:val="41562AF9"/>
    <w:rsid w:val="41605F93"/>
    <w:rsid w:val="418D26A3"/>
    <w:rsid w:val="41A85454"/>
    <w:rsid w:val="41AF3FB7"/>
    <w:rsid w:val="41B17D2F"/>
    <w:rsid w:val="41B8730F"/>
    <w:rsid w:val="41B9630E"/>
    <w:rsid w:val="41E77EF8"/>
    <w:rsid w:val="41F36599"/>
    <w:rsid w:val="4200449D"/>
    <w:rsid w:val="42010CB6"/>
    <w:rsid w:val="42274DC5"/>
    <w:rsid w:val="423A3BCC"/>
    <w:rsid w:val="423C3869"/>
    <w:rsid w:val="42415623"/>
    <w:rsid w:val="424E57D2"/>
    <w:rsid w:val="42734FE4"/>
    <w:rsid w:val="427C033D"/>
    <w:rsid w:val="42806A14"/>
    <w:rsid w:val="42891F5A"/>
    <w:rsid w:val="428B39CA"/>
    <w:rsid w:val="42925DB2"/>
    <w:rsid w:val="42933DB2"/>
    <w:rsid w:val="42973479"/>
    <w:rsid w:val="42994212"/>
    <w:rsid w:val="4299627E"/>
    <w:rsid w:val="429D02B3"/>
    <w:rsid w:val="42A553F9"/>
    <w:rsid w:val="42B26C49"/>
    <w:rsid w:val="42B615CB"/>
    <w:rsid w:val="42C21073"/>
    <w:rsid w:val="42CE1BCD"/>
    <w:rsid w:val="42D909C4"/>
    <w:rsid w:val="42DF08CC"/>
    <w:rsid w:val="42FF4ACA"/>
    <w:rsid w:val="43016A94"/>
    <w:rsid w:val="43036368"/>
    <w:rsid w:val="431A3E2D"/>
    <w:rsid w:val="4320516C"/>
    <w:rsid w:val="43282F49"/>
    <w:rsid w:val="432F283B"/>
    <w:rsid w:val="43364B04"/>
    <w:rsid w:val="43397FDC"/>
    <w:rsid w:val="433A6FE6"/>
    <w:rsid w:val="43430E5B"/>
    <w:rsid w:val="43480868"/>
    <w:rsid w:val="4350713C"/>
    <w:rsid w:val="436112E1"/>
    <w:rsid w:val="43650A59"/>
    <w:rsid w:val="436653E0"/>
    <w:rsid w:val="436A4639"/>
    <w:rsid w:val="4378414B"/>
    <w:rsid w:val="43784FA8"/>
    <w:rsid w:val="43A0038F"/>
    <w:rsid w:val="43A01E09"/>
    <w:rsid w:val="43B56B9C"/>
    <w:rsid w:val="43C4431A"/>
    <w:rsid w:val="43D032AE"/>
    <w:rsid w:val="43D40544"/>
    <w:rsid w:val="43D67F21"/>
    <w:rsid w:val="43D83C99"/>
    <w:rsid w:val="43DA696C"/>
    <w:rsid w:val="43F91F11"/>
    <w:rsid w:val="43FA01AB"/>
    <w:rsid w:val="440B5E1C"/>
    <w:rsid w:val="44226CC2"/>
    <w:rsid w:val="44643D62"/>
    <w:rsid w:val="4468135B"/>
    <w:rsid w:val="447023D7"/>
    <w:rsid w:val="4472287D"/>
    <w:rsid w:val="447946C1"/>
    <w:rsid w:val="44865A97"/>
    <w:rsid w:val="44913E48"/>
    <w:rsid w:val="44915748"/>
    <w:rsid w:val="449D459A"/>
    <w:rsid w:val="44B951CC"/>
    <w:rsid w:val="44BF36AF"/>
    <w:rsid w:val="44C24001"/>
    <w:rsid w:val="44C77869"/>
    <w:rsid w:val="44CD14E0"/>
    <w:rsid w:val="44D15F3E"/>
    <w:rsid w:val="44D33537"/>
    <w:rsid w:val="44F20B0B"/>
    <w:rsid w:val="451707F1"/>
    <w:rsid w:val="452C2029"/>
    <w:rsid w:val="452E5F4C"/>
    <w:rsid w:val="45327DE5"/>
    <w:rsid w:val="453C6B49"/>
    <w:rsid w:val="45464C32"/>
    <w:rsid w:val="45575091"/>
    <w:rsid w:val="455C6204"/>
    <w:rsid w:val="45612018"/>
    <w:rsid w:val="456D2FFC"/>
    <w:rsid w:val="457269B9"/>
    <w:rsid w:val="457277D5"/>
    <w:rsid w:val="457572C5"/>
    <w:rsid w:val="457829A1"/>
    <w:rsid w:val="4582580E"/>
    <w:rsid w:val="458614D2"/>
    <w:rsid w:val="458946E9"/>
    <w:rsid w:val="458956D2"/>
    <w:rsid w:val="45997458"/>
    <w:rsid w:val="45A47C0E"/>
    <w:rsid w:val="45C02C36"/>
    <w:rsid w:val="45C17FD8"/>
    <w:rsid w:val="45D64B9B"/>
    <w:rsid w:val="45D95AA6"/>
    <w:rsid w:val="45E561F9"/>
    <w:rsid w:val="45F14B9E"/>
    <w:rsid w:val="46081EE8"/>
    <w:rsid w:val="461049EC"/>
    <w:rsid w:val="4618037D"/>
    <w:rsid w:val="461A0599"/>
    <w:rsid w:val="463B050F"/>
    <w:rsid w:val="4645313C"/>
    <w:rsid w:val="46484C04"/>
    <w:rsid w:val="46577FD6"/>
    <w:rsid w:val="4660653C"/>
    <w:rsid w:val="466D440F"/>
    <w:rsid w:val="46732229"/>
    <w:rsid w:val="468772B0"/>
    <w:rsid w:val="46901267"/>
    <w:rsid w:val="46965745"/>
    <w:rsid w:val="469D386A"/>
    <w:rsid w:val="469F3CE9"/>
    <w:rsid w:val="46A72A6C"/>
    <w:rsid w:val="46BB56CA"/>
    <w:rsid w:val="46BD7990"/>
    <w:rsid w:val="46C202E8"/>
    <w:rsid w:val="46D00C57"/>
    <w:rsid w:val="46D13DB5"/>
    <w:rsid w:val="46D149CF"/>
    <w:rsid w:val="46D92D86"/>
    <w:rsid w:val="46D955A7"/>
    <w:rsid w:val="46EB06E1"/>
    <w:rsid w:val="46F31C95"/>
    <w:rsid w:val="470A5730"/>
    <w:rsid w:val="47133957"/>
    <w:rsid w:val="471553F2"/>
    <w:rsid w:val="47185450"/>
    <w:rsid w:val="472745EF"/>
    <w:rsid w:val="474C4EA9"/>
    <w:rsid w:val="4757517D"/>
    <w:rsid w:val="476C2350"/>
    <w:rsid w:val="47717966"/>
    <w:rsid w:val="47737835"/>
    <w:rsid w:val="478B2F87"/>
    <w:rsid w:val="47954404"/>
    <w:rsid w:val="47A07E0C"/>
    <w:rsid w:val="47A91D54"/>
    <w:rsid w:val="47A94776"/>
    <w:rsid w:val="47AC6D93"/>
    <w:rsid w:val="47B0504B"/>
    <w:rsid w:val="47B251D3"/>
    <w:rsid w:val="47B95B8F"/>
    <w:rsid w:val="47BD072F"/>
    <w:rsid w:val="47C5589C"/>
    <w:rsid w:val="47D31749"/>
    <w:rsid w:val="47D46525"/>
    <w:rsid w:val="47E224C1"/>
    <w:rsid w:val="47E80223"/>
    <w:rsid w:val="47F22F03"/>
    <w:rsid w:val="47F24BFD"/>
    <w:rsid w:val="47F646ED"/>
    <w:rsid w:val="47FB1D04"/>
    <w:rsid w:val="47FB279B"/>
    <w:rsid w:val="48400E32"/>
    <w:rsid w:val="4847568C"/>
    <w:rsid w:val="485505A2"/>
    <w:rsid w:val="4870272E"/>
    <w:rsid w:val="487C235B"/>
    <w:rsid w:val="488230C9"/>
    <w:rsid w:val="488A12DA"/>
    <w:rsid w:val="48906055"/>
    <w:rsid w:val="48BE57BF"/>
    <w:rsid w:val="48C93BB0"/>
    <w:rsid w:val="48E507E3"/>
    <w:rsid w:val="48F22B6B"/>
    <w:rsid w:val="4900334A"/>
    <w:rsid w:val="49337B6C"/>
    <w:rsid w:val="49382AE4"/>
    <w:rsid w:val="493C6A78"/>
    <w:rsid w:val="494A10E9"/>
    <w:rsid w:val="494F67AB"/>
    <w:rsid w:val="49504518"/>
    <w:rsid w:val="495D0F86"/>
    <w:rsid w:val="49745E99"/>
    <w:rsid w:val="49913924"/>
    <w:rsid w:val="49945406"/>
    <w:rsid w:val="4996354A"/>
    <w:rsid w:val="49A140F7"/>
    <w:rsid w:val="49A17758"/>
    <w:rsid w:val="49B900C8"/>
    <w:rsid w:val="49C12AD9"/>
    <w:rsid w:val="49D15412"/>
    <w:rsid w:val="49D2118A"/>
    <w:rsid w:val="49D716AD"/>
    <w:rsid w:val="49DC7715"/>
    <w:rsid w:val="49E371FA"/>
    <w:rsid w:val="49EA64D4"/>
    <w:rsid w:val="49ED1B20"/>
    <w:rsid w:val="49FD0808"/>
    <w:rsid w:val="4A023139"/>
    <w:rsid w:val="4A037596"/>
    <w:rsid w:val="4A2424EA"/>
    <w:rsid w:val="4A2F3076"/>
    <w:rsid w:val="4A3663B5"/>
    <w:rsid w:val="4A3F507F"/>
    <w:rsid w:val="4A472A35"/>
    <w:rsid w:val="4A5635B7"/>
    <w:rsid w:val="4A5D0A54"/>
    <w:rsid w:val="4A5E79EC"/>
    <w:rsid w:val="4A704C90"/>
    <w:rsid w:val="4A7967EA"/>
    <w:rsid w:val="4A7B576F"/>
    <w:rsid w:val="4A812BF5"/>
    <w:rsid w:val="4A8F25AF"/>
    <w:rsid w:val="4A8F5C3B"/>
    <w:rsid w:val="4A9508EC"/>
    <w:rsid w:val="4A9C663C"/>
    <w:rsid w:val="4AA743C5"/>
    <w:rsid w:val="4AAD40FF"/>
    <w:rsid w:val="4AB12B4E"/>
    <w:rsid w:val="4AF313B8"/>
    <w:rsid w:val="4AF561A9"/>
    <w:rsid w:val="4AF82AB5"/>
    <w:rsid w:val="4B021152"/>
    <w:rsid w:val="4B12168D"/>
    <w:rsid w:val="4B234980"/>
    <w:rsid w:val="4B2B29C4"/>
    <w:rsid w:val="4B394CFC"/>
    <w:rsid w:val="4B3A0D95"/>
    <w:rsid w:val="4B3F45FD"/>
    <w:rsid w:val="4B441C14"/>
    <w:rsid w:val="4B5160DF"/>
    <w:rsid w:val="4B5A31E5"/>
    <w:rsid w:val="4B6723EE"/>
    <w:rsid w:val="4B683B54"/>
    <w:rsid w:val="4B684736"/>
    <w:rsid w:val="4B7818BD"/>
    <w:rsid w:val="4B8B15F1"/>
    <w:rsid w:val="4B972107"/>
    <w:rsid w:val="4BA44D04"/>
    <w:rsid w:val="4BA9518F"/>
    <w:rsid w:val="4BAF24CF"/>
    <w:rsid w:val="4BB13DDA"/>
    <w:rsid w:val="4BB26B7D"/>
    <w:rsid w:val="4BBF7EE7"/>
    <w:rsid w:val="4BD96800"/>
    <w:rsid w:val="4BDC1E4C"/>
    <w:rsid w:val="4BDE4FE9"/>
    <w:rsid w:val="4C066045"/>
    <w:rsid w:val="4C082C41"/>
    <w:rsid w:val="4C0E5701"/>
    <w:rsid w:val="4C1256FA"/>
    <w:rsid w:val="4C156904"/>
    <w:rsid w:val="4C213D03"/>
    <w:rsid w:val="4C4A0649"/>
    <w:rsid w:val="4C4C5224"/>
    <w:rsid w:val="4C591806"/>
    <w:rsid w:val="4C5F318E"/>
    <w:rsid w:val="4C7E5ECA"/>
    <w:rsid w:val="4C863FF4"/>
    <w:rsid w:val="4C876AA5"/>
    <w:rsid w:val="4C8B1D2E"/>
    <w:rsid w:val="4C8F5111"/>
    <w:rsid w:val="4C972B1A"/>
    <w:rsid w:val="4C983FC5"/>
    <w:rsid w:val="4CA010CC"/>
    <w:rsid w:val="4CA357CA"/>
    <w:rsid w:val="4CA516A4"/>
    <w:rsid w:val="4CA77209"/>
    <w:rsid w:val="4CAB4B61"/>
    <w:rsid w:val="4CC42538"/>
    <w:rsid w:val="4CC62715"/>
    <w:rsid w:val="4CD51B0B"/>
    <w:rsid w:val="4CD556D5"/>
    <w:rsid w:val="4CE52F83"/>
    <w:rsid w:val="4CEE7248"/>
    <w:rsid w:val="4D001B6A"/>
    <w:rsid w:val="4D07739D"/>
    <w:rsid w:val="4D0C03F4"/>
    <w:rsid w:val="4D0E00FB"/>
    <w:rsid w:val="4D114B82"/>
    <w:rsid w:val="4D176606"/>
    <w:rsid w:val="4D190D1D"/>
    <w:rsid w:val="4D1C575D"/>
    <w:rsid w:val="4D447CA9"/>
    <w:rsid w:val="4D602609"/>
    <w:rsid w:val="4D6B0C4B"/>
    <w:rsid w:val="4D6E24EE"/>
    <w:rsid w:val="4D7246EB"/>
    <w:rsid w:val="4D767F2D"/>
    <w:rsid w:val="4D7A5931"/>
    <w:rsid w:val="4D816544"/>
    <w:rsid w:val="4D857F0A"/>
    <w:rsid w:val="4D877CE7"/>
    <w:rsid w:val="4D9C1893"/>
    <w:rsid w:val="4D9F1394"/>
    <w:rsid w:val="4DC04C0E"/>
    <w:rsid w:val="4DD319BE"/>
    <w:rsid w:val="4DEB759B"/>
    <w:rsid w:val="4DEC4FB0"/>
    <w:rsid w:val="4DF74D1B"/>
    <w:rsid w:val="4E075D8A"/>
    <w:rsid w:val="4E0D453F"/>
    <w:rsid w:val="4E1960CD"/>
    <w:rsid w:val="4E21623C"/>
    <w:rsid w:val="4E345F70"/>
    <w:rsid w:val="4E351802"/>
    <w:rsid w:val="4E3819A3"/>
    <w:rsid w:val="4E4D4667"/>
    <w:rsid w:val="4E596E89"/>
    <w:rsid w:val="4E5E3D3F"/>
    <w:rsid w:val="4E6525CD"/>
    <w:rsid w:val="4E657666"/>
    <w:rsid w:val="4E716B45"/>
    <w:rsid w:val="4E742810"/>
    <w:rsid w:val="4E7B5455"/>
    <w:rsid w:val="4E7B7E90"/>
    <w:rsid w:val="4E7C16C5"/>
    <w:rsid w:val="4E805A91"/>
    <w:rsid w:val="4E960904"/>
    <w:rsid w:val="4EA07161"/>
    <w:rsid w:val="4EB069CA"/>
    <w:rsid w:val="4EC00FAD"/>
    <w:rsid w:val="4ECA2430"/>
    <w:rsid w:val="4ECF3EEA"/>
    <w:rsid w:val="4EE94FAC"/>
    <w:rsid w:val="4EF56421"/>
    <w:rsid w:val="4EF7420E"/>
    <w:rsid w:val="4EFC0449"/>
    <w:rsid w:val="4EFC6C0E"/>
    <w:rsid w:val="4F186465"/>
    <w:rsid w:val="4F1A5BBF"/>
    <w:rsid w:val="4F1D07B2"/>
    <w:rsid w:val="4F285A80"/>
    <w:rsid w:val="4F334112"/>
    <w:rsid w:val="4F334479"/>
    <w:rsid w:val="4F580E5D"/>
    <w:rsid w:val="4F5B65E6"/>
    <w:rsid w:val="4F764366"/>
    <w:rsid w:val="4F7762B2"/>
    <w:rsid w:val="4F7B372A"/>
    <w:rsid w:val="4F8331A2"/>
    <w:rsid w:val="4F843E96"/>
    <w:rsid w:val="4F8A4F1C"/>
    <w:rsid w:val="4F970F6F"/>
    <w:rsid w:val="4F9843DC"/>
    <w:rsid w:val="4F9E52B4"/>
    <w:rsid w:val="4FA21F75"/>
    <w:rsid w:val="4FA352B6"/>
    <w:rsid w:val="4FAB04B3"/>
    <w:rsid w:val="4FC62A8C"/>
    <w:rsid w:val="4FCC3F86"/>
    <w:rsid w:val="4FD80B7D"/>
    <w:rsid w:val="4FDA42FE"/>
    <w:rsid w:val="4FDC71D6"/>
    <w:rsid w:val="4FE175A4"/>
    <w:rsid w:val="4FE20F0D"/>
    <w:rsid w:val="4FE51552"/>
    <w:rsid w:val="4FF86454"/>
    <w:rsid w:val="50083210"/>
    <w:rsid w:val="50265D8C"/>
    <w:rsid w:val="502F7A08"/>
    <w:rsid w:val="503A24C6"/>
    <w:rsid w:val="50406E4E"/>
    <w:rsid w:val="504B1285"/>
    <w:rsid w:val="504E6124"/>
    <w:rsid w:val="50504C4B"/>
    <w:rsid w:val="506643DA"/>
    <w:rsid w:val="506F386A"/>
    <w:rsid w:val="507E7976"/>
    <w:rsid w:val="508807F5"/>
    <w:rsid w:val="508B7730"/>
    <w:rsid w:val="509C6E7C"/>
    <w:rsid w:val="50A75E01"/>
    <w:rsid w:val="50BF42AC"/>
    <w:rsid w:val="50C85FB7"/>
    <w:rsid w:val="50CC072B"/>
    <w:rsid w:val="50CD6207"/>
    <w:rsid w:val="50D47596"/>
    <w:rsid w:val="50D84326"/>
    <w:rsid w:val="50DD1ABC"/>
    <w:rsid w:val="50DF3B21"/>
    <w:rsid w:val="50F764B4"/>
    <w:rsid w:val="50F92816"/>
    <w:rsid w:val="51014ADB"/>
    <w:rsid w:val="51155AAE"/>
    <w:rsid w:val="511A58F1"/>
    <w:rsid w:val="511E7C0D"/>
    <w:rsid w:val="512F2A1E"/>
    <w:rsid w:val="5146672B"/>
    <w:rsid w:val="5162104E"/>
    <w:rsid w:val="517E2621"/>
    <w:rsid w:val="51A60F32"/>
    <w:rsid w:val="51BB0674"/>
    <w:rsid w:val="51C02B99"/>
    <w:rsid w:val="51D31886"/>
    <w:rsid w:val="51DF4444"/>
    <w:rsid w:val="51E31192"/>
    <w:rsid w:val="51F53C68"/>
    <w:rsid w:val="51F55A16"/>
    <w:rsid w:val="51FD48CA"/>
    <w:rsid w:val="51FF6894"/>
    <w:rsid w:val="520C20C6"/>
    <w:rsid w:val="520D3248"/>
    <w:rsid w:val="521F0CE5"/>
    <w:rsid w:val="52301BA4"/>
    <w:rsid w:val="52320A18"/>
    <w:rsid w:val="52326C6A"/>
    <w:rsid w:val="52353726"/>
    <w:rsid w:val="524B1ADA"/>
    <w:rsid w:val="524C1D21"/>
    <w:rsid w:val="524C7109"/>
    <w:rsid w:val="524D7600"/>
    <w:rsid w:val="52614E59"/>
    <w:rsid w:val="527C573F"/>
    <w:rsid w:val="527D39F0"/>
    <w:rsid w:val="528D55F4"/>
    <w:rsid w:val="528F7C18"/>
    <w:rsid w:val="52990506"/>
    <w:rsid w:val="52A12250"/>
    <w:rsid w:val="52AA5303"/>
    <w:rsid w:val="52C378C2"/>
    <w:rsid w:val="52CD02D5"/>
    <w:rsid w:val="52DC0984"/>
    <w:rsid w:val="52E02222"/>
    <w:rsid w:val="52E036AC"/>
    <w:rsid w:val="52EA2D6F"/>
    <w:rsid w:val="52ED2BC9"/>
    <w:rsid w:val="52F91548"/>
    <w:rsid w:val="52FC5EEF"/>
    <w:rsid w:val="530028C4"/>
    <w:rsid w:val="53234805"/>
    <w:rsid w:val="532D4E25"/>
    <w:rsid w:val="532E7431"/>
    <w:rsid w:val="53373035"/>
    <w:rsid w:val="53394028"/>
    <w:rsid w:val="533D6A79"/>
    <w:rsid w:val="5340266E"/>
    <w:rsid w:val="53407165"/>
    <w:rsid w:val="53447C44"/>
    <w:rsid w:val="53452A82"/>
    <w:rsid w:val="534B2B92"/>
    <w:rsid w:val="53514ECE"/>
    <w:rsid w:val="535248BD"/>
    <w:rsid w:val="536F7A4A"/>
    <w:rsid w:val="537C429A"/>
    <w:rsid w:val="539F032F"/>
    <w:rsid w:val="53A039CC"/>
    <w:rsid w:val="53A1505A"/>
    <w:rsid w:val="53A9723E"/>
    <w:rsid w:val="53AE0572"/>
    <w:rsid w:val="53B10062"/>
    <w:rsid w:val="53BF452D"/>
    <w:rsid w:val="53C40323"/>
    <w:rsid w:val="53CF4F76"/>
    <w:rsid w:val="53D91BC4"/>
    <w:rsid w:val="54063E08"/>
    <w:rsid w:val="541303D5"/>
    <w:rsid w:val="541B2451"/>
    <w:rsid w:val="541F321E"/>
    <w:rsid w:val="54210D44"/>
    <w:rsid w:val="54216F96"/>
    <w:rsid w:val="543437E8"/>
    <w:rsid w:val="543B5F0E"/>
    <w:rsid w:val="54466CE9"/>
    <w:rsid w:val="546450D5"/>
    <w:rsid w:val="546517BD"/>
    <w:rsid w:val="546F63CD"/>
    <w:rsid w:val="54742569"/>
    <w:rsid w:val="547F66F3"/>
    <w:rsid w:val="54974C26"/>
    <w:rsid w:val="549E77A3"/>
    <w:rsid w:val="54BB2F47"/>
    <w:rsid w:val="54C37FD0"/>
    <w:rsid w:val="54CF56D2"/>
    <w:rsid w:val="54D6438F"/>
    <w:rsid w:val="54D77655"/>
    <w:rsid w:val="54F268D9"/>
    <w:rsid w:val="54F73313"/>
    <w:rsid w:val="54F80955"/>
    <w:rsid w:val="55077ACF"/>
    <w:rsid w:val="551C71AF"/>
    <w:rsid w:val="55217483"/>
    <w:rsid w:val="552B174F"/>
    <w:rsid w:val="55304495"/>
    <w:rsid w:val="553D12C7"/>
    <w:rsid w:val="553D1BAE"/>
    <w:rsid w:val="555170A7"/>
    <w:rsid w:val="5556679D"/>
    <w:rsid w:val="555B0C27"/>
    <w:rsid w:val="55744BCB"/>
    <w:rsid w:val="55804D48"/>
    <w:rsid w:val="5587536D"/>
    <w:rsid w:val="559865A1"/>
    <w:rsid w:val="559B174B"/>
    <w:rsid w:val="55AE79B7"/>
    <w:rsid w:val="55C53951"/>
    <w:rsid w:val="55CE0CF4"/>
    <w:rsid w:val="55DD60F2"/>
    <w:rsid w:val="55E02539"/>
    <w:rsid w:val="55F87702"/>
    <w:rsid w:val="5601260C"/>
    <w:rsid w:val="561201A3"/>
    <w:rsid w:val="56225F70"/>
    <w:rsid w:val="56260789"/>
    <w:rsid w:val="56306DFD"/>
    <w:rsid w:val="563E0CEA"/>
    <w:rsid w:val="56466840"/>
    <w:rsid w:val="56572130"/>
    <w:rsid w:val="56574EF1"/>
    <w:rsid w:val="5664316A"/>
    <w:rsid w:val="56721CC5"/>
    <w:rsid w:val="567C4958"/>
    <w:rsid w:val="56844132"/>
    <w:rsid w:val="56A37F55"/>
    <w:rsid w:val="56AB5060"/>
    <w:rsid w:val="56B22A9C"/>
    <w:rsid w:val="56B714EC"/>
    <w:rsid w:val="56FC15AA"/>
    <w:rsid w:val="57032983"/>
    <w:rsid w:val="570D1A54"/>
    <w:rsid w:val="570F005A"/>
    <w:rsid w:val="5712706A"/>
    <w:rsid w:val="57193F55"/>
    <w:rsid w:val="574D1E50"/>
    <w:rsid w:val="57541656"/>
    <w:rsid w:val="575E0CDC"/>
    <w:rsid w:val="57652310"/>
    <w:rsid w:val="576B23E6"/>
    <w:rsid w:val="57757D3A"/>
    <w:rsid w:val="579D099A"/>
    <w:rsid w:val="57A25527"/>
    <w:rsid w:val="57A71560"/>
    <w:rsid w:val="57AE6844"/>
    <w:rsid w:val="57AF0747"/>
    <w:rsid w:val="57B46650"/>
    <w:rsid w:val="57B72A76"/>
    <w:rsid w:val="57BD6FD6"/>
    <w:rsid w:val="57C3426C"/>
    <w:rsid w:val="57C452E8"/>
    <w:rsid w:val="57C73546"/>
    <w:rsid w:val="57CE1F93"/>
    <w:rsid w:val="57CE2F91"/>
    <w:rsid w:val="57D476AD"/>
    <w:rsid w:val="57D8281F"/>
    <w:rsid w:val="57DB56AE"/>
    <w:rsid w:val="580A1AEF"/>
    <w:rsid w:val="58175B83"/>
    <w:rsid w:val="581C6DF3"/>
    <w:rsid w:val="58295123"/>
    <w:rsid w:val="583D3C73"/>
    <w:rsid w:val="58651AEB"/>
    <w:rsid w:val="58694DA2"/>
    <w:rsid w:val="586B555F"/>
    <w:rsid w:val="58741B1F"/>
    <w:rsid w:val="58755F16"/>
    <w:rsid w:val="588743D1"/>
    <w:rsid w:val="5887701A"/>
    <w:rsid w:val="58911180"/>
    <w:rsid w:val="58C425E6"/>
    <w:rsid w:val="58C42BA3"/>
    <w:rsid w:val="58EA25ED"/>
    <w:rsid w:val="58FE38CA"/>
    <w:rsid w:val="58FF0214"/>
    <w:rsid w:val="59017396"/>
    <w:rsid w:val="59042B8F"/>
    <w:rsid w:val="59056087"/>
    <w:rsid w:val="590E492D"/>
    <w:rsid w:val="59135066"/>
    <w:rsid w:val="59205A45"/>
    <w:rsid w:val="59296628"/>
    <w:rsid w:val="592C170B"/>
    <w:rsid w:val="59411541"/>
    <w:rsid w:val="59470669"/>
    <w:rsid w:val="594D28A6"/>
    <w:rsid w:val="596A6CE9"/>
    <w:rsid w:val="596D2336"/>
    <w:rsid w:val="59710078"/>
    <w:rsid w:val="59767DFB"/>
    <w:rsid w:val="597D409E"/>
    <w:rsid w:val="59837DAB"/>
    <w:rsid w:val="59873741"/>
    <w:rsid w:val="598F083F"/>
    <w:rsid w:val="59A87812"/>
    <w:rsid w:val="59A902B1"/>
    <w:rsid w:val="59AD4E28"/>
    <w:rsid w:val="59BE7035"/>
    <w:rsid w:val="59C0439F"/>
    <w:rsid w:val="59CF1B84"/>
    <w:rsid w:val="59D67344"/>
    <w:rsid w:val="59E52362"/>
    <w:rsid w:val="59F1740B"/>
    <w:rsid w:val="59F40FE8"/>
    <w:rsid w:val="59F44805"/>
    <w:rsid w:val="5A024090"/>
    <w:rsid w:val="5A163FCC"/>
    <w:rsid w:val="5A20247C"/>
    <w:rsid w:val="5A4968FF"/>
    <w:rsid w:val="5A5A6CB3"/>
    <w:rsid w:val="5A711593"/>
    <w:rsid w:val="5A740190"/>
    <w:rsid w:val="5A843DDB"/>
    <w:rsid w:val="5A9164F8"/>
    <w:rsid w:val="5AB100A3"/>
    <w:rsid w:val="5AB65F53"/>
    <w:rsid w:val="5ABE2233"/>
    <w:rsid w:val="5AF20518"/>
    <w:rsid w:val="5AF70A51"/>
    <w:rsid w:val="5B046CCA"/>
    <w:rsid w:val="5B0C4AC7"/>
    <w:rsid w:val="5B221B63"/>
    <w:rsid w:val="5B294982"/>
    <w:rsid w:val="5B333BF8"/>
    <w:rsid w:val="5B3B47B9"/>
    <w:rsid w:val="5B3F5F54"/>
    <w:rsid w:val="5B5C08B4"/>
    <w:rsid w:val="5B6957BC"/>
    <w:rsid w:val="5B8C73EB"/>
    <w:rsid w:val="5B9609B0"/>
    <w:rsid w:val="5BB64468"/>
    <w:rsid w:val="5BBB257D"/>
    <w:rsid w:val="5BBD3E7D"/>
    <w:rsid w:val="5BC8419B"/>
    <w:rsid w:val="5BD112A2"/>
    <w:rsid w:val="5BD7690A"/>
    <w:rsid w:val="5BDF5D95"/>
    <w:rsid w:val="5BE34EA7"/>
    <w:rsid w:val="5BE417F7"/>
    <w:rsid w:val="5BEF1728"/>
    <w:rsid w:val="5BF664E1"/>
    <w:rsid w:val="5BF66A2D"/>
    <w:rsid w:val="5BF70F8E"/>
    <w:rsid w:val="5BFE7528"/>
    <w:rsid w:val="5C0F257D"/>
    <w:rsid w:val="5C11169E"/>
    <w:rsid w:val="5C297DF6"/>
    <w:rsid w:val="5C3936CD"/>
    <w:rsid w:val="5C417244"/>
    <w:rsid w:val="5C5F4485"/>
    <w:rsid w:val="5C853E3A"/>
    <w:rsid w:val="5C983B6D"/>
    <w:rsid w:val="5C984455"/>
    <w:rsid w:val="5CAB061E"/>
    <w:rsid w:val="5CC44962"/>
    <w:rsid w:val="5CEF4D43"/>
    <w:rsid w:val="5CEF68D1"/>
    <w:rsid w:val="5D0E2082"/>
    <w:rsid w:val="5D272194"/>
    <w:rsid w:val="5D2B6790"/>
    <w:rsid w:val="5D331AE8"/>
    <w:rsid w:val="5D3426B4"/>
    <w:rsid w:val="5D3A4C99"/>
    <w:rsid w:val="5D3F540B"/>
    <w:rsid w:val="5D4F5EF1"/>
    <w:rsid w:val="5D5757D7"/>
    <w:rsid w:val="5D59154F"/>
    <w:rsid w:val="5D5C663A"/>
    <w:rsid w:val="5D621234"/>
    <w:rsid w:val="5D6A16BF"/>
    <w:rsid w:val="5D6B1282"/>
    <w:rsid w:val="5D7C348F"/>
    <w:rsid w:val="5D7C503F"/>
    <w:rsid w:val="5D815759"/>
    <w:rsid w:val="5D84523B"/>
    <w:rsid w:val="5D9205BD"/>
    <w:rsid w:val="5D9702C9"/>
    <w:rsid w:val="5DB92330"/>
    <w:rsid w:val="5DBF6BD6"/>
    <w:rsid w:val="5DC0337C"/>
    <w:rsid w:val="5DC3182D"/>
    <w:rsid w:val="5DD120EE"/>
    <w:rsid w:val="5DD90B21"/>
    <w:rsid w:val="5DF50B4C"/>
    <w:rsid w:val="5E006CDA"/>
    <w:rsid w:val="5E023994"/>
    <w:rsid w:val="5E1216FE"/>
    <w:rsid w:val="5E2467F1"/>
    <w:rsid w:val="5E275239"/>
    <w:rsid w:val="5E2E6BAD"/>
    <w:rsid w:val="5E306E73"/>
    <w:rsid w:val="5E366F27"/>
    <w:rsid w:val="5E4479F2"/>
    <w:rsid w:val="5E4879DF"/>
    <w:rsid w:val="5E693A13"/>
    <w:rsid w:val="5E795766"/>
    <w:rsid w:val="5E7B0D5B"/>
    <w:rsid w:val="5E851C93"/>
    <w:rsid w:val="5EA67B57"/>
    <w:rsid w:val="5EB629D1"/>
    <w:rsid w:val="5EB724B2"/>
    <w:rsid w:val="5EB97DCB"/>
    <w:rsid w:val="5EC14D09"/>
    <w:rsid w:val="5EC23124"/>
    <w:rsid w:val="5EC935C5"/>
    <w:rsid w:val="5ED54C8B"/>
    <w:rsid w:val="5ED62791"/>
    <w:rsid w:val="5EDD7F5D"/>
    <w:rsid w:val="5EF17565"/>
    <w:rsid w:val="5EF50E47"/>
    <w:rsid w:val="5EF7621C"/>
    <w:rsid w:val="5EF8303D"/>
    <w:rsid w:val="5F1514A5"/>
    <w:rsid w:val="5F1A2B43"/>
    <w:rsid w:val="5F1F40D2"/>
    <w:rsid w:val="5F337B7D"/>
    <w:rsid w:val="5F3709AE"/>
    <w:rsid w:val="5F3C05DB"/>
    <w:rsid w:val="5F4013CE"/>
    <w:rsid w:val="5F447FDD"/>
    <w:rsid w:val="5F492843"/>
    <w:rsid w:val="5F6747F1"/>
    <w:rsid w:val="5F724B4A"/>
    <w:rsid w:val="5F761901"/>
    <w:rsid w:val="5F7E765A"/>
    <w:rsid w:val="5F881C77"/>
    <w:rsid w:val="5F9C3975"/>
    <w:rsid w:val="5FA6643A"/>
    <w:rsid w:val="5FB02F22"/>
    <w:rsid w:val="5FB837BB"/>
    <w:rsid w:val="5FC35A99"/>
    <w:rsid w:val="5FC829BC"/>
    <w:rsid w:val="5FCB425A"/>
    <w:rsid w:val="5FD30E47"/>
    <w:rsid w:val="5FD83F0D"/>
    <w:rsid w:val="5FDB3048"/>
    <w:rsid w:val="5FE570CA"/>
    <w:rsid w:val="5FF25DFC"/>
    <w:rsid w:val="60001041"/>
    <w:rsid w:val="6008100A"/>
    <w:rsid w:val="602446D4"/>
    <w:rsid w:val="602B6B61"/>
    <w:rsid w:val="60390061"/>
    <w:rsid w:val="604636B5"/>
    <w:rsid w:val="6051302F"/>
    <w:rsid w:val="60567FC7"/>
    <w:rsid w:val="605B1690"/>
    <w:rsid w:val="606A3A73"/>
    <w:rsid w:val="607246D5"/>
    <w:rsid w:val="60757D87"/>
    <w:rsid w:val="607B7A2E"/>
    <w:rsid w:val="60B56A6C"/>
    <w:rsid w:val="60B71FF9"/>
    <w:rsid w:val="60B7783F"/>
    <w:rsid w:val="60BA698A"/>
    <w:rsid w:val="60CB1467"/>
    <w:rsid w:val="60CC2038"/>
    <w:rsid w:val="60CC405A"/>
    <w:rsid w:val="60D514C0"/>
    <w:rsid w:val="60D64C64"/>
    <w:rsid w:val="60E0071F"/>
    <w:rsid w:val="60E7595F"/>
    <w:rsid w:val="60E75B27"/>
    <w:rsid w:val="60ED7300"/>
    <w:rsid w:val="60F33EF2"/>
    <w:rsid w:val="60F35816"/>
    <w:rsid w:val="610B7004"/>
    <w:rsid w:val="61323F23"/>
    <w:rsid w:val="613626DF"/>
    <w:rsid w:val="613D5B44"/>
    <w:rsid w:val="614A2455"/>
    <w:rsid w:val="614B11AE"/>
    <w:rsid w:val="61562576"/>
    <w:rsid w:val="615B3C62"/>
    <w:rsid w:val="615F4C5A"/>
    <w:rsid w:val="61766226"/>
    <w:rsid w:val="617A1A94"/>
    <w:rsid w:val="61845440"/>
    <w:rsid w:val="61973B18"/>
    <w:rsid w:val="61A94127"/>
    <w:rsid w:val="61AE4B02"/>
    <w:rsid w:val="61AF3537"/>
    <w:rsid w:val="61C22912"/>
    <w:rsid w:val="61CB22EF"/>
    <w:rsid w:val="61DE7073"/>
    <w:rsid w:val="61E215D8"/>
    <w:rsid w:val="62052B5C"/>
    <w:rsid w:val="62141EE8"/>
    <w:rsid w:val="621B3775"/>
    <w:rsid w:val="62210D7A"/>
    <w:rsid w:val="62225F21"/>
    <w:rsid w:val="622A5268"/>
    <w:rsid w:val="62364782"/>
    <w:rsid w:val="62423192"/>
    <w:rsid w:val="625D388F"/>
    <w:rsid w:val="625E080D"/>
    <w:rsid w:val="62693DB7"/>
    <w:rsid w:val="62783535"/>
    <w:rsid w:val="627913CF"/>
    <w:rsid w:val="62805798"/>
    <w:rsid w:val="62917095"/>
    <w:rsid w:val="629541FF"/>
    <w:rsid w:val="62AB4FD5"/>
    <w:rsid w:val="62C27B96"/>
    <w:rsid w:val="62CC2EFA"/>
    <w:rsid w:val="62CE39E7"/>
    <w:rsid w:val="62F72908"/>
    <w:rsid w:val="6304263E"/>
    <w:rsid w:val="63116428"/>
    <w:rsid w:val="631C2CB1"/>
    <w:rsid w:val="63201F02"/>
    <w:rsid w:val="63387E58"/>
    <w:rsid w:val="63425F08"/>
    <w:rsid w:val="635053A5"/>
    <w:rsid w:val="63564074"/>
    <w:rsid w:val="63566E89"/>
    <w:rsid w:val="635C3B47"/>
    <w:rsid w:val="635F4FD2"/>
    <w:rsid w:val="636E7EB4"/>
    <w:rsid w:val="637243DE"/>
    <w:rsid w:val="638E1826"/>
    <w:rsid w:val="63907D73"/>
    <w:rsid w:val="6394356A"/>
    <w:rsid w:val="63AF7350"/>
    <w:rsid w:val="63C519F7"/>
    <w:rsid w:val="63C61B2C"/>
    <w:rsid w:val="63D40BE9"/>
    <w:rsid w:val="63D77671"/>
    <w:rsid w:val="63DA6A02"/>
    <w:rsid w:val="63EC7508"/>
    <w:rsid w:val="63ED6D2D"/>
    <w:rsid w:val="63EE6769"/>
    <w:rsid w:val="63F26259"/>
    <w:rsid w:val="63F61681"/>
    <w:rsid w:val="64102431"/>
    <w:rsid w:val="6411167A"/>
    <w:rsid w:val="64140477"/>
    <w:rsid w:val="64175CC0"/>
    <w:rsid w:val="641E7933"/>
    <w:rsid w:val="64393E88"/>
    <w:rsid w:val="643D09DC"/>
    <w:rsid w:val="643D28DD"/>
    <w:rsid w:val="64491151"/>
    <w:rsid w:val="64794284"/>
    <w:rsid w:val="648502B4"/>
    <w:rsid w:val="649966D5"/>
    <w:rsid w:val="64A5243A"/>
    <w:rsid w:val="64B654D9"/>
    <w:rsid w:val="64C754E1"/>
    <w:rsid w:val="64D4065C"/>
    <w:rsid w:val="64E318C3"/>
    <w:rsid w:val="64F531DE"/>
    <w:rsid w:val="64FF22A5"/>
    <w:rsid w:val="652A51E2"/>
    <w:rsid w:val="6535464F"/>
    <w:rsid w:val="65373578"/>
    <w:rsid w:val="65420B1A"/>
    <w:rsid w:val="654E5711"/>
    <w:rsid w:val="656E57E7"/>
    <w:rsid w:val="657C58B7"/>
    <w:rsid w:val="6582241F"/>
    <w:rsid w:val="658D6624"/>
    <w:rsid w:val="658E1213"/>
    <w:rsid w:val="659E3545"/>
    <w:rsid w:val="659E7A9D"/>
    <w:rsid w:val="65A71336"/>
    <w:rsid w:val="65BA2DA7"/>
    <w:rsid w:val="65E10333"/>
    <w:rsid w:val="65EB7404"/>
    <w:rsid w:val="65F35397"/>
    <w:rsid w:val="660F72D8"/>
    <w:rsid w:val="662C5DAA"/>
    <w:rsid w:val="663A7ECD"/>
    <w:rsid w:val="663B5691"/>
    <w:rsid w:val="663C58C7"/>
    <w:rsid w:val="6679056C"/>
    <w:rsid w:val="66A67988"/>
    <w:rsid w:val="66AE1992"/>
    <w:rsid w:val="66BF5728"/>
    <w:rsid w:val="66CD2666"/>
    <w:rsid w:val="66CF63DE"/>
    <w:rsid w:val="66D460EA"/>
    <w:rsid w:val="66DF583B"/>
    <w:rsid w:val="66E37451"/>
    <w:rsid w:val="66EC5AF0"/>
    <w:rsid w:val="66F14190"/>
    <w:rsid w:val="67107B6E"/>
    <w:rsid w:val="6716225F"/>
    <w:rsid w:val="671F124A"/>
    <w:rsid w:val="67256B55"/>
    <w:rsid w:val="672D1677"/>
    <w:rsid w:val="673C55DD"/>
    <w:rsid w:val="67784CC7"/>
    <w:rsid w:val="677A33C6"/>
    <w:rsid w:val="67817750"/>
    <w:rsid w:val="679E386E"/>
    <w:rsid w:val="67B91678"/>
    <w:rsid w:val="67BF46A4"/>
    <w:rsid w:val="67C91599"/>
    <w:rsid w:val="67CE285D"/>
    <w:rsid w:val="67D06B8C"/>
    <w:rsid w:val="67EF4DA8"/>
    <w:rsid w:val="681F6961"/>
    <w:rsid w:val="68264E26"/>
    <w:rsid w:val="684B6170"/>
    <w:rsid w:val="68525518"/>
    <w:rsid w:val="6860587A"/>
    <w:rsid w:val="68610A2F"/>
    <w:rsid w:val="6865349E"/>
    <w:rsid w:val="68723641"/>
    <w:rsid w:val="68805514"/>
    <w:rsid w:val="688558EE"/>
    <w:rsid w:val="68885F7B"/>
    <w:rsid w:val="68A43A0B"/>
    <w:rsid w:val="68AA7102"/>
    <w:rsid w:val="68BA5F9A"/>
    <w:rsid w:val="68BE3E41"/>
    <w:rsid w:val="68CC6387"/>
    <w:rsid w:val="68D128E1"/>
    <w:rsid w:val="68DB1B00"/>
    <w:rsid w:val="68DC6E8F"/>
    <w:rsid w:val="69030CAA"/>
    <w:rsid w:val="69062849"/>
    <w:rsid w:val="690F3409"/>
    <w:rsid w:val="691C2A61"/>
    <w:rsid w:val="69270753"/>
    <w:rsid w:val="692C6424"/>
    <w:rsid w:val="69316E2F"/>
    <w:rsid w:val="693D54D2"/>
    <w:rsid w:val="694E2071"/>
    <w:rsid w:val="695A0B8C"/>
    <w:rsid w:val="69692B1A"/>
    <w:rsid w:val="696C764F"/>
    <w:rsid w:val="696E0130"/>
    <w:rsid w:val="696F5C56"/>
    <w:rsid w:val="69766163"/>
    <w:rsid w:val="697777AF"/>
    <w:rsid w:val="697A3B33"/>
    <w:rsid w:val="69855891"/>
    <w:rsid w:val="698A6F34"/>
    <w:rsid w:val="6993437A"/>
    <w:rsid w:val="699B7642"/>
    <w:rsid w:val="69A41E18"/>
    <w:rsid w:val="69AD3DF3"/>
    <w:rsid w:val="69B33D95"/>
    <w:rsid w:val="69C2222A"/>
    <w:rsid w:val="69D43AD9"/>
    <w:rsid w:val="69D44760"/>
    <w:rsid w:val="69EB1780"/>
    <w:rsid w:val="6A0C40D2"/>
    <w:rsid w:val="6A1422F2"/>
    <w:rsid w:val="6A2B7DCF"/>
    <w:rsid w:val="6A3F6C07"/>
    <w:rsid w:val="6A520EC7"/>
    <w:rsid w:val="6A5E22EC"/>
    <w:rsid w:val="6A610E9A"/>
    <w:rsid w:val="6A667059"/>
    <w:rsid w:val="6A720302"/>
    <w:rsid w:val="6A7C2A22"/>
    <w:rsid w:val="6A8E1B74"/>
    <w:rsid w:val="6A93066E"/>
    <w:rsid w:val="6A9516EC"/>
    <w:rsid w:val="6AB30238"/>
    <w:rsid w:val="6ABF4EE9"/>
    <w:rsid w:val="6AC6581B"/>
    <w:rsid w:val="6AC77495"/>
    <w:rsid w:val="6AD71D05"/>
    <w:rsid w:val="6AD73718"/>
    <w:rsid w:val="6AD85001"/>
    <w:rsid w:val="6ADA2A85"/>
    <w:rsid w:val="6AE32FF9"/>
    <w:rsid w:val="6AF44665"/>
    <w:rsid w:val="6AF87E20"/>
    <w:rsid w:val="6B013226"/>
    <w:rsid w:val="6B0E066F"/>
    <w:rsid w:val="6B1C3BBC"/>
    <w:rsid w:val="6B2036AC"/>
    <w:rsid w:val="6B263CCE"/>
    <w:rsid w:val="6B322639"/>
    <w:rsid w:val="6B3341B4"/>
    <w:rsid w:val="6B4B25EA"/>
    <w:rsid w:val="6B4D7E5B"/>
    <w:rsid w:val="6B5576B8"/>
    <w:rsid w:val="6B5670F9"/>
    <w:rsid w:val="6B9809CC"/>
    <w:rsid w:val="6BA20565"/>
    <w:rsid w:val="6BA75B7B"/>
    <w:rsid w:val="6BA77929"/>
    <w:rsid w:val="6BAC4F3F"/>
    <w:rsid w:val="6BBB7884"/>
    <w:rsid w:val="6BCD06CD"/>
    <w:rsid w:val="6BCD4F03"/>
    <w:rsid w:val="6BD36970"/>
    <w:rsid w:val="6BF10A27"/>
    <w:rsid w:val="6C340C32"/>
    <w:rsid w:val="6C386F35"/>
    <w:rsid w:val="6C3C2767"/>
    <w:rsid w:val="6C636C38"/>
    <w:rsid w:val="6C71678A"/>
    <w:rsid w:val="6C7506CF"/>
    <w:rsid w:val="6C89702F"/>
    <w:rsid w:val="6CAB169B"/>
    <w:rsid w:val="6CB20E55"/>
    <w:rsid w:val="6CB66F81"/>
    <w:rsid w:val="6CBF68AE"/>
    <w:rsid w:val="6CC664D5"/>
    <w:rsid w:val="6CDA3D2E"/>
    <w:rsid w:val="6CE64481"/>
    <w:rsid w:val="6CEB7CE9"/>
    <w:rsid w:val="6CF36101"/>
    <w:rsid w:val="6D2D20B0"/>
    <w:rsid w:val="6D362E7C"/>
    <w:rsid w:val="6D3A5127"/>
    <w:rsid w:val="6D47688F"/>
    <w:rsid w:val="6D5B50FC"/>
    <w:rsid w:val="6D5C5D42"/>
    <w:rsid w:val="6D602485"/>
    <w:rsid w:val="6D6B0603"/>
    <w:rsid w:val="6D715F41"/>
    <w:rsid w:val="6D7B2E1B"/>
    <w:rsid w:val="6D7B72BF"/>
    <w:rsid w:val="6D7D662C"/>
    <w:rsid w:val="6D9A271C"/>
    <w:rsid w:val="6DA30980"/>
    <w:rsid w:val="6DB14A8F"/>
    <w:rsid w:val="6DB1516E"/>
    <w:rsid w:val="6DB34098"/>
    <w:rsid w:val="6DB4457F"/>
    <w:rsid w:val="6DB545B6"/>
    <w:rsid w:val="6DBB687D"/>
    <w:rsid w:val="6DCB0B24"/>
    <w:rsid w:val="6DCC3E13"/>
    <w:rsid w:val="6DE02FB4"/>
    <w:rsid w:val="6DFF3A4C"/>
    <w:rsid w:val="6E386F5E"/>
    <w:rsid w:val="6E3B6A4F"/>
    <w:rsid w:val="6E3D27C7"/>
    <w:rsid w:val="6E3D2F8F"/>
    <w:rsid w:val="6E414285"/>
    <w:rsid w:val="6E514CED"/>
    <w:rsid w:val="6E62222D"/>
    <w:rsid w:val="6E740627"/>
    <w:rsid w:val="6E774A93"/>
    <w:rsid w:val="6E7D4C2D"/>
    <w:rsid w:val="6E7F06E9"/>
    <w:rsid w:val="6E7F4B83"/>
    <w:rsid w:val="6E800313"/>
    <w:rsid w:val="6E8317A0"/>
    <w:rsid w:val="6EA840E4"/>
    <w:rsid w:val="6EAB4DC0"/>
    <w:rsid w:val="6EAD34A8"/>
    <w:rsid w:val="6EB563D5"/>
    <w:rsid w:val="6EC14706"/>
    <w:rsid w:val="6EC34EA0"/>
    <w:rsid w:val="6EC627BC"/>
    <w:rsid w:val="6ED92677"/>
    <w:rsid w:val="6EE60768"/>
    <w:rsid w:val="6EF30BB8"/>
    <w:rsid w:val="6F0C7DF4"/>
    <w:rsid w:val="6F225983"/>
    <w:rsid w:val="6F554A3D"/>
    <w:rsid w:val="6F633C29"/>
    <w:rsid w:val="6F72024E"/>
    <w:rsid w:val="6F7E1802"/>
    <w:rsid w:val="6F871F4B"/>
    <w:rsid w:val="6F89071C"/>
    <w:rsid w:val="6F8F5888"/>
    <w:rsid w:val="6F9451D3"/>
    <w:rsid w:val="6F95230F"/>
    <w:rsid w:val="6F954DC8"/>
    <w:rsid w:val="6FA87362"/>
    <w:rsid w:val="6FD46E55"/>
    <w:rsid w:val="6FD92BB9"/>
    <w:rsid w:val="6FF567D4"/>
    <w:rsid w:val="6FF6686D"/>
    <w:rsid w:val="6FFC5590"/>
    <w:rsid w:val="700B5903"/>
    <w:rsid w:val="70177A7F"/>
    <w:rsid w:val="701A2DBF"/>
    <w:rsid w:val="70221C74"/>
    <w:rsid w:val="705F6A24"/>
    <w:rsid w:val="7060279C"/>
    <w:rsid w:val="706D1DD0"/>
    <w:rsid w:val="70814445"/>
    <w:rsid w:val="70856B87"/>
    <w:rsid w:val="70A30309"/>
    <w:rsid w:val="70CE3BAA"/>
    <w:rsid w:val="70D066B8"/>
    <w:rsid w:val="70D4194A"/>
    <w:rsid w:val="70D527EE"/>
    <w:rsid w:val="70F501EC"/>
    <w:rsid w:val="70FF3D63"/>
    <w:rsid w:val="7113780F"/>
    <w:rsid w:val="71155335"/>
    <w:rsid w:val="71256FB4"/>
    <w:rsid w:val="713F6856"/>
    <w:rsid w:val="714040F7"/>
    <w:rsid w:val="714874B8"/>
    <w:rsid w:val="71500D3F"/>
    <w:rsid w:val="715B5300"/>
    <w:rsid w:val="71681909"/>
    <w:rsid w:val="716B216E"/>
    <w:rsid w:val="716B31A7"/>
    <w:rsid w:val="717007BD"/>
    <w:rsid w:val="71775EF0"/>
    <w:rsid w:val="717B5F16"/>
    <w:rsid w:val="71881FAB"/>
    <w:rsid w:val="7192169D"/>
    <w:rsid w:val="71940F60"/>
    <w:rsid w:val="71973F9C"/>
    <w:rsid w:val="71A36DE5"/>
    <w:rsid w:val="71A379C9"/>
    <w:rsid w:val="71B11502"/>
    <w:rsid w:val="71B861D8"/>
    <w:rsid w:val="71C254BD"/>
    <w:rsid w:val="71C86FD9"/>
    <w:rsid w:val="71D20E0C"/>
    <w:rsid w:val="71D27F8A"/>
    <w:rsid w:val="71DF7086"/>
    <w:rsid w:val="71E31F24"/>
    <w:rsid w:val="71E72735"/>
    <w:rsid w:val="71E7703C"/>
    <w:rsid w:val="71F70E77"/>
    <w:rsid w:val="720F6228"/>
    <w:rsid w:val="72141031"/>
    <w:rsid w:val="7217238C"/>
    <w:rsid w:val="722649EA"/>
    <w:rsid w:val="72395201"/>
    <w:rsid w:val="723D58C8"/>
    <w:rsid w:val="723F549E"/>
    <w:rsid w:val="72553024"/>
    <w:rsid w:val="726005E9"/>
    <w:rsid w:val="72681D83"/>
    <w:rsid w:val="726B5B54"/>
    <w:rsid w:val="7280431D"/>
    <w:rsid w:val="7289422C"/>
    <w:rsid w:val="72980D3F"/>
    <w:rsid w:val="729D3834"/>
    <w:rsid w:val="72A137B4"/>
    <w:rsid w:val="72A44BC2"/>
    <w:rsid w:val="72B34E05"/>
    <w:rsid w:val="72B94B10"/>
    <w:rsid w:val="72CA1048"/>
    <w:rsid w:val="72D07A10"/>
    <w:rsid w:val="72E32AEE"/>
    <w:rsid w:val="72E62E0C"/>
    <w:rsid w:val="72EC6569"/>
    <w:rsid w:val="72ED47BB"/>
    <w:rsid w:val="72EF3B9B"/>
    <w:rsid w:val="72FF5977"/>
    <w:rsid w:val="730D6C0C"/>
    <w:rsid w:val="73122968"/>
    <w:rsid w:val="731F5D5E"/>
    <w:rsid w:val="733B6D80"/>
    <w:rsid w:val="73412411"/>
    <w:rsid w:val="73550D54"/>
    <w:rsid w:val="735B13FB"/>
    <w:rsid w:val="735C724B"/>
    <w:rsid w:val="736600CA"/>
    <w:rsid w:val="736D1458"/>
    <w:rsid w:val="7372081D"/>
    <w:rsid w:val="73822045"/>
    <w:rsid w:val="73881F69"/>
    <w:rsid w:val="738B5CF2"/>
    <w:rsid w:val="73927111"/>
    <w:rsid w:val="73941822"/>
    <w:rsid w:val="7399049F"/>
    <w:rsid w:val="73A72A2A"/>
    <w:rsid w:val="73B8421D"/>
    <w:rsid w:val="73B84CCD"/>
    <w:rsid w:val="73B9361B"/>
    <w:rsid w:val="73BC418E"/>
    <w:rsid w:val="73C51AD5"/>
    <w:rsid w:val="73D10203"/>
    <w:rsid w:val="73E07E7C"/>
    <w:rsid w:val="73EA3E5D"/>
    <w:rsid w:val="73F73418"/>
    <w:rsid w:val="74130252"/>
    <w:rsid w:val="741C4C2C"/>
    <w:rsid w:val="741E793C"/>
    <w:rsid w:val="743D2197"/>
    <w:rsid w:val="743E4C56"/>
    <w:rsid w:val="74404DBF"/>
    <w:rsid w:val="744D4DE6"/>
    <w:rsid w:val="74583EB6"/>
    <w:rsid w:val="745E3944"/>
    <w:rsid w:val="74604B19"/>
    <w:rsid w:val="74736088"/>
    <w:rsid w:val="7476258E"/>
    <w:rsid w:val="747A10B5"/>
    <w:rsid w:val="74816ABB"/>
    <w:rsid w:val="748F6CEF"/>
    <w:rsid w:val="749D5D6D"/>
    <w:rsid w:val="74A76AE1"/>
    <w:rsid w:val="74BD1F6B"/>
    <w:rsid w:val="74BF5CE3"/>
    <w:rsid w:val="74C30258"/>
    <w:rsid w:val="74C5562A"/>
    <w:rsid w:val="74D6127F"/>
    <w:rsid w:val="74E278B9"/>
    <w:rsid w:val="74F31E31"/>
    <w:rsid w:val="74FF10DC"/>
    <w:rsid w:val="750B35F2"/>
    <w:rsid w:val="750E6B7E"/>
    <w:rsid w:val="75120509"/>
    <w:rsid w:val="751F49D4"/>
    <w:rsid w:val="753A7A60"/>
    <w:rsid w:val="7545103A"/>
    <w:rsid w:val="75526EE1"/>
    <w:rsid w:val="755C79D6"/>
    <w:rsid w:val="756238F0"/>
    <w:rsid w:val="75656FFA"/>
    <w:rsid w:val="75687D27"/>
    <w:rsid w:val="756A3157"/>
    <w:rsid w:val="757907F4"/>
    <w:rsid w:val="757B3EC1"/>
    <w:rsid w:val="75850C4B"/>
    <w:rsid w:val="758B206A"/>
    <w:rsid w:val="758E56B6"/>
    <w:rsid w:val="75CB0021"/>
    <w:rsid w:val="75CE1F56"/>
    <w:rsid w:val="75D94B83"/>
    <w:rsid w:val="75E72F1C"/>
    <w:rsid w:val="75F701B4"/>
    <w:rsid w:val="75FE46BB"/>
    <w:rsid w:val="76047862"/>
    <w:rsid w:val="76072386"/>
    <w:rsid w:val="760907CF"/>
    <w:rsid w:val="7635099D"/>
    <w:rsid w:val="76373F9F"/>
    <w:rsid w:val="764D0115"/>
    <w:rsid w:val="76635747"/>
    <w:rsid w:val="76737AAB"/>
    <w:rsid w:val="7677698F"/>
    <w:rsid w:val="768216BE"/>
    <w:rsid w:val="7688399E"/>
    <w:rsid w:val="768E0063"/>
    <w:rsid w:val="76956FD8"/>
    <w:rsid w:val="76A038F3"/>
    <w:rsid w:val="76A4319D"/>
    <w:rsid w:val="76B61368"/>
    <w:rsid w:val="76DB0DCF"/>
    <w:rsid w:val="76F123A0"/>
    <w:rsid w:val="76F41CE3"/>
    <w:rsid w:val="76F925E9"/>
    <w:rsid w:val="7702635B"/>
    <w:rsid w:val="77064ADC"/>
    <w:rsid w:val="7718792D"/>
    <w:rsid w:val="772D7053"/>
    <w:rsid w:val="77304C77"/>
    <w:rsid w:val="773D2BE2"/>
    <w:rsid w:val="7765409D"/>
    <w:rsid w:val="77677021"/>
    <w:rsid w:val="776B2153"/>
    <w:rsid w:val="77707E41"/>
    <w:rsid w:val="77762421"/>
    <w:rsid w:val="777F158E"/>
    <w:rsid w:val="77A92C7B"/>
    <w:rsid w:val="77AD276B"/>
    <w:rsid w:val="77B56B1F"/>
    <w:rsid w:val="77C67389"/>
    <w:rsid w:val="77C74D32"/>
    <w:rsid w:val="77CD0717"/>
    <w:rsid w:val="77CE5240"/>
    <w:rsid w:val="77CF64C6"/>
    <w:rsid w:val="77D40975"/>
    <w:rsid w:val="77EA78E7"/>
    <w:rsid w:val="77F008AA"/>
    <w:rsid w:val="77F73701"/>
    <w:rsid w:val="77F73C69"/>
    <w:rsid w:val="77FE33CF"/>
    <w:rsid w:val="78056103"/>
    <w:rsid w:val="7807069E"/>
    <w:rsid w:val="780F09F4"/>
    <w:rsid w:val="781400F4"/>
    <w:rsid w:val="781F39F8"/>
    <w:rsid w:val="78267E28"/>
    <w:rsid w:val="782A2B52"/>
    <w:rsid w:val="782C373C"/>
    <w:rsid w:val="782D057F"/>
    <w:rsid w:val="783C764B"/>
    <w:rsid w:val="78536F8A"/>
    <w:rsid w:val="78592CE0"/>
    <w:rsid w:val="786229DA"/>
    <w:rsid w:val="786F47A9"/>
    <w:rsid w:val="78762893"/>
    <w:rsid w:val="787B63C5"/>
    <w:rsid w:val="78A767EF"/>
    <w:rsid w:val="78A90480"/>
    <w:rsid w:val="78CF2B22"/>
    <w:rsid w:val="78D15FEE"/>
    <w:rsid w:val="78E55CB3"/>
    <w:rsid w:val="78E977D3"/>
    <w:rsid w:val="78FC779C"/>
    <w:rsid w:val="79004B1D"/>
    <w:rsid w:val="790E57B9"/>
    <w:rsid w:val="79167FAA"/>
    <w:rsid w:val="791714E6"/>
    <w:rsid w:val="791D747D"/>
    <w:rsid w:val="792151BF"/>
    <w:rsid w:val="79330EA0"/>
    <w:rsid w:val="7940440C"/>
    <w:rsid w:val="7942086B"/>
    <w:rsid w:val="796A677E"/>
    <w:rsid w:val="79730616"/>
    <w:rsid w:val="797664A5"/>
    <w:rsid w:val="79871E74"/>
    <w:rsid w:val="79893D28"/>
    <w:rsid w:val="79907C4E"/>
    <w:rsid w:val="799F3C44"/>
    <w:rsid w:val="79AC25AE"/>
    <w:rsid w:val="79BA5478"/>
    <w:rsid w:val="79BA6503"/>
    <w:rsid w:val="79CE0152"/>
    <w:rsid w:val="79D37DAB"/>
    <w:rsid w:val="79D67604"/>
    <w:rsid w:val="79DD01C4"/>
    <w:rsid w:val="79E764CB"/>
    <w:rsid w:val="79E85CDC"/>
    <w:rsid w:val="79F04B91"/>
    <w:rsid w:val="79F34921"/>
    <w:rsid w:val="79F47A30"/>
    <w:rsid w:val="7A093328"/>
    <w:rsid w:val="7A0D5743"/>
    <w:rsid w:val="7A15135D"/>
    <w:rsid w:val="7A364017"/>
    <w:rsid w:val="7A4324A6"/>
    <w:rsid w:val="7A4E264D"/>
    <w:rsid w:val="7A526F79"/>
    <w:rsid w:val="7A53732B"/>
    <w:rsid w:val="7A567787"/>
    <w:rsid w:val="7A581FB7"/>
    <w:rsid w:val="7A5B78A8"/>
    <w:rsid w:val="7A693312"/>
    <w:rsid w:val="7A6B246A"/>
    <w:rsid w:val="7A6D4434"/>
    <w:rsid w:val="7A8265E1"/>
    <w:rsid w:val="7A866E1A"/>
    <w:rsid w:val="7A97500D"/>
    <w:rsid w:val="7A983420"/>
    <w:rsid w:val="7A996FD7"/>
    <w:rsid w:val="7A9E283F"/>
    <w:rsid w:val="7AA27811"/>
    <w:rsid w:val="7ACD0A2E"/>
    <w:rsid w:val="7AD419A8"/>
    <w:rsid w:val="7AD41DBD"/>
    <w:rsid w:val="7ADD4B6D"/>
    <w:rsid w:val="7ADD6515"/>
    <w:rsid w:val="7ADF7BE6"/>
    <w:rsid w:val="7B0012ED"/>
    <w:rsid w:val="7B024E53"/>
    <w:rsid w:val="7B130B37"/>
    <w:rsid w:val="7B1623D5"/>
    <w:rsid w:val="7B16309E"/>
    <w:rsid w:val="7B1A27DF"/>
    <w:rsid w:val="7B1D3764"/>
    <w:rsid w:val="7B1D4037"/>
    <w:rsid w:val="7B1E128A"/>
    <w:rsid w:val="7B1F572E"/>
    <w:rsid w:val="7B2C7682"/>
    <w:rsid w:val="7B3D7962"/>
    <w:rsid w:val="7B4344BD"/>
    <w:rsid w:val="7B672C31"/>
    <w:rsid w:val="7B686D42"/>
    <w:rsid w:val="7B693ACB"/>
    <w:rsid w:val="7B841746"/>
    <w:rsid w:val="7B845591"/>
    <w:rsid w:val="7B857468"/>
    <w:rsid w:val="7BAC4264"/>
    <w:rsid w:val="7BC874AF"/>
    <w:rsid w:val="7C192873"/>
    <w:rsid w:val="7C1A6706"/>
    <w:rsid w:val="7C402F2B"/>
    <w:rsid w:val="7C4411C4"/>
    <w:rsid w:val="7C4F1227"/>
    <w:rsid w:val="7C511756"/>
    <w:rsid w:val="7C52743D"/>
    <w:rsid w:val="7C573FC9"/>
    <w:rsid w:val="7C6C5AC7"/>
    <w:rsid w:val="7C8E67E5"/>
    <w:rsid w:val="7C9125AC"/>
    <w:rsid w:val="7CAE348C"/>
    <w:rsid w:val="7CB00371"/>
    <w:rsid w:val="7CBA6913"/>
    <w:rsid w:val="7CC6544B"/>
    <w:rsid w:val="7CCC74F8"/>
    <w:rsid w:val="7CD018B5"/>
    <w:rsid w:val="7CD2057E"/>
    <w:rsid w:val="7CE009DD"/>
    <w:rsid w:val="7CE04219"/>
    <w:rsid w:val="7D0239FF"/>
    <w:rsid w:val="7D032E2D"/>
    <w:rsid w:val="7D3D4CEB"/>
    <w:rsid w:val="7D43322A"/>
    <w:rsid w:val="7D4A554A"/>
    <w:rsid w:val="7D4E412B"/>
    <w:rsid w:val="7D53381A"/>
    <w:rsid w:val="7D576FCA"/>
    <w:rsid w:val="7D5803BA"/>
    <w:rsid w:val="7D5A3B0A"/>
    <w:rsid w:val="7D5E40CD"/>
    <w:rsid w:val="7D7B0C16"/>
    <w:rsid w:val="7D8D3B60"/>
    <w:rsid w:val="7D9730DF"/>
    <w:rsid w:val="7DB2034D"/>
    <w:rsid w:val="7DBB1AC4"/>
    <w:rsid w:val="7DC45624"/>
    <w:rsid w:val="7DC629E9"/>
    <w:rsid w:val="7DCD56F2"/>
    <w:rsid w:val="7DD81BC4"/>
    <w:rsid w:val="7DF316B0"/>
    <w:rsid w:val="7DFB4751"/>
    <w:rsid w:val="7E0429B9"/>
    <w:rsid w:val="7E0D4EC2"/>
    <w:rsid w:val="7E0D5F9C"/>
    <w:rsid w:val="7E3979D8"/>
    <w:rsid w:val="7E47693F"/>
    <w:rsid w:val="7E4C3BCD"/>
    <w:rsid w:val="7E573431"/>
    <w:rsid w:val="7E61605D"/>
    <w:rsid w:val="7E793BB8"/>
    <w:rsid w:val="7E880E70"/>
    <w:rsid w:val="7E90249F"/>
    <w:rsid w:val="7E927F58"/>
    <w:rsid w:val="7E9C370C"/>
    <w:rsid w:val="7EA36676"/>
    <w:rsid w:val="7EBE0FC6"/>
    <w:rsid w:val="7EC3775B"/>
    <w:rsid w:val="7ED473C8"/>
    <w:rsid w:val="7EE10F4C"/>
    <w:rsid w:val="7EEC3658"/>
    <w:rsid w:val="7F001CE7"/>
    <w:rsid w:val="7F144E7E"/>
    <w:rsid w:val="7F3557D9"/>
    <w:rsid w:val="7F382FE6"/>
    <w:rsid w:val="7F463BFE"/>
    <w:rsid w:val="7F50753E"/>
    <w:rsid w:val="7F5431C7"/>
    <w:rsid w:val="7F5A5D13"/>
    <w:rsid w:val="7F6018B3"/>
    <w:rsid w:val="7F72467A"/>
    <w:rsid w:val="7F730EC0"/>
    <w:rsid w:val="7F7644AA"/>
    <w:rsid w:val="7F8245FD"/>
    <w:rsid w:val="7F8C5ED7"/>
    <w:rsid w:val="7FB14ABB"/>
    <w:rsid w:val="7FB54FC7"/>
    <w:rsid w:val="7FB85BB6"/>
    <w:rsid w:val="7FC05006"/>
    <w:rsid w:val="7FCA040F"/>
    <w:rsid w:val="7FCA1A2C"/>
    <w:rsid w:val="7FD30895"/>
    <w:rsid w:val="7FDD1714"/>
    <w:rsid w:val="7FE24D68"/>
    <w:rsid w:val="7FE3549A"/>
    <w:rsid w:val="7FE47E50"/>
    <w:rsid w:val="7FF25DF2"/>
    <w:rsid w:val="7FFC40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pt" color="#000001" endarrow="open" endarrowwidth="wide"/>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nhideWhenUsed="0" w:uiPriority="9"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1"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unhideWhenUsed="0" w:uiPriority="0" w:semiHidden="0" w:name="toc 3" w:locked="1"/>
    <w:lsdException w:qFormat="1"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99"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iPriority="99" w:semiHidden="0" w:name="Block Text" w:locked="1"/>
    <w:lsdException w:qFormat="1" w:unhideWhenUsed="0" w:uiPriority="99" w:semiHidden="0" w:name="Hyperlink" w:locked="1"/>
    <w:lsdException w:unhideWhenUsed="0" w:uiPriority="99"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qFormat="1" w:uiPriority="99"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5"/>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3"/>
    <w:basedOn w:val="1"/>
    <w:next w:val="1"/>
    <w:qFormat/>
    <w:locked/>
    <w:uiPriority w:val="9"/>
    <w:pPr>
      <w:keepNext/>
      <w:keepLines/>
      <w:widowControl/>
      <w:numPr>
        <w:ilvl w:val="2"/>
        <w:numId w:val="1"/>
      </w:numPr>
      <w:spacing w:line="360" w:lineRule="auto"/>
      <w:jc w:val="left"/>
      <w:outlineLvl w:val="2"/>
    </w:pPr>
    <w:rPr>
      <w:b/>
      <w:bCs/>
      <w:kern w:val="0"/>
      <w:szCs w:val="32"/>
    </w:rPr>
  </w:style>
  <w:style w:type="paragraph" w:styleId="5">
    <w:name w:val="heading 4"/>
    <w:basedOn w:val="1"/>
    <w:next w:val="1"/>
    <w:qFormat/>
    <w:locked/>
    <w:uiPriority w:val="0"/>
    <w:pPr>
      <w:numPr>
        <w:ilvl w:val="3"/>
        <w:numId w:val="2"/>
      </w:numPr>
      <w:spacing w:line="360" w:lineRule="auto"/>
      <w:ind w:left="0"/>
      <w:outlineLvl w:val="3"/>
    </w:pPr>
    <w:rPr>
      <w:b/>
      <w:bCs/>
      <w:sz w:val="28"/>
      <w:szCs w:val="28"/>
      <w:lang w:val="zh-CN"/>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9"/>
    <w:qFormat/>
    <w:uiPriority w:val="0"/>
    <w:pPr>
      <w:widowControl/>
      <w:snapToGrid w:val="0"/>
      <w:spacing w:before="60" w:after="160" w:line="259" w:lineRule="auto"/>
      <w:ind w:right="113"/>
    </w:pPr>
    <w:rPr>
      <w:kern w:val="0"/>
      <w:sz w:val="18"/>
      <w:szCs w:val="20"/>
    </w:rPr>
  </w:style>
  <w:style w:type="paragraph" w:styleId="6">
    <w:name w:val="List 3"/>
    <w:basedOn w:val="1"/>
    <w:next w:val="1"/>
    <w:qFormat/>
    <w:locked/>
    <w:uiPriority w:val="0"/>
    <w:pPr>
      <w:spacing w:line="360" w:lineRule="auto"/>
      <w:ind w:left="100" w:leftChars="400" w:hanging="200" w:hangingChars="200"/>
    </w:pPr>
  </w:style>
  <w:style w:type="paragraph" w:styleId="7">
    <w:name w:val="E-mail Signature"/>
    <w:basedOn w:val="1"/>
    <w:next w:val="8"/>
    <w:unhideWhenUsed/>
    <w:qFormat/>
    <w:locked/>
    <w:uiPriority w:val="99"/>
    <w:pPr>
      <w:spacing w:line="460" w:lineRule="exact"/>
      <w:ind w:firstLine="200"/>
    </w:pPr>
  </w:style>
  <w:style w:type="paragraph" w:customStyle="1" w:styleId="8">
    <w:name w:val="文章"/>
    <w:basedOn w:val="9"/>
    <w:next w:val="10"/>
    <w:qFormat/>
    <w:uiPriority w:val="0"/>
    <w:pPr>
      <w:ind w:firstLine="480"/>
      <w:jc w:val="center"/>
    </w:pPr>
    <w:rPr>
      <w:kern w:val="2"/>
      <w:sz w:val="26"/>
      <w:szCs w:val="22"/>
    </w:rPr>
  </w:style>
  <w:style w:type="paragraph" w:styleId="9">
    <w:name w:val="Body Text Indent"/>
    <w:basedOn w:val="1"/>
    <w:link w:val="60"/>
    <w:qFormat/>
    <w:uiPriority w:val="0"/>
    <w:pPr>
      <w:spacing w:after="120"/>
      <w:ind w:left="420" w:leftChars="200"/>
    </w:pPr>
    <w:rPr>
      <w:kern w:val="0"/>
      <w:sz w:val="24"/>
      <w:szCs w:val="20"/>
    </w:rPr>
  </w:style>
  <w:style w:type="paragraph" w:styleId="10">
    <w:name w:val="List"/>
    <w:basedOn w:val="1"/>
    <w:next w:val="11"/>
    <w:qFormat/>
    <w:locked/>
    <w:uiPriority w:val="0"/>
    <w:pPr>
      <w:ind w:left="200" w:hanging="200" w:hangingChars="200"/>
    </w:pPr>
    <w:rPr>
      <w:sz w:val="24"/>
      <w:szCs w:val="20"/>
    </w:rPr>
  </w:style>
  <w:style w:type="paragraph" w:styleId="11">
    <w:name w:val="List Bullet 2"/>
    <w:basedOn w:val="1"/>
    <w:next w:val="12"/>
    <w:qFormat/>
    <w:locked/>
    <w:uiPriority w:val="0"/>
    <w:pPr>
      <w:numPr>
        <w:ilvl w:val="0"/>
        <w:numId w:val="3"/>
      </w:numPr>
    </w:pPr>
  </w:style>
  <w:style w:type="paragraph" w:customStyle="1" w:styleId="12">
    <w:name w:val="xl70"/>
    <w:basedOn w:val="1"/>
    <w:next w:val="13"/>
    <w:qFormat/>
    <w:uiPriority w:val="0"/>
    <w:pPr>
      <w:widowControl/>
      <w:spacing w:before="280" w:after="280"/>
    </w:pPr>
  </w:style>
  <w:style w:type="paragraph" w:customStyle="1" w:styleId="13">
    <w:name w:val="正文缩进1"/>
    <w:basedOn w:val="1"/>
    <w:next w:val="14"/>
    <w:qFormat/>
    <w:uiPriority w:val="0"/>
    <w:pPr>
      <w:ind w:firstLine="420"/>
    </w:pPr>
    <w:rPr>
      <w:sz w:val="28"/>
    </w:rPr>
  </w:style>
  <w:style w:type="paragraph" w:customStyle="1" w:styleId="14">
    <w:name w:val="td1"/>
    <w:basedOn w:val="1"/>
    <w:next w:val="1"/>
    <w:qFormat/>
    <w:uiPriority w:val="0"/>
    <w:pPr>
      <w:widowControl/>
      <w:spacing w:before="280" w:after="280" w:line="300" w:lineRule="atLeast"/>
      <w:ind w:firstLine="200"/>
    </w:pPr>
    <w:rPr>
      <w:color w:val="000000"/>
      <w:sz w:val="18"/>
    </w:rPr>
  </w:style>
  <w:style w:type="paragraph" w:styleId="15">
    <w:name w:val="Normal Indent"/>
    <w:basedOn w:val="1"/>
    <w:next w:val="1"/>
    <w:link w:val="56"/>
    <w:qFormat/>
    <w:locked/>
    <w:uiPriority w:val="0"/>
    <w:pPr>
      <w:ind w:firstLine="420"/>
    </w:pPr>
    <w:rPr>
      <w:sz w:val="28"/>
      <w:szCs w:val="28"/>
    </w:rPr>
  </w:style>
  <w:style w:type="paragraph" w:styleId="16">
    <w:name w:val="caption"/>
    <w:basedOn w:val="1"/>
    <w:next w:val="1"/>
    <w:qFormat/>
    <w:locked/>
    <w:uiPriority w:val="0"/>
    <w:pPr>
      <w:jc w:val="center"/>
    </w:pPr>
    <w:rPr>
      <w:b/>
    </w:rPr>
  </w:style>
  <w:style w:type="paragraph" w:styleId="17">
    <w:name w:val="Document Map"/>
    <w:basedOn w:val="1"/>
    <w:link w:val="57"/>
    <w:qFormat/>
    <w:locked/>
    <w:uiPriority w:val="0"/>
    <w:rPr>
      <w:rFonts w:ascii="宋体"/>
      <w:sz w:val="18"/>
      <w:szCs w:val="18"/>
    </w:rPr>
  </w:style>
  <w:style w:type="paragraph" w:styleId="18">
    <w:name w:val="annotation text"/>
    <w:basedOn w:val="1"/>
    <w:link w:val="58"/>
    <w:semiHidden/>
    <w:qFormat/>
    <w:uiPriority w:val="0"/>
    <w:pPr>
      <w:jc w:val="left"/>
    </w:pPr>
    <w:rPr>
      <w:kern w:val="0"/>
      <w:sz w:val="24"/>
      <w:szCs w:val="20"/>
    </w:rPr>
  </w:style>
  <w:style w:type="paragraph" w:styleId="19">
    <w:name w:val="Block Text"/>
    <w:basedOn w:val="1"/>
    <w:unhideWhenUsed/>
    <w:qFormat/>
    <w:locked/>
    <w:uiPriority w:val="99"/>
    <w:pPr>
      <w:spacing w:after="120"/>
      <w:ind w:left="1440" w:leftChars="700" w:right="700" w:rightChars="700"/>
    </w:pPr>
  </w:style>
  <w:style w:type="paragraph" w:styleId="20">
    <w:name w:val="toc 5"/>
    <w:basedOn w:val="1"/>
    <w:next w:val="1"/>
    <w:qFormat/>
    <w:locked/>
    <w:uiPriority w:val="0"/>
    <w:pPr>
      <w:ind w:left="1680" w:leftChars="800"/>
    </w:pPr>
  </w:style>
  <w:style w:type="paragraph" w:styleId="21">
    <w:name w:val="Plain Text"/>
    <w:basedOn w:val="1"/>
    <w:next w:val="22"/>
    <w:qFormat/>
    <w:locked/>
    <w:uiPriority w:val="0"/>
    <w:rPr>
      <w:rFonts w:ascii="宋体" w:hAnsi="Courier New"/>
    </w:rPr>
  </w:style>
  <w:style w:type="paragraph" w:styleId="22">
    <w:name w:val="toc 1"/>
    <w:basedOn w:val="1"/>
    <w:next w:val="1"/>
    <w:qFormat/>
    <w:locked/>
    <w:uiPriority w:val="0"/>
  </w:style>
  <w:style w:type="paragraph" w:styleId="23">
    <w:name w:val="Date"/>
    <w:basedOn w:val="1"/>
    <w:next w:val="1"/>
    <w:link w:val="61"/>
    <w:qFormat/>
    <w:uiPriority w:val="0"/>
    <w:pPr>
      <w:ind w:left="100" w:leftChars="2500"/>
    </w:pPr>
    <w:rPr>
      <w:kern w:val="0"/>
      <w:sz w:val="24"/>
      <w:szCs w:val="20"/>
    </w:rPr>
  </w:style>
  <w:style w:type="paragraph" w:styleId="24">
    <w:name w:val="Body Text Indent 2"/>
    <w:basedOn w:val="1"/>
    <w:qFormat/>
    <w:locked/>
    <w:uiPriority w:val="0"/>
    <w:pPr>
      <w:widowControl/>
      <w:ind w:firstLine="430"/>
      <w:jc w:val="left"/>
    </w:pPr>
    <w:rPr>
      <w:kern w:val="0"/>
      <w:sz w:val="24"/>
      <w:szCs w:val="20"/>
    </w:rPr>
  </w:style>
  <w:style w:type="paragraph" w:styleId="25">
    <w:name w:val="Balloon Text"/>
    <w:basedOn w:val="1"/>
    <w:link w:val="62"/>
    <w:semiHidden/>
    <w:qFormat/>
    <w:uiPriority w:val="0"/>
    <w:rPr>
      <w:kern w:val="0"/>
      <w:sz w:val="18"/>
      <w:szCs w:val="20"/>
    </w:rPr>
  </w:style>
  <w:style w:type="paragraph" w:styleId="26">
    <w:name w:val="footer"/>
    <w:basedOn w:val="1"/>
    <w:link w:val="63"/>
    <w:qFormat/>
    <w:uiPriority w:val="99"/>
    <w:pPr>
      <w:tabs>
        <w:tab w:val="center" w:pos="4153"/>
        <w:tab w:val="right" w:pos="8306"/>
      </w:tabs>
      <w:snapToGrid w:val="0"/>
      <w:jc w:val="left"/>
    </w:pPr>
    <w:rPr>
      <w:kern w:val="0"/>
      <w:sz w:val="18"/>
      <w:szCs w:val="20"/>
    </w:rPr>
  </w:style>
  <w:style w:type="paragraph" w:styleId="27">
    <w:name w:val="header"/>
    <w:basedOn w:val="1"/>
    <w:link w:val="64"/>
    <w:qFormat/>
    <w:uiPriority w:val="0"/>
    <w:pPr>
      <w:pBdr>
        <w:bottom w:val="single" w:color="auto" w:sz="6" w:space="1"/>
      </w:pBdr>
      <w:tabs>
        <w:tab w:val="center" w:pos="4153"/>
        <w:tab w:val="right" w:pos="8306"/>
      </w:tabs>
      <w:snapToGrid w:val="0"/>
      <w:jc w:val="center"/>
    </w:pPr>
    <w:rPr>
      <w:kern w:val="0"/>
      <w:sz w:val="18"/>
      <w:szCs w:val="20"/>
    </w:rPr>
  </w:style>
  <w:style w:type="paragraph" w:styleId="28">
    <w:name w:val="toc 4"/>
    <w:basedOn w:val="1"/>
    <w:next w:val="1"/>
    <w:qFormat/>
    <w:locked/>
    <w:uiPriority w:val="0"/>
    <w:pPr>
      <w:ind w:left="1260" w:leftChars="600"/>
    </w:pPr>
  </w:style>
  <w:style w:type="paragraph" w:styleId="29">
    <w:name w:val="Body Text Indent 3"/>
    <w:basedOn w:val="1"/>
    <w:qFormat/>
    <w:locked/>
    <w:uiPriority w:val="0"/>
    <w:pPr>
      <w:spacing w:line="300" w:lineRule="auto"/>
      <w:ind w:firstLine="570"/>
    </w:pPr>
    <w:rPr>
      <w:rFonts w:ascii="宋体"/>
      <w:sz w:val="28"/>
    </w:rPr>
  </w:style>
  <w:style w:type="paragraph" w:styleId="30">
    <w:name w:val="toc 2"/>
    <w:basedOn w:val="1"/>
    <w:next w:val="1"/>
    <w:qFormat/>
    <w:locked/>
    <w:uiPriority w:val="39"/>
    <w:pPr>
      <w:adjustRightInd w:val="0"/>
      <w:spacing w:line="312" w:lineRule="atLeast"/>
      <w:ind w:left="420" w:leftChars="200"/>
      <w:textAlignment w:val="baseline"/>
    </w:pPr>
    <w:rPr>
      <w:kern w:val="0"/>
      <w:szCs w:val="20"/>
    </w:rPr>
  </w:style>
  <w:style w:type="paragraph" w:styleId="31">
    <w:name w:val="Normal (Web)"/>
    <w:basedOn w:val="1"/>
    <w:link w:val="65"/>
    <w:qFormat/>
    <w:uiPriority w:val="0"/>
    <w:pPr>
      <w:widowControl/>
      <w:spacing w:before="100" w:beforeAutospacing="1" w:after="100" w:afterAutospacing="1"/>
      <w:jc w:val="left"/>
    </w:pPr>
    <w:rPr>
      <w:rFonts w:ascii="宋体" w:hAnsi="宋体"/>
      <w:kern w:val="0"/>
      <w:sz w:val="24"/>
      <w:szCs w:val="20"/>
    </w:rPr>
  </w:style>
  <w:style w:type="paragraph" w:styleId="32">
    <w:name w:val="annotation subject"/>
    <w:basedOn w:val="18"/>
    <w:next w:val="18"/>
    <w:link w:val="66"/>
    <w:semiHidden/>
    <w:qFormat/>
    <w:uiPriority w:val="0"/>
    <w:rPr>
      <w:b/>
      <w:kern w:val="2"/>
    </w:rPr>
  </w:style>
  <w:style w:type="paragraph" w:styleId="33">
    <w:name w:val="Body Text First Indent"/>
    <w:basedOn w:val="2"/>
    <w:qFormat/>
    <w:locked/>
    <w:uiPriority w:val="99"/>
    <w:pPr>
      <w:ind w:firstLine="420" w:firstLineChars="100"/>
    </w:pPr>
  </w:style>
  <w:style w:type="paragraph" w:styleId="34">
    <w:name w:val="Body Text First Indent 2"/>
    <w:basedOn w:val="9"/>
    <w:next w:val="1"/>
    <w:qFormat/>
    <w:locked/>
    <w:uiPriority w:val="0"/>
    <w:pPr>
      <w:ind w:firstLine="420" w:firstLineChars="200"/>
    </w:pPr>
  </w:style>
  <w:style w:type="table" w:styleId="36">
    <w:name w:val="Table Grid"/>
    <w:basedOn w:val="3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locked/>
    <w:uiPriority w:val="0"/>
    <w:rPr>
      <w:b/>
    </w:rPr>
  </w:style>
  <w:style w:type="character" w:styleId="39">
    <w:name w:val="page number"/>
    <w:qFormat/>
    <w:locked/>
    <w:uiPriority w:val="0"/>
  </w:style>
  <w:style w:type="character" w:styleId="40">
    <w:name w:val="Emphasis"/>
    <w:qFormat/>
    <w:locked/>
    <w:uiPriority w:val="0"/>
    <w:rPr>
      <w:i/>
    </w:rPr>
  </w:style>
  <w:style w:type="character" w:styleId="41">
    <w:name w:val="Hyperlink"/>
    <w:qFormat/>
    <w:locked/>
    <w:uiPriority w:val="99"/>
    <w:rPr>
      <w:color w:val="0000FF"/>
      <w:u w:val="single"/>
    </w:rPr>
  </w:style>
  <w:style w:type="character" w:styleId="42">
    <w:name w:val="annotation reference"/>
    <w:semiHidden/>
    <w:qFormat/>
    <w:uiPriority w:val="0"/>
    <w:rPr>
      <w:sz w:val="21"/>
    </w:rPr>
  </w:style>
  <w:style w:type="paragraph" w:customStyle="1" w:styleId="43">
    <w:name w:val="Default"/>
    <w:basedOn w:val="44"/>
    <w:next w:val="45"/>
    <w:link w:val="67"/>
    <w:qFormat/>
    <w:uiPriority w:val="0"/>
    <w:pPr>
      <w:autoSpaceDE w:val="0"/>
      <w:autoSpaceDN w:val="0"/>
    </w:pPr>
    <w:rPr>
      <w:rFonts w:hint="default" w:ascii="Times New Roman" w:hAnsi="Times New Roman"/>
      <w:color w:val="000000"/>
    </w:rPr>
  </w:style>
  <w:style w:type="paragraph" w:customStyle="1" w:styleId="44">
    <w:name w:val="纯文本1"/>
    <w:next w:val="21"/>
    <w:qFormat/>
    <w:uiPriority w:val="0"/>
    <w:pPr>
      <w:widowControl w:val="0"/>
      <w:wordWrap w:val="0"/>
      <w:spacing w:line="360" w:lineRule="auto"/>
      <w:ind w:firstLine="480" w:firstLineChars="200"/>
      <w:jc w:val="both"/>
    </w:pPr>
    <w:rPr>
      <w:rFonts w:hint="eastAsia" w:ascii="宋体" w:hAnsi="Courier New" w:eastAsia="宋体" w:cs="Times New Roman"/>
      <w:kern w:val="2"/>
      <w:sz w:val="24"/>
      <w:szCs w:val="22"/>
      <w:lang w:val="en-US" w:eastAsia="zh-CN" w:bidi="ar-SA"/>
    </w:rPr>
  </w:style>
  <w:style w:type="paragraph" w:customStyle="1" w:styleId="45">
    <w:name w:val="样式35"/>
    <w:basedOn w:val="46"/>
    <w:next w:val="47"/>
    <w:qFormat/>
    <w:uiPriority w:val="0"/>
    <w:pPr>
      <w:tabs>
        <w:tab w:val="left" w:pos="0"/>
        <w:tab w:val="left" w:pos="360"/>
        <w:tab w:val="left" w:pos="540"/>
        <w:tab w:val="left" w:pos="567"/>
      </w:tabs>
      <w:spacing w:line="312" w:lineRule="auto"/>
      <w:ind w:firstLine="567"/>
    </w:pPr>
    <w:rPr>
      <w:rFonts w:ascii="宋体" w:hAnsi="宋体" w:cs="宋体"/>
      <w:sz w:val="28"/>
      <w:szCs w:val="28"/>
    </w:rPr>
  </w:style>
  <w:style w:type="paragraph" w:customStyle="1" w:styleId="46">
    <w:name w:val="表 内容"/>
    <w:qFormat/>
    <w:uiPriority w:val="0"/>
    <w:pPr>
      <w:widowControl w:val="0"/>
      <w:adjustRightInd w:val="0"/>
      <w:snapToGrid w:val="0"/>
      <w:spacing w:beforeLines="15"/>
      <w:jc w:val="center"/>
    </w:pPr>
    <w:rPr>
      <w:rFonts w:ascii="Times New Roman" w:hAnsi="Times New Roman" w:eastAsia="宋体" w:cs="Times New Roman"/>
      <w:szCs w:val="21"/>
      <w:lang w:val="en-US" w:eastAsia="zh-CN" w:bidi="ar-SA"/>
    </w:rPr>
  </w:style>
  <w:style w:type="paragraph" w:customStyle="1" w:styleId="47">
    <w:name w:val="font6"/>
    <w:next w:val="30"/>
    <w:qFormat/>
    <w:uiPriority w:val="0"/>
    <w:pPr>
      <w:spacing w:before="100" w:beforeAutospacing="1" w:after="100" w:afterAutospacing="1"/>
    </w:pPr>
    <w:rPr>
      <w:rFonts w:ascii="宋体" w:hAnsi="宋体" w:eastAsia="宋体" w:cs="宋体"/>
      <w:lang w:val="en-US" w:eastAsia="zh-CN" w:bidi="ar-SA"/>
    </w:rPr>
  </w:style>
  <w:style w:type="paragraph" w:customStyle="1" w:styleId="48">
    <w:name w:val="Default1"/>
    <w:next w:val="4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9">
    <w:name w:val="正文样式1"/>
    <w:basedOn w:val="1"/>
    <w:next w:val="1"/>
    <w:qFormat/>
    <w:uiPriority w:val="0"/>
    <w:pPr>
      <w:widowControl/>
      <w:adjustRightInd w:val="0"/>
      <w:snapToGrid w:val="0"/>
      <w:ind w:firstLine="510"/>
      <w:jc w:val="left"/>
    </w:pPr>
    <w:rPr>
      <w:rFonts w:ascii="Tahoma" w:hAnsi="Tahoma" w:eastAsia="Tahoma" w:cs="Tahoma"/>
      <w:kern w:val="24"/>
      <w:sz w:val="24"/>
    </w:rPr>
  </w:style>
  <w:style w:type="paragraph" w:customStyle="1" w:styleId="50">
    <w:name w:val="样式26"/>
    <w:basedOn w:val="51"/>
    <w:qFormat/>
    <w:locked/>
    <w:uiPriority w:val="0"/>
    <w:pPr>
      <w:tabs>
        <w:tab w:val="left" w:pos="0"/>
        <w:tab w:val="left" w:pos="360"/>
        <w:tab w:val="left" w:pos="540"/>
        <w:tab w:val="left" w:pos="567"/>
      </w:tabs>
    </w:pPr>
  </w:style>
  <w:style w:type="paragraph" w:customStyle="1" w:styleId="51">
    <w:name w:val="样式21"/>
    <w:basedOn w:val="52"/>
    <w:qFormat/>
    <w:locked/>
    <w:uiPriority w:val="0"/>
    <w:pPr>
      <w:tabs>
        <w:tab w:val="left" w:pos="0"/>
        <w:tab w:val="left" w:pos="360"/>
        <w:tab w:val="left" w:pos="567"/>
      </w:tabs>
      <w:spacing w:beforeLines="0" w:afterLines="0"/>
      <w:ind w:hanging="992"/>
    </w:pPr>
  </w:style>
  <w:style w:type="paragraph" w:customStyle="1" w:styleId="52">
    <w:name w:val="样式5"/>
    <w:basedOn w:val="53"/>
    <w:qFormat/>
    <w:locked/>
    <w:uiPriority w:val="0"/>
    <w:pPr>
      <w:tabs>
        <w:tab w:val="left" w:pos="0"/>
        <w:tab w:val="left" w:pos="360"/>
      </w:tabs>
      <w:ind w:right="-105" w:rightChars="-50"/>
      <w:jc w:val="center"/>
    </w:pPr>
    <w:rPr>
      <w:rFonts w:ascii="宋体"/>
      <w:sz w:val="21"/>
    </w:rPr>
  </w:style>
  <w:style w:type="paragraph" w:customStyle="1" w:styleId="53">
    <w:name w:val="样式12"/>
    <w:basedOn w:val="54"/>
    <w:qFormat/>
    <w:locked/>
    <w:uiPriority w:val="0"/>
    <w:pPr>
      <w:tabs>
        <w:tab w:val="left" w:pos="0"/>
        <w:tab w:val="left" w:pos="360"/>
      </w:tabs>
      <w:spacing w:line="360" w:lineRule="auto"/>
      <w:ind w:left="567" w:hanging="567"/>
      <w:outlineLvl w:val="1"/>
    </w:pPr>
    <w:rPr>
      <w:rFonts w:eastAsia="MS Mincho"/>
      <w:kern w:val="0"/>
      <w:sz w:val="28"/>
      <w:szCs w:val="28"/>
    </w:rPr>
  </w:style>
  <w:style w:type="paragraph" w:customStyle="1" w:styleId="54">
    <w:name w:val="样式17"/>
    <w:basedOn w:val="1"/>
    <w:qFormat/>
    <w:uiPriority w:val="0"/>
    <w:pPr>
      <w:keepNext/>
      <w:keepLines/>
      <w:tabs>
        <w:tab w:val="left" w:pos="0"/>
        <w:tab w:val="left" w:pos="360"/>
      </w:tabs>
      <w:spacing w:beforeLines="50" w:afterLines="50"/>
      <w:outlineLvl w:val="0"/>
    </w:pPr>
    <w:rPr>
      <w:rFonts w:eastAsia="黑体"/>
      <w:kern w:val="44"/>
      <w:sz w:val="30"/>
      <w:szCs w:val="44"/>
    </w:rPr>
  </w:style>
  <w:style w:type="character" w:customStyle="1" w:styleId="55">
    <w:name w:val="标题 1 字符"/>
    <w:link w:val="3"/>
    <w:qFormat/>
    <w:uiPriority w:val="99"/>
    <w:rPr>
      <w:rFonts w:eastAsia="黑体"/>
      <w:b/>
      <w:bCs/>
      <w:color w:val="000000"/>
      <w:kern w:val="44"/>
      <w:sz w:val="30"/>
      <w:szCs w:val="30"/>
    </w:rPr>
  </w:style>
  <w:style w:type="character" w:customStyle="1" w:styleId="56">
    <w:name w:val="正文缩进 字符"/>
    <w:link w:val="15"/>
    <w:qFormat/>
    <w:locked/>
    <w:uiPriority w:val="0"/>
    <w:rPr>
      <w:kern w:val="2"/>
      <w:sz w:val="28"/>
      <w:szCs w:val="28"/>
    </w:rPr>
  </w:style>
  <w:style w:type="character" w:customStyle="1" w:styleId="57">
    <w:name w:val="文档结构图 字符"/>
    <w:link w:val="17"/>
    <w:qFormat/>
    <w:uiPriority w:val="0"/>
    <w:rPr>
      <w:rFonts w:ascii="宋体"/>
      <w:kern w:val="2"/>
      <w:sz w:val="18"/>
      <w:szCs w:val="18"/>
    </w:rPr>
  </w:style>
  <w:style w:type="character" w:customStyle="1" w:styleId="58">
    <w:name w:val="批注文字 字符"/>
    <w:link w:val="18"/>
    <w:qFormat/>
    <w:locked/>
    <w:uiPriority w:val="0"/>
    <w:rPr>
      <w:rFonts w:ascii="Times New Roman" w:hAnsi="Times New Roman" w:eastAsia="宋体"/>
      <w:sz w:val="24"/>
    </w:rPr>
  </w:style>
  <w:style w:type="character" w:customStyle="1" w:styleId="59">
    <w:name w:val="正文文本 字符2"/>
    <w:link w:val="2"/>
    <w:qFormat/>
    <w:locked/>
    <w:uiPriority w:val="0"/>
    <w:rPr>
      <w:sz w:val="18"/>
    </w:rPr>
  </w:style>
  <w:style w:type="character" w:customStyle="1" w:styleId="60">
    <w:name w:val="正文文本缩进 字符"/>
    <w:link w:val="9"/>
    <w:semiHidden/>
    <w:qFormat/>
    <w:locked/>
    <w:uiPriority w:val="0"/>
    <w:rPr>
      <w:rFonts w:ascii="Times New Roman" w:hAnsi="Times New Roman" w:eastAsia="宋体"/>
      <w:sz w:val="24"/>
    </w:rPr>
  </w:style>
  <w:style w:type="character" w:customStyle="1" w:styleId="61">
    <w:name w:val="日期 字符1"/>
    <w:link w:val="23"/>
    <w:qFormat/>
    <w:locked/>
    <w:uiPriority w:val="0"/>
    <w:rPr>
      <w:rFonts w:ascii="Times New Roman" w:hAnsi="Times New Roman" w:eastAsia="宋体"/>
      <w:sz w:val="24"/>
    </w:rPr>
  </w:style>
  <w:style w:type="character" w:customStyle="1" w:styleId="62">
    <w:name w:val="批注框文本 字符"/>
    <w:link w:val="25"/>
    <w:semiHidden/>
    <w:qFormat/>
    <w:locked/>
    <w:uiPriority w:val="0"/>
    <w:rPr>
      <w:rFonts w:ascii="Times New Roman" w:hAnsi="Times New Roman" w:eastAsia="宋体"/>
      <w:sz w:val="18"/>
    </w:rPr>
  </w:style>
  <w:style w:type="character" w:customStyle="1" w:styleId="63">
    <w:name w:val="页脚 字符1"/>
    <w:link w:val="26"/>
    <w:qFormat/>
    <w:locked/>
    <w:uiPriority w:val="99"/>
    <w:rPr>
      <w:sz w:val="18"/>
    </w:rPr>
  </w:style>
  <w:style w:type="character" w:customStyle="1" w:styleId="64">
    <w:name w:val="页眉 字符"/>
    <w:link w:val="27"/>
    <w:qFormat/>
    <w:locked/>
    <w:uiPriority w:val="0"/>
    <w:rPr>
      <w:sz w:val="18"/>
    </w:rPr>
  </w:style>
  <w:style w:type="character" w:customStyle="1" w:styleId="65">
    <w:name w:val="普通(网站) 字符"/>
    <w:link w:val="31"/>
    <w:qFormat/>
    <w:locked/>
    <w:uiPriority w:val="0"/>
    <w:rPr>
      <w:rFonts w:ascii="宋体" w:hAnsi="宋体" w:eastAsia="宋体"/>
      <w:sz w:val="24"/>
    </w:rPr>
  </w:style>
  <w:style w:type="character" w:customStyle="1" w:styleId="66">
    <w:name w:val="批注主题 字符"/>
    <w:link w:val="32"/>
    <w:semiHidden/>
    <w:qFormat/>
    <w:locked/>
    <w:uiPriority w:val="0"/>
    <w:rPr>
      <w:rFonts w:ascii="Times New Roman" w:hAnsi="Times New Roman" w:eastAsia="宋体"/>
      <w:b/>
      <w:kern w:val="2"/>
      <w:sz w:val="24"/>
    </w:rPr>
  </w:style>
  <w:style w:type="character" w:customStyle="1" w:styleId="67">
    <w:name w:val="Default Char"/>
    <w:link w:val="43"/>
    <w:qFormat/>
    <w:uiPriority w:val="0"/>
    <w:rPr>
      <w:color w:val="000000"/>
      <w:kern w:val="2"/>
      <w:sz w:val="24"/>
      <w:szCs w:val="22"/>
    </w:rPr>
  </w:style>
  <w:style w:type="character" w:customStyle="1" w:styleId="68">
    <w:name w:val="日期 字符"/>
    <w:semiHidden/>
    <w:qFormat/>
    <w:uiPriority w:val="0"/>
    <w:rPr>
      <w:rFonts w:ascii="Times New Roman" w:hAnsi="Times New Roman" w:eastAsia="宋体"/>
      <w:sz w:val="24"/>
    </w:rPr>
  </w:style>
  <w:style w:type="character" w:customStyle="1" w:styleId="69">
    <w:name w:val="表格 Char"/>
    <w:link w:val="70"/>
    <w:qFormat/>
    <w:locked/>
    <w:uiPriority w:val="0"/>
    <w:rPr>
      <w:rFonts w:ascii="宋体"/>
      <w:sz w:val="21"/>
    </w:rPr>
  </w:style>
  <w:style w:type="paragraph" w:customStyle="1" w:styleId="70">
    <w:name w:val="表格"/>
    <w:basedOn w:val="15"/>
    <w:next w:val="1"/>
    <w:link w:val="69"/>
    <w:qFormat/>
    <w:uiPriority w:val="0"/>
    <w:pPr>
      <w:adjustRightInd w:val="0"/>
      <w:snapToGrid w:val="0"/>
      <w:spacing w:beforeLines="10" w:afterLines="10" w:line="259" w:lineRule="auto"/>
      <w:jc w:val="center"/>
    </w:pPr>
    <w:rPr>
      <w:rFonts w:ascii="宋体"/>
      <w:kern w:val="0"/>
      <w:szCs w:val="20"/>
    </w:rPr>
  </w:style>
  <w:style w:type="character" w:customStyle="1" w:styleId="71">
    <w:name w:val="正文文本 字符1"/>
    <w:semiHidden/>
    <w:qFormat/>
    <w:uiPriority w:val="0"/>
    <w:rPr>
      <w:rFonts w:ascii="Times New Roman" w:hAnsi="Times New Roman" w:eastAsia="宋体"/>
      <w:sz w:val="24"/>
    </w:rPr>
  </w:style>
  <w:style w:type="character" w:customStyle="1" w:styleId="72">
    <w:name w:val="页脚 字符"/>
    <w:qFormat/>
    <w:uiPriority w:val="99"/>
  </w:style>
  <w:style w:type="character" w:customStyle="1" w:styleId="73">
    <w:name w:val="批注文字 字符1"/>
    <w:semiHidden/>
    <w:qFormat/>
    <w:uiPriority w:val="0"/>
    <w:rPr>
      <w:rFonts w:ascii="Times New Roman" w:hAnsi="Times New Roman" w:eastAsia="宋体"/>
      <w:sz w:val="24"/>
    </w:rPr>
  </w:style>
  <w:style w:type="paragraph" w:customStyle="1" w:styleId="7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5">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76">
    <w:name w:val="报告表  段"/>
    <w:basedOn w:val="1"/>
    <w:qFormat/>
    <w:uiPriority w:val="0"/>
    <w:pPr>
      <w:adjustRightInd w:val="0"/>
      <w:spacing w:line="360" w:lineRule="auto"/>
      <w:ind w:firstLine="505"/>
      <w:textAlignment w:val="baseline"/>
    </w:pPr>
    <w:rPr>
      <w:rFonts w:ascii="宋体" w:hAnsi="Calibri"/>
      <w:kern w:val="0"/>
      <w:sz w:val="24"/>
      <w:szCs w:val="20"/>
    </w:rPr>
  </w:style>
  <w:style w:type="paragraph" w:customStyle="1" w:styleId="77">
    <w:name w:val="Table Paragraph"/>
    <w:basedOn w:val="1"/>
    <w:qFormat/>
    <w:uiPriority w:val="1"/>
  </w:style>
  <w:style w:type="table" w:customStyle="1" w:styleId="78">
    <w:name w:val="Table Normal"/>
    <w:unhideWhenUsed/>
    <w:qFormat/>
    <w:uiPriority w:val="2"/>
    <w:tblPr>
      <w:tblCellMar>
        <w:top w:w="0" w:type="dxa"/>
        <w:left w:w="0" w:type="dxa"/>
        <w:bottom w:w="0" w:type="dxa"/>
        <w:right w:w="0" w:type="dxa"/>
      </w:tblCellMar>
    </w:tblPr>
  </w:style>
  <w:style w:type="paragraph" w:customStyle="1" w:styleId="79">
    <w:name w:val="报告表格内容"/>
    <w:basedOn w:val="1"/>
    <w:next w:val="1"/>
    <w:qFormat/>
    <w:uiPriority w:val="0"/>
    <w:pPr>
      <w:adjustRightInd w:val="0"/>
      <w:snapToGrid w:val="0"/>
      <w:jc w:val="center"/>
    </w:pPr>
    <w:rPr>
      <w:szCs w:val="20"/>
    </w:rPr>
  </w:style>
  <w:style w:type="table" w:customStyle="1" w:styleId="80">
    <w:name w:val="表格样式11"/>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1">
    <w:name w:val="List Paragraph"/>
    <w:basedOn w:val="1"/>
    <w:qFormat/>
    <w:uiPriority w:val="34"/>
    <w:pPr>
      <w:ind w:left="1186" w:hanging="316"/>
    </w:pPr>
  </w:style>
  <w:style w:type="paragraph" w:customStyle="1" w:styleId="82">
    <w:name w:val="Re-正文"/>
    <w:basedOn w:val="1"/>
    <w:qFormat/>
    <w:uiPriority w:val="3"/>
    <w:pPr>
      <w:spacing w:line="360" w:lineRule="auto"/>
      <w:ind w:firstLine="200" w:firstLineChars="200"/>
    </w:pPr>
    <w:rPr>
      <w:kern w:val="0"/>
      <w:sz w:val="24"/>
    </w:rPr>
  </w:style>
  <w:style w:type="paragraph" w:customStyle="1" w:styleId="83">
    <w:name w:val="列出段落1"/>
    <w:basedOn w:val="1"/>
    <w:qFormat/>
    <w:uiPriority w:val="34"/>
    <w:pPr>
      <w:ind w:firstLine="420" w:firstLineChars="200"/>
    </w:pPr>
    <w:rPr>
      <w:szCs w:val="22"/>
    </w:rPr>
  </w:style>
  <w:style w:type="paragraph" w:customStyle="1" w:styleId="84">
    <w:name w:val="表格文字"/>
    <w:basedOn w:val="1"/>
    <w:qFormat/>
    <w:uiPriority w:val="0"/>
    <w:pPr>
      <w:adjustRightInd w:val="0"/>
      <w:snapToGrid w:val="0"/>
      <w:spacing w:before="37" w:beforeLines="12"/>
      <w:jc w:val="center"/>
    </w:pPr>
    <w:rPr>
      <w:color w:val="0000FF"/>
      <w:szCs w:val="21"/>
    </w:rPr>
  </w:style>
  <w:style w:type="paragraph" w:customStyle="1" w:styleId="85">
    <w:name w:val="_Style 1"/>
    <w:basedOn w:val="1"/>
    <w:qFormat/>
    <w:uiPriority w:val="34"/>
    <w:pPr>
      <w:spacing w:line="360" w:lineRule="auto"/>
      <w:ind w:firstLine="200" w:firstLineChars="200"/>
    </w:pPr>
  </w:style>
  <w:style w:type="paragraph" w:customStyle="1" w:styleId="86">
    <w:name w:val="样式 行距: 1.5 倍行距 首行缩进:  2 字符"/>
    <w:basedOn w:val="1"/>
    <w:qFormat/>
    <w:uiPriority w:val="0"/>
    <w:pPr>
      <w:spacing w:line="360" w:lineRule="auto"/>
      <w:ind w:firstLine="480" w:firstLineChars="200"/>
      <w:jc w:val="left"/>
    </w:pPr>
    <w:rPr>
      <w:sz w:val="24"/>
    </w:rPr>
  </w:style>
  <w:style w:type="paragraph" w:customStyle="1" w:styleId="87">
    <w:name w:val="表格格式"/>
    <w:basedOn w:val="88"/>
    <w:qFormat/>
    <w:uiPriority w:val="0"/>
    <w:rPr>
      <w:rFonts w:hAnsi="宋体"/>
      <w:szCs w:val="21"/>
    </w:rPr>
  </w:style>
  <w:style w:type="paragraph" w:customStyle="1" w:styleId="88">
    <w:name w:val="表格标题"/>
    <w:basedOn w:val="89"/>
    <w:qFormat/>
    <w:uiPriority w:val="1"/>
    <w:rPr>
      <w:b/>
      <w:kern w:val="2"/>
      <w:szCs w:val="24"/>
    </w:rPr>
  </w:style>
  <w:style w:type="paragraph" w:customStyle="1" w:styleId="89">
    <w:name w:val="表格000"/>
    <w:basedOn w:val="1"/>
    <w:qFormat/>
    <w:uiPriority w:val="0"/>
    <w:pPr>
      <w:jc w:val="center"/>
    </w:pPr>
    <w:rPr>
      <w:kern w:val="11"/>
      <w:szCs w:val="21"/>
    </w:rPr>
  </w:style>
  <w:style w:type="paragraph" w:customStyle="1" w:styleId="90">
    <w:name w:val="1"/>
    <w:basedOn w:val="1"/>
    <w:next w:val="9"/>
    <w:qFormat/>
    <w:uiPriority w:val="0"/>
    <w:pPr>
      <w:snapToGrid w:val="0"/>
      <w:spacing w:line="360" w:lineRule="auto"/>
      <w:ind w:firstLine="420" w:firstLineChars="200"/>
    </w:pPr>
  </w:style>
  <w:style w:type="paragraph" w:customStyle="1" w:styleId="91">
    <w:name w:val="正文内容"/>
    <w:basedOn w:val="1"/>
    <w:qFormat/>
    <w:uiPriority w:val="0"/>
    <w:pPr>
      <w:ind w:firstLine="200" w:firstLineChars="200"/>
    </w:pPr>
    <w:rPr>
      <w:sz w:val="24"/>
    </w:rPr>
  </w:style>
  <w:style w:type="paragraph" w:customStyle="1" w:styleId="92">
    <w:name w:val="表格内文字"/>
    <w:basedOn w:val="1"/>
    <w:qFormat/>
    <w:uiPriority w:val="0"/>
    <w:pPr>
      <w:tabs>
        <w:tab w:val="left" w:pos="0"/>
      </w:tabs>
      <w:adjustRightInd w:val="0"/>
      <w:snapToGrid w:val="0"/>
      <w:jc w:val="center"/>
    </w:pPr>
    <w:rPr>
      <w:rFonts w:ascii="宋体" w:hAnsi="宋体"/>
      <w:szCs w:val="21"/>
    </w:rPr>
  </w:style>
  <w:style w:type="paragraph" w:customStyle="1" w:styleId="93">
    <w:name w:val="表格正文"/>
    <w:next w:val="1"/>
    <w:qFormat/>
    <w:uiPriority w:val="0"/>
    <w:pPr>
      <w:jc w:val="center"/>
    </w:pPr>
    <w:rPr>
      <w:rFonts w:ascii="Times New Roman" w:hAnsi="Times New Roman" w:eastAsia="宋体" w:cs="Times New Roman"/>
      <w:sz w:val="21"/>
      <w:szCs w:val="24"/>
      <w:lang w:val="en-US" w:eastAsia="zh-CN" w:bidi="ar-SA"/>
    </w:rPr>
  </w:style>
  <w:style w:type="paragraph" w:customStyle="1" w:styleId="94">
    <w:name w:val="表格1"/>
    <w:basedOn w:val="1"/>
    <w:next w:val="1"/>
    <w:qFormat/>
    <w:uiPriority w:val="0"/>
    <w:pPr>
      <w:topLinePunct/>
      <w:autoSpaceDE w:val="0"/>
      <w:autoSpaceDN w:val="0"/>
      <w:adjustRightInd w:val="0"/>
      <w:jc w:val="center"/>
      <w:textAlignment w:val="baseline"/>
    </w:pPr>
    <w:rPr>
      <w:rFonts w:ascii="宋体" w:hAnsi="Impact"/>
      <w:kern w:val="24"/>
      <w:sz w:val="28"/>
    </w:rPr>
  </w:style>
  <w:style w:type="character" w:customStyle="1" w:styleId="95">
    <w:name w:val="font11"/>
    <w:basedOn w:val="37"/>
    <w:qFormat/>
    <w:uiPriority w:val="0"/>
    <w:rPr>
      <w:rFonts w:hint="eastAsia" w:ascii="宋体" w:hAnsi="宋体" w:eastAsia="宋体" w:cs="宋体"/>
      <w:color w:val="000000"/>
      <w:sz w:val="21"/>
      <w:szCs w:val="21"/>
      <w:u w:val="none"/>
    </w:rPr>
  </w:style>
  <w:style w:type="paragraph" w:customStyle="1" w:styleId="96">
    <w:name w:val="样式 样式 首行缩进:  2 字符 + 首行缩进:  2 字符"/>
    <w:basedOn w:val="1"/>
    <w:qFormat/>
    <w:uiPriority w:val="0"/>
    <w:pPr>
      <w:snapToGrid w:val="0"/>
      <w:spacing w:line="360" w:lineRule="auto"/>
      <w:ind w:firstLine="502" w:firstLineChars="200"/>
    </w:pPr>
    <w:rPr>
      <w:sz w:val="24"/>
      <w:szCs w:val="20"/>
    </w:rPr>
  </w:style>
  <w:style w:type="paragraph" w:customStyle="1" w:styleId="97">
    <w:name w:val="报告表内中"/>
    <w:basedOn w:val="1"/>
    <w:qFormat/>
    <w:uiPriority w:val="0"/>
    <w:pPr>
      <w:snapToGrid w:val="0"/>
      <w:spacing w:before="100" w:beforeAutospacing="1"/>
      <w:jc w:val="center"/>
    </w:pPr>
    <w:rPr>
      <w:rFonts w:ascii="宋体" w:cs="宋体"/>
      <w:color w:val="000000"/>
      <w:sz w:val="24"/>
    </w:rPr>
  </w:style>
  <w:style w:type="character" w:customStyle="1" w:styleId="98">
    <w:name w:val="font31"/>
    <w:basedOn w:val="37"/>
    <w:qFormat/>
    <w:uiPriority w:val="0"/>
    <w:rPr>
      <w:rFonts w:hint="default" w:ascii="Times New Roman" w:hAnsi="Times New Roman" w:cs="Times New Roman"/>
      <w:color w:val="000000"/>
      <w:sz w:val="18"/>
      <w:szCs w:val="18"/>
      <w:u w:val="none"/>
    </w:rPr>
  </w:style>
  <w:style w:type="character" w:customStyle="1" w:styleId="99">
    <w:name w:val="正文文本 字符"/>
    <w:qFormat/>
    <w:locked/>
    <w:uiPriority w:val="0"/>
    <w:rPr>
      <w:sz w:val="18"/>
    </w:rPr>
  </w:style>
  <w:style w:type="paragraph" w:customStyle="1" w:styleId="100">
    <w:name w:val="正文 首行缩进:  2 字符"/>
    <w:basedOn w:val="1"/>
    <w:qFormat/>
    <w:uiPriority w:val="0"/>
    <w:pPr>
      <w:suppressAutoHyphens/>
      <w:ind w:firstLine="579" w:firstLineChars="200"/>
    </w:pPr>
    <w:rPr>
      <w:rFonts w:cs="宋体"/>
      <w:kern w:val="1"/>
      <w:lang w:eastAsia="ar-SA"/>
    </w:rPr>
  </w:style>
  <w:style w:type="character" w:customStyle="1" w:styleId="101">
    <w:name w:val="fontstyle01"/>
    <w:qFormat/>
    <w:uiPriority w:val="0"/>
    <w:rPr>
      <w:rFonts w:ascii="宋体" w:hAnsi="宋体" w:eastAsia="宋体" w:cs="宋体"/>
      <w:color w:val="000000"/>
      <w:sz w:val="24"/>
      <w:szCs w:val="24"/>
    </w:rPr>
  </w:style>
  <w:style w:type="paragraph" w:customStyle="1" w:styleId="102">
    <w:name w:val="BG表格样式1"/>
    <w:basedOn w:val="1"/>
    <w:link w:val="103"/>
    <w:qFormat/>
    <w:uiPriority w:val="0"/>
    <w:pPr>
      <w:jc w:val="center"/>
    </w:pPr>
    <w:rPr>
      <w:szCs w:val="21"/>
    </w:rPr>
  </w:style>
  <w:style w:type="character" w:customStyle="1" w:styleId="103">
    <w:name w:val="BG表格样式1 Char"/>
    <w:link w:val="102"/>
    <w:qFormat/>
    <w:uiPriority w:val="0"/>
    <w:rPr>
      <w:kern w:val="2"/>
      <w:sz w:val="21"/>
      <w:szCs w:val="21"/>
    </w:rPr>
  </w:style>
  <w:style w:type="paragraph" w:customStyle="1" w:styleId="104">
    <w:name w:val="DL段落"/>
    <w:basedOn w:val="1"/>
    <w:link w:val="105"/>
    <w:qFormat/>
    <w:uiPriority w:val="0"/>
    <w:pPr>
      <w:adjustRightInd w:val="0"/>
      <w:snapToGrid w:val="0"/>
      <w:spacing w:line="360" w:lineRule="auto"/>
      <w:ind w:firstLine="200" w:firstLineChars="200"/>
    </w:pPr>
    <w:rPr>
      <w:sz w:val="24"/>
    </w:rPr>
  </w:style>
  <w:style w:type="character" w:customStyle="1" w:styleId="105">
    <w:name w:val="DL段落 Char"/>
    <w:link w:val="104"/>
    <w:qFormat/>
    <w:uiPriority w:val="0"/>
    <w:rPr>
      <w:kern w:val="2"/>
      <w:sz w:val="24"/>
      <w:szCs w:val="24"/>
    </w:rPr>
  </w:style>
  <w:style w:type="paragraph" w:customStyle="1" w:styleId="106">
    <w:name w:val="正文11"/>
    <w:basedOn w:val="2"/>
    <w:qFormat/>
    <w:uiPriority w:val="0"/>
    <w:pPr>
      <w:adjustRightInd w:val="0"/>
      <w:spacing w:after="0" w:line="360" w:lineRule="auto"/>
      <w:ind w:firstLine="880" w:firstLineChars="200"/>
      <w:contextualSpacing/>
    </w:pPr>
    <w:rPr>
      <w:kern w:val="18"/>
      <w:sz w:val="24"/>
    </w:rPr>
  </w:style>
  <w:style w:type="paragraph" w:customStyle="1" w:styleId="107">
    <w:name w:val="样式4"/>
    <w:basedOn w:val="28"/>
    <w:qFormat/>
    <w:uiPriority w:val="0"/>
    <w:pPr>
      <w:adjustRightInd w:val="0"/>
      <w:snapToGrid w:val="0"/>
      <w:spacing w:line="480" w:lineRule="atLeast"/>
      <w:ind w:left="0" w:leftChars="0" w:firstLine="200" w:firstLineChars="200"/>
      <w:jc w:val="left"/>
    </w:pPr>
    <w:rPr>
      <w:color w:val="000000"/>
      <w:sz w:val="26"/>
      <w:szCs w:val="26"/>
    </w:rPr>
  </w:style>
  <w:style w:type="character" w:customStyle="1" w:styleId="108">
    <w:name w:val="font41"/>
    <w:basedOn w:val="37"/>
    <w:qFormat/>
    <w:uiPriority w:val="0"/>
    <w:rPr>
      <w:rFonts w:hint="eastAsia" w:ascii="宋体" w:hAnsi="宋体" w:eastAsia="宋体" w:cs="宋体"/>
      <w:b/>
      <w:bCs/>
      <w:color w:val="000000"/>
      <w:sz w:val="21"/>
      <w:szCs w:val="21"/>
      <w:u w:val="none"/>
    </w:rPr>
  </w:style>
  <w:style w:type="character" w:customStyle="1" w:styleId="109">
    <w:name w:val="font21"/>
    <w:basedOn w:val="37"/>
    <w:qFormat/>
    <w:uiPriority w:val="0"/>
    <w:rPr>
      <w:rFonts w:hint="default" w:ascii="Times New Roman" w:hAnsi="Times New Roman" w:cs="Times New Roman"/>
      <w:b/>
      <w:bCs/>
      <w:color w:val="000000"/>
      <w:sz w:val="21"/>
      <w:szCs w:val="21"/>
      <w:u w:val="none"/>
      <w:vertAlign w:val="superscript"/>
    </w:rPr>
  </w:style>
  <w:style w:type="character" w:customStyle="1" w:styleId="110">
    <w:name w:val="font71"/>
    <w:basedOn w:val="37"/>
    <w:qFormat/>
    <w:uiPriority w:val="0"/>
    <w:rPr>
      <w:rFonts w:hint="eastAsia" w:ascii="宋体" w:hAnsi="宋体" w:eastAsia="宋体" w:cs="宋体"/>
      <w:color w:val="000000"/>
      <w:sz w:val="21"/>
      <w:szCs w:val="21"/>
      <w:u w:val="none"/>
    </w:rPr>
  </w:style>
  <w:style w:type="character" w:customStyle="1" w:styleId="111">
    <w:name w:val="font51"/>
    <w:basedOn w:val="37"/>
    <w:qFormat/>
    <w:uiPriority w:val="0"/>
    <w:rPr>
      <w:rFonts w:hint="default" w:ascii="Times New Roman" w:hAnsi="Times New Roman" w:cs="Times New Roman"/>
      <w:b/>
      <w:bCs/>
      <w:color w:val="000000"/>
      <w:sz w:val="21"/>
      <w:szCs w:val="21"/>
      <w:u w:val="none"/>
      <w:vertAlign w:val="superscript"/>
    </w:rPr>
  </w:style>
  <w:style w:type="character" w:customStyle="1" w:styleId="112">
    <w:name w:val="font61"/>
    <w:basedOn w:val="37"/>
    <w:qFormat/>
    <w:uiPriority w:val="0"/>
    <w:rPr>
      <w:rFonts w:hint="eastAsia" w:ascii="宋体" w:hAnsi="宋体" w:eastAsia="宋体" w:cs="宋体"/>
      <w:color w:val="000000"/>
      <w:sz w:val="21"/>
      <w:szCs w:val="21"/>
      <w:u w:val="none"/>
    </w:rPr>
  </w:style>
  <w:style w:type="character" w:customStyle="1" w:styleId="113">
    <w:name w:val="font01"/>
    <w:qFormat/>
    <w:uiPriority w:val="0"/>
    <w:rPr>
      <w:rFonts w:hint="default" w:ascii="Times New Roman" w:hAnsi="Times New Roman" w:cs="Times New Roman"/>
      <w:color w:val="000000"/>
      <w:sz w:val="21"/>
      <w:szCs w:val="21"/>
      <w:u w:val="none"/>
    </w:rPr>
  </w:style>
  <w:style w:type="paragraph" w:customStyle="1" w:styleId="114">
    <w:name w:val="_Style 104"/>
    <w:unhideWhenUsed/>
    <w:qFormat/>
    <w:uiPriority w:val="99"/>
    <w:rPr>
      <w:rFonts w:ascii="Times New Roman" w:hAnsi="Times New Roman" w:eastAsia="宋体" w:cs="Times New Roman"/>
      <w:kern w:val="2"/>
      <w:sz w:val="21"/>
      <w:szCs w:val="24"/>
      <w:lang w:val="en-US" w:eastAsia="zh-CN" w:bidi="ar-SA"/>
    </w:rPr>
  </w:style>
  <w:style w:type="paragraph" w:customStyle="1" w:styleId="115">
    <w:name w:val="表内容"/>
    <w:next w:val="91"/>
    <w:qFormat/>
    <w:uiPriority w:val="0"/>
    <w:pPr>
      <w:widowControl w:val="0"/>
      <w:jc w:val="center"/>
    </w:pPr>
    <w:rPr>
      <w:rFonts w:ascii="Times New Roman" w:hAnsi="Times New Roman" w:eastAsia="宋体" w:cs="Times New Roman"/>
      <w:kern w:val="2"/>
      <w:sz w:val="21"/>
      <w:szCs w:val="21"/>
      <w:lang w:val="en-US" w:eastAsia="zh-CN" w:bidi="ar-SA"/>
    </w:rPr>
  </w:style>
  <w:style w:type="paragraph" w:customStyle="1" w:styleId="116">
    <w:name w:val="BT字体"/>
    <w:basedOn w:val="1"/>
    <w:qFormat/>
    <w:uiPriority w:val="0"/>
    <w:pPr>
      <w:widowControl/>
      <w:adjustRightInd w:val="0"/>
      <w:snapToGrid w:val="0"/>
      <w:spacing w:line="0" w:lineRule="atLeast"/>
      <w:jc w:val="center"/>
    </w:pPr>
    <w:rPr>
      <w:rFonts w:cs="宋体"/>
      <w:b/>
      <w:kern w:val="0"/>
    </w:rPr>
  </w:style>
  <w:style w:type="paragraph" w:customStyle="1" w:styleId="117">
    <w:name w:val="_Style 2"/>
    <w:basedOn w:val="1"/>
    <w:qFormat/>
    <w:uiPriority w:val="34"/>
    <w:pPr>
      <w:spacing w:before="120" w:after="120"/>
      <w:ind w:firstLine="420" w:firstLineChars="200"/>
    </w:pPr>
    <w:rPr>
      <w:rFonts w:ascii="Calibri" w:hAnsi="Calibri" w:cs="Calibri"/>
      <w:szCs w:val="22"/>
    </w:rPr>
  </w:style>
  <w:style w:type="paragraph" w:customStyle="1" w:styleId="118">
    <w:name w:val="样式1"/>
    <w:basedOn w:val="1"/>
    <w:qFormat/>
    <w:uiPriority w:val="0"/>
    <w:pPr>
      <w:spacing w:line="480" w:lineRule="exact"/>
      <w:ind w:firstLine="200" w:firstLineChars="200"/>
    </w:pPr>
    <w:rPr>
      <w:rFonts w:ascii="宋体" w:hAnsi="宋体" w:cs="Dutch801 Rm BT"/>
      <w:sz w:val="26"/>
      <w:szCs w:val="26"/>
    </w:rPr>
  </w:style>
  <w:style w:type="character" w:customStyle="1" w:styleId="119">
    <w:name w:val="font91"/>
    <w:qFormat/>
    <w:uiPriority w:val="0"/>
    <w:rPr>
      <w:rFonts w:hint="eastAsia" w:ascii="宋体" w:hAnsi="宋体" w:eastAsia="宋体" w:cs="宋体"/>
      <w:b/>
      <w:bCs/>
      <w:color w:val="000000"/>
      <w:sz w:val="21"/>
      <w:szCs w:val="21"/>
      <w:u w:val="none"/>
    </w:rPr>
  </w:style>
  <w:style w:type="character" w:customStyle="1" w:styleId="120">
    <w:name w:val="font131"/>
    <w:qFormat/>
    <w:uiPriority w:val="0"/>
    <w:rPr>
      <w:rFonts w:hint="eastAsia" w:ascii="宋体" w:hAnsi="宋体" w:eastAsia="宋体" w:cs="宋体"/>
      <w:color w:val="000000"/>
      <w:sz w:val="21"/>
      <w:szCs w:val="21"/>
      <w:u w:val="none"/>
    </w:rPr>
  </w:style>
  <w:style w:type="paragraph" w:customStyle="1" w:styleId="12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122">
    <w:name w:val="font0"/>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23">
    <w:name w:val="font1"/>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24">
    <w:name w:val="et2"/>
    <w:basedOn w:val="1"/>
    <w:qFormat/>
    <w:uiPriority w:val="0"/>
    <w:pPr>
      <w:widowControl/>
      <w:shd w:val="clear" w:color="auto" w:fill="F0F0F0"/>
      <w:spacing w:before="100" w:beforeAutospacing="1" w:after="100" w:afterAutospacing="1"/>
      <w:jc w:val="center"/>
      <w:textAlignment w:val="center"/>
    </w:pPr>
    <w:rPr>
      <w:rFonts w:ascii="宋体" w:hAnsi="宋体" w:cs="宋体"/>
      <w:kern w:val="0"/>
      <w:sz w:val="24"/>
    </w:rPr>
  </w:style>
  <w:style w:type="paragraph" w:customStyle="1" w:styleId="125">
    <w:name w:val="et3"/>
    <w:basedOn w:val="1"/>
    <w:qFormat/>
    <w:uiPriority w:val="0"/>
    <w:pPr>
      <w:widowControl/>
      <w:shd w:val="clear" w:color="auto" w:fill="FFFFFF"/>
      <w:spacing w:before="100" w:beforeAutospacing="1" w:after="100" w:afterAutospacing="1"/>
      <w:jc w:val="center"/>
      <w:textAlignment w:val="center"/>
    </w:pPr>
    <w:rPr>
      <w:rFonts w:ascii="宋体" w:hAnsi="宋体" w:cs="宋体"/>
      <w:kern w:val="0"/>
      <w:sz w:val="24"/>
    </w:rPr>
  </w:style>
  <w:style w:type="paragraph" w:customStyle="1" w:styleId="126">
    <w:name w:val="et4"/>
    <w:basedOn w:val="1"/>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127">
    <w:name w:val="表格内容"/>
    <w:qFormat/>
    <w:uiPriority w:val="0"/>
    <w:pPr>
      <w:widowControl w:val="0"/>
      <w:adjustRightInd w:val="0"/>
      <w:jc w:val="center"/>
      <w:textAlignment w:val="center"/>
    </w:pPr>
    <w:rPr>
      <w:rFonts w:ascii="Times New Roman" w:hAnsi="Times New Roman" w:eastAsia="宋体" w:cs="Times New Roman"/>
      <w:sz w:val="21"/>
      <w:lang w:val="en-US" w:eastAsia="zh-CN" w:bidi="ar-SA"/>
    </w:rPr>
  </w:style>
  <w:style w:type="character" w:customStyle="1" w:styleId="128">
    <w:name w:val="font81"/>
    <w:basedOn w:val="37"/>
    <w:qFormat/>
    <w:uiPriority w:val="0"/>
    <w:rPr>
      <w:rFonts w:hint="default" w:ascii="Times New Roman" w:hAnsi="Times New Roman" w:cs="Times New Roman"/>
      <w:b/>
      <w:bCs/>
      <w:color w:val="000000"/>
      <w:sz w:val="21"/>
      <w:szCs w:val="21"/>
      <w:u w:val="none"/>
      <w:vertAlign w:val="superscript"/>
    </w:rPr>
  </w:style>
  <w:style w:type="paragraph" w:customStyle="1" w:styleId="129">
    <w:name w:val="正文1"/>
    <w:qFormat/>
    <w:uiPriority w:val="0"/>
    <w:pPr>
      <w:widowControl w:val="0"/>
      <w:adjustRightInd w:val="0"/>
      <w:jc w:val="both"/>
    </w:pPr>
    <w:rPr>
      <w:rFonts w:ascii="Times New Roman" w:hAnsi="Times New Roman" w:eastAsia="楷体_GB2312" w:cs="Times New Roman"/>
      <w:kern w:val="2"/>
      <w:sz w:val="21"/>
      <w:szCs w:val="24"/>
      <w:lang w:val="en-US" w:eastAsia="zh-CN" w:bidi="ar-SA"/>
    </w:rPr>
  </w:style>
  <w:style w:type="paragraph" w:customStyle="1" w:styleId="130">
    <w:name w:val="图文字"/>
    <w:basedOn w:val="1"/>
    <w:qFormat/>
    <w:uiPriority w:val="0"/>
    <w:pPr>
      <w:autoSpaceDE w:val="0"/>
      <w:autoSpaceDN w:val="0"/>
      <w:adjustRightInd w:val="0"/>
      <w:spacing w:line="360" w:lineRule="auto"/>
      <w:jc w:val="center"/>
    </w:pPr>
    <w:rPr>
      <w:rFonts w:hint="eastAsia"/>
      <w:b/>
    </w:rPr>
  </w:style>
  <w:style w:type="paragraph" w:customStyle="1" w:styleId="131">
    <w:name w:val="正文（其他）"/>
    <w:basedOn w:val="1"/>
    <w:qFormat/>
    <w:uiPriority w:val="0"/>
    <w:pPr>
      <w:autoSpaceDE w:val="0"/>
      <w:autoSpaceDN w:val="0"/>
      <w:adjustRightInd w:val="0"/>
      <w:spacing w:line="360" w:lineRule="auto"/>
      <w:ind w:firstLine="720" w:firstLineChars="200"/>
    </w:pPr>
    <w:rPr>
      <w:rFonts w:hint="eastAsia" w:ascii="Calibri" w:hAnsi="Calibri"/>
      <w:snapToGrid w:val="0"/>
      <w:szCs w:val="21"/>
    </w:rPr>
  </w:style>
  <w:style w:type="paragraph" w:customStyle="1" w:styleId="132">
    <w:name w:val="表文字"/>
    <w:basedOn w:val="1"/>
    <w:qFormat/>
    <w:uiPriority w:val="0"/>
    <w:pPr>
      <w:overflowPunct w:val="0"/>
      <w:autoSpaceDE w:val="0"/>
      <w:autoSpaceDN w:val="0"/>
      <w:adjustRightInd w:val="0"/>
      <w:spacing w:line="240" w:lineRule="atLeast"/>
      <w:jc w:val="center"/>
      <w:textAlignment w:val="baseline"/>
    </w:pPr>
    <w:rPr>
      <w:kern w:val="0"/>
      <w:sz w:val="24"/>
    </w:rPr>
  </w:style>
  <w:style w:type="paragraph" w:customStyle="1" w:styleId="133">
    <w:name w:val="yjz表格正文"/>
    <w:basedOn w:val="134"/>
    <w:qFormat/>
    <w:uiPriority w:val="0"/>
    <w:pPr>
      <w:jc w:val="center"/>
    </w:pPr>
    <w:rPr>
      <w:sz w:val="21"/>
    </w:rPr>
  </w:style>
  <w:style w:type="paragraph" w:styleId="134">
    <w:name w:val="No Spacing"/>
    <w:qFormat/>
    <w:uiPriority w:val="1"/>
    <w:pPr>
      <w:widowControl w:val="0"/>
      <w:adjustRightInd w:val="0"/>
      <w:snapToGrid w:val="0"/>
      <w:jc w:val="both"/>
    </w:pPr>
    <w:rPr>
      <w:rFonts w:ascii="Times New Roman" w:hAnsi="Times New Roman" w:eastAsia="宋体" w:cs="Times New Roman"/>
      <w:kern w:val="2"/>
      <w:sz w:val="24"/>
      <w:szCs w:val="22"/>
      <w:lang w:val="en-US" w:eastAsia="zh-CN" w:bidi="ar-SA"/>
    </w:rPr>
  </w:style>
  <w:style w:type="paragraph" w:customStyle="1" w:styleId="135">
    <w:name w:val="Huo 小四缩进2"/>
    <w:basedOn w:val="1"/>
    <w:qFormat/>
    <w:uiPriority w:val="0"/>
    <w:pPr>
      <w:spacing w:line="360" w:lineRule="auto"/>
      <w:ind w:firstLine="200" w:firstLineChars="200"/>
    </w:pPr>
    <w:rPr>
      <w:sz w:val="24"/>
    </w:rPr>
  </w:style>
  <w:style w:type="paragraph" w:customStyle="1" w:styleId="136">
    <w:name w:val="正文 New"/>
    <w:qFormat/>
    <w:uiPriority w:val="0"/>
    <w:pPr>
      <w:widowControl w:val="0"/>
      <w:jc w:val="both"/>
    </w:pPr>
    <w:rPr>
      <w:rFonts w:ascii="等线" w:hAnsi="等线" w:eastAsia="仿宋_GB2312" w:cs="Times New Roman"/>
      <w:kern w:val="2"/>
      <w:sz w:val="32"/>
      <w:szCs w:val="32"/>
      <w:lang w:val="en-US" w:eastAsia="zh-CN" w:bidi="ar-SA"/>
    </w:rPr>
  </w:style>
  <w:style w:type="paragraph" w:customStyle="1" w:styleId="137">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38">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paragraph" w:customStyle="1" w:styleId="139">
    <w:name w:val="表标题"/>
    <w:basedOn w:val="91"/>
    <w:next w:val="91"/>
    <w:qFormat/>
    <w:uiPriority w:val="0"/>
    <w:pPr>
      <w:ind w:firstLine="0" w:firstLineChars="0"/>
      <w:jc w:val="center"/>
    </w:pPr>
    <w:rPr>
      <w:b/>
      <w:kern w:val="0"/>
      <w:sz w:val="21"/>
      <w:szCs w:val="20"/>
    </w:rPr>
  </w:style>
  <w:style w:type="paragraph" w:customStyle="1" w:styleId="140">
    <w:name w:val="M表中文字"/>
    <w:qFormat/>
    <w:uiPriority w:val="0"/>
    <w:pPr>
      <w:adjustRightInd w:val="0"/>
      <w:spacing w:before="10"/>
      <w:jc w:val="center"/>
      <w:textAlignment w:val="center"/>
    </w:pPr>
    <w:rPr>
      <w:rFonts w:ascii="Times New Roman" w:hAnsi="Times New Roman" w:eastAsia="宋体" w:cs="Times New Roman"/>
      <w:sz w:val="21"/>
      <w:szCs w:val="22"/>
      <w:lang w:val="en-US" w:eastAsia="zh-CN" w:bidi="ar-SA"/>
    </w:rPr>
  </w:style>
  <w:style w:type="paragraph" w:customStyle="1" w:styleId="141">
    <w:name w:val="表格表头"/>
    <w:basedOn w:val="1"/>
    <w:qFormat/>
    <w:uiPriority w:val="0"/>
    <w:pPr>
      <w:jc w:val="center"/>
    </w:pPr>
    <w:rPr>
      <w:b/>
    </w:rPr>
  </w:style>
  <w:style w:type="paragraph" w:customStyle="1" w:styleId="142">
    <w:name w:val="表格文字001"/>
    <w:basedOn w:val="1"/>
    <w:qFormat/>
    <w:uiPriority w:val="0"/>
    <w:pPr>
      <w:snapToGrid w:val="0"/>
      <w:spacing w:before="62" w:beforeLines="20" w:after="62" w:afterLines="20"/>
      <w:jc w:val="center"/>
    </w:pPr>
    <w:rPr>
      <w:rFonts w:ascii="宋体" w:hAnsi="宋体"/>
    </w:rPr>
  </w:style>
  <w:style w:type="paragraph" w:customStyle="1" w:styleId="143">
    <w:name w:val="表格 32"/>
    <w:basedOn w:val="1"/>
    <w:qFormat/>
    <w:uiPriority w:val="0"/>
    <w:pPr>
      <w:autoSpaceDE w:val="0"/>
      <w:autoSpaceDN w:val="0"/>
      <w:adjustRightInd w:val="0"/>
      <w:jc w:val="center"/>
      <w:textAlignment w:val="baseline"/>
    </w:pPr>
    <w:rPr>
      <w:rFonts w:ascii="宋体" w:hAnsi="Impact"/>
      <w:kern w:val="24"/>
      <w:sz w:val="24"/>
      <w:szCs w:val="20"/>
    </w:rPr>
  </w:style>
  <w:style w:type="paragraph" w:customStyle="1" w:styleId="144">
    <w:name w:val="图表标题"/>
    <w:basedOn w:val="1"/>
    <w:qFormat/>
    <w:uiPriority w:val="0"/>
    <w:pPr>
      <w:jc w:val="center"/>
    </w:pPr>
    <w:rPr>
      <w:rFonts w:hint="eastAsia"/>
      <w:b/>
      <w:sz w:val="24"/>
    </w:rPr>
  </w:style>
  <w:style w:type="paragraph" w:customStyle="1" w:styleId="145">
    <w:name w:val="小四 间距1.5 缩进2"/>
    <w:basedOn w:val="1"/>
    <w:qFormat/>
    <w:uiPriority w:val="0"/>
    <w:pPr>
      <w:spacing w:line="360" w:lineRule="auto"/>
      <w:ind w:firstLine="415" w:firstLineChars="173"/>
    </w:pPr>
    <w:rPr>
      <w:sz w:val="24"/>
    </w:rPr>
  </w:style>
  <w:style w:type="paragraph" w:customStyle="1" w:styleId="146">
    <w:name w:val="环评表格内容"/>
    <w:basedOn w:val="1"/>
    <w:qFormat/>
    <w:uiPriority w:val="0"/>
    <w:pPr>
      <w:jc w:val="center"/>
      <w:textAlignment w:val="center"/>
    </w:pPr>
  </w:style>
  <w:style w:type="paragraph" w:customStyle="1" w:styleId="147">
    <w:name w:val="M表题"/>
    <w:autoRedefine/>
    <w:qFormat/>
    <w:uiPriority w:val="0"/>
    <w:pPr>
      <w:adjustRightInd w:val="0"/>
      <w:jc w:val="center"/>
    </w:pPr>
    <w:rPr>
      <w:rFonts w:ascii="Times New Roman" w:hAnsi="Times New Roman" w:eastAsia="宋体" w:cs="Times New Roman"/>
      <w:b/>
      <w:sz w:val="24"/>
      <w:szCs w:val="22"/>
      <w:lang w:val="en-US" w:eastAsia="zh-CN" w:bidi="ar-SA"/>
    </w:rPr>
  </w:style>
  <w:style w:type="character" w:customStyle="1" w:styleId="148">
    <w:name w:val="样式 楷体_GB2312 黑色"/>
    <w:qFormat/>
    <w:uiPriority w:val="0"/>
    <w:rPr>
      <w:rFonts w:hint="eastAsia" w:ascii="楷体_GB2312" w:hAnsi="宋体" w:eastAsia="楷体_GB2312"/>
      <w:b/>
      <w:color w:val="000000"/>
      <w:sz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9" Type="http://schemas.openxmlformats.org/officeDocument/2006/relationships/fontTable" Target="fontTable.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33.jpeg"/><Relationship Id="rId55" Type="http://schemas.openxmlformats.org/officeDocument/2006/relationships/image" Target="media/image32.wmf"/><Relationship Id="rId54" Type="http://schemas.openxmlformats.org/officeDocument/2006/relationships/oleObject" Target="embeddings/oleObject15.bin"/><Relationship Id="rId53" Type="http://schemas.openxmlformats.org/officeDocument/2006/relationships/image" Target="media/image31.wmf"/><Relationship Id="rId52" Type="http://schemas.openxmlformats.org/officeDocument/2006/relationships/oleObject" Target="embeddings/oleObject14.bin"/><Relationship Id="rId51" Type="http://schemas.openxmlformats.org/officeDocument/2006/relationships/image" Target="media/image30.wmf"/><Relationship Id="rId50" Type="http://schemas.openxmlformats.org/officeDocument/2006/relationships/oleObject" Target="embeddings/oleObject13.bin"/><Relationship Id="rId5" Type="http://schemas.openxmlformats.org/officeDocument/2006/relationships/footer" Target="footer2.xml"/><Relationship Id="rId49" Type="http://schemas.openxmlformats.org/officeDocument/2006/relationships/image" Target="media/image29.wmf"/><Relationship Id="rId48" Type="http://schemas.openxmlformats.org/officeDocument/2006/relationships/oleObject" Target="embeddings/oleObject12.bin"/><Relationship Id="rId47" Type="http://schemas.openxmlformats.org/officeDocument/2006/relationships/image" Target="media/image28.wmf"/><Relationship Id="rId46" Type="http://schemas.openxmlformats.org/officeDocument/2006/relationships/oleObject" Target="embeddings/oleObject11.bin"/><Relationship Id="rId45" Type="http://schemas.openxmlformats.org/officeDocument/2006/relationships/image" Target="media/image27.wmf"/><Relationship Id="rId44" Type="http://schemas.openxmlformats.org/officeDocument/2006/relationships/oleObject" Target="embeddings/oleObject10.bin"/><Relationship Id="rId43" Type="http://schemas.openxmlformats.org/officeDocument/2006/relationships/image" Target="media/image26.png"/><Relationship Id="rId42" Type="http://schemas.openxmlformats.org/officeDocument/2006/relationships/image" Target="media/image25.wmf"/><Relationship Id="rId41" Type="http://schemas.openxmlformats.org/officeDocument/2006/relationships/oleObject" Target="embeddings/oleObject9.bin"/><Relationship Id="rId40" Type="http://schemas.openxmlformats.org/officeDocument/2006/relationships/image" Target="media/image24.png"/><Relationship Id="rId4" Type="http://schemas.openxmlformats.org/officeDocument/2006/relationships/footer" Target="footer1.xml"/><Relationship Id="rId39" Type="http://schemas.openxmlformats.org/officeDocument/2006/relationships/image" Target="media/image23.png"/><Relationship Id="rId38" Type="http://schemas.openxmlformats.org/officeDocument/2006/relationships/image" Target="media/image22.png"/><Relationship Id="rId37" Type="http://schemas.openxmlformats.org/officeDocument/2006/relationships/image" Target="media/image21.png"/><Relationship Id="rId36" Type="http://schemas.openxmlformats.org/officeDocument/2006/relationships/image" Target="media/image20.png"/><Relationship Id="rId35" Type="http://schemas.openxmlformats.org/officeDocument/2006/relationships/image" Target="media/image19.emf"/><Relationship Id="rId34" Type="http://schemas.openxmlformats.org/officeDocument/2006/relationships/oleObject" Target="embeddings/oleObject8.bin"/><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header" Target="header1.xml"/><Relationship Id="rId29" Type="http://schemas.openxmlformats.org/officeDocument/2006/relationships/image" Target="media/image14.emf"/><Relationship Id="rId28" Type="http://schemas.openxmlformats.org/officeDocument/2006/relationships/oleObject" Target="embeddings/oleObject7.bin"/><Relationship Id="rId27" Type="http://schemas.openxmlformats.org/officeDocument/2006/relationships/image" Target="media/image13.emf"/><Relationship Id="rId26" Type="http://schemas.openxmlformats.org/officeDocument/2006/relationships/oleObject" Target="embeddings/oleObject6.bin"/><Relationship Id="rId25" Type="http://schemas.openxmlformats.org/officeDocument/2006/relationships/image" Target="media/image12.emf"/><Relationship Id="rId24" Type="http://schemas.openxmlformats.org/officeDocument/2006/relationships/oleObject" Target="embeddings/oleObject5.bin"/><Relationship Id="rId23" Type="http://schemas.openxmlformats.org/officeDocument/2006/relationships/image" Target="media/image11.emf"/><Relationship Id="rId22" Type="http://schemas.openxmlformats.org/officeDocument/2006/relationships/oleObject" Target="embeddings/oleObject4.bin"/><Relationship Id="rId21" Type="http://schemas.openxmlformats.org/officeDocument/2006/relationships/image" Target="media/image10.e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9.emf"/><Relationship Id="rId18" Type="http://schemas.openxmlformats.org/officeDocument/2006/relationships/oleObject" Target="embeddings/oleObject2.bin"/><Relationship Id="rId17" Type="http://schemas.openxmlformats.org/officeDocument/2006/relationships/image" Target="media/image8.emf"/><Relationship Id="rId16" Type="http://schemas.openxmlformats.org/officeDocument/2006/relationships/oleObject" Target="embeddings/oleObject1.bin"/><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147</Pages>
  <Words>7776</Words>
  <Characters>8375</Characters>
  <Lines>1097</Lines>
  <Paragraphs>308</Paragraphs>
  <TotalTime>5</TotalTime>
  <ScaleCrop>false</ScaleCrop>
  <LinksUpToDate>false</LinksUpToDate>
  <CharactersWithSpaces>8471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2024-10-28T02:44:00Z</dcterms:created>
  <dc:creator>尚云环境</dc:creator>
  <cp:lastModifiedBy>莉子</cp:lastModifiedBy>
  <cp:lastPrinted>2024-11-28T07:55:00Z</cp:lastPrinted>
  <dcterms:modified xsi:type="dcterms:W3CDTF">2025-09-09T02:42:39Z</dcterms:modified>
  <dc:title>建设项目环境影响报告表（污染影响类）</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F1352ECFBF45446681EA3C0E5708E03F_13</vt:lpwstr>
  </property>
  <property fmtid="{D5CDD505-2E9C-101B-9397-08002B2CF9AE}" pid="4" name="KSOTemplateDocerSaveRecord">
    <vt:lpwstr>eyJoZGlkIjoiMDUzMzBkZDZiODdjZWI4NDBiNmRiOGRkNjU2MWE4MDIiLCJ1c2VySWQiOiIzMjQ1NjcwMTgifQ==</vt:lpwstr>
  </property>
</Properties>
</file>